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SubtitleChar"/>
        </w:rPr>
        <w:alias w:val="Title"/>
        <w:tag w:val=""/>
        <w:id w:val="-297068607"/>
        <w:placeholder>
          <w:docPart w:val="AFF37471F57747B2AEF99EF89DCCCAE8"/>
        </w:placeholder>
        <w:dataBinding w:prefixMappings="xmlns:ns0='http://purl.org/dc/elements/1.1/' xmlns:ns1='http://schemas.openxmlformats.org/package/2006/metadata/core-properties' " w:xpath="/ns1:coreProperties[1]/ns0:title[1]" w:storeItemID="{6C3C8BC8-F283-45AE-878A-BAB7291924A1}"/>
        <w:text/>
      </w:sdtPr>
      <w:sdtEndPr>
        <w:rPr>
          <w:rStyle w:val="SubtitleChar"/>
        </w:rPr>
      </w:sdtEndPr>
      <w:sdtContent>
        <w:p w14:paraId="0599D7FE" w14:textId="77777777" w:rsidR="006752B5" w:rsidRPr="00113964" w:rsidRDefault="00F42C9E" w:rsidP="006752B5">
          <w:pPr>
            <w:pStyle w:val="SubTitle0"/>
            <w:rPr>
              <w:rFonts w:cs="Arial"/>
            </w:rPr>
          </w:pPr>
          <w:r>
            <w:rPr>
              <w:rStyle w:val="SubtitleChar"/>
              <w:lang w:val="en-AU"/>
            </w:rPr>
            <w:t xml:space="preserve">Accounting – liabilities </w:t>
          </w:r>
          <w:r w:rsidR="00B03F0B">
            <w:rPr>
              <w:rStyle w:val="SubtitleChar"/>
              <w:lang w:val="en-AU"/>
            </w:rPr>
            <w:t>(</w:t>
          </w:r>
          <w:r w:rsidR="00C7254B">
            <w:rPr>
              <w:rStyle w:val="SubtitleChar"/>
              <w:lang w:val="en-AU"/>
            </w:rPr>
            <w:t xml:space="preserve">Section </w:t>
          </w:r>
          <w:r>
            <w:rPr>
              <w:rStyle w:val="SubtitleChar"/>
              <w:lang w:val="en-AU"/>
            </w:rPr>
            <w:t>A3.4: Employee benefits</w:t>
          </w:r>
          <w:r w:rsidR="00B03F0B">
            <w:rPr>
              <w:rStyle w:val="SubtitleChar"/>
              <w:lang w:val="en-AU"/>
            </w:rPr>
            <w:t>)</w:t>
          </w:r>
        </w:p>
      </w:sdtContent>
    </w:sdt>
    <w:p w14:paraId="0599D7FF" w14:textId="77777777" w:rsidR="008444B2" w:rsidRPr="00113964" w:rsidRDefault="00D5385D" w:rsidP="007E6170">
      <w:pPr>
        <w:pStyle w:val="Heading1"/>
      </w:pPr>
      <w:bookmarkStart w:id="0" w:name="_Toc468805522"/>
      <w:bookmarkStart w:id="1" w:name="_Toc472416018"/>
      <w:bookmarkStart w:id="2" w:name="_Toc472677112"/>
      <w:r>
        <w:t>Statement of i</w:t>
      </w:r>
      <w:r w:rsidR="008444B2" w:rsidRPr="00113964">
        <w:t>ntent</w:t>
      </w:r>
      <w:bookmarkEnd w:id="0"/>
      <w:bookmarkEnd w:id="1"/>
      <w:bookmarkEnd w:id="2"/>
    </w:p>
    <w:p w14:paraId="0599D800" w14:textId="77777777" w:rsidR="00A0556E" w:rsidRDefault="00F42C9E" w:rsidP="0081059D">
      <w:pPr>
        <w:pStyle w:val="DTFBodyText"/>
      </w:pPr>
      <w:r w:rsidRPr="00F42C9E">
        <w:t>Employee benefit liabilities invariably constitute a major liability for Agencies and the Government and, as such, it is important that these costs are accurately identified and recorded.</w:t>
      </w:r>
      <w:r>
        <w:t xml:space="preserve"> </w:t>
      </w:r>
      <w:r w:rsidRPr="00F42C9E">
        <w:t>This Section provides the requirements relating to the identification, recognition and measurement of employee benefit liabilities.</w:t>
      </w:r>
    </w:p>
    <w:p w14:paraId="0599D801" w14:textId="77777777" w:rsidR="00A0556E" w:rsidRDefault="003F6B26" w:rsidP="00A0556E">
      <w:pPr>
        <w:pStyle w:val="DTFHeading1-Lineabove"/>
      </w:pPr>
      <w:r>
        <w:t>Main f</w:t>
      </w:r>
      <w:r w:rsidR="00A0556E" w:rsidRPr="00A0556E">
        <w:t xml:space="preserve">eatures </w:t>
      </w:r>
    </w:p>
    <w:p w14:paraId="0599D802" w14:textId="77777777" w:rsidR="008444B2" w:rsidRPr="00113964" w:rsidRDefault="008444B2" w:rsidP="0081059D">
      <w:pPr>
        <w:pStyle w:val="DTFBodyText"/>
      </w:pPr>
      <w:r w:rsidRPr="00113964">
        <w:t xml:space="preserve">Section 38 of the </w:t>
      </w:r>
      <w:r w:rsidRPr="00113964">
        <w:rPr>
          <w:rStyle w:val="DTFItalic"/>
        </w:rPr>
        <w:t>Financial Management Act</w:t>
      </w:r>
      <w:r w:rsidRPr="00113964">
        <w:t xml:space="preserve"> requires each Accountable Officer and </w:t>
      </w:r>
      <w:r w:rsidR="000A6365">
        <w:t>every</w:t>
      </w:r>
      <w:r w:rsidRPr="00113964">
        <w:t xml:space="preserve"> employee of an Agency to comply with the Treasurer’s Directions. </w:t>
      </w:r>
    </w:p>
    <w:p w14:paraId="0599D803" w14:textId="77777777" w:rsidR="008444B2" w:rsidRPr="007E6170" w:rsidRDefault="003F6B26" w:rsidP="00CF77E0">
      <w:pPr>
        <w:pStyle w:val="Heading2"/>
      </w:pPr>
      <w:r>
        <w:t>Employee b</w:t>
      </w:r>
      <w:r w:rsidR="00A0556E">
        <w:t xml:space="preserve">enefit </w:t>
      </w:r>
      <w:r w:rsidR="00F42C9E">
        <w:t>l</w:t>
      </w:r>
      <w:r w:rsidR="00F42C9E" w:rsidRPr="00F42C9E">
        <w:t>iabilities</w:t>
      </w:r>
    </w:p>
    <w:p w14:paraId="0599D804" w14:textId="77777777" w:rsidR="00A0556E" w:rsidRPr="00A0556E" w:rsidRDefault="00F42C9E" w:rsidP="00F42C9E">
      <w:pPr>
        <w:pStyle w:val="DTFListBullet1-Orange"/>
      </w:pPr>
      <w:r w:rsidRPr="00A65589">
        <w:t>Employee benefit liabilities are future ou</w:t>
      </w:r>
      <w:r>
        <w:t>tfl</w:t>
      </w:r>
      <w:r w:rsidRPr="00A65589">
        <w:t>ows of resources that an Agency is presently obliged to make in exchange for services rendered by employees.</w:t>
      </w:r>
      <w:r w:rsidR="00A0556E" w:rsidRPr="00A0556E">
        <w:t xml:space="preserve"> </w:t>
      </w:r>
    </w:p>
    <w:p w14:paraId="0599D805" w14:textId="77777777" w:rsidR="00A0556E" w:rsidRPr="00770129" w:rsidRDefault="003F6B26" w:rsidP="00A0556E">
      <w:pPr>
        <w:pStyle w:val="Heading2"/>
      </w:pPr>
      <w:r>
        <w:t xml:space="preserve">Recognition of employee benefit </w:t>
      </w:r>
      <w:r w:rsidR="00F42C9E">
        <w:t>l</w:t>
      </w:r>
      <w:r w:rsidR="00F42C9E" w:rsidRPr="00F42C9E">
        <w:t>iabilities</w:t>
      </w:r>
      <w:r w:rsidR="00A0556E" w:rsidRPr="00A0556E">
        <w:t xml:space="preserve"> </w:t>
      </w:r>
    </w:p>
    <w:p w14:paraId="0599D806" w14:textId="77777777" w:rsidR="00F42C9E" w:rsidRPr="00C11A18" w:rsidRDefault="00F42C9E" w:rsidP="00C11A18">
      <w:pPr>
        <w:pStyle w:val="DTFListBullet1-Orange"/>
      </w:pPr>
      <w:r w:rsidRPr="00C11A18">
        <w:t>Employee benefit liabilities are to be recognised and recorded when they are earned but not paid to employees at the end of the reporting period.</w:t>
      </w:r>
    </w:p>
    <w:p w14:paraId="0599D807" w14:textId="77777777" w:rsidR="00A0556E" w:rsidRDefault="00F42C9E" w:rsidP="00C11A18">
      <w:pPr>
        <w:pStyle w:val="DTFListBullet1-Orange"/>
      </w:pPr>
      <w:r w:rsidRPr="00C11A18">
        <w:t>An Agency is not to recognise superannuation or long service leave liabilities as these liabilities will be recognised and recorded in the Central Holding Authority</w:t>
      </w:r>
      <w:r w:rsidR="00A0556E">
        <w:t>.</w:t>
      </w:r>
    </w:p>
    <w:p w14:paraId="0599D808" w14:textId="77777777" w:rsidR="00A0556E" w:rsidRDefault="00A0556E" w:rsidP="00770129">
      <w:pPr>
        <w:pStyle w:val="Heading3"/>
      </w:pPr>
      <w:r w:rsidRPr="00A0556E">
        <w:t xml:space="preserve">Employee </w:t>
      </w:r>
      <w:r w:rsidR="003F6B26">
        <w:t>t</w:t>
      </w:r>
      <w:r w:rsidRPr="00A0556E">
        <w:t>ransfers</w:t>
      </w:r>
    </w:p>
    <w:p w14:paraId="0599D809" w14:textId="77777777" w:rsidR="00F42C9E" w:rsidRPr="00C11A18" w:rsidRDefault="00F42C9E" w:rsidP="00C11A18">
      <w:pPr>
        <w:pStyle w:val="DTFListBullet1-Orange"/>
      </w:pPr>
      <w:r w:rsidRPr="00C11A18">
        <w:t>An employee transfer may result in the recognition of employee benefit liabilities (other than long service leave and superannuation liabilities) by the receiving Agency.</w:t>
      </w:r>
    </w:p>
    <w:p w14:paraId="0599D80A" w14:textId="77777777" w:rsidR="008444B2" w:rsidRPr="00C11A18" w:rsidRDefault="00F42C9E" w:rsidP="00C11A18">
      <w:pPr>
        <w:pStyle w:val="DTFListBullet1-Orange"/>
      </w:pPr>
      <w:r w:rsidRPr="00C11A18">
        <w:t>Where an employee ceases employment with an Agency, the Agency is to derecognise any Agency held employee benefit liabilities that have accrued to the employee at cessation date</w:t>
      </w:r>
      <w:r w:rsidR="00A0556E" w:rsidRPr="00C11A18">
        <w:t>.</w:t>
      </w:r>
    </w:p>
    <w:p w14:paraId="0599D80B" w14:textId="77777777" w:rsidR="00A0556E" w:rsidRDefault="00F42C9E" w:rsidP="0081059D">
      <w:pPr>
        <w:pStyle w:val="DTFBodyText"/>
      </w:pPr>
      <w:r>
        <w:t>For authoritative instruction and guidance, reference should be made to related Treasurer's Directions and associated c</w:t>
      </w:r>
      <w:r w:rsidR="007333EF">
        <w:t>ommentary, relevant Australian Accounting S</w:t>
      </w:r>
      <w:r>
        <w:t>tandards and other authoritative interpretations.</w:t>
      </w:r>
    </w:p>
    <w:p w14:paraId="0599D80C" w14:textId="77777777" w:rsidR="00A0556E" w:rsidRPr="00113964" w:rsidRDefault="00A0556E" w:rsidP="00A0556E">
      <w:pPr>
        <w:pStyle w:val="DTFSpacer-Lineabove"/>
      </w:pPr>
    </w:p>
    <w:p w14:paraId="0599D80D" w14:textId="77777777" w:rsidR="008444B2" w:rsidRPr="00113964" w:rsidRDefault="008444B2" w:rsidP="0081059D">
      <w:pPr>
        <w:pStyle w:val="DTFBodyText"/>
      </w:pPr>
      <w:r w:rsidRPr="00113964">
        <w:br w:type="page"/>
      </w:r>
    </w:p>
    <w:p w14:paraId="0599D80E" w14:textId="77777777" w:rsidR="008444B2" w:rsidRPr="007E6170" w:rsidRDefault="008444B2" w:rsidP="00CF77E0">
      <w:pPr>
        <w:pStyle w:val="Heading2"/>
      </w:pPr>
      <w:r w:rsidRPr="007E6170">
        <w:lastRenderedPageBreak/>
        <w:t>Contents</w:t>
      </w:r>
    </w:p>
    <w:p w14:paraId="0599D80F" w14:textId="77777777" w:rsidR="00281F4D" w:rsidRDefault="00F473A5">
      <w:pPr>
        <w:pStyle w:val="TOC1"/>
        <w:tabs>
          <w:tab w:val="right" w:pos="9628"/>
        </w:tabs>
        <w:rPr>
          <w:rFonts w:asciiTheme="minorHAnsi" w:eastAsiaTheme="minorEastAsia" w:hAnsiTheme="minorHAnsi" w:cstheme="minorBidi"/>
          <w:noProof/>
          <w:szCs w:val="22"/>
        </w:rPr>
      </w:pPr>
      <w:r w:rsidRPr="007F7A8A">
        <w:fldChar w:fldCharType="begin"/>
      </w:r>
      <w:r w:rsidRPr="007F7A8A">
        <w:instrText xml:space="preserve"> TOC \h \z \t "Heading 1,1" </w:instrText>
      </w:r>
      <w:r w:rsidRPr="007F7A8A">
        <w:fldChar w:fldCharType="separate"/>
      </w:r>
      <w:hyperlink w:anchor="_Toc472677112" w:history="1">
        <w:r w:rsidR="00281F4D" w:rsidRPr="00CC24A0">
          <w:rPr>
            <w:rStyle w:val="Hyperlink"/>
            <w:noProof/>
          </w:rPr>
          <w:t>Statement of intent</w:t>
        </w:r>
        <w:r w:rsidR="00281F4D">
          <w:rPr>
            <w:noProof/>
            <w:webHidden/>
          </w:rPr>
          <w:tab/>
        </w:r>
        <w:r w:rsidR="00281F4D">
          <w:rPr>
            <w:noProof/>
            <w:webHidden/>
          </w:rPr>
          <w:fldChar w:fldCharType="begin"/>
        </w:r>
        <w:r w:rsidR="00281F4D">
          <w:rPr>
            <w:noProof/>
            <w:webHidden/>
          </w:rPr>
          <w:instrText xml:space="preserve"> PAGEREF _Toc472677112 \h </w:instrText>
        </w:r>
        <w:r w:rsidR="00281F4D">
          <w:rPr>
            <w:noProof/>
            <w:webHidden/>
          </w:rPr>
        </w:r>
        <w:r w:rsidR="00281F4D">
          <w:rPr>
            <w:noProof/>
            <w:webHidden/>
          </w:rPr>
          <w:fldChar w:fldCharType="separate"/>
        </w:r>
        <w:r w:rsidR="00281F4D">
          <w:rPr>
            <w:noProof/>
            <w:webHidden/>
          </w:rPr>
          <w:t>1</w:t>
        </w:r>
        <w:r w:rsidR="00281F4D">
          <w:rPr>
            <w:noProof/>
            <w:webHidden/>
          </w:rPr>
          <w:fldChar w:fldCharType="end"/>
        </w:r>
      </w:hyperlink>
    </w:p>
    <w:p w14:paraId="0599D810" w14:textId="77777777" w:rsidR="00281F4D" w:rsidRDefault="00FC3176">
      <w:pPr>
        <w:pStyle w:val="TOC1"/>
        <w:tabs>
          <w:tab w:val="right" w:pos="9628"/>
        </w:tabs>
        <w:rPr>
          <w:rFonts w:asciiTheme="minorHAnsi" w:eastAsiaTheme="minorEastAsia" w:hAnsiTheme="minorHAnsi" w:cstheme="minorBidi"/>
          <w:noProof/>
          <w:szCs w:val="22"/>
        </w:rPr>
      </w:pPr>
      <w:hyperlink w:anchor="_Toc472677113" w:history="1">
        <w:r w:rsidR="00281F4D" w:rsidRPr="00CC24A0">
          <w:rPr>
            <w:rStyle w:val="Hyperlink"/>
            <w:noProof/>
          </w:rPr>
          <w:t>What are employee benefit liabilities?</w:t>
        </w:r>
        <w:r w:rsidR="00281F4D">
          <w:rPr>
            <w:noProof/>
            <w:webHidden/>
          </w:rPr>
          <w:tab/>
        </w:r>
        <w:r w:rsidR="00281F4D">
          <w:rPr>
            <w:noProof/>
            <w:webHidden/>
          </w:rPr>
          <w:fldChar w:fldCharType="begin"/>
        </w:r>
        <w:r w:rsidR="00281F4D">
          <w:rPr>
            <w:noProof/>
            <w:webHidden/>
          </w:rPr>
          <w:instrText xml:space="preserve"> PAGEREF _Toc472677113 \h </w:instrText>
        </w:r>
        <w:r w:rsidR="00281F4D">
          <w:rPr>
            <w:noProof/>
            <w:webHidden/>
          </w:rPr>
        </w:r>
        <w:r w:rsidR="00281F4D">
          <w:rPr>
            <w:noProof/>
            <w:webHidden/>
          </w:rPr>
          <w:fldChar w:fldCharType="separate"/>
        </w:r>
        <w:r w:rsidR="00281F4D">
          <w:rPr>
            <w:noProof/>
            <w:webHidden/>
          </w:rPr>
          <w:t>3</w:t>
        </w:r>
        <w:r w:rsidR="00281F4D">
          <w:rPr>
            <w:noProof/>
            <w:webHidden/>
          </w:rPr>
          <w:fldChar w:fldCharType="end"/>
        </w:r>
      </w:hyperlink>
    </w:p>
    <w:p w14:paraId="0599D811" w14:textId="77777777" w:rsidR="00281F4D" w:rsidRDefault="00FC3176">
      <w:pPr>
        <w:pStyle w:val="TOC1"/>
        <w:tabs>
          <w:tab w:val="right" w:pos="9628"/>
        </w:tabs>
        <w:rPr>
          <w:rFonts w:asciiTheme="minorHAnsi" w:eastAsiaTheme="minorEastAsia" w:hAnsiTheme="minorHAnsi" w:cstheme="minorBidi"/>
          <w:noProof/>
          <w:szCs w:val="22"/>
        </w:rPr>
      </w:pPr>
      <w:hyperlink w:anchor="_Toc472677114" w:history="1">
        <w:r w:rsidR="00281F4D" w:rsidRPr="00CC24A0">
          <w:rPr>
            <w:rStyle w:val="Hyperlink"/>
            <w:noProof/>
          </w:rPr>
          <w:t>Salaries and wages</w:t>
        </w:r>
        <w:r w:rsidR="00281F4D">
          <w:rPr>
            <w:noProof/>
            <w:webHidden/>
          </w:rPr>
          <w:tab/>
        </w:r>
        <w:r w:rsidR="00281F4D">
          <w:rPr>
            <w:noProof/>
            <w:webHidden/>
          </w:rPr>
          <w:fldChar w:fldCharType="begin"/>
        </w:r>
        <w:r w:rsidR="00281F4D">
          <w:rPr>
            <w:noProof/>
            <w:webHidden/>
          </w:rPr>
          <w:instrText xml:space="preserve"> PAGEREF _Toc472677114 \h </w:instrText>
        </w:r>
        <w:r w:rsidR="00281F4D">
          <w:rPr>
            <w:noProof/>
            <w:webHidden/>
          </w:rPr>
        </w:r>
        <w:r w:rsidR="00281F4D">
          <w:rPr>
            <w:noProof/>
            <w:webHidden/>
          </w:rPr>
          <w:fldChar w:fldCharType="separate"/>
        </w:r>
        <w:r w:rsidR="00281F4D">
          <w:rPr>
            <w:noProof/>
            <w:webHidden/>
          </w:rPr>
          <w:t>3</w:t>
        </w:r>
        <w:r w:rsidR="00281F4D">
          <w:rPr>
            <w:noProof/>
            <w:webHidden/>
          </w:rPr>
          <w:fldChar w:fldCharType="end"/>
        </w:r>
      </w:hyperlink>
    </w:p>
    <w:p w14:paraId="0599D812" w14:textId="77777777" w:rsidR="00281F4D" w:rsidRDefault="00FC3176">
      <w:pPr>
        <w:pStyle w:val="TOC1"/>
        <w:tabs>
          <w:tab w:val="right" w:pos="9628"/>
        </w:tabs>
        <w:rPr>
          <w:rFonts w:asciiTheme="minorHAnsi" w:eastAsiaTheme="minorEastAsia" w:hAnsiTheme="minorHAnsi" w:cstheme="minorBidi"/>
          <w:noProof/>
          <w:szCs w:val="22"/>
        </w:rPr>
      </w:pPr>
      <w:hyperlink w:anchor="_Toc472677115" w:history="1">
        <w:r w:rsidR="00281F4D" w:rsidRPr="00CC24A0">
          <w:rPr>
            <w:rStyle w:val="Hyperlink"/>
            <w:noProof/>
          </w:rPr>
          <w:t>Recreation leave</w:t>
        </w:r>
        <w:r w:rsidR="00281F4D">
          <w:rPr>
            <w:noProof/>
            <w:webHidden/>
          </w:rPr>
          <w:tab/>
        </w:r>
        <w:r w:rsidR="00281F4D">
          <w:rPr>
            <w:noProof/>
            <w:webHidden/>
          </w:rPr>
          <w:fldChar w:fldCharType="begin"/>
        </w:r>
        <w:r w:rsidR="00281F4D">
          <w:rPr>
            <w:noProof/>
            <w:webHidden/>
          </w:rPr>
          <w:instrText xml:space="preserve"> PAGEREF _Toc472677115 \h </w:instrText>
        </w:r>
        <w:r w:rsidR="00281F4D">
          <w:rPr>
            <w:noProof/>
            <w:webHidden/>
          </w:rPr>
        </w:r>
        <w:r w:rsidR="00281F4D">
          <w:rPr>
            <w:noProof/>
            <w:webHidden/>
          </w:rPr>
          <w:fldChar w:fldCharType="separate"/>
        </w:r>
        <w:r w:rsidR="00281F4D">
          <w:rPr>
            <w:noProof/>
            <w:webHidden/>
          </w:rPr>
          <w:t>4</w:t>
        </w:r>
        <w:r w:rsidR="00281F4D">
          <w:rPr>
            <w:noProof/>
            <w:webHidden/>
          </w:rPr>
          <w:fldChar w:fldCharType="end"/>
        </w:r>
      </w:hyperlink>
    </w:p>
    <w:p w14:paraId="0599D813" w14:textId="77777777" w:rsidR="00281F4D" w:rsidRDefault="00FC3176">
      <w:pPr>
        <w:pStyle w:val="TOC1"/>
        <w:tabs>
          <w:tab w:val="right" w:pos="9628"/>
        </w:tabs>
        <w:rPr>
          <w:rFonts w:asciiTheme="minorHAnsi" w:eastAsiaTheme="minorEastAsia" w:hAnsiTheme="minorHAnsi" w:cstheme="minorBidi"/>
          <w:noProof/>
          <w:szCs w:val="22"/>
        </w:rPr>
      </w:pPr>
      <w:hyperlink w:anchor="_Toc472677116" w:history="1">
        <w:r w:rsidR="00281F4D" w:rsidRPr="00CC24A0">
          <w:rPr>
            <w:rStyle w:val="Hyperlink"/>
            <w:noProof/>
          </w:rPr>
          <w:t>Sick leave</w:t>
        </w:r>
        <w:r w:rsidR="00281F4D">
          <w:rPr>
            <w:noProof/>
            <w:webHidden/>
          </w:rPr>
          <w:tab/>
        </w:r>
        <w:r w:rsidR="00281F4D">
          <w:rPr>
            <w:noProof/>
            <w:webHidden/>
          </w:rPr>
          <w:fldChar w:fldCharType="begin"/>
        </w:r>
        <w:r w:rsidR="00281F4D">
          <w:rPr>
            <w:noProof/>
            <w:webHidden/>
          </w:rPr>
          <w:instrText xml:space="preserve"> PAGEREF _Toc472677116 \h </w:instrText>
        </w:r>
        <w:r w:rsidR="00281F4D">
          <w:rPr>
            <w:noProof/>
            <w:webHidden/>
          </w:rPr>
        </w:r>
        <w:r w:rsidR="00281F4D">
          <w:rPr>
            <w:noProof/>
            <w:webHidden/>
          </w:rPr>
          <w:fldChar w:fldCharType="separate"/>
        </w:r>
        <w:r w:rsidR="00281F4D">
          <w:rPr>
            <w:noProof/>
            <w:webHidden/>
          </w:rPr>
          <w:t>5</w:t>
        </w:r>
        <w:r w:rsidR="00281F4D">
          <w:rPr>
            <w:noProof/>
            <w:webHidden/>
          </w:rPr>
          <w:fldChar w:fldCharType="end"/>
        </w:r>
      </w:hyperlink>
    </w:p>
    <w:p w14:paraId="0599D814" w14:textId="77777777" w:rsidR="00281F4D" w:rsidRDefault="00FC3176">
      <w:pPr>
        <w:pStyle w:val="TOC1"/>
        <w:tabs>
          <w:tab w:val="right" w:pos="9628"/>
        </w:tabs>
        <w:rPr>
          <w:rFonts w:asciiTheme="minorHAnsi" w:eastAsiaTheme="minorEastAsia" w:hAnsiTheme="minorHAnsi" w:cstheme="minorBidi"/>
          <w:noProof/>
          <w:szCs w:val="22"/>
        </w:rPr>
      </w:pPr>
      <w:hyperlink w:anchor="_Toc472677117" w:history="1">
        <w:r w:rsidR="00281F4D" w:rsidRPr="00CC24A0">
          <w:rPr>
            <w:rStyle w:val="Hyperlink"/>
            <w:noProof/>
          </w:rPr>
          <w:t>Long service leave</w:t>
        </w:r>
        <w:r w:rsidR="00281F4D">
          <w:rPr>
            <w:noProof/>
            <w:webHidden/>
          </w:rPr>
          <w:tab/>
        </w:r>
        <w:r w:rsidR="00281F4D">
          <w:rPr>
            <w:noProof/>
            <w:webHidden/>
          </w:rPr>
          <w:fldChar w:fldCharType="begin"/>
        </w:r>
        <w:r w:rsidR="00281F4D">
          <w:rPr>
            <w:noProof/>
            <w:webHidden/>
          </w:rPr>
          <w:instrText xml:space="preserve"> PAGEREF _Toc472677117 \h </w:instrText>
        </w:r>
        <w:r w:rsidR="00281F4D">
          <w:rPr>
            <w:noProof/>
            <w:webHidden/>
          </w:rPr>
        </w:r>
        <w:r w:rsidR="00281F4D">
          <w:rPr>
            <w:noProof/>
            <w:webHidden/>
          </w:rPr>
          <w:fldChar w:fldCharType="separate"/>
        </w:r>
        <w:r w:rsidR="00281F4D">
          <w:rPr>
            <w:noProof/>
            <w:webHidden/>
          </w:rPr>
          <w:t>5</w:t>
        </w:r>
        <w:r w:rsidR="00281F4D">
          <w:rPr>
            <w:noProof/>
            <w:webHidden/>
          </w:rPr>
          <w:fldChar w:fldCharType="end"/>
        </w:r>
      </w:hyperlink>
    </w:p>
    <w:p w14:paraId="0599D815" w14:textId="77777777" w:rsidR="00281F4D" w:rsidRDefault="00FC3176">
      <w:pPr>
        <w:pStyle w:val="TOC1"/>
        <w:tabs>
          <w:tab w:val="right" w:pos="9628"/>
        </w:tabs>
        <w:rPr>
          <w:rFonts w:asciiTheme="minorHAnsi" w:eastAsiaTheme="minorEastAsia" w:hAnsiTheme="minorHAnsi" w:cstheme="minorBidi"/>
          <w:noProof/>
          <w:szCs w:val="22"/>
        </w:rPr>
      </w:pPr>
      <w:hyperlink w:anchor="_Toc472677118" w:history="1">
        <w:r w:rsidR="00281F4D" w:rsidRPr="00CC24A0">
          <w:rPr>
            <w:rStyle w:val="Hyperlink"/>
            <w:noProof/>
          </w:rPr>
          <w:t>Superannuation</w:t>
        </w:r>
        <w:r w:rsidR="00281F4D">
          <w:rPr>
            <w:noProof/>
            <w:webHidden/>
          </w:rPr>
          <w:tab/>
        </w:r>
        <w:r w:rsidR="00281F4D">
          <w:rPr>
            <w:noProof/>
            <w:webHidden/>
          </w:rPr>
          <w:fldChar w:fldCharType="begin"/>
        </w:r>
        <w:r w:rsidR="00281F4D">
          <w:rPr>
            <w:noProof/>
            <w:webHidden/>
          </w:rPr>
          <w:instrText xml:space="preserve"> PAGEREF _Toc472677118 \h </w:instrText>
        </w:r>
        <w:r w:rsidR="00281F4D">
          <w:rPr>
            <w:noProof/>
            <w:webHidden/>
          </w:rPr>
        </w:r>
        <w:r w:rsidR="00281F4D">
          <w:rPr>
            <w:noProof/>
            <w:webHidden/>
          </w:rPr>
          <w:fldChar w:fldCharType="separate"/>
        </w:r>
        <w:r w:rsidR="00281F4D">
          <w:rPr>
            <w:noProof/>
            <w:webHidden/>
          </w:rPr>
          <w:t>6</w:t>
        </w:r>
        <w:r w:rsidR="00281F4D">
          <w:rPr>
            <w:noProof/>
            <w:webHidden/>
          </w:rPr>
          <w:fldChar w:fldCharType="end"/>
        </w:r>
      </w:hyperlink>
    </w:p>
    <w:p w14:paraId="0599D816" w14:textId="77777777" w:rsidR="00281F4D" w:rsidRDefault="00FC3176">
      <w:pPr>
        <w:pStyle w:val="TOC1"/>
        <w:tabs>
          <w:tab w:val="right" w:pos="9628"/>
        </w:tabs>
        <w:rPr>
          <w:rFonts w:asciiTheme="minorHAnsi" w:eastAsiaTheme="minorEastAsia" w:hAnsiTheme="minorHAnsi" w:cstheme="minorBidi"/>
          <w:noProof/>
          <w:szCs w:val="22"/>
        </w:rPr>
      </w:pPr>
      <w:hyperlink w:anchor="_Toc472677119" w:history="1">
        <w:r w:rsidR="00281F4D" w:rsidRPr="00CC24A0">
          <w:rPr>
            <w:rStyle w:val="Hyperlink"/>
            <w:noProof/>
          </w:rPr>
          <w:t>Other employee benefit liabilities</w:t>
        </w:r>
        <w:r w:rsidR="00281F4D">
          <w:rPr>
            <w:noProof/>
            <w:webHidden/>
          </w:rPr>
          <w:tab/>
        </w:r>
        <w:r w:rsidR="00281F4D">
          <w:rPr>
            <w:noProof/>
            <w:webHidden/>
          </w:rPr>
          <w:fldChar w:fldCharType="begin"/>
        </w:r>
        <w:r w:rsidR="00281F4D">
          <w:rPr>
            <w:noProof/>
            <w:webHidden/>
          </w:rPr>
          <w:instrText xml:space="preserve"> PAGEREF _Toc472677119 \h </w:instrText>
        </w:r>
        <w:r w:rsidR="00281F4D">
          <w:rPr>
            <w:noProof/>
            <w:webHidden/>
          </w:rPr>
        </w:r>
        <w:r w:rsidR="00281F4D">
          <w:rPr>
            <w:noProof/>
            <w:webHidden/>
          </w:rPr>
          <w:fldChar w:fldCharType="separate"/>
        </w:r>
        <w:r w:rsidR="00281F4D">
          <w:rPr>
            <w:noProof/>
            <w:webHidden/>
          </w:rPr>
          <w:t>7</w:t>
        </w:r>
        <w:r w:rsidR="00281F4D">
          <w:rPr>
            <w:noProof/>
            <w:webHidden/>
          </w:rPr>
          <w:fldChar w:fldCharType="end"/>
        </w:r>
      </w:hyperlink>
    </w:p>
    <w:p w14:paraId="0599D817" w14:textId="77777777" w:rsidR="00281F4D" w:rsidRDefault="00FC3176">
      <w:pPr>
        <w:pStyle w:val="TOC1"/>
        <w:tabs>
          <w:tab w:val="right" w:pos="9628"/>
        </w:tabs>
        <w:rPr>
          <w:rFonts w:asciiTheme="minorHAnsi" w:eastAsiaTheme="minorEastAsia" w:hAnsiTheme="minorHAnsi" w:cstheme="minorBidi"/>
          <w:noProof/>
          <w:szCs w:val="22"/>
        </w:rPr>
      </w:pPr>
      <w:hyperlink w:anchor="_Toc472677120" w:history="1">
        <w:r w:rsidR="00281F4D" w:rsidRPr="00CC24A0">
          <w:rPr>
            <w:rStyle w:val="Hyperlink"/>
            <w:noProof/>
          </w:rPr>
          <w:t>Employee benefit on-cost</w:t>
        </w:r>
        <w:r w:rsidR="00281F4D">
          <w:rPr>
            <w:noProof/>
            <w:webHidden/>
          </w:rPr>
          <w:tab/>
        </w:r>
        <w:r w:rsidR="00281F4D">
          <w:rPr>
            <w:noProof/>
            <w:webHidden/>
          </w:rPr>
          <w:fldChar w:fldCharType="begin"/>
        </w:r>
        <w:r w:rsidR="00281F4D">
          <w:rPr>
            <w:noProof/>
            <w:webHidden/>
          </w:rPr>
          <w:instrText xml:space="preserve"> PAGEREF _Toc472677120 \h </w:instrText>
        </w:r>
        <w:r w:rsidR="00281F4D">
          <w:rPr>
            <w:noProof/>
            <w:webHidden/>
          </w:rPr>
        </w:r>
        <w:r w:rsidR="00281F4D">
          <w:rPr>
            <w:noProof/>
            <w:webHidden/>
          </w:rPr>
          <w:fldChar w:fldCharType="separate"/>
        </w:r>
        <w:r w:rsidR="00281F4D">
          <w:rPr>
            <w:noProof/>
            <w:webHidden/>
          </w:rPr>
          <w:t>7</w:t>
        </w:r>
        <w:r w:rsidR="00281F4D">
          <w:rPr>
            <w:noProof/>
            <w:webHidden/>
          </w:rPr>
          <w:fldChar w:fldCharType="end"/>
        </w:r>
      </w:hyperlink>
    </w:p>
    <w:p w14:paraId="0599D818" w14:textId="77777777" w:rsidR="00281F4D" w:rsidRDefault="00FC3176">
      <w:pPr>
        <w:pStyle w:val="TOC1"/>
        <w:tabs>
          <w:tab w:val="right" w:pos="9628"/>
        </w:tabs>
        <w:rPr>
          <w:rFonts w:asciiTheme="minorHAnsi" w:eastAsiaTheme="minorEastAsia" w:hAnsiTheme="minorHAnsi" w:cstheme="minorBidi"/>
          <w:noProof/>
          <w:szCs w:val="22"/>
        </w:rPr>
      </w:pPr>
      <w:hyperlink w:anchor="_Toc472677121" w:history="1">
        <w:r w:rsidR="00281F4D" w:rsidRPr="00CC24A0">
          <w:rPr>
            <w:rStyle w:val="Hyperlink"/>
            <w:noProof/>
          </w:rPr>
          <w:t>Employee transfers</w:t>
        </w:r>
        <w:r w:rsidR="00281F4D">
          <w:rPr>
            <w:noProof/>
            <w:webHidden/>
          </w:rPr>
          <w:tab/>
        </w:r>
        <w:r w:rsidR="00281F4D">
          <w:rPr>
            <w:noProof/>
            <w:webHidden/>
          </w:rPr>
          <w:fldChar w:fldCharType="begin"/>
        </w:r>
        <w:r w:rsidR="00281F4D">
          <w:rPr>
            <w:noProof/>
            <w:webHidden/>
          </w:rPr>
          <w:instrText xml:space="preserve"> PAGEREF _Toc472677121 \h </w:instrText>
        </w:r>
        <w:r w:rsidR="00281F4D">
          <w:rPr>
            <w:noProof/>
            <w:webHidden/>
          </w:rPr>
        </w:r>
        <w:r w:rsidR="00281F4D">
          <w:rPr>
            <w:noProof/>
            <w:webHidden/>
          </w:rPr>
          <w:fldChar w:fldCharType="separate"/>
        </w:r>
        <w:r w:rsidR="00281F4D">
          <w:rPr>
            <w:noProof/>
            <w:webHidden/>
          </w:rPr>
          <w:t>8</w:t>
        </w:r>
        <w:r w:rsidR="00281F4D">
          <w:rPr>
            <w:noProof/>
            <w:webHidden/>
          </w:rPr>
          <w:fldChar w:fldCharType="end"/>
        </w:r>
      </w:hyperlink>
    </w:p>
    <w:p w14:paraId="0599D819" w14:textId="77777777" w:rsidR="00281F4D" w:rsidRDefault="00FC3176">
      <w:pPr>
        <w:pStyle w:val="TOC1"/>
        <w:tabs>
          <w:tab w:val="right" w:pos="9628"/>
        </w:tabs>
        <w:rPr>
          <w:rFonts w:asciiTheme="minorHAnsi" w:eastAsiaTheme="minorEastAsia" w:hAnsiTheme="minorHAnsi" w:cstheme="minorBidi"/>
          <w:noProof/>
          <w:szCs w:val="22"/>
        </w:rPr>
      </w:pPr>
      <w:hyperlink w:anchor="_Toc472677122" w:history="1">
        <w:r w:rsidR="00281F4D" w:rsidRPr="00CC24A0">
          <w:rPr>
            <w:rStyle w:val="Hyperlink"/>
            <w:noProof/>
          </w:rPr>
          <w:t xml:space="preserve">Appendix A: Accounting for employee benefit liabilities </w:t>
        </w:r>
        <w:r w:rsidR="00281F4D" w:rsidRPr="00CC24A0">
          <w:rPr>
            <w:rStyle w:val="Hyperlink"/>
            <w:noProof/>
            <w:lang w:val="en-US"/>
          </w:rPr>
          <w:t>–</w:t>
        </w:r>
        <w:r w:rsidR="00281F4D" w:rsidRPr="00CC24A0">
          <w:rPr>
            <w:rStyle w:val="Hyperlink"/>
            <w:noProof/>
          </w:rPr>
          <w:t xml:space="preserve"> examples</w:t>
        </w:r>
        <w:r w:rsidR="00281F4D">
          <w:rPr>
            <w:noProof/>
            <w:webHidden/>
          </w:rPr>
          <w:tab/>
        </w:r>
        <w:r w:rsidR="00281F4D">
          <w:rPr>
            <w:noProof/>
            <w:webHidden/>
          </w:rPr>
          <w:fldChar w:fldCharType="begin"/>
        </w:r>
        <w:r w:rsidR="00281F4D">
          <w:rPr>
            <w:noProof/>
            <w:webHidden/>
          </w:rPr>
          <w:instrText xml:space="preserve"> PAGEREF _Toc472677122 \h </w:instrText>
        </w:r>
        <w:r w:rsidR="00281F4D">
          <w:rPr>
            <w:noProof/>
            <w:webHidden/>
          </w:rPr>
        </w:r>
        <w:r w:rsidR="00281F4D">
          <w:rPr>
            <w:noProof/>
            <w:webHidden/>
          </w:rPr>
          <w:fldChar w:fldCharType="separate"/>
        </w:r>
        <w:r w:rsidR="00281F4D">
          <w:rPr>
            <w:noProof/>
            <w:webHidden/>
          </w:rPr>
          <w:t>9</w:t>
        </w:r>
        <w:r w:rsidR="00281F4D">
          <w:rPr>
            <w:noProof/>
            <w:webHidden/>
          </w:rPr>
          <w:fldChar w:fldCharType="end"/>
        </w:r>
      </w:hyperlink>
    </w:p>
    <w:p w14:paraId="0599D81A" w14:textId="77777777" w:rsidR="00281F4D" w:rsidRDefault="00FC3176">
      <w:pPr>
        <w:pStyle w:val="TOC1"/>
        <w:tabs>
          <w:tab w:val="right" w:pos="9628"/>
        </w:tabs>
        <w:rPr>
          <w:rFonts w:asciiTheme="minorHAnsi" w:eastAsiaTheme="minorEastAsia" w:hAnsiTheme="minorHAnsi" w:cstheme="minorBidi"/>
          <w:noProof/>
          <w:szCs w:val="22"/>
        </w:rPr>
      </w:pPr>
      <w:hyperlink w:anchor="_Toc472677123" w:history="1">
        <w:r w:rsidR="00281F4D" w:rsidRPr="00CC24A0">
          <w:rPr>
            <w:rStyle w:val="Hyperlink"/>
            <w:noProof/>
          </w:rPr>
          <w:t>Appendix B: Accounting for employee transfers – agency to agency</w:t>
        </w:r>
        <w:r w:rsidR="00281F4D">
          <w:rPr>
            <w:noProof/>
            <w:webHidden/>
          </w:rPr>
          <w:tab/>
        </w:r>
        <w:r w:rsidR="00281F4D">
          <w:rPr>
            <w:noProof/>
            <w:webHidden/>
          </w:rPr>
          <w:fldChar w:fldCharType="begin"/>
        </w:r>
        <w:r w:rsidR="00281F4D">
          <w:rPr>
            <w:noProof/>
            <w:webHidden/>
          </w:rPr>
          <w:instrText xml:space="preserve"> PAGEREF _Toc472677123 \h </w:instrText>
        </w:r>
        <w:r w:rsidR="00281F4D">
          <w:rPr>
            <w:noProof/>
            <w:webHidden/>
          </w:rPr>
        </w:r>
        <w:r w:rsidR="00281F4D">
          <w:rPr>
            <w:noProof/>
            <w:webHidden/>
          </w:rPr>
          <w:fldChar w:fldCharType="separate"/>
        </w:r>
        <w:r w:rsidR="00281F4D">
          <w:rPr>
            <w:noProof/>
            <w:webHidden/>
          </w:rPr>
          <w:t>12</w:t>
        </w:r>
        <w:r w:rsidR="00281F4D">
          <w:rPr>
            <w:noProof/>
            <w:webHidden/>
          </w:rPr>
          <w:fldChar w:fldCharType="end"/>
        </w:r>
      </w:hyperlink>
    </w:p>
    <w:p w14:paraId="0599D81B" w14:textId="77777777" w:rsidR="0021287C" w:rsidRPr="00F473A5" w:rsidRDefault="00F473A5" w:rsidP="00CE5C46">
      <w:pPr>
        <w:pStyle w:val="Heading2"/>
      </w:pPr>
      <w:r w:rsidRPr="007F7A8A">
        <w:fldChar w:fldCharType="end"/>
      </w:r>
      <w:r w:rsidR="0021287C" w:rsidRPr="00F473A5">
        <w:t xml:space="preserve">Authorities </w:t>
      </w:r>
    </w:p>
    <w:p w14:paraId="0599D81C" w14:textId="77777777" w:rsidR="00F42C9E" w:rsidRPr="00F42C9E" w:rsidRDefault="00F42C9E" w:rsidP="0081059D">
      <w:pPr>
        <w:pStyle w:val="DTFBodyText"/>
        <w:rPr>
          <w:rStyle w:val="DTFItalic"/>
        </w:rPr>
      </w:pPr>
      <w:r w:rsidRPr="00F42C9E">
        <w:rPr>
          <w:rStyle w:val="DTFItalic"/>
        </w:rPr>
        <w:t>Financial Management Act</w:t>
      </w:r>
    </w:p>
    <w:p w14:paraId="0599D81D" w14:textId="77777777" w:rsidR="00F42C9E" w:rsidRPr="00260EC8" w:rsidRDefault="00F42C9E" w:rsidP="00260EC8">
      <w:r w:rsidRPr="00260EC8">
        <w:t>Financial Management Regulations</w:t>
      </w:r>
    </w:p>
    <w:p w14:paraId="0599D81E" w14:textId="77777777" w:rsidR="00F42C9E" w:rsidRPr="00F42C9E" w:rsidRDefault="00F42C9E" w:rsidP="0081059D">
      <w:pPr>
        <w:pStyle w:val="DTFBodyText"/>
        <w:rPr>
          <w:rStyle w:val="DTFItalic"/>
        </w:rPr>
      </w:pPr>
      <w:r w:rsidRPr="00F42C9E">
        <w:rPr>
          <w:rStyle w:val="DTFItalic"/>
        </w:rPr>
        <w:t>Public Employment (Mobility) Act</w:t>
      </w:r>
    </w:p>
    <w:p w14:paraId="0599D81F" w14:textId="77777777" w:rsidR="00F42C9E" w:rsidRPr="00F42C9E" w:rsidRDefault="00F42C9E" w:rsidP="0081059D">
      <w:pPr>
        <w:pStyle w:val="DTFBodyText"/>
        <w:rPr>
          <w:rStyle w:val="DTFItalic"/>
        </w:rPr>
      </w:pPr>
      <w:r w:rsidRPr="00F42C9E">
        <w:rPr>
          <w:rStyle w:val="DTFItalic"/>
        </w:rPr>
        <w:t>Public Sector Employment and Management Act</w:t>
      </w:r>
    </w:p>
    <w:p w14:paraId="0599D820" w14:textId="77777777" w:rsidR="00F42C9E" w:rsidRPr="00260EC8" w:rsidRDefault="00F42C9E" w:rsidP="00260EC8">
      <w:r w:rsidRPr="00260EC8">
        <w:t xml:space="preserve">Public Sector Employment and Management by Laws  </w:t>
      </w:r>
    </w:p>
    <w:p w14:paraId="0599D821" w14:textId="77777777" w:rsidR="00E3681E" w:rsidRPr="007E6170" w:rsidRDefault="005149D5" w:rsidP="00F42C9E">
      <w:pPr>
        <w:pStyle w:val="Heading2"/>
      </w:pPr>
      <w:r w:rsidRPr="007E6170">
        <w:t xml:space="preserve">References </w:t>
      </w:r>
    </w:p>
    <w:p w14:paraId="0599D822" w14:textId="77777777" w:rsidR="00F42C9E" w:rsidRDefault="00F42C9E" w:rsidP="0081059D">
      <w:pPr>
        <w:pStyle w:val="DTFBodyText"/>
      </w:pPr>
      <w:r>
        <w:t>AASB 1049 Whole of Government and General Government Sector Financial Reporting</w:t>
      </w:r>
    </w:p>
    <w:p w14:paraId="0599D823" w14:textId="77777777" w:rsidR="00F42C9E" w:rsidRDefault="00F42C9E" w:rsidP="0081059D">
      <w:pPr>
        <w:pStyle w:val="DTFBodyText"/>
      </w:pPr>
      <w:r>
        <w:t xml:space="preserve">AASB 119 Employee Benefits </w:t>
      </w:r>
    </w:p>
    <w:p w14:paraId="0599D824" w14:textId="77777777" w:rsidR="00F42C9E" w:rsidRDefault="00F42C9E" w:rsidP="0081059D">
      <w:pPr>
        <w:pStyle w:val="DTFBodyText"/>
      </w:pPr>
      <w:r>
        <w:t>AASB 101 Presentation of Financial Statements</w:t>
      </w:r>
    </w:p>
    <w:p w14:paraId="0599D825" w14:textId="77777777" w:rsidR="00CE5C46" w:rsidRPr="00616960" w:rsidRDefault="00CE5C46" w:rsidP="0081059D">
      <w:pPr>
        <w:pStyle w:val="DTFBodyText"/>
      </w:pPr>
      <w:r w:rsidRPr="00616960">
        <w:t xml:space="preserve">Related Treasurer’s Directions: </w:t>
      </w:r>
    </w:p>
    <w:p w14:paraId="0599D826" w14:textId="77777777" w:rsidR="00F42C9E" w:rsidRPr="00FD13C1" w:rsidRDefault="00F42C9E" w:rsidP="0081059D">
      <w:pPr>
        <w:pStyle w:val="DTFBodyText"/>
      </w:pPr>
      <w:r w:rsidRPr="00FD13C1">
        <w:t>F2.2</w:t>
      </w:r>
      <w:r w:rsidRPr="00FD13C1">
        <w:tab/>
        <w:t>Framework – Working for Outcomes: Central Holding Authority</w:t>
      </w:r>
    </w:p>
    <w:p w14:paraId="0599D827" w14:textId="77777777" w:rsidR="00F42C9E" w:rsidRPr="00FD13C1" w:rsidRDefault="00F42C9E" w:rsidP="0081059D">
      <w:pPr>
        <w:pStyle w:val="DTFBodyText"/>
      </w:pPr>
      <w:r>
        <w:t>A3.1</w:t>
      </w:r>
      <w:r w:rsidRPr="00FD13C1">
        <w:tab/>
      </w:r>
      <w:r w:rsidR="008C2E41">
        <w:t>Accounting – Liabilities</w:t>
      </w:r>
      <w:r>
        <w:t>: Overview</w:t>
      </w:r>
    </w:p>
    <w:p w14:paraId="0599D828" w14:textId="77777777" w:rsidR="00F42C9E" w:rsidRPr="00FD13C1" w:rsidRDefault="00F42C9E" w:rsidP="0081059D">
      <w:pPr>
        <w:pStyle w:val="DTFBodyText"/>
      </w:pPr>
      <w:r>
        <w:t>A3.2</w:t>
      </w:r>
      <w:r w:rsidRPr="00FD13C1">
        <w:tab/>
      </w:r>
      <w:r>
        <w:t>Accounting – Liabilities: Accounts Payable and Accrued Expenses</w:t>
      </w:r>
    </w:p>
    <w:p w14:paraId="0599D829" w14:textId="77777777" w:rsidR="00F42C9E" w:rsidRPr="00FD13C1" w:rsidRDefault="00F42C9E" w:rsidP="0081059D">
      <w:pPr>
        <w:pStyle w:val="DTFBodyText"/>
      </w:pPr>
      <w:r>
        <w:t>A6</w:t>
      </w:r>
      <w:r w:rsidRPr="00FD13C1">
        <w:t>.2</w:t>
      </w:r>
      <w:r w:rsidRPr="00FD13C1">
        <w:tab/>
      </w:r>
      <w:r>
        <w:t>Accounting – Expenses: Employee Benefits</w:t>
      </w:r>
    </w:p>
    <w:p w14:paraId="0599D82A" w14:textId="77777777" w:rsidR="00AE4CC7" w:rsidRPr="007E6170" w:rsidRDefault="00AE4CC7" w:rsidP="00CF77E0">
      <w:pPr>
        <w:pStyle w:val="Heading2"/>
      </w:pPr>
      <w:r w:rsidRPr="007E6170">
        <w:br w:type="page"/>
      </w:r>
    </w:p>
    <w:p w14:paraId="0599D82B" w14:textId="77777777" w:rsidR="00B6008C" w:rsidRDefault="00CE5C46" w:rsidP="00CE5C46">
      <w:pPr>
        <w:pStyle w:val="Heading1"/>
      </w:pPr>
      <w:bookmarkStart w:id="3" w:name="_Toc447202260"/>
      <w:bookmarkStart w:id="4" w:name="_Toc472416019"/>
      <w:bookmarkStart w:id="5" w:name="_Toc472677113"/>
      <w:r w:rsidRPr="00FD13C1">
        <w:lastRenderedPageBreak/>
        <w:t xml:space="preserve">What </w:t>
      </w:r>
      <w:r>
        <w:t xml:space="preserve">are employee benefit </w:t>
      </w:r>
      <w:bookmarkEnd w:id="3"/>
      <w:bookmarkEnd w:id="4"/>
      <w:r w:rsidR="00F42C9E">
        <w:t>liabilities</w:t>
      </w:r>
      <w:r w:rsidR="00F42C9E" w:rsidRPr="00FD13C1">
        <w:t>?</w:t>
      </w:r>
      <w:bookmarkEnd w:id="5"/>
    </w:p>
    <w:p w14:paraId="0599D82C" w14:textId="77777777" w:rsidR="00B6008C" w:rsidRPr="007E6170" w:rsidRDefault="00E723F4" w:rsidP="00CE5C46">
      <w:pPr>
        <w:pStyle w:val="DTFHeading2-Lineabove"/>
      </w:pPr>
      <w:r>
        <w:t>A</w:t>
      </w:r>
      <w:r w:rsidR="00F42C9E">
        <w:t>3</w:t>
      </w:r>
      <w:r w:rsidR="00CE5C46">
        <w:t>.</w:t>
      </w:r>
      <w:r w:rsidR="00F42C9E">
        <w:t>4</w:t>
      </w:r>
      <w:r w:rsidR="00CE5C46">
        <w:t>.1</w:t>
      </w:r>
    </w:p>
    <w:p w14:paraId="0599D82D" w14:textId="77777777" w:rsidR="008444B2" w:rsidRPr="00260EC8" w:rsidRDefault="00F42C9E" w:rsidP="00260EC8">
      <w:pPr>
        <w:rPr>
          <w:rStyle w:val="DTFStrong"/>
        </w:rPr>
      </w:pPr>
      <w:r w:rsidRPr="00260EC8">
        <w:rPr>
          <w:rStyle w:val="DTFStrong"/>
        </w:rPr>
        <w:t>Employee benefit liabilities are future outflows of resources that an Agency is presently obliged to make in exchange for services rendered by employees.</w:t>
      </w:r>
    </w:p>
    <w:p w14:paraId="0599D82E" w14:textId="77777777" w:rsidR="00B6008C" w:rsidRPr="00B6008C" w:rsidRDefault="00B6008C" w:rsidP="00B6008C">
      <w:pPr>
        <w:pStyle w:val="DTFSpacer-Lineabove"/>
      </w:pPr>
    </w:p>
    <w:p w14:paraId="0599D82F" w14:textId="77777777" w:rsidR="00F42C9E" w:rsidRPr="0040066F" w:rsidRDefault="00F42C9E" w:rsidP="00762C16">
      <w:pPr>
        <w:pStyle w:val="DTFListNumber1-Roman"/>
        <w:numPr>
          <w:ilvl w:val="0"/>
          <w:numId w:val="17"/>
        </w:numPr>
      </w:pPr>
      <w:bookmarkStart w:id="6" w:name="_Toc447202261"/>
      <w:bookmarkStart w:id="7" w:name="_Toc472416020"/>
      <w:bookmarkStart w:id="8" w:name="_Toc468805524"/>
      <w:r w:rsidRPr="0040066F">
        <w:t>Employee benefit liabilities are amounts due but not yet paid to employees for services provided.</w:t>
      </w:r>
      <w:r>
        <w:t xml:space="preserve"> </w:t>
      </w:r>
      <w:r w:rsidRPr="0040066F">
        <w:t>Certain employee benefit liabilities, such as long service leave and superannuation, will be recorded centrally in the Central Holding Authority (CHA) rather than being recorded in individual Agency financial statements.</w:t>
      </w:r>
      <w:r>
        <w:t xml:space="preserve"> </w:t>
      </w:r>
      <w:r w:rsidRPr="0040066F">
        <w:t>Examples of Agency employee benefit liabilities include:</w:t>
      </w:r>
    </w:p>
    <w:p w14:paraId="0599D830" w14:textId="77777777" w:rsidR="00F42C9E" w:rsidRPr="0040066F" w:rsidRDefault="00F42C9E" w:rsidP="00762C16">
      <w:pPr>
        <w:pStyle w:val="DTFListBullet2-Black"/>
        <w:numPr>
          <w:ilvl w:val="1"/>
          <w:numId w:val="17"/>
        </w:numPr>
      </w:pPr>
      <w:r w:rsidRPr="0040066F">
        <w:t>salaries and wages;</w:t>
      </w:r>
    </w:p>
    <w:p w14:paraId="0599D831" w14:textId="77777777" w:rsidR="00F42C9E" w:rsidRPr="0040066F" w:rsidRDefault="00F42C9E" w:rsidP="00762C16">
      <w:pPr>
        <w:pStyle w:val="DTFListBullet2-Black"/>
        <w:numPr>
          <w:ilvl w:val="1"/>
          <w:numId w:val="17"/>
        </w:numPr>
      </w:pPr>
      <w:r w:rsidRPr="0040066F">
        <w:t>recreation leave and leave loading; and</w:t>
      </w:r>
    </w:p>
    <w:p w14:paraId="0599D832" w14:textId="77777777" w:rsidR="00F42C9E" w:rsidRPr="0040066F" w:rsidRDefault="00F42C9E" w:rsidP="00762C16">
      <w:pPr>
        <w:pStyle w:val="DTFListBullet2-Black"/>
        <w:numPr>
          <w:ilvl w:val="1"/>
          <w:numId w:val="17"/>
        </w:numPr>
      </w:pPr>
      <w:r w:rsidRPr="0040066F">
        <w:t>other employee benefit liabilities.</w:t>
      </w:r>
    </w:p>
    <w:p w14:paraId="0599D833" w14:textId="77777777" w:rsidR="00F42C9E" w:rsidRPr="0040066F" w:rsidRDefault="005839E3" w:rsidP="005839E3">
      <w:pPr>
        <w:pStyle w:val="ListContinue2"/>
      </w:pPr>
      <w:r>
        <w:t>Treasurer’s Direction</w:t>
      </w:r>
      <w:r w:rsidR="00F42C9E" w:rsidRPr="0040066F">
        <w:t xml:space="preserve"> Section A6.2 provides instruction and guidance in relation to the different types of employee benefits and clarifies who an employee is.</w:t>
      </w:r>
    </w:p>
    <w:p w14:paraId="0599D834" w14:textId="77777777" w:rsidR="00F42C9E" w:rsidRPr="0040066F" w:rsidRDefault="00F42C9E" w:rsidP="00762C16">
      <w:pPr>
        <w:pStyle w:val="DTFListNumber1-Roman"/>
        <w:numPr>
          <w:ilvl w:val="0"/>
          <w:numId w:val="17"/>
        </w:numPr>
      </w:pPr>
      <w:r w:rsidRPr="0040066F">
        <w:t>Other costs may be incurred as a consequence of providing employment that are not employee benefits, such as payroll tax.</w:t>
      </w:r>
      <w:r>
        <w:t xml:space="preserve"> </w:t>
      </w:r>
      <w:r w:rsidRPr="0040066F">
        <w:t xml:space="preserve">These costs are known as employee benefit on-costs and will also be recognised as liabilities and expenses (where material) when the services to which they relate have been provided. </w:t>
      </w:r>
    </w:p>
    <w:p w14:paraId="0599D835" w14:textId="77777777" w:rsidR="00F42C9E" w:rsidRPr="0040066F" w:rsidRDefault="00F42C9E" w:rsidP="00762C16">
      <w:pPr>
        <w:pStyle w:val="DTFListNumber1-Roman"/>
        <w:numPr>
          <w:ilvl w:val="0"/>
          <w:numId w:val="17"/>
        </w:numPr>
      </w:pPr>
      <w:r w:rsidRPr="0040066F">
        <w:t>While it is important that the full cost of services rendered by employees is known, some employee benefit liability information may not be administratively effective to collect.</w:t>
      </w:r>
      <w:r>
        <w:t xml:space="preserve"> </w:t>
      </w:r>
      <w:r w:rsidRPr="0040066F">
        <w:t>For example, some benefits, or on-costs associated with those benefits, may be of a minor or insignificant nature.</w:t>
      </w:r>
      <w:r>
        <w:t xml:space="preserve"> </w:t>
      </w:r>
      <w:r w:rsidRPr="0040066F">
        <w:t>Agencies should remain aware of the administrative costs and materiality of employee benefit information collected.</w:t>
      </w:r>
      <w:r>
        <w:t xml:space="preserve"> </w:t>
      </w:r>
    </w:p>
    <w:p w14:paraId="0599D836" w14:textId="77777777" w:rsidR="00F42C9E" w:rsidRPr="0040066F" w:rsidRDefault="005839E3" w:rsidP="00762C16">
      <w:pPr>
        <w:pStyle w:val="DTFListNumber1-Roman"/>
        <w:numPr>
          <w:ilvl w:val="0"/>
          <w:numId w:val="17"/>
        </w:numPr>
      </w:pPr>
      <w:r>
        <w:t>Treasurer’s Direction</w:t>
      </w:r>
      <w:r w:rsidR="00F42C9E" w:rsidRPr="0040066F">
        <w:t xml:space="preserve"> Section A3.1 provides detailed instruction and guidance in relation to the recognition and classification of liabilities.</w:t>
      </w:r>
    </w:p>
    <w:p w14:paraId="0599D837" w14:textId="77777777" w:rsidR="00F42C9E" w:rsidRPr="0040066F" w:rsidRDefault="00F42C9E" w:rsidP="00762C16">
      <w:pPr>
        <w:pStyle w:val="DTFListNumber1-Roman"/>
        <w:numPr>
          <w:ilvl w:val="0"/>
          <w:numId w:val="17"/>
        </w:numPr>
      </w:pPr>
      <w:r w:rsidRPr="0040066F">
        <w:t>Overpayments of moneys to employees, including salaries and wages and other employee benefit payments, are required to be recovered in accordance with requirements contained in the Financial Management Regulations. For the purpose of the Financial Management Regulations, employee includes former employees and the recovery of any associated employee benefit overpayments.</w:t>
      </w:r>
    </w:p>
    <w:p w14:paraId="0599D838" w14:textId="77777777" w:rsidR="00E723F4" w:rsidRDefault="00E723F4" w:rsidP="00E723F4">
      <w:pPr>
        <w:pStyle w:val="Heading1"/>
      </w:pPr>
      <w:bookmarkStart w:id="9" w:name="_Toc472677114"/>
      <w:bookmarkEnd w:id="6"/>
      <w:r>
        <w:t>Salaries and wages</w:t>
      </w:r>
      <w:bookmarkEnd w:id="7"/>
      <w:bookmarkEnd w:id="9"/>
    </w:p>
    <w:bookmarkEnd w:id="8"/>
    <w:p w14:paraId="0599D839" w14:textId="77777777" w:rsidR="009C636E" w:rsidRDefault="00E723F4" w:rsidP="005149D5">
      <w:pPr>
        <w:pStyle w:val="DTFHeading3-Lineabove"/>
      </w:pPr>
      <w:r>
        <w:t>A</w:t>
      </w:r>
      <w:r w:rsidR="00F42C9E">
        <w:t>3.4</w:t>
      </w:r>
      <w:r w:rsidR="009C636E">
        <w:t>.2</w:t>
      </w:r>
    </w:p>
    <w:p w14:paraId="0599D83A" w14:textId="77777777" w:rsidR="009C636E" w:rsidRPr="00260EC8" w:rsidRDefault="00F42C9E" w:rsidP="0081059D">
      <w:pPr>
        <w:pStyle w:val="DTFBodyText"/>
        <w:rPr>
          <w:rStyle w:val="DTFStrong"/>
        </w:rPr>
      </w:pPr>
      <w:r w:rsidRPr="00260EC8">
        <w:rPr>
          <w:rStyle w:val="DTFStrong"/>
        </w:rPr>
        <w:t>An Agency is to recognise and record a liability for salaries and wages earned but not paid to employees at the end of the reporting period, at their nominal amounts</w:t>
      </w:r>
      <w:r w:rsidR="005008AD" w:rsidRPr="00260EC8">
        <w:rPr>
          <w:rStyle w:val="DTFStrong"/>
        </w:rPr>
        <w:t>.</w:t>
      </w:r>
      <w:r w:rsidR="009C636E" w:rsidRPr="00260EC8">
        <w:rPr>
          <w:rStyle w:val="DTFStrong"/>
        </w:rPr>
        <w:t xml:space="preserve"> </w:t>
      </w:r>
    </w:p>
    <w:p w14:paraId="0599D83B" w14:textId="77777777" w:rsidR="00F42C9E" w:rsidRPr="004D6BA6" w:rsidRDefault="00F42C9E" w:rsidP="00F42C9E">
      <w:pPr>
        <w:pStyle w:val="DTFSpacer-Lineabove"/>
        <w:rPr>
          <w:rStyle w:val="DTFStrong"/>
        </w:rPr>
      </w:pPr>
    </w:p>
    <w:p w14:paraId="0599D83C" w14:textId="77777777" w:rsidR="00F42C9E" w:rsidRPr="00C87487" w:rsidRDefault="00F42C9E" w:rsidP="00A65283">
      <w:pPr>
        <w:pStyle w:val="DTFListNumber1-Roman"/>
      </w:pPr>
      <w:r w:rsidRPr="00C87487">
        <w:t>At reporting date, the amount of any benefit arising from the performance of services by employees that is unpaid, will constitute a liability for salaries and wages (accrued salaries and wages).</w:t>
      </w:r>
      <w:r>
        <w:t xml:space="preserve"> </w:t>
      </w:r>
      <w:r w:rsidRPr="00C87487">
        <w:t>For example, pay periods for salaries and wages often do not coincide with the end of the reporting period.</w:t>
      </w:r>
      <w:r>
        <w:t xml:space="preserve"> </w:t>
      </w:r>
      <w:r w:rsidRPr="00C87487">
        <w:t xml:space="preserve">In such cases it will be necessary to accrue a liability for the </w:t>
      </w:r>
      <w:r w:rsidRPr="00C87487">
        <w:lastRenderedPageBreak/>
        <w:t>unpaid amount.</w:t>
      </w:r>
      <w:r>
        <w:t xml:space="preserve"> </w:t>
      </w:r>
      <w:r w:rsidRPr="00C87487">
        <w:t>This liability will be reversed in the following reporting period to avoid double counting when the salaries and wages are actually paid.</w:t>
      </w:r>
    </w:p>
    <w:p w14:paraId="0599D83D" w14:textId="77777777" w:rsidR="00F42C9E" w:rsidRPr="00C87487" w:rsidRDefault="00F42C9E" w:rsidP="00A65283">
      <w:pPr>
        <w:pStyle w:val="DTFListNumber1-Roman"/>
      </w:pPr>
      <w:r w:rsidRPr="00C87487">
        <w:t>The nominal basis for measurement is on remuneration rates that an Agency expects to pay at each reporting date. Where an employee is currently being paid an ongoing allowance, (for example, Northern Territory Allowance) this amount will be incorporated into the remuneration rate used to calculate accrued salaries and wages.</w:t>
      </w:r>
    </w:p>
    <w:p w14:paraId="0599D83E" w14:textId="77777777" w:rsidR="00F42C9E" w:rsidRPr="00C87487" w:rsidRDefault="00F42C9E" w:rsidP="00A65283">
      <w:pPr>
        <w:pStyle w:val="DTFListNumber1-Roman"/>
      </w:pPr>
      <w:r w:rsidRPr="00C87487">
        <w:t xml:space="preserve">Accrued salaries and wages are calculated based on information included in the </w:t>
      </w:r>
      <w:r w:rsidR="00260EC8" w:rsidRPr="00B05F41">
        <w:t>Person</w:t>
      </w:r>
      <w:r w:rsidR="00260EC8">
        <w:t>nel</w:t>
      </w:r>
      <w:r w:rsidR="00260EC8" w:rsidRPr="00C87487">
        <w:t xml:space="preserve"> Information</w:t>
      </w:r>
      <w:r w:rsidRPr="00C87487">
        <w:t xml:space="preserve"> and Payroll System (PIPS) and charged automatically to Agency ledgers.</w:t>
      </w:r>
      <w:r>
        <w:t xml:space="preserve"> </w:t>
      </w:r>
      <w:r w:rsidRPr="00C87487">
        <w:t>An example of how to account for accrued salaries and wages is provided at Appendix A – Example 1.</w:t>
      </w:r>
    </w:p>
    <w:p w14:paraId="0599D83F" w14:textId="77777777" w:rsidR="003522AD" w:rsidRDefault="00F42C9E" w:rsidP="00A65283">
      <w:pPr>
        <w:pStyle w:val="DTFListNumber1-Roman"/>
      </w:pPr>
      <w:r w:rsidRPr="00C87487">
        <w:t>Further instruction and guidance on accrued expenses is pr</w:t>
      </w:r>
      <w:r w:rsidR="005839E3">
        <w:t>ovided in Treasurer’s Direction</w:t>
      </w:r>
      <w:r w:rsidRPr="00C87487">
        <w:t xml:space="preserve"> Section A3.2.</w:t>
      </w:r>
    </w:p>
    <w:p w14:paraId="0599D840" w14:textId="77777777" w:rsidR="00E723F4" w:rsidRDefault="00E723F4" w:rsidP="00E723F4">
      <w:pPr>
        <w:pStyle w:val="Heading1"/>
      </w:pPr>
      <w:bookmarkStart w:id="10" w:name="_Toc472416021"/>
      <w:bookmarkStart w:id="11" w:name="_Toc472677115"/>
      <w:r>
        <w:t xml:space="preserve">Recreation </w:t>
      </w:r>
      <w:r w:rsidR="003F6B26">
        <w:t>l</w:t>
      </w:r>
      <w:r>
        <w:t>eave</w:t>
      </w:r>
      <w:bookmarkEnd w:id="10"/>
      <w:bookmarkEnd w:id="11"/>
    </w:p>
    <w:p w14:paraId="0599D841" w14:textId="77777777" w:rsidR="009C636E" w:rsidRDefault="00E723F4" w:rsidP="0081059D">
      <w:pPr>
        <w:pStyle w:val="DTFHeading2-Lineabove"/>
      </w:pPr>
      <w:r>
        <w:t>A</w:t>
      </w:r>
      <w:r w:rsidR="00F42C9E">
        <w:t>3.4.3</w:t>
      </w:r>
    </w:p>
    <w:p w14:paraId="0599D842" w14:textId="77777777" w:rsidR="009C636E" w:rsidRPr="0081059D" w:rsidRDefault="00A21C22" w:rsidP="0081059D">
      <w:pPr>
        <w:pStyle w:val="DTFBodyText"/>
        <w:rPr>
          <w:rStyle w:val="DTFStrong"/>
        </w:rPr>
      </w:pPr>
      <w:r w:rsidRPr="0081059D">
        <w:rPr>
          <w:rStyle w:val="DTFStrong"/>
        </w:rPr>
        <w:t>An Agency is to recognise and record an expense for recreation leave and recreation leave loading in the reporting period in which the employee’s services are provided</w:t>
      </w:r>
      <w:r w:rsidR="009C636E" w:rsidRPr="0081059D">
        <w:rPr>
          <w:rStyle w:val="DTFStrong"/>
        </w:rPr>
        <w:t xml:space="preserve">. </w:t>
      </w:r>
    </w:p>
    <w:p w14:paraId="0599D843" w14:textId="77777777" w:rsidR="00F42C9E" w:rsidRDefault="00F42C9E" w:rsidP="0081059D">
      <w:pPr>
        <w:pStyle w:val="Heading2"/>
      </w:pPr>
      <w:r>
        <w:t>A3.4.4</w:t>
      </w:r>
    </w:p>
    <w:p w14:paraId="0599D844" w14:textId="77777777" w:rsidR="00F42C9E" w:rsidRPr="0081059D" w:rsidRDefault="00F42C9E" w:rsidP="0081059D">
      <w:pPr>
        <w:pStyle w:val="DTFBodyText"/>
        <w:rPr>
          <w:rStyle w:val="DTFStrong"/>
        </w:rPr>
      </w:pPr>
      <w:r w:rsidRPr="0081059D">
        <w:rPr>
          <w:rStyle w:val="DTFStrong"/>
        </w:rPr>
        <w:t>All recreation leave must be classified as a current liability. Recreation leave loading will generally be classified as current liabilities unless specific agency evidence exists to suggest otherwise. Current liabilities are to be recognised at their nominal amounts</w:t>
      </w:r>
      <w:r w:rsidR="0081059D" w:rsidRPr="0081059D">
        <w:rPr>
          <w:rStyle w:val="DTFStrong"/>
        </w:rPr>
        <w:t>.</w:t>
      </w:r>
    </w:p>
    <w:p w14:paraId="0599D845" w14:textId="77777777" w:rsidR="00A21C22" w:rsidRPr="004D6BA6" w:rsidRDefault="00A21C22" w:rsidP="00A21C22">
      <w:pPr>
        <w:pStyle w:val="DTFSpacer-Lineabove"/>
        <w:rPr>
          <w:rStyle w:val="DTFStrong"/>
        </w:rPr>
      </w:pPr>
    </w:p>
    <w:p w14:paraId="0599D846" w14:textId="77777777" w:rsidR="0081059D" w:rsidRPr="00A65283" w:rsidRDefault="0081059D" w:rsidP="00762C16">
      <w:pPr>
        <w:pStyle w:val="DTFListNumber1-Roman"/>
        <w:numPr>
          <w:ilvl w:val="0"/>
          <w:numId w:val="20"/>
        </w:numPr>
      </w:pPr>
      <w:bookmarkStart w:id="12" w:name="_Toc472416022"/>
      <w:r w:rsidRPr="00A65283">
        <w:t>Unpaid entitlements to recreation leave and recreation leave loading arising from services rendered by employees during the reporting period satisfy the criteria for recognition as liabilities (for example, provision for recreation leave). This is the case as they are capable of being measured reliably and employees obtain their entitlement to recreation leave and recreation leave loading as they provide their service.</w:t>
      </w:r>
    </w:p>
    <w:p w14:paraId="0599D847" w14:textId="77777777" w:rsidR="0081059D" w:rsidRPr="00A65283" w:rsidRDefault="0081059D" w:rsidP="00762C16">
      <w:pPr>
        <w:pStyle w:val="DTFListNumber1-Roman"/>
        <w:numPr>
          <w:ilvl w:val="0"/>
          <w:numId w:val="20"/>
        </w:numPr>
      </w:pPr>
      <w:r w:rsidRPr="00A65283">
        <w:t>In accordance with paragraph 69 of AASB 101 Presentation of Financial Statements, liabilities must be classified as current where the agency does not have an unconditional right to defer the settlement of a liability for at least 12 months after the reporting period. Agencies generally do not have the unconditional right to defer the settlement of a liability relating to recreation leave as the taking up of the entitlement could be triggered by the employee at any point in time. As such, all recreation leave will be classified as a current liability and measured at their nominal amounts.</w:t>
      </w:r>
    </w:p>
    <w:p w14:paraId="0599D848" w14:textId="77777777" w:rsidR="0081059D" w:rsidRPr="00A65283" w:rsidRDefault="0081059D" w:rsidP="00762C16">
      <w:pPr>
        <w:pStyle w:val="DTFListNumber1-Roman"/>
        <w:numPr>
          <w:ilvl w:val="0"/>
          <w:numId w:val="20"/>
        </w:numPr>
      </w:pPr>
      <w:r w:rsidRPr="00A65283">
        <w:t xml:space="preserve">Current liabilities are measured at their nominal amounts. The nominal basis of measurement uses remuneration rates that an Agency expects to pay at each reporting date. For example, where an Agency knows or reasonably expects a salary increase to occur in two months’ time, current employee benefit liabilities as at 30 June would be adjusted for those expected future salary increases (where not already incorporated into system calculations). </w:t>
      </w:r>
    </w:p>
    <w:p w14:paraId="0599D849" w14:textId="77777777" w:rsidR="0081059D" w:rsidRPr="00A65283" w:rsidRDefault="0081059D" w:rsidP="00762C16">
      <w:pPr>
        <w:pStyle w:val="DTFListNumber1-Roman"/>
        <w:numPr>
          <w:ilvl w:val="0"/>
          <w:numId w:val="20"/>
        </w:numPr>
      </w:pPr>
      <w:r w:rsidRPr="00A65283">
        <w:t xml:space="preserve">Agency recreation leave loading liabilities will be classified as current liabilities unless Agency specific evidence exists suggesting otherwise. It would be unusual for Agencies to classify recreation leave loading liability as non-current liabilities where these liabilities are automatically required to be paid out in January of each year. In addition, even where an </w:t>
      </w:r>
      <w:r w:rsidRPr="00A65283">
        <w:lastRenderedPageBreak/>
        <w:t xml:space="preserve">Agency has employees with more than one recreation leave loading liability outstanding at 30 June, the aggregate of these amounts is not expected to be material. </w:t>
      </w:r>
    </w:p>
    <w:p w14:paraId="0599D84A" w14:textId="77777777" w:rsidR="0081059D" w:rsidRPr="00A65283" w:rsidRDefault="00327038" w:rsidP="00762C16">
      <w:pPr>
        <w:pStyle w:val="DTFListNumber1-Roman"/>
        <w:numPr>
          <w:ilvl w:val="0"/>
          <w:numId w:val="20"/>
        </w:numPr>
      </w:pPr>
      <w:r w:rsidRPr="00A65283">
        <w:t>I</w:t>
      </w:r>
      <w:r w:rsidR="0081059D" w:rsidRPr="00A65283">
        <w:t xml:space="preserve">n practice, recreation leave and recreation leave loading liabilities </w:t>
      </w:r>
      <w:r w:rsidR="005839E3" w:rsidRPr="00A65283">
        <w:t xml:space="preserve">will be calculated </w:t>
      </w:r>
      <w:r w:rsidR="0081059D" w:rsidRPr="00A65283">
        <w:t>based on information in PIPS. As these PIPS calculated liabilities will be based on whole of Government assumptions, they may not always accurately represent in</w:t>
      </w:r>
      <w:r w:rsidRPr="00A65283">
        <w:t>dividual Agency circumstances. I</w:t>
      </w:r>
      <w:r w:rsidR="0081059D" w:rsidRPr="00A65283">
        <w:t>n these situations, Agencies remain responsible for ensuring that recreation leave and recreation leave loading liabilities appropriately represent the value of liabilities earned but not paid at the end of the reporting period. An example of how to account for accrued recreation leave and recreation leave loading is provided at Appendix A – Example</w:t>
      </w:r>
      <w:r w:rsidR="00A65283" w:rsidRPr="00A65283">
        <w:t> </w:t>
      </w:r>
      <w:r w:rsidR="0081059D" w:rsidRPr="00A65283">
        <w:t xml:space="preserve">2. </w:t>
      </w:r>
    </w:p>
    <w:p w14:paraId="0599D84B" w14:textId="77777777" w:rsidR="0081059D" w:rsidRPr="00A65283" w:rsidRDefault="0081059D" w:rsidP="00762C16">
      <w:pPr>
        <w:pStyle w:val="DTFListNumber1-Roman"/>
        <w:numPr>
          <w:ilvl w:val="0"/>
          <w:numId w:val="20"/>
        </w:numPr>
      </w:pPr>
      <w:r w:rsidRPr="00A65283">
        <w:t xml:space="preserve">In certain situations, Agencies will be required to recognise and derecognise employee benefit liabilities that arise as a result of employee transfers. Employee transfers are explained later in this Section. </w:t>
      </w:r>
    </w:p>
    <w:p w14:paraId="0599D84C" w14:textId="77777777" w:rsidR="00A21C22" w:rsidRPr="008F4426" w:rsidRDefault="003F6B26" w:rsidP="00A21C22">
      <w:pPr>
        <w:pStyle w:val="Heading1"/>
      </w:pPr>
      <w:bookmarkStart w:id="13" w:name="_Toc472677116"/>
      <w:r>
        <w:t>Sick l</w:t>
      </w:r>
      <w:r w:rsidR="00A21C22" w:rsidRPr="00CD1314">
        <w:t>eave</w:t>
      </w:r>
      <w:bookmarkEnd w:id="12"/>
      <w:bookmarkEnd w:id="13"/>
    </w:p>
    <w:p w14:paraId="0599D84D" w14:textId="77777777" w:rsidR="009C636E" w:rsidRPr="003A7B18" w:rsidRDefault="00A21C22" w:rsidP="005149D5">
      <w:pPr>
        <w:pStyle w:val="DTFHeading3-Lineabove"/>
      </w:pPr>
      <w:r>
        <w:t>A</w:t>
      </w:r>
      <w:r w:rsidR="0081059D">
        <w:t>3.4.5</w:t>
      </w:r>
    </w:p>
    <w:p w14:paraId="0599D84E" w14:textId="77777777" w:rsidR="009C636E" w:rsidRDefault="0081059D" w:rsidP="0081059D">
      <w:pPr>
        <w:pStyle w:val="DTFBodyText"/>
        <w:rPr>
          <w:rStyle w:val="DTFStrong"/>
        </w:rPr>
      </w:pPr>
      <w:r w:rsidRPr="0081059D">
        <w:rPr>
          <w:rStyle w:val="DTFStrong"/>
        </w:rPr>
        <w:t>An Agency is not to recognise a liability for sick leave unless amounts are due and unpaid to an employee at the end of the reporting period</w:t>
      </w:r>
      <w:r w:rsidR="00A21C22" w:rsidRPr="00A21C22">
        <w:rPr>
          <w:rStyle w:val="DTFStrong"/>
        </w:rPr>
        <w:t>.</w:t>
      </w:r>
    </w:p>
    <w:p w14:paraId="0599D84F" w14:textId="77777777" w:rsidR="003522AD" w:rsidRPr="00CE5C46" w:rsidRDefault="003522AD" w:rsidP="000E7DAF">
      <w:pPr>
        <w:pStyle w:val="DTFSpacer-Lineabove"/>
      </w:pPr>
    </w:p>
    <w:p w14:paraId="0599D850" w14:textId="77777777" w:rsidR="00511910" w:rsidRPr="00511910" w:rsidRDefault="00511910" w:rsidP="00511910">
      <w:pPr>
        <w:pStyle w:val="ListNumber1-Roman"/>
      </w:pPr>
      <w:bookmarkStart w:id="14" w:name="_Toc472416023"/>
      <w:r w:rsidRPr="00511910">
        <w:t xml:space="preserve">Sick leave for Northern Territory Public Sector employees is of a non-vesting nature.  This means that sick leave entitlements accumulate to an employee but are only paid upon approval of a valid claim.  An employee will not be entitled to payment for accumulated sick leave when ceasing employment and as a result, a provision for sick leave is not required.  </w:t>
      </w:r>
    </w:p>
    <w:p w14:paraId="0599D851" w14:textId="77777777" w:rsidR="00511910" w:rsidRPr="00511910" w:rsidRDefault="00511910" w:rsidP="00511910">
      <w:pPr>
        <w:pStyle w:val="ListNumber1-Roman"/>
      </w:pPr>
      <w:r w:rsidRPr="00511910">
        <w:t xml:space="preserve">An Agency will therefore only recognise a sick leave liability for any approved and unpaid amounts for sick leave at the end of the reporting period.  In practice, such liabilities will be classified as accrued salaries and will be measured at their nominal amounts. </w:t>
      </w:r>
    </w:p>
    <w:p w14:paraId="0599D852" w14:textId="77777777" w:rsidR="00A21C22" w:rsidRPr="00CD1314" w:rsidRDefault="003F6B26" w:rsidP="00A21C22">
      <w:pPr>
        <w:pStyle w:val="Heading1"/>
      </w:pPr>
      <w:bookmarkStart w:id="15" w:name="_Toc472677117"/>
      <w:r>
        <w:t>Long service l</w:t>
      </w:r>
      <w:r w:rsidR="00A21C22">
        <w:t>eave</w:t>
      </w:r>
      <w:bookmarkEnd w:id="14"/>
      <w:bookmarkEnd w:id="15"/>
    </w:p>
    <w:p w14:paraId="0599D853" w14:textId="77777777" w:rsidR="00B52CAA" w:rsidRDefault="0081059D" w:rsidP="005149D5">
      <w:pPr>
        <w:pStyle w:val="DTFHeading3-Lineabove"/>
      </w:pPr>
      <w:r>
        <w:t>A3.4.6</w:t>
      </w:r>
    </w:p>
    <w:p w14:paraId="0599D854" w14:textId="77777777" w:rsidR="00CE6481" w:rsidRPr="003522AD" w:rsidRDefault="0081059D" w:rsidP="0081059D">
      <w:pPr>
        <w:pStyle w:val="DTFBodyText"/>
        <w:rPr>
          <w:rStyle w:val="DTFStrong"/>
        </w:rPr>
      </w:pPr>
      <w:r w:rsidRPr="0081059D">
        <w:rPr>
          <w:rStyle w:val="DTFStrong"/>
        </w:rPr>
        <w:t>An Agency is not to recognise a long service leave liability, as this liability will be recognised and recorded in the Central Holding Authority</w:t>
      </w:r>
      <w:r w:rsidR="00CE6481" w:rsidRPr="009C596F">
        <w:rPr>
          <w:rStyle w:val="DTFStrong"/>
        </w:rPr>
        <w:t>.</w:t>
      </w:r>
      <w:r w:rsidR="00CE6481" w:rsidRPr="003522AD">
        <w:rPr>
          <w:rStyle w:val="DTFStrong"/>
        </w:rPr>
        <w:t xml:space="preserve"> </w:t>
      </w:r>
    </w:p>
    <w:p w14:paraId="0599D855" w14:textId="77777777" w:rsidR="00CE6481" w:rsidRPr="00CE6481" w:rsidRDefault="00CE6481" w:rsidP="00CE6481">
      <w:pPr>
        <w:pStyle w:val="DTFSpacer-Lineabove"/>
      </w:pPr>
    </w:p>
    <w:p w14:paraId="0599D856" w14:textId="77777777" w:rsidR="0081059D" w:rsidRPr="00511910" w:rsidRDefault="0081059D" w:rsidP="00762C16">
      <w:pPr>
        <w:pStyle w:val="ListNumber1-Roman"/>
        <w:numPr>
          <w:ilvl w:val="0"/>
          <w:numId w:val="27"/>
        </w:numPr>
      </w:pPr>
      <w:bookmarkStart w:id="16" w:name="_Toc472416024"/>
      <w:r w:rsidRPr="00511910">
        <w:t>To the extent that it is probable that long service leave entitlements accumulated by employees during the reporting period will result in cash outflows by an employer in future reporting periods, they will satisfy the recognition criteria for a liability. In practice, the calculation of a liability for long service leave takes account of the probability of an employee reaching 10 years</w:t>
      </w:r>
      <w:r w:rsidR="00F76642" w:rsidRPr="00511910">
        <w:t>’</w:t>
      </w:r>
      <w:r w:rsidRPr="00511910">
        <w:t xml:space="preserve"> service.</w:t>
      </w:r>
    </w:p>
    <w:p w14:paraId="0599D857" w14:textId="77777777" w:rsidR="0081059D" w:rsidRPr="00511910" w:rsidRDefault="0081059D" w:rsidP="00762C16">
      <w:pPr>
        <w:pStyle w:val="ListNumber1-Roman"/>
        <w:numPr>
          <w:ilvl w:val="0"/>
          <w:numId w:val="27"/>
        </w:numPr>
      </w:pPr>
      <w:r w:rsidRPr="00511910">
        <w:t xml:space="preserve">Long service leave liabilities relating to Agency employees will be recorded in the CHA rather than in Agency financial statements. </w:t>
      </w:r>
    </w:p>
    <w:p w14:paraId="0599D858" w14:textId="77777777" w:rsidR="0081059D" w:rsidRPr="00511910" w:rsidRDefault="0081059D" w:rsidP="00762C16">
      <w:pPr>
        <w:pStyle w:val="ListNumber1-Roman"/>
        <w:numPr>
          <w:ilvl w:val="0"/>
          <w:numId w:val="27"/>
        </w:numPr>
      </w:pPr>
      <w:r w:rsidRPr="00511910">
        <w:t xml:space="preserve">Where an employee has prior service recognised for long service leave purposes in accordance with the </w:t>
      </w:r>
      <w:r w:rsidRPr="00260EC8">
        <w:rPr>
          <w:rStyle w:val="DTFItalic"/>
        </w:rPr>
        <w:t>Public Employment (Mobility) Act</w:t>
      </w:r>
      <w:r w:rsidRPr="00511910">
        <w:t xml:space="preserve">, the calculation of the long service leave liability in the CHA will take account of this prior service. Agencies should remain </w:t>
      </w:r>
      <w:r w:rsidRPr="00511910">
        <w:lastRenderedPageBreak/>
        <w:t xml:space="preserve">aware that the recognition of employee benefit liabilities related to prior service will depend on relevant employment determinations and may be subject to a period of minimum service.  </w:t>
      </w:r>
    </w:p>
    <w:p w14:paraId="0599D859" w14:textId="77777777" w:rsidR="0081059D" w:rsidRPr="00511910" w:rsidRDefault="0081059D" w:rsidP="00762C16">
      <w:pPr>
        <w:pStyle w:val="ListNumber1-Roman"/>
        <w:numPr>
          <w:ilvl w:val="0"/>
          <w:numId w:val="27"/>
        </w:numPr>
      </w:pPr>
      <w:r w:rsidRPr="00511910">
        <w:t>The recording of Agency long service leave liabilities in the CHA does not remove or diminish an Agency’s responsibility in relation to the management and use of long service leave by employees.</w:t>
      </w:r>
    </w:p>
    <w:p w14:paraId="0599D85A" w14:textId="77777777" w:rsidR="0081059D" w:rsidRPr="00511910" w:rsidRDefault="005839E3" w:rsidP="00762C16">
      <w:pPr>
        <w:pStyle w:val="ListNumber1-Roman"/>
        <w:numPr>
          <w:ilvl w:val="0"/>
          <w:numId w:val="27"/>
        </w:numPr>
      </w:pPr>
      <w:r w:rsidRPr="00511910">
        <w:t>Treasurer’s Direction</w:t>
      </w:r>
      <w:r w:rsidR="0081059D" w:rsidRPr="00511910">
        <w:t xml:space="preserve"> Section F2.2 elaborates on the concept of the CHA and the items recorded by it.</w:t>
      </w:r>
    </w:p>
    <w:p w14:paraId="0599D85B" w14:textId="77777777" w:rsidR="00A21C22" w:rsidRDefault="00A21C22" w:rsidP="00A21C22">
      <w:pPr>
        <w:pStyle w:val="Heading1"/>
      </w:pPr>
      <w:bookmarkStart w:id="17" w:name="_Toc472677118"/>
      <w:r>
        <w:t>Superannuation</w:t>
      </w:r>
      <w:bookmarkEnd w:id="16"/>
      <w:bookmarkEnd w:id="17"/>
    </w:p>
    <w:p w14:paraId="0599D85C" w14:textId="77777777" w:rsidR="003A7B18" w:rsidRDefault="0081059D" w:rsidP="005149D5">
      <w:pPr>
        <w:pStyle w:val="DTFHeading3-Lineabove"/>
      </w:pPr>
      <w:r>
        <w:t>A3.4.7</w:t>
      </w:r>
    </w:p>
    <w:p w14:paraId="0599D85D" w14:textId="77777777" w:rsidR="00C533E6" w:rsidRPr="003522AD" w:rsidRDefault="0081059D" w:rsidP="0081059D">
      <w:pPr>
        <w:pStyle w:val="DTFBodyText"/>
        <w:rPr>
          <w:rStyle w:val="DTFStrong"/>
        </w:rPr>
      </w:pPr>
      <w:r w:rsidRPr="0081059D">
        <w:rPr>
          <w:rStyle w:val="DTFStrong"/>
        </w:rPr>
        <w:t>An Agency is not to recognise a superannuation liability, as superannuation liabilities for superannuation schemes managed by the Northern Territory Government will be recognised and recorded in the Central Holding Authority</w:t>
      </w:r>
      <w:r w:rsidR="00A21C22" w:rsidRPr="00A21C22">
        <w:rPr>
          <w:rStyle w:val="DTFStrong"/>
        </w:rPr>
        <w:t>.</w:t>
      </w:r>
      <w:r w:rsidR="003522AD" w:rsidRPr="003522AD">
        <w:rPr>
          <w:rStyle w:val="DTFStrong"/>
        </w:rPr>
        <w:t xml:space="preserve"> </w:t>
      </w:r>
    </w:p>
    <w:p w14:paraId="0599D85E" w14:textId="77777777" w:rsidR="003A7B18" w:rsidRDefault="003A7B18" w:rsidP="00286B08">
      <w:pPr>
        <w:pStyle w:val="DTFSpacer-Lineabove"/>
      </w:pPr>
    </w:p>
    <w:p w14:paraId="0599D85F" w14:textId="77777777" w:rsidR="0081059D" w:rsidRPr="00A65283" w:rsidRDefault="0081059D" w:rsidP="00762C16">
      <w:pPr>
        <w:pStyle w:val="DTFListNumber1-Roman"/>
        <w:numPr>
          <w:ilvl w:val="0"/>
          <w:numId w:val="22"/>
        </w:numPr>
      </w:pPr>
      <w:r w:rsidRPr="00A65283">
        <w:t>The provision of superannuation benefits gives rise to liabilities for payment of future superannuation benefits. The future liabilities of Government managed superannuation schemes will be recorded</w:t>
      </w:r>
      <w:r w:rsidR="005839E3" w:rsidRPr="00A65283">
        <w:t xml:space="preserve"> in the CHA and will </w:t>
      </w:r>
      <w:r w:rsidRPr="00A65283">
        <w:t>be determined by an actuary. An example of a Government managed superannuation scheme is the Northern Territory Government and Public Authorities Superannuation Scheme (NTGPASS).</w:t>
      </w:r>
    </w:p>
    <w:p w14:paraId="0599D860" w14:textId="77777777" w:rsidR="0081059D" w:rsidRPr="00A65283" w:rsidRDefault="0081059D" w:rsidP="00762C16">
      <w:pPr>
        <w:pStyle w:val="DTFListNumber1-Roman"/>
        <w:numPr>
          <w:ilvl w:val="0"/>
          <w:numId w:val="22"/>
        </w:numPr>
      </w:pPr>
      <w:r w:rsidRPr="00A65283">
        <w:t>Employers and some employees may also make superannuation contributions to non</w:t>
      </w:r>
      <w:r w:rsidR="005839E3" w:rsidRPr="00A65283">
        <w:noBreakHyphen/>
      </w:r>
      <w:r w:rsidRPr="00A65283">
        <w:t>government employee nominated superan</w:t>
      </w:r>
      <w:r w:rsidR="005839E3" w:rsidRPr="00A65283">
        <w:t xml:space="preserve">nuation funds (for example, </w:t>
      </w:r>
      <w:r w:rsidRPr="00A65283">
        <w:t>AustralianSuper). In particular, employees who commenced work in the Northern Territory Public Sector from 10 August 1999 are required to use a private superannuation fund provider. These superannuation funds are not managed or controlled by the Government, and as such, no superannuation liability will be raised by the CHA (or Agencies) in relation to these funds.</w:t>
      </w:r>
    </w:p>
    <w:p w14:paraId="0599D861" w14:textId="77777777" w:rsidR="003F6B26" w:rsidRDefault="003F6B26" w:rsidP="003F6B26">
      <w:pPr>
        <w:pStyle w:val="DTFHeading3-Lineabove"/>
      </w:pPr>
      <w:r>
        <w:t>A</w:t>
      </w:r>
      <w:r w:rsidR="0081059D">
        <w:t>3.4.8</w:t>
      </w:r>
    </w:p>
    <w:p w14:paraId="0599D862" w14:textId="77777777" w:rsidR="003F6B26" w:rsidRPr="003522AD" w:rsidRDefault="0081059D" w:rsidP="0081059D">
      <w:pPr>
        <w:pStyle w:val="DTFBodyText"/>
        <w:rPr>
          <w:rStyle w:val="DTFStrong"/>
        </w:rPr>
      </w:pPr>
      <w:r w:rsidRPr="0081059D">
        <w:rPr>
          <w:rStyle w:val="DTFStrong"/>
        </w:rPr>
        <w:t>Superannuation contributions due but not yet paid at reporting date are to be recognised and recorded as a liability in Agency records</w:t>
      </w:r>
      <w:r w:rsidRPr="005B1D10">
        <w:rPr>
          <w:rStyle w:val="DTFStrong"/>
        </w:rPr>
        <w:t>.</w:t>
      </w:r>
      <w:r w:rsidR="003F6B26" w:rsidRPr="003522AD">
        <w:rPr>
          <w:rStyle w:val="DTFStrong"/>
        </w:rPr>
        <w:t xml:space="preserve"> </w:t>
      </w:r>
    </w:p>
    <w:p w14:paraId="0599D863" w14:textId="77777777" w:rsidR="003F6B26" w:rsidRDefault="003F6B26" w:rsidP="003F6B26">
      <w:pPr>
        <w:pStyle w:val="DTFSpacer-Lineabove"/>
      </w:pPr>
    </w:p>
    <w:p w14:paraId="0599D864" w14:textId="77777777" w:rsidR="0081059D" w:rsidRPr="0081059D" w:rsidRDefault="0081059D" w:rsidP="00762C16">
      <w:pPr>
        <w:pStyle w:val="ListNumber1-Roman"/>
        <w:numPr>
          <w:ilvl w:val="0"/>
          <w:numId w:val="23"/>
        </w:numPr>
      </w:pPr>
      <w:bookmarkStart w:id="18" w:name="_Toc472416025"/>
      <w:r w:rsidRPr="0081059D">
        <w:t>Any superannuation contributions due but not yet paid by an Agency to either the CHA or employee nominated superannuation fund will constitute a liability in the books of the Agency at the end of the reporting period.</w:t>
      </w:r>
    </w:p>
    <w:p w14:paraId="0599D865" w14:textId="77777777" w:rsidR="0081059D" w:rsidRPr="0081059D" w:rsidRDefault="0081059D" w:rsidP="00762C16">
      <w:pPr>
        <w:pStyle w:val="ListNumber1-Roman"/>
        <w:numPr>
          <w:ilvl w:val="0"/>
          <w:numId w:val="23"/>
        </w:numPr>
      </w:pPr>
      <w:r w:rsidRPr="0081059D">
        <w:t>Treasurer’s Direction Section A6.2 provides further instruction and guidance in relation to superannuation expense contributions.</w:t>
      </w:r>
    </w:p>
    <w:p w14:paraId="0599D866" w14:textId="77777777" w:rsidR="00B5230A" w:rsidRDefault="00B5230A" w:rsidP="00260EC8">
      <w:pPr>
        <w:pStyle w:val="DTFBodyText"/>
        <w:rPr>
          <w:rFonts w:eastAsiaTheme="majorEastAsia"/>
        </w:rPr>
      </w:pPr>
      <w:r>
        <w:br w:type="page"/>
      </w:r>
    </w:p>
    <w:p w14:paraId="0599D867" w14:textId="77777777" w:rsidR="003F6B26" w:rsidRDefault="003F6B26" w:rsidP="003F6B26">
      <w:pPr>
        <w:pStyle w:val="Heading1"/>
      </w:pPr>
      <w:bookmarkStart w:id="19" w:name="_Toc472677119"/>
      <w:r>
        <w:lastRenderedPageBreak/>
        <w:t>Other employee benefit</w:t>
      </w:r>
      <w:bookmarkEnd w:id="18"/>
      <w:r>
        <w:t xml:space="preserve"> </w:t>
      </w:r>
      <w:r w:rsidR="006E6655">
        <w:t>liabilities</w:t>
      </w:r>
      <w:bookmarkEnd w:id="19"/>
    </w:p>
    <w:p w14:paraId="0599D868" w14:textId="77777777" w:rsidR="003F6B26" w:rsidRDefault="006E6655" w:rsidP="003F6B26">
      <w:pPr>
        <w:pStyle w:val="DTFHeading2-Lineabove"/>
      </w:pPr>
      <w:r>
        <w:t>A3.4.9</w:t>
      </w:r>
    </w:p>
    <w:p w14:paraId="0599D869" w14:textId="77777777" w:rsidR="003F6B26" w:rsidRPr="006E6655" w:rsidRDefault="006E6655" w:rsidP="0081059D">
      <w:pPr>
        <w:pStyle w:val="DTFBodyText"/>
        <w:rPr>
          <w:rStyle w:val="DTFStrong"/>
        </w:rPr>
      </w:pPr>
      <w:r w:rsidRPr="006E6655">
        <w:rPr>
          <w:rStyle w:val="DTFStrong"/>
        </w:rPr>
        <w:t>An Agency is to recognise a liability for other employee benefits that are earned but not paid at the end of the reporting period.</w:t>
      </w:r>
    </w:p>
    <w:p w14:paraId="0599D86A" w14:textId="77777777" w:rsidR="003F6B26" w:rsidRDefault="003F6B26" w:rsidP="003F6B26">
      <w:pPr>
        <w:pStyle w:val="DTFSpacer-Lineabove"/>
        <w:rPr>
          <w:rStyle w:val="DTFStrong"/>
        </w:rPr>
      </w:pPr>
    </w:p>
    <w:p w14:paraId="0599D86B" w14:textId="77777777" w:rsidR="006E6655" w:rsidRPr="003046C8" w:rsidRDefault="006E6655" w:rsidP="00762C16">
      <w:pPr>
        <w:pStyle w:val="ListNumber1-Roman"/>
        <w:numPr>
          <w:ilvl w:val="0"/>
          <w:numId w:val="24"/>
        </w:numPr>
      </w:pPr>
      <w:r w:rsidRPr="003046C8">
        <w:t>Other employee benefits may accumulate as an employee provides service.</w:t>
      </w:r>
      <w:r>
        <w:t xml:space="preserve"> </w:t>
      </w:r>
      <w:r w:rsidRPr="003046C8">
        <w:t>Where these employee benefits are vesting, there is a legal obligation on the employer to pay these benefits to an employee on cessation of employment.</w:t>
      </w:r>
      <w:r>
        <w:t xml:space="preserve"> </w:t>
      </w:r>
      <w:r w:rsidRPr="003046C8">
        <w:t>In such cases, a liability for these other employee benefits will be recognised in the reporting period that the benefit is accumulated, provided such amounts are material.</w:t>
      </w:r>
      <w:r>
        <w:t xml:space="preserve"> </w:t>
      </w:r>
    </w:p>
    <w:p w14:paraId="0599D86C" w14:textId="77777777" w:rsidR="006E6655" w:rsidRPr="003046C8" w:rsidRDefault="006E6655" w:rsidP="00762C16">
      <w:pPr>
        <w:pStyle w:val="ListNumber1-Roman"/>
        <w:numPr>
          <w:ilvl w:val="0"/>
          <w:numId w:val="24"/>
        </w:numPr>
      </w:pPr>
      <w:r w:rsidRPr="003046C8">
        <w:t>Certain other employee benefits are non-vesting and would not be paid to an employee on cessation of employment.</w:t>
      </w:r>
      <w:r>
        <w:t xml:space="preserve"> </w:t>
      </w:r>
      <w:r w:rsidRPr="003046C8">
        <w:t>As a result, an Agency liability does not eventuate (for example, sick leave and miscellaneous leave).</w:t>
      </w:r>
    </w:p>
    <w:p w14:paraId="0599D86D" w14:textId="77777777" w:rsidR="006E6655" w:rsidRPr="003046C8" w:rsidRDefault="006E6655" w:rsidP="00762C16">
      <w:pPr>
        <w:pStyle w:val="ListNumber1-Roman"/>
        <w:numPr>
          <w:ilvl w:val="0"/>
          <w:numId w:val="24"/>
        </w:numPr>
      </w:pPr>
      <w:r w:rsidRPr="003046C8">
        <w:t>Other Agency employee benefit liabilities will be recognised at their nominal amounts where payment is expected to fall due within 12 months of the reporting date or where the agency does not have an unconditional right to defer the settlement of these entitlements for at least 12 months after the reporting period (current liabilities).</w:t>
      </w:r>
      <w:r>
        <w:t xml:space="preserve"> </w:t>
      </w:r>
      <w:r w:rsidRPr="003046C8">
        <w:t xml:space="preserve">All other employee benefit liabilities which are not current liabilities will be recognised as non-current liabilities where payment is not expected to fall due within 12 months of the reporting date. </w:t>
      </w:r>
    </w:p>
    <w:p w14:paraId="0599D86E" w14:textId="77777777" w:rsidR="006E6655" w:rsidRPr="003046C8" w:rsidRDefault="006E6655" w:rsidP="00762C16">
      <w:pPr>
        <w:pStyle w:val="ListNumber1-Roman"/>
        <w:numPr>
          <w:ilvl w:val="0"/>
          <w:numId w:val="24"/>
        </w:numPr>
      </w:pPr>
      <w:r w:rsidRPr="003046C8">
        <w:t>Non-current employee benefit liabilities are to be measured at present value.</w:t>
      </w:r>
      <w:r>
        <w:t xml:space="preserve"> </w:t>
      </w:r>
      <w:r w:rsidRPr="003046C8">
        <w:t xml:space="preserve">Measuring employee benefits liabilities at present value includes adjusting the liability for expected future salary increases and discounting the adjusted liability using the long term bond rate that will be advised by Treasury after 30 June each year. </w:t>
      </w:r>
    </w:p>
    <w:p w14:paraId="0599D86F" w14:textId="77777777" w:rsidR="004E36AB" w:rsidRDefault="004E36AB" w:rsidP="004E36AB">
      <w:pPr>
        <w:pStyle w:val="Heading1"/>
      </w:pPr>
      <w:bookmarkStart w:id="20" w:name="_Toc472416026"/>
      <w:bookmarkStart w:id="21" w:name="_Toc472677120"/>
      <w:r>
        <w:t>Employee benefit on-cost</w:t>
      </w:r>
      <w:bookmarkEnd w:id="20"/>
      <w:bookmarkEnd w:id="21"/>
    </w:p>
    <w:p w14:paraId="0599D870" w14:textId="77777777" w:rsidR="004E36AB" w:rsidRDefault="006E6655" w:rsidP="004E36AB">
      <w:pPr>
        <w:pStyle w:val="DTFHeading2-Lineabove"/>
      </w:pPr>
      <w:r>
        <w:t>A3.4.10</w:t>
      </w:r>
    </w:p>
    <w:p w14:paraId="0599D871" w14:textId="77777777" w:rsidR="004E36AB" w:rsidRDefault="006E6655" w:rsidP="0081059D">
      <w:pPr>
        <w:pStyle w:val="DTFBodyText"/>
        <w:rPr>
          <w:rStyle w:val="DTFStrong"/>
        </w:rPr>
      </w:pPr>
      <w:r w:rsidRPr="006E6655">
        <w:rPr>
          <w:rStyle w:val="DTFStrong"/>
        </w:rPr>
        <w:t>Costs that are a consequence of employees providing employment, but which are not employee benefits, are to be recognised as Agency liabilities when the employee benefits to which they relate are recognised as liabilities</w:t>
      </w:r>
      <w:r w:rsidR="004E36AB">
        <w:rPr>
          <w:rStyle w:val="DTFStrong"/>
        </w:rPr>
        <w:t>.</w:t>
      </w:r>
    </w:p>
    <w:p w14:paraId="0599D872" w14:textId="77777777" w:rsidR="004E36AB" w:rsidRPr="004E36AB" w:rsidRDefault="004E36AB" w:rsidP="004E36AB">
      <w:pPr>
        <w:pStyle w:val="DTFSpacer-Lineabove"/>
        <w:rPr>
          <w:rStyle w:val="DTFStrong"/>
        </w:rPr>
      </w:pPr>
    </w:p>
    <w:p w14:paraId="0599D873" w14:textId="77777777" w:rsidR="006E6655" w:rsidRPr="004C742B" w:rsidRDefault="006E6655" w:rsidP="00762C16">
      <w:pPr>
        <w:pStyle w:val="ListNumber1-Roman"/>
        <w:numPr>
          <w:ilvl w:val="0"/>
          <w:numId w:val="25"/>
        </w:numPr>
      </w:pPr>
      <w:r w:rsidRPr="004C742B">
        <w:t>Where the settlement of Agency employee benefit liabilities is expected to give rise to the payment of employment on-costs, an Agency liability shall be recognised for those on-costs at the time the liability for the employee benefits is recognised. For example, a liability raised on 30 June for unpaid salaries and wages will also give rise to a liability for payroll tax. Payroll tax rates can be sourced from the relevant Treasury payroll tax revenue circulars.</w:t>
      </w:r>
    </w:p>
    <w:p w14:paraId="0599D874" w14:textId="77777777" w:rsidR="00D67ED1" w:rsidRPr="004C742B" w:rsidRDefault="006E6655" w:rsidP="00762C16">
      <w:pPr>
        <w:pStyle w:val="ListNumber1-Roman"/>
        <w:numPr>
          <w:ilvl w:val="0"/>
          <w:numId w:val="25"/>
        </w:numPr>
      </w:pPr>
      <w:r w:rsidRPr="004C742B">
        <w:t xml:space="preserve">In practice, some employee benefit on-cost information may not be administratively effective to collect at the time the employee benefit liability to which it relates is recognised. Agencies should therefore remain aware of the costs and the materiality of collecting and recognising this information. </w:t>
      </w:r>
    </w:p>
    <w:p w14:paraId="0599D875" w14:textId="77777777" w:rsidR="006E6655" w:rsidRDefault="006E6655" w:rsidP="00260EC8">
      <w:pPr>
        <w:pStyle w:val="DTFBodyText"/>
        <w:rPr>
          <w:rFonts w:eastAsiaTheme="majorEastAsia"/>
        </w:rPr>
      </w:pPr>
      <w:bookmarkStart w:id="22" w:name="_Toc472416027"/>
      <w:r>
        <w:br w:type="page"/>
      </w:r>
    </w:p>
    <w:p w14:paraId="0599D876" w14:textId="77777777" w:rsidR="00D67ED1" w:rsidRDefault="00D67ED1" w:rsidP="00D67ED1">
      <w:pPr>
        <w:pStyle w:val="Heading1"/>
      </w:pPr>
      <w:bookmarkStart w:id="23" w:name="_Toc472677121"/>
      <w:r>
        <w:lastRenderedPageBreak/>
        <w:t>Employee transfers</w:t>
      </w:r>
      <w:bookmarkEnd w:id="22"/>
      <w:bookmarkEnd w:id="23"/>
    </w:p>
    <w:p w14:paraId="0599D877" w14:textId="77777777" w:rsidR="00D67ED1" w:rsidRPr="003046C8" w:rsidRDefault="006E6655" w:rsidP="00D67ED1">
      <w:pPr>
        <w:pStyle w:val="DTFHeading2-Lineabove"/>
        <w:rPr>
          <w:bCs/>
        </w:rPr>
      </w:pPr>
      <w:r>
        <w:t>A3.4.11</w:t>
      </w:r>
    </w:p>
    <w:p w14:paraId="0599D878" w14:textId="77777777" w:rsidR="006E6655" w:rsidRPr="006E6655" w:rsidRDefault="006E6655" w:rsidP="006E6655">
      <w:pPr>
        <w:pStyle w:val="DTFBodyText"/>
        <w:rPr>
          <w:rStyle w:val="DTFStrong"/>
        </w:rPr>
      </w:pPr>
      <w:r w:rsidRPr="006E6655">
        <w:rPr>
          <w:rStyle w:val="DTFStrong"/>
        </w:rPr>
        <w:t xml:space="preserve">Where an employee commences employment with an Agency and the employee has transferred from another Agency or from a public employer as defined in the </w:t>
      </w:r>
      <w:r w:rsidRPr="00327038">
        <w:rPr>
          <w:rStyle w:val="DTFItalic"/>
          <w:b/>
        </w:rPr>
        <w:t>Public Employment (Mobility) Act</w:t>
      </w:r>
      <w:r w:rsidRPr="006E6655">
        <w:rPr>
          <w:rStyle w:val="DTFStrong"/>
        </w:rPr>
        <w:t>, the Agency is to recognise any employee benefit liabilities (other than long service leave and superannuation liabilities) that have accrued to the employee and remain unpaid at commencement date.</w:t>
      </w:r>
    </w:p>
    <w:p w14:paraId="0599D879" w14:textId="77777777" w:rsidR="00D67ED1" w:rsidRDefault="006E6655" w:rsidP="00D67ED1">
      <w:pPr>
        <w:pStyle w:val="Heading2"/>
      </w:pPr>
      <w:r>
        <w:t>A3.4.12</w:t>
      </w:r>
    </w:p>
    <w:p w14:paraId="0599D87A" w14:textId="77777777" w:rsidR="00D67ED1" w:rsidRPr="006E6655" w:rsidRDefault="006E6655" w:rsidP="006E6655">
      <w:pPr>
        <w:pStyle w:val="DTFBodyText"/>
        <w:rPr>
          <w:rStyle w:val="DTFStrong"/>
        </w:rPr>
      </w:pPr>
      <w:r w:rsidRPr="006E6655">
        <w:rPr>
          <w:rStyle w:val="DTFStrong"/>
        </w:rPr>
        <w:t>Where an employee ceases employment with an Agency, the Agency is to derecognise any Agency held employee benefit liabilities that have accrued to the employee as at cessation date.</w:t>
      </w:r>
    </w:p>
    <w:p w14:paraId="0599D87B" w14:textId="77777777" w:rsidR="00D67ED1" w:rsidRPr="005B1EBD" w:rsidRDefault="00D67ED1" w:rsidP="00D67ED1">
      <w:pPr>
        <w:pStyle w:val="DTFSpacer-Lineabove"/>
      </w:pPr>
    </w:p>
    <w:p w14:paraId="0599D87C" w14:textId="77777777" w:rsidR="006E6655" w:rsidRPr="00484F7A" w:rsidRDefault="006E6655" w:rsidP="00762C16">
      <w:pPr>
        <w:pStyle w:val="DTFListNumber1-Roman"/>
        <w:numPr>
          <w:ilvl w:val="0"/>
          <w:numId w:val="18"/>
        </w:numPr>
      </w:pPr>
      <w:r w:rsidRPr="00484F7A">
        <w:t>Employee transfers will occur for a variety of reasons and may include employee movements between Agencies resulting from promotion, temporary transfers that become permanent and other transfers.</w:t>
      </w:r>
      <w:r>
        <w:t xml:space="preserve"> </w:t>
      </w:r>
      <w:r w:rsidRPr="00484F7A">
        <w:t xml:space="preserve">The </w:t>
      </w:r>
      <w:r w:rsidRPr="00260EC8">
        <w:rPr>
          <w:rStyle w:val="DTFItalic"/>
        </w:rPr>
        <w:t>Public Employment (Mobility) Act</w:t>
      </w:r>
      <w:r w:rsidRPr="00484F7A">
        <w:t xml:space="preserve"> facilitates mobility in employment and allows employees to retain accrued employee benefits when transferring to or from certain areas of public employment, including Agencies. </w:t>
      </w:r>
    </w:p>
    <w:p w14:paraId="0599D87D" w14:textId="77777777" w:rsidR="006E6655" w:rsidRPr="00484F7A" w:rsidRDefault="006E6655" w:rsidP="00762C16">
      <w:pPr>
        <w:pStyle w:val="DTFListNumber1-Roman"/>
        <w:numPr>
          <w:ilvl w:val="0"/>
          <w:numId w:val="18"/>
        </w:numPr>
      </w:pPr>
      <w:r w:rsidRPr="00484F7A">
        <w:t>Employee benefit liabilities recognised by an Agency in relation to an employee may include recreation leave, recreation leave loading and other employee benefit liabilities. Superannuation and long service leave liabilities associated with Agency employees will be recorded in the Central Holding Authority rather than Agencies. The recognition of Agency employee benefit liabilities will result in a corresponding increase in Agency employee benefit expenses as shown at Appendix B.</w:t>
      </w:r>
      <w:r>
        <w:t xml:space="preserve"> </w:t>
      </w:r>
    </w:p>
    <w:p w14:paraId="0599D87E" w14:textId="77777777" w:rsidR="006E6655" w:rsidRPr="00484F7A" w:rsidRDefault="006E6655" w:rsidP="00762C16">
      <w:pPr>
        <w:pStyle w:val="DTFListNumber1-Roman"/>
        <w:numPr>
          <w:ilvl w:val="0"/>
          <w:numId w:val="18"/>
        </w:numPr>
      </w:pPr>
      <w:r w:rsidRPr="00484F7A">
        <w:t>Employee benefit liabilities relating to an employee being transferred will be recognised by the receiving Agency as at the agreed transfer date. Where the transfer is on a temporary basis, the recognition by the receiving Agency (and derecognition by the transferring Agency) should occur when there is a reasonable expectation that the transfer will become permanent. ln practice, it would not be administratively efficient to recognise employee benefit liabilities associated with temporary transfers less than six months unless there is an expectation that the transfer will exceed six months. The timing of recognition and derecognition by the receiving and transferring Agencies should also be consistent.</w:t>
      </w:r>
    </w:p>
    <w:p w14:paraId="0599D87F" w14:textId="77777777" w:rsidR="006E6655" w:rsidRPr="00484F7A" w:rsidRDefault="006E6655" w:rsidP="00762C16">
      <w:pPr>
        <w:pStyle w:val="DTFListNumber1-Roman"/>
        <w:numPr>
          <w:ilvl w:val="0"/>
          <w:numId w:val="18"/>
        </w:numPr>
      </w:pPr>
      <w:r w:rsidRPr="00484F7A">
        <w:t xml:space="preserve">Where an employee is transferred on a different salary level (for example, on promotion), the change in salary impacts on the employee benefit liabilities is recognised by the receiving Agency only. ln these situations the receiving Agency will recognise any employee benefit liabilities for that employee based on the different salary level. </w:t>
      </w:r>
    </w:p>
    <w:p w14:paraId="0599D880" w14:textId="77777777" w:rsidR="006E6655" w:rsidRPr="00484F7A" w:rsidRDefault="006E6655" w:rsidP="00762C16">
      <w:pPr>
        <w:pStyle w:val="DTFListNumber1-Roman"/>
        <w:numPr>
          <w:ilvl w:val="0"/>
          <w:numId w:val="18"/>
        </w:numPr>
      </w:pPr>
      <w:r w:rsidRPr="00484F7A">
        <w:t>Where an employee ceases employment (for example, by way of resignation, retirement or transfer), the relevant Agency will derecognise any employee benefit liabilities for that employee as at the agreed cessation date. This will result in a reduction in Agency employee benefit liabilities and a corresponding reduction in:</w:t>
      </w:r>
    </w:p>
    <w:p w14:paraId="0599D881" w14:textId="77777777" w:rsidR="006E6655" w:rsidRPr="00484F7A" w:rsidRDefault="006E6655" w:rsidP="00762C16">
      <w:pPr>
        <w:pStyle w:val="DTFListBullet2-Black"/>
        <w:numPr>
          <w:ilvl w:val="1"/>
          <w:numId w:val="19"/>
        </w:numPr>
      </w:pPr>
      <w:r w:rsidRPr="00484F7A">
        <w:t>cash, where employee liabilities are paid out (for example, on resignation); or</w:t>
      </w:r>
    </w:p>
    <w:p w14:paraId="0599D882" w14:textId="77777777" w:rsidR="003F6B26" w:rsidRDefault="006E6655" w:rsidP="00762C16">
      <w:pPr>
        <w:pStyle w:val="DTFListBullet2-Black"/>
        <w:numPr>
          <w:ilvl w:val="1"/>
          <w:numId w:val="19"/>
        </w:numPr>
      </w:pPr>
      <w:r w:rsidRPr="00484F7A">
        <w:t xml:space="preserve">employee benefit expenses, where employee benefit liabilities are not required to be paid out (for example, where employee transfer provisions apply). </w:t>
      </w:r>
    </w:p>
    <w:p w14:paraId="0599D883" w14:textId="77777777" w:rsidR="00770129" w:rsidRDefault="00770129">
      <w:pPr>
        <w:spacing w:after="0"/>
        <w:rPr>
          <w:rFonts w:cs="Arial"/>
        </w:rPr>
      </w:pPr>
      <w:r>
        <w:br w:type="page"/>
      </w:r>
    </w:p>
    <w:p w14:paraId="0599D884" w14:textId="77777777" w:rsidR="00770129" w:rsidRPr="00233BC3" w:rsidRDefault="00770129" w:rsidP="005B1D10">
      <w:pPr>
        <w:pStyle w:val="Heading1"/>
      </w:pPr>
      <w:bookmarkStart w:id="24" w:name="_Toc472677122"/>
      <w:r w:rsidRPr="00233BC3">
        <w:lastRenderedPageBreak/>
        <w:t>A</w:t>
      </w:r>
      <w:r w:rsidR="00363158" w:rsidRPr="00233BC3">
        <w:t>ppendix</w:t>
      </w:r>
      <w:r w:rsidRPr="00233BC3">
        <w:t xml:space="preserve"> A</w:t>
      </w:r>
      <w:r w:rsidR="005B1D10">
        <w:t xml:space="preserve">: </w:t>
      </w:r>
      <w:r>
        <w:t>A</w:t>
      </w:r>
      <w:r w:rsidRPr="00233BC3">
        <w:t xml:space="preserve">ccounting for employee benefit liabilities </w:t>
      </w:r>
      <w:r w:rsidRPr="00233BC3">
        <w:rPr>
          <w:lang w:val="en-US"/>
        </w:rPr>
        <w:t>–</w:t>
      </w:r>
      <w:r w:rsidRPr="00233BC3">
        <w:t xml:space="preserve"> examples</w:t>
      </w:r>
      <w:bookmarkEnd w:id="24"/>
    </w:p>
    <w:p w14:paraId="0599D885" w14:textId="77777777" w:rsidR="00770129" w:rsidRPr="00FC7099" w:rsidRDefault="00A467D0" w:rsidP="00FC7099">
      <w:pPr>
        <w:pStyle w:val="Heading2"/>
      </w:pPr>
      <w:r w:rsidRPr="00FC7099">
        <w:t>Example 1:</w:t>
      </w:r>
      <w:r w:rsidR="00770129" w:rsidRPr="00FC7099">
        <w:t xml:space="preserve"> Accrued </w:t>
      </w:r>
      <w:r w:rsidR="00281F4D" w:rsidRPr="00FC7099">
        <w:t xml:space="preserve">salaries and wages – agency </w:t>
      </w:r>
    </w:p>
    <w:p w14:paraId="0599D886" w14:textId="77777777" w:rsidR="00770129" w:rsidRDefault="00770129" w:rsidP="00770129">
      <w:pPr>
        <w:pStyle w:val="DTFBodyText"/>
      </w:pPr>
      <w:r>
        <w:t>Agency employees provide services to an Agency over a two week period and are to be paid $1</w:t>
      </w:r>
      <w:r w:rsidR="00F76642">
        <w:t> </w:t>
      </w:r>
      <w:r>
        <w:t>million.</w:t>
      </w:r>
      <w:r w:rsidR="006F5BC3">
        <w:t xml:space="preserve"> </w:t>
      </w:r>
      <w:r>
        <w:t>As the pay period does not coincide with the end of the reporting period, a liability for salaries and associated on-costs, such as payroll tax will be recognised for the amounts earned but unpaid at the end of the reporting period.</w:t>
      </w:r>
    </w:p>
    <w:p w14:paraId="0599D887" w14:textId="77777777" w:rsidR="00770129" w:rsidRDefault="00770129" w:rsidP="00770129">
      <w:pPr>
        <w:pStyle w:val="DTFBodyText"/>
      </w:pPr>
      <w:r>
        <w:t>The salaries and payroll tax to be paid will need to be apportioned between the amount earned in the current period (6 days) and that relati</w:t>
      </w:r>
      <w:r w:rsidR="006F5BC3">
        <w:t xml:space="preserve">ng to future periods (4 days). </w:t>
      </w:r>
      <w:r>
        <w:t>S</w:t>
      </w:r>
      <w:r w:rsidR="00511910">
        <w:t>alaries are calculated on a 10</w:t>
      </w:r>
      <w:r w:rsidR="00F76642">
        <w:t>-</w:t>
      </w:r>
      <w:r>
        <w:t>day fortnight, as there is no payment for Saturday or Sunday.</w:t>
      </w:r>
    </w:p>
    <w:tbl>
      <w:tblPr>
        <w:tblStyle w:val="TableGrid"/>
        <w:tblpPr w:leftFromText="181" w:rightFromText="181" w:bottomFromText="284"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xample 1 – Accrued Salaries and Wages – Agency"/>
      </w:tblPr>
      <w:tblGrid>
        <w:gridCol w:w="5953"/>
        <w:gridCol w:w="284"/>
        <w:gridCol w:w="3402"/>
      </w:tblGrid>
      <w:tr w:rsidR="00770129" w14:paraId="0599D88B" w14:textId="77777777" w:rsidTr="00AD3CDD">
        <w:trPr>
          <w:tblHeader/>
        </w:trPr>
        <w:tc>
          <w:tcPr>
            <w:tcW w:w="5953" w:type="dxa"/>
            <w:tcMar>
              <w:top w:w="85" w:type="dxa"/>
              <w:left w:w="0" w:type="dxa"/>
              <w:bottom w:w="85" w:type="dxa"/>
              <w:right w:w="0" w:type="dxa"/>
            </w:tcMar>
          </w:tcPr>
          <w:p w14:paraId="0599D888" w14:textId="77777777" w:rsidR="00770129" w:rsidRDefault="00770129" w:rsidP="005859FE">
            <w:pPr>
              <w:pStyle w:val="DTFTableText"/>
            </w:pPr>
            <w:r>
              <w:t>Total amount to be paid to the employees</w:t>
            </w:r>
          </w:p>
        </w:tc>
        <w:tc>
          <w:tcPr>
            <w:tcW w:w="284" w:type="dxa"/>
            <w:tcMar>
              <w:top w:w="85" w:type="dxa"/>
              <w:left w:w="0" w:type="dxa"/>
              <w:bottom w:w="85" w:type="dxa"/>
              <w:right w:w="0" w:type="dxa"/>
            </w:tcMar>
          </w:tcPr>
          <w:p w14:paraId="0599D889" w14:textId="77777777" w:rsidR="00770129" w:rsidRPr="00260EC8" w:rsidRDefault="00770129" w:rsidP="00260EC8">
            <w:pPr>
              <w:pStyle w:val="DTFTableText"/>
            </w:pPr>
            <w:r w:rsidRPr="00260EC8">
              <w:t>=</w:t>
            </w:r>
          </w:p>
        </w:tc>
        <w:tc>
          <w:tcPr>
            <w:tcW w:w="3402" w:type="dxa"/>
            <w:tcMar>
              <w:top w:w="85" w:type="dxa"/>
              <w:left w:w="0" w:type="dxa"/>
              <w:bottom w:w="85" w:type="dxa"/>
              <w:right w:w="0" w:type="dxa"/>
            </w:tcMar>
          </w:tcPr>
          <w:p w14:paraId="0599D88A" w14:textId="77777777" w:rsidR="00770129" w:rsidRDefault="00770129" w:rsidP="005859FE">
            <w:pPr>
              <w:pStyle w:val="DTFTableText"/>
            </w:pPr>
            <w:r>
              <w:t>$1 000 000</w:t>
            </w:r>
          </w:p>
        </w:tc>
      </w:tr>
      <w:tr w:rsidR="00770129" w14:paraId="0599D88F" w14:textId="77777777" w:rsidTr="005859FE">
        <w:tc>
          <w:tcPr>
            <w:tcW w:w="5953" w:type="dxa"/>
            <w:tcMar>
              <w:top w:w="85" w:type="dxa"/>
              <w:left w:w="0" w:type="dxa"/>
              <w:bottom w:w="85" w:type="dxa"/>
              <w:right w:w="0" w:type="dxa"/>
            </w:tcMar>
          </w:tcPr>
          <w:p w14:paraId="0599D88C" w14:textId="77777777" w:rsidR="00770129" w:rsidRDefault="00770129" w:rsidP="005859FE">
            <w:pPr>
              <w:pStyle w:val="DTFTableText"/>
            </w:pPr>
          </w:p>
        </w:tc>
        <w:tc>
          <w:tcPr>
            <w:tcW w:w="284" w:type="dxa"/>
            <w:tcMar>
              <w:top w:w="85" w:type="dxa"/>
              <w:left w:w="0" w:type="dxa"/>
              <w:bottom w:w="85" w:type="dxa"/>
              <w:right w:w="0" w:type="dxa"/>
            </w:tcMar>
          </w:tcPr>
          <w:p w14:paraId="0599D88D" w14:textId="77777777" w:rsidR="00770129" w:rsidRPr="00260EC8" w:rsidRDefault="00770129" w:rsidP="00260EC8">
            <w:pPr>
              <w:pStyle w:val="DTFTableText"/>
            </w:pPr>
            <w:r w:rsidRPr="00260EC8">
              <w:t>=</w:t>
            </w:r>
          </w:p>
        </w:tc>
        <w:tc>
          <w:tcPr>
            <w:tcW w:w="3402" w:type="dxa"/>
            <w:tcMar>
              <w:top w:w="85" w:type="dxa"/>
              <w:left w:w="0" w:type="dxa"/>
              <w:bottom w:w="85" w:type="dxa"/>
              <w:right w:w="0" w:type="dxa"/>
            </w:tcMar>
          </w:tcPr>
          <w:p w14:paraId="0599D88E" w14:textId="77777777" w:rsidR="00770129" w:rsidRDefault="00770129" w:rsidP="005859FE">
            <w:pPr>
              <w:pStyle w:val="DTFTableText"/>
            </w:pPr>
            <w:r>
              <w:t>$1 000 000 x 6/10 days</w:t>
            </w:r>
          </w:p>
        </w:tc>
      </w:tr>
      <w:tr w:rsidR="00770129" w14:paraId="0599D893" w14:textId="77777777" w:rsidTr="005859FE">
        <w:tc>
          <w:tcPr>
            <w:tcW w:w="5953" w:type="dxa"/>
            <w:tcMar>
              <w:top w:w="85" w:type="dxa"/>
              <w:left w:w="0" w:type="dxa"/>
              <w:bottom w:w="85" w:type="dxa"/>
              <w:right w:w="0" w:type="dxa"/>
            </w:tcMar>
          </w:tcPr>
          <w:p w14:paraId="0599D890" w14:textId="77777777" w:rsidR="00770129" w:rsidRDefault="00770129" w:rsidP="005859FE">
            <w:pPr>
              <w:pStyle w:val="DTFTableText"/>
            </w:pPr>
            <w:r>
              <w:t>Amount earned in current period</w:t>
            </w:r>
          </w:p>
        </w:tc>
        <w:tc>
          <w:tcPr>
            <w:tcW w:w="284" w:type="dxa"/>
            <w:tcMar>
              <w:top w:w="85" w:type="dxa"/>
              <w:left w:w="0" w:type="dxa"/>
              <w:bottom w:w="85" w:type="dxa"/>
              <w:right w:w="0" w:type="dxa"/>
            </w:tcMar>
          </w:tcPr>
          <w:p w14:paraId="0599D891" w14:textId="77777777" w:rsidR="00770129" w:rsidRPr="00260EC8" w:rsidRDefault="00770129" w:rsidP="00260EC8">
            <w:pPr>
              <w:pStyle w:val="DTFTableText"/>
            </w:pPr>
            <w:r w:rsidRPr="00260EC8">
              <w:t>=</w:t>
            </w:r>
          </w:p>
        </w:tc>
        <w:tc>
          <w:tcPr>
            <w:tcW w:w="3402" w:type="dxa"/>
            <w:tcMar>
              <w:top w:w="85" w:type="dxa"/>
              <w:left w:w="0" w:type="dxa"/>
              <w:bottom w:w="85" w:type="dxa"/>
              <w:right w:w="0" w:type="dxa"/>
            </w:tcMar>
          </w:tcPr>
          <w:p w14:paraId="0599D892" w14:textId="77777777" w:rsidR="00770129" w:rsidRDefault="00770129" w:rsidP="005859FE">
            <w:pPr>
              <w:pStyle w:val="DTFTableText"/>
            </w:pPr>
            <w:r>
              <w:t>$600 000</w:t>
            </w:r>
          </w:p>
        </w:tc>
      </w:tr>
      <w:tr w:rsidR="00770129" w14:paraId="0599D897" w14:textId="77777777" w:rsidTr="005859FE">
        <w:tc>
          <w:tcPr>
            <w:tcW w:w="5953" w:type="dxa"/>
            <w:tcMar>
              <w:top w:w="85" w:type="dxa"/>
              <w:left w:w="0" w:type="dxa"/>
              <w:bottom w:w="85" w:type="dxa"/>
              <w:right w:w="0" w:type="dxa"/>
            </w:tcMar>
          </w:tcPr>
          <w:p w14:paraId="0599D894" w14:textId="77777777" w:rsidR="00770129" w:rsidRDefault="00770129" w:rsidP="005859FE">
            <w:pPr>
              <w:pStyle w:val="DTFTableText"/>
            </w:pPr>
            <w:r>
              <w:t>Payroll Tax for current period (5.5%)</w:t>
            </w:r>
            <w:r w:rsidRPr="00260EC8">
              <w:rPr>
                <w:rStyle w:val="FootnoteReference"/>
              </w:rPr>
              <w:footnoteReference w:id="1"/>
            </w:r>
            <w:r w:rsidRPr="00260EC8">
              <w:rPr>
                <w:vertAlign w:val="superscript"/>
              </w:rPr>
              <w:t xml:space="preserve">, </w:t>
            </w:r>
            <w:r w:rsidRPr="00260EC8">
              <w:rPr>
                <w:rStyle w:val="FootnoteReference"/>
              </w:rPr>
              <w:footnoteReference w:id="2"/>
            </w:r>
          </w:p>
        </w:tc>
        <w:tc>
          <w:tcPr>
            <w:tcW w:w="284" w:type="dxa"/>
            <w:tcMar>
              <w:top w:w="85" w:type="dxa"/>
              <w:left w:w="0" w:type="dxa"/>
              <w:bottom w:w="85" w:type="dxa"/>
              <w:right w:w="0" w:type="dxa"/>
            </w:tcMar>
          </w:tcPr>
          <w:p w14:paraId="0599D895" w14:textId="77777777" w:rsidR="00770129" w:rsidRPr="00260EC8" w:rsidRDefault="00770129" w:rsidP="00260EC8">
            <w:pPr>
              <w:pStyle w:val="DTFTableText"/>
            </w:pPr>
            <w:r w:rsidRPr="00260EC8">
              <w:t>=</w:t>
            </w:r>
          </w:p>
        </w:tc>
        <w:tc>
          <w:tcPr>
            <w:tcW w:w="3402" w:type="dxa"/>
            <w:tcMar>
              <w:top w:w="85" w:type="dxa"/>
              <w:left w:w="0" w:type="dxa"/>
              <w:bottom w:w="85" w:type="dxa"/>
              <w:right w:w="0" w:type="dxa"/>
            </w:tcMar>
          </w:tcPr>
          <w:p w14:paraId="0599D896" w14:textId="77777777" w:rsidR="00770129" w:rsidRDefault="00770129" w:rsidP="005859FE">
            <w:pPr>
              <w:pStyle w:val="DTFTableText"/>
            </w:pPr>
            <w:r>
              <w:t>$600 000 x 5.5%</w:t>
            </w:r>
          </w:p>
        </w:tc>
      </w:tr>
      <w:tr w:rsidR="00770129" w14:paraId="0599D89B" w14:textId="77777777" w:rsidTr="005859FE">
        <w:tc>
          <w:tcPr>
            <w:tcW w:w="5953" w:type="dxa"/>
            <w:tcMar>
              <w:top w:w="85" w:type="dxa"/>
              <w:left w:w="0" w:type="dxa"/>
              <w:bottom w:w="85" w:type="dxa"/>
              <w:right w:w="0" w:type="dxa"/>
            </w:tcMar>
          </w:tcPr>
          <w:p w14:paraId="0599D898" w14:textId="77777777" w:rsidR="00770129" w:rsidRDefault="00770129" w:rsidP="005859FE">
            <w:pPr>
              <w:pStyle w:val="DTFTableText"/>
            </w:pPr>
          </w:p>
        </w:tc>
        <w:tc>
          <w:tcPr>
            <w:tcW w:w="284" w:type="dxa"/>
            <w:tcMar>
              <w:top w:w="85" w:type="dxa"/>
              <w:left w:w="0" w:type="dxa"/>
              <w:bottom w:w="85" w:type="dxa"/>
              <w:right w:w="0" w:type="dxa"/>
            </w:tcMar>
          </w:tcPr>
          <w:p w14:paraId="0599D899" w14:textId="77777777" w:rsidR="00770129" w:rsidRPr="00260EC8" w:rsidRDefault="00770129" w:rsidP="00260EC8">
            <w:pPr>
              <w:pStyle w:val="DTFTableText"/>
            </w:pPr>
            <w:r w:rsidRPr="00260EC8">
              <w:t>=</w:t>
            </w:r>
          </w:p>
        </w:tc>
        <w:tc>
          <w:tcPr>
            <w:tcW w:w="3402" w:type="dxa"/>
            <w:tcMar>
              <w:top w:w="85" w:type="dxa"/>
              <w:left w:w="0" w:type="dxa"/>
              <w:bottom w:w="85" w:type="dxa"/>
              <w:right w:w="0" w:type="dxa"/>
            </w:tcMar>
          </w:tcPr>
          <w:p w14:paraId="0599D89A" w14:textId="77777777" w:rsidR="00770129" w:rsidRDefault="00770129" w:rsidP="005859FE">
            <w:pPr>
              <w:pStyle w:val="DTFTableText"/>
            </w:pPr>
            <w:r>
              <w:t>$33 000</w:t>
            </w:r>
          </w:p>
        </w:tc>
      </w:tr>
    </w:tbl>
    <w:p w14:paraId="0599D89C" w14:textId="77777777" w:rsidR="00770129" w:rsidRDefault="00770129" w:rsidP="00770129">
      <w:pPr>
        <w:spacing w:after="180"/>
      </w:pPr>
      <w:r>
        <w:t>At the end of the reporting period a liability is recognised for the salary (and associated payroll tax</w:t>
      </w:r>
      <w:r w:rsidRPr="00260EC8">
        <w:rPr>
          <w:vertAlign w:val="superscript"/>
        </w:rPr>
        <w:t>2</w:t>
      </w:r>
      <w:r>
        <w:t>), the employees have earned in the current period but will not be paid until a future period:</w:t>
      </w:r>
    </w:p>
    <w:tbl>
      <w:tblPr>
        <w:tblpPr w:leftFromText="181" w:rightFromText="181" w:bottomFromText="284" w:vertAnchor="text" w:tblpY="1"/>
        <w:tblOverlap w:val="never"/>
        <w:tblW w:w="9639" w:type="dxa"/>
        <w:tblBorders>
          <w:top w:val="single" w:sz="4" w:space="0" w:color="auto"/>
          <w:bottom w:val="single" w:sz="4" w:space="0" w:color="auto"/>
        </w:tblBorders>
        <w:tblLayout w:type="fixed"/>
        <w:tblLook w:val="0000" w:firstRow="0" w:lastRow="0" w:firstColumn="0" w:lastColumn="0" w:noHBand="0" w:noVBand="0"/>
        <w:tblDescription w:val="Example 1 – Accrued Salaries and Wages – Agency "/>
      </w:tblPr>
      <w:tblGrid>
        <w:gridCol w:w="519"/>
        <w:gridCol w:w="2487"/>
        <w:gridCol w:w="3937"/>
        <w:gridCol w:w="1348"/>
        <w:gridCol w:w="1348"/>
      </w:tblGrid>
      <w:tr w:rsidR="009D3030" w14:paraId="0599D8A2" w14:textId="77777777" w:rsidTr="00511910">
        <w:trPr>
          <w:tblHeader/>
        </w:trPr>
        <w:tc>
          <w:tcPr>
            <w:tcW w:w="567" w:type="dxa"/>
            <w:tcMar>
              <w:top w:w="85" w:type="dxa"/>
              <w:left w:w="0" w:type="dxa"/>
              <w:bottom w:w="85" w:type="dxa"/>
              <w:right w:w="0" w:type="dxa"/>
            </w:tcMar>
          </w:tcPr>
          <w:p w14:paraId="0599D89D" w14:textId="77777777" w:rsidR="00770129" w:rsidRDefault="00770129" w:rsidP="005859FE">
            <w:pPr>
              <w:pStyle w:val="DTFTableText"/>
            </w:pPr>
            <w:r>
              <w:t>DR</w:t>
            </w:r>
          </w:p>
        </w:tc>
        <w:tc>
          <w:tcPr>
            <w:tcW w:w="2722" w:type="dxa"/>
            <w:tcMar>
              <w:top w:w="85" w:type="dxa"/>
              <w:left w:w="0" w:type="dxa"/>
              <w:bottom w:w="85" w:type="dxa"/>
              <w:right w:w="0" w:type="dxa"/>
            </w:tcMar>
          </w:tcPr>
          <w:p w14:paraId="0599D89E" w14:textId="77777777" w:rsidR="00770129" w:rsidRDefault="00770129" w:rsidP="005859FE">
            <w:pPr>
              <w:pStyle w:val="DTFTableText"/>
            </w:pPr>
            <w:r>
              <w:t>Salaries Expense</w:t>
            </w:r>
          </w:p>
        </w:tc>
        <w:tc>
          <w:tcPr>
            <w:tcW w:w="4309" w:type="dxa"/>
            <w:tcMar>
              <w:top w:w="85" w:type="dxa"/>
              <w:left w:w="0" w:type="dxa"/>
              <w:bottom w:w="85" w:type="dxa"/>
              <w:right w:w="0" w:type="dxa"/>
            </w:tcMar>
          </w:tcPr>
          <w:p w14:paraId="0599D89F" w14:textId="77777777" w:rsidR="00770129" w:rsidRDefault="00770129" w:rsidP="005859FE">
            <w:pPr>
              <w:pStyle w:val="DTFTableText"/>
            </w:pPr>
            <w:r>
              <w:t xml:space="preserve">(Increase in Expenses – </w:t>
            </w:r>
            <w:r w:rsidR="009D3030">
              <w:t>O</w:t>
            </w:r>
            <w:r>
              <w:t>perating</w:t>
            </w:r>
            <w:r w:rsidR="001D73EE">
              <w:t> </w:t>
            </w:r>
            <w:r>
              <w:t>Statement)</w:t>
            </w:r>
          </w:p>
        </w:tc>
        <w:tc>
          <w:tcPr>
            <w:tcW w:w="1474" w:type="dxa"/>
            <w:tcMar>
              <w:top w:w="85" w:type="dxa"/>
              <w:left w:w="0" w:type="dxa"/>
              <w:bottom w:w="85" w:type="dxa"/>
              <w:right w:w="0" w:type="dxa"/>
            </w:tcMar>
          </w:tcPr>
          <w:p w14:paraId="0599D8A0" w14:textId="77777777" w:rsidR="00770129" w:rsidRDefault="00770129" w:rsidP="005859FE">
            <w:pPr>
              <w:pStyle w:val="DTFTableNumbers"/>
            </w:pPr>
            <w:r>
              <w:t>$600 000</w:t>
            </w:r>
          </w:p>
        </w:tc>
        <w:tc>
          <w:tcPr>
            <w:tcW w:w="1474" w:type="dxa"/>
            <w:tcMar>
              <w:top w:w="85" w:type="dxa"/>
              <w:left w:w="0" w:type="dxa"/>
              <w:bottom w:w="85" w:type="dxa"/>
              <w:right w:w="0" w:type="dxa"/>
            </w:tcMar>
          </w:tcPr>
          <w:p w14:paraId="0599D8A1" w14:textId="77777777" w:rsidR="00770129" w:rsidRDefault="00770129" w:rsidP="005859FE">
            <w:pPr>
              <w:pStyle w:val="DTFTableNumbers"/>
            </w:pPr>
          </w:p>
        </w:tc>
      </w:tr>
      <w:tr w:rsidR="009D3030" w14:paraId="0599D8A8" w14:textId="77777777" w:rsidTr="00511910">
        <w:tc>
          <w:tcPr>
            <w:tcW w:w="567" w:type="dxa"/>
            <w:tcMar>
              <w:top w:w="85" w:type="dxa"/>
              <w:left w:w="0" w:type="dxa"/>
              <w:bottom w:w="85" w:type="dxa"/>
              <w:right w:w="0" w:type="dxa"/>
            </w:tcMar>
          </w:tcPr>
          <w:p w14:paraId="0599D8A3" w14:textId="77777777" w:rsidR="00770129" w:rsidRDefault="00770129" w:rsidP="005859FE">
            <w:pPr>
              <w:pStyle w:val="DTFTableText"/>
            </w:pPr>
            <w:r>
              <w:t>DR</w:t>
            </w:r>
          </w:p>
        </w:tc>
        <w:tc>
          <w:tcPr>
            <w:tcW w:w="2722" w:type="dxa"/>
            <w:tcMar>
              <w:top w:w="85" w:type="dxa"/>
              <w:left w:w="0" w:type="dxa"/>
              <w:bottom w:w="85" w:type="dxa"/>
              <w:right w:w="0" w:type="dxa"/>
            </w:tcMar>
          </w:tcPr>
          <w:p w14:paraId="0599D8A4" w14:textId="77777777" w:rsidR="00770129" w:rsidRDefault="00770129" w:rsidP="005859FE">
            <w:pPr>
              <w:pStyle w:val="DTFTableText"/>
            </w:pPr>
            <w:r>
              <w:t>Payroll Tax Expense</w:t>
            </w:r>
          </w:p>
        </w:tc>
        <w:tc>
          <w:tcPr>
            <w:tcW w:w="4309" w:type="dxa"/>
            <w:tcMar>
              <w:top w:w="85" w:type="dxa"/>
              <w:left w:w="0" w:type="dxa"/>
              <w:bottom w:w="85" w:type="dxa"/>
              <w:right w:w="0" w:type="dxa"/>
            </w:tcMar>
          </w:tcPr>
          <w:p w14:paraId="0599D8A5" w14:textId="77777777" w:rsidR="00770129" w:rsidRDefault="00770129" w:rsidP="005859FE">
            <w:pPr>
              <w:pStyle w:val="DTFTableText"/>
            </w:pPr>
            <w:r>
              <w:t>(Increase in Expenses – Operating</w:t>
            </w:r>
            <w:r w:rsidR="001D73EE">
              <w:t> </w:t>
            </w:r>
            <w:r>
              <w:t>Statement)</w:t>
            </w:r>
          </w:p>
        </w:tc>
        <w:tc>
          <w:tcPr>
            <w:tcW w:w="1474" w:type="dxa"/>
            <w:tcMar>
              <w:top w:w="85" w:type="dxa"/>
              <w:left w:w="0" w:type="dxa"/>
              <w:bottom w:w="85" w:type="dxa"/>
              <w:right w:w="0" w:type="dxa"/>
            </w:tcMar>
          </w:tcPr>
          <w:p w14:paraId="0599D8A6" w14:textId="77777777" w:rsidR="00770129" w:rsidRDefault="00770129" w:rsidP="005859FE">
            <w:pPr>
              <w:pStyle w:val="DTFTableNumbers"/>
            </w:pPr>
            <w:r>
              <w:t>$33 000</w:t>
            </w:r>
          </w:p>
        </w:tc>
        <w:tc>
          <w:tcPr>
            <w:tcW w:w="1474" w:type="dxa"/>
            <w:tcMar>
              <w:top w:w="85" w:type="dxa"/>
              <w:left w:w="0" w:type="dxa"/>
              <w:bottom w:w="85" w:type="dxa"/>
              <w:right w:w="0" w:type="dxa"/>
            </w:tcMar>
          </w:tcPr>
          <w:p w14:paraId="0599D8A7" w14:textId="77777777" w:rsidR="00770129" w:rsidRDefault="00770129" w:rsidP="005859FE">
            <w:pPr>
              <w:pStyle w:val="DTFTableNumbers"/>
            </w:pPr>
          </w:p>
        </w:tc>
      </w:tr>
      <w:tr w:rsidR="009D3030" w14:paraId="0599D8AE" w14:textId="77777777" w:rsidTr="00511910">
        <w:tc>
          <w:tcPr>
            <w:tcW w:w="567" w:type="dxa"/>
            <w:tcMar>
              <w:top w:w="85" w:type="dxa"/>
              <w:left w:w="0" w:type="dxa"/>
              <w:bottom w:w="85" w:type="dxa"/>
              <w:right w:w="0" w:type="dxa"/>
            </w:tcMar>
          </w:tcPr>
          <w:p w14:paraId="0599D8A9" w14:textId="77777777" w:rsidR="00770129" w:rsidRDefault="00770129" w:rsidP="005859FE">
            <w:pPr>
              <w:pStyle w:val="DTFTableText"/>
            </w:pPr>
            <w:r>
              <w:t>CR</w:t>
            </w:r>
          </w:p>
        </w:tc>
        <w:tc>
          <w:tcPr>
            <w:tcW w:w="2722" w:type="dxa"/>
            <w:tcMar>
              <w:top w:w="85" w:type="dxa"/>
              <w:left w:w="0" w:type="dxa"/>
              <w:bottom w:w="85" w:type="dxa"/>
              <w:right w:w="0" w:type="dxa"/>
            </w:tcMar>
          </w:tcPr>
          <w:p w14:paraId="0599D8AA" w14:textId="77777777" w:rsidR="00770129" w:rsidRDefault="00770129" w:rsidP="005859FE">
            <w:pPr>
              <w:pStyle w:val="DTFTableText"/>
            </w:pPr>
            <w:r>
              <w:t>Accrued Salaries</w:t>
            </w:r>
          </w:p>
        </w:tc>
        <w:tc>
          <w:tcPr>
            <w:tcW w:w="4309" w:type="dxa"/>
            <w:tcMar>
              <w:top w:w="85" w:type="dxa"/>
              <w:left w:w="0" w:type="dxa"/>
              <w:bottom w:w="85" w:type="dxa"/>
              <w:right w:w="0" w:type="dxa"/>
            </w:tcMar>
          </w:tcPr>
          <w:p w14:paraId="0599D8AB" w14:textId="77777777" w:rsidR="00770129" w:rsidRDefault="00770129" w:rsidP="005859FE">
            <w:pPr>
              <w:pStyle w:val="DTFTableText"/>
            </w:pPr>
            <w:r>
              <w:t>(Increase in Liabilities – Balance</w:t>
            </w:r>
            <w:r w:rsidR="001D73EE">
              <w:t> </w:t>
            </w:r>
            <w:r>
              <w:t>Sheet)</w:t>
            </w:r>
          </w:p>
        </w:tc>
        <w:tc>
          <w:tcPr>
            <w:tcW w:w="1474" w:type="dxa"/>
            <w:tcMar>
              <w:top w:w="85" w:type="dxa"/>
              <w:left w:w="0" w:type="dxa"/>
              <w:bottom w:w="85" w:type="dxa"/>
              <w:right w:w="0" w:type="dxa"/>
            </w:tcMar>
          </w:tcPr>
          <w:p w14:paraId="0599D8AC" w14:textId="77777777" w:rsidR="00770129" w:rsidRDefault="00770129" w:rsidP="005859FE">
            <w:pPr>
              <w:pStyle w:val="DTFTableNumbers"/>
            </w:pPr>
          </w:p>
        </w:tc>
        <w:tc>
          <w:tcPr>
            <w:tcW w:w="1474" w:type="dxa"/>
            <w:tcMar>
              <w:top w:w="85" w:type="dxa"/>
              <w:left w:w="0" w:type="dxa"/>
              <w:bottom w:w="85" w:type="dxa"/>
              <w:right w:w="0" w:type="dxa"/>
            </w:tcMar>
          </w:tcPr>
          <w:p w14:paraId="0599D8AD" w14:textId="77777777" w:rsidR="00770129" w:rsidRDefault="00770129" w:rsidP="005859FE">
            <w:pPr>
              <w:pStyle w:val="DTFTableNumbers"/>
            </w:pPr>
            <w:r>
              <w:t>$600 000</w:t>
            </w:r>
          </w:p>
        </w:tc>
      </w:tr>
      <w:tr w:rsidR="009D3030" w14:paraId="0599D8B4" w14:textId="77777777" w:rsidTr="00511910">
        <w:tc>
          <w:tcPr>
            <w:tcW w:w="567" w:type="dxa"/>
            <w:tcMar>
              <w:top w:w="85" w:type="dxa"/>
              <w:left w:w="0" w:type="dxa"/>
              <w:bottom w:w="85" w:type="dxa"/>
              <w:right w:w="0" w:type="dxa"/>
            </w:tcMar>
          </w:tcPr>
          <w:p w14:paraId="0599D8AF" w14:textId="77777777" w:rsidR="00770129" w:rsidRDefault="00770129" w:rsidP="005859FE">
            <w:pPr>
              <w:pStyle w:val="DTFTableText"/>
            </w:pPr>
            <w:r>
              <w:t>CR</w:t>
            </w:r>
          </w:p>
        </w:tc>
        <w:tc>
          <w:tcPr>
            <w:tcW w:w="2722" w:type="dxa"/>
            <w:tcMar>
              <w:top w:w="85" w:type="dxa"/>
              <w:left w:w="0" w:type="dxa"/>
              <w:bottom w:w="85" w:type="dxa"/>
              <w:right w:w="0" w:type="dxa"/>
            </w:tcMar>
          </w:tcPr>
          <w:p w14:paraId="0599D8B0" w14:textId="77777777" w:rsidR="00770129" w:rsidRDefault="00770129" w:rsidP="005859FE">
            <w:pPr>
              <w:pStyle w:val="DTFTableText"/>
            </w:pPr>
            <w:r>
              <w:t>Provision for Payroll Tax</w:t>
            </w:r>
          </w:p>
        </w:tc>
        <w:tc>
          <w:tcPr>
            <w:tcW w:w="4309" w:type="dxa"/>
            <w:tcMar>
              <w:top w:w="85" w:type="dxa"/>
              <w:left w:w="0" w:type="dxa"/>
              <w:bottom w:w="85" w:type="dxa"/>
              <w:right w:w="0" w:type="dxa"/>
            </w:tcMar>
          </w:tcPr>
          <w:p w14:paraId="0599D8B1" w14:textId="77777777" w:rsidR="00770129" w:rsidRDefault="00770129" w:rsidP="005859FE">
            <w:pPr>
              <w:pStyle w:val="DTFTableText"/>
            </w:pPr>
            <w:r>
              <w:t>(Increase in Liabilities – Balance</w:t>
            </w:r>
            <w:r w:rsidR="001D73EE">
              <w:t> </w:t>
            </w:r>
            <w:r>
              <w:t>Sheet)</w:t>
            </w:r>
          </w:p>
        </w:tc>
        <w:tc>
          <w:tcPr>
            <w:tcW w:w="1474" w:type="dxa"/>
            <w:tcMar>
              <w:top w:w="85" w:type="dxa"/>
              <w:left w:w="0" w:type="dxa"/>
              <w:bottom w:w="85" w:type="dxa"/>
              <w:right w:w="0" w:type="dxa"/>
            </w:tcMar>
          </w:tcPr>
          <w:p w14:paraId="0599D8B2" w14:textId="77777777" w:rsidR="00770129" w:rsidRDefault="00770129" w:rsidP="005859FE">
            <w:pPr>
              <w:pStyle w:val="DTFTableNumbers"/>
            </w:pPr>
          </w:p>
        </w:tc>
        <w:tc>
          <w:tcPr>
            <w:tcW w:w="1474" w:type="dxa"/>
            <w:tcMar>
              <w:top w:w="85" w:type="dxa"/>
              <w:left w:w="0" w:type="dxa"/>
              <w:bottom w:w="85" w:type="dxa"/>
              <w:right w:w="0" w:type="dxa"/>
            </w:tcMar>
          </w:tcPr>
          <w:p w14:paraId="0599D8B3" w14:textId="77777777" w:rsidR="00770129" w:rsidRDefault="00770129" w:rsidP="005859FE">
            <w:pPr>
              <w:pStyle w:val="DTFTableNumbers"/>
            </w:pPr>
            <w:r>
              <w:t>$33 000</w:t>
            </w:r>
          </w:p>
        </w:tc>
      </w:tr>
    </w:tbl>
    <w:p w14:paraId="0599D8B5" w14:textId="77777777" w:rsidR="00770129" w:rsidRDefault="00770129" w:rsidP="009D3030">
      <w:pPr>
        <w:pStyle w:val="DTFBodyText"/>
      </w:pPr>
      <w:r>
        <w:t>On the first day of the next reporting period the journal is automatically reversed:</w:t>
      </w:r>
    </w:p>
    <w:tbl>
      <w:tblPr>
        <w:tblpPr w:leftFromText="181" w:rightFromText="181" w:bottomFromText="284" w:vertAnchor="text" w:tblpY="1"/>
        <w:tblOverlap w:val="never"/>
        <w:tblW w:w="9639" w:type="dxa"/>
        <w:tblBorders>
          <w:top w:val="single" w:sz="4" w:space="0" w:color="auto"/>
          <w:bottom w:val="single" w:sz="4" w:space="0" w:color="auto"/>
        </w:tblBorders>
        <w:tblLayout w:type="fixed"/>
        <w:tblLook w:val="0000" w:firstRow="0" w:lastRow="0" w:firstColumn="0" w:lastColumn="0" w:noHBand="0" w:noVBand="0"/>
        <w:tblDescription w:val="Example 1 – Accrued Salaries and Wages – Agency "/>
      </w:tblPr>
      <w:tblGrid>
        <w:gridCol w:w="519"/>
        <w:gridCol w:w="2487"/>
        <w:gridCol w:w="3937"/>
        <w:gridCol w:w="1348"/>
        <w:gridCol w:w="1348"/>
      </w:tblGrid>
      <w:tr w:rsidR="00770129" w14:paraId="0599D8BB" w14:textId="77777777" w:rsidTr="00511910">
        <w:trPr>
          <w:tblHeader/>
        </w:trPr>
        <w:tc>
          <w:tcPr>
            <w:tcW w:w="519" w:type="dxa"/>
            <w:tcMar>
              <w:top w:w="85" w:type="dxa"/>
              <w:left w:w="0" w:type="dxa"/>
              <w:bottom w:w="85" w:type="dxa"/>
              <w:right w:w="0" w:type="dxa"/>
            </w:tcMar>
          </w:tcPr>
          <w:p w14:paraId="0599D8B6" w14:textId="77777777" w:rsidR="00770129" w:rsidRDefault="00770129" w:rsidP="00511910">
            <w:pPr>
              <w:pStyle w:val="DTFTableText"/>
            </w:pPr>
            <w:r>
              <w:t>DR</w:t>
            </w:r>
          </w:p>
        </w:tc>
        <w:tc>
          <w:tcPr>
            <w:tcW w:w="2487" w:type="dxa"/>
            <w:tcMar>
              <w:top w:w="85" w:type="dxa"/>
              <w:left w:w="0" w:type="dxa"/>
              <w:bottom w:w="85" w:type="dxa"/>
              <w:right w:w="0" w:type="dxa"/>
            </w:tcMar>
          </w:tcPr>
          <w:p w14:paraId="0599D8B7" w14:textId="77777777" w:rsidR="00770129" w:rsidRDefault="00770129" w:rsidP="00511910">
            <w:pPr>
              <w:pStyle w:val="DTFTableText"/>
            </w:pPr>
            <w:r>
              <w:t>Accrued Salaries</w:t>
            </w:r>
          </w:p>
        </w:tc>
        <w:tc>
          <w:tcPr>
            <w:tcW w:w="3937" w:type="dxa"/>
            <w:tcMar>
              <w:top w:w="85" w:type="dxa"/>
              <w:left w:w="0" w:type="dxa"/>
              <w:bottom w:w="85" w:type="dxa"/>
              <w:right w:w="0" w:type="dxa"/>
            </w:tcMar>
          </w:tcPr>
          <w:p w14:paraId="0599D8B8" w14:textId="77777777" w:rsidR="00770129" w:rsidRDefault="00770129" w:rsidP="00511910">
            <w:pPr>
              <w:pStyle w:val="DTFTableText"/>
            </w:pPr>
            <w:r>
              <w:t>(Decrease in Liabilities – Balance Sheet)</w:t>
            </w:r>
          </w:p>
        </w:tc>
        <w:tc>
          <w:tcPr>
            <w:tcW w:w="1348" w:type="dxa"/>
            <w:tcMar>
              <w:top w:w="85" w:type="dxa"/>
              <w:left w:w="0" w:type="dxa"/>
              <w:bottom w:w="85" w:type="dxa"/>
              <w:right w:w="0" w:type="dxa"/>
            </w:tcMar>
          </w:tcPr>
          <w:p w14:paraId="0599D8B9" w14:textId="77777777" w:rsidR="00770129" w:rsidRPr="009D3030" w:rsidRDefault="009D3030" w:rsidP="00511910">
            <w:pPr>
              <w:pStyle w:val="DTFTableNumbers"/>
            </w:pPr>
            <w:r w:rsidRPr="009D3030">
              <w:t xml:space="preserve">$600 </w:t>
            </w:r>
            <w:r w:rsidR="00770129" w:rsidRPr="009D3030">
              <w:t>000</w:t>
            </w:r>
          </w:p>
        </w:tc>
        <w:tc>
          <w:tcPr>
            <w:tcW w:w="1348" w:type="dxa"/>
            <w:tcMar>
              <w:top w:w="85" w:type="dxa"/>
              <w:left w:w="0" w:type="dxa"/>
              <w:bottom w:w="85" w:type="dxa"/>
              <w:right w:w="0" w:type="dxa"/>
            </w:tcMar>
          </w:tcPr>
          <w:p w14:paraId="0599D8BA" w14:textId="77777777" w:rsidR="00770129" w:rsidRPr="009D3030" w:rsidRDefault="00770129" w:rsidP="00511910">
            <w:pPr>
              <w:pStyle w:val="DTFTableNumbers"/>
            </w:pPr>
          </w:p>
        </w:tc>
      </w:tr>
      <w:tr w:rsidR="00770129" w14:paraId="0599D8C1" w14:textId="77777777" w:rsidTr="00511910">
        <w:tc>
          <w:tcPr>
            <w:tcW w:w="519" w:type="dxa"/>
            <w:tcMar>
              <w:top w:w="85" w:type="dxa"/>
              <w:left w:w="0" w:type="dxa"/>
              <w:bottom w:w="85" w:type="dxa"/>
              <w:right w:w="0" w:type="dxa"/>
            </w:tcMar>
          </w:tcPr>
          <w:p w14:paraId="0599D8BC" w14:textId="77777777" w:rsidR="00770129" w:rsidRDefault="00770129" w:rsidP="00511910">
            <w:pPr>
              <w:pStyle w:val="DTFTableText"/>
            </w:pPr>
            <w:r>
              <w:t>DR</w:t>
            </w:r>
          </w:p>
        </w:tc>
        <w:tc>
          <w:tcPr>
            <w:tcW w:w="2487" w:type="dxa"/>
            <w:tcMar>
              <w:top w:w="85" w:type="dxa"/>
              <w:left w:w="0" w:type="dxa"/>
              <w:bottom w:w="85" w:type="dxa"/>
              <w:right w:w="0" w:type="dxa"/>
            </w:tcMar>
          </w:tcPr>
          <w:p w14:paraId="0599D8BD" w14:textId="77777777" w:rsidR="00770129" w:rsidRDefault="00770129" w:rsidP="00511910">
            <w:pPr>
              <w:pStyle w:val="DTFTableText"/>
            </w:pPr>
            <w:r>
              <w:t>Provision for Payroll Tax</w:t>
            </w:r>
          </w:p>
        </w:tc>
        <w:tc>
          <w:tcPr>
            <w:tcW w:w="3937" w:type="dxa"/>
            <w:tcMar>
              <w:top w:w="85" w:type="dxa"/>
              <w:left w:w="0" w:type="dxa"/>
              <w:bottom w:w="85" w:type="dxa"/>
              <w:right w:w="0" w:type="dxa"/>
            </w:tcMar>
          </w:tcPr>
          <w:p w14:paraId="0599D8BE" w14:textId="77777777" w:rsidR="00770129" w:rsidRDefault="00770129" w:rsidP="00511910">
            <w:pPr>
              <w:pStyle w:val="DTFTableText"/>
            </w:pPr>
            <w:r>
              <w:t>(Decrease in Liabilities – Balance Sheet)</w:t>
            </w:r>
          </w:p>
        </w:tc>
        <w:tc>
          <w:tcPr>
            <w:tcW w:w="1348" w:type="dxa"/>
            <w:tcMar>
              <w:top w:w="85" w:type="dxa"/>
              <w:left w:w="0" w:type="dxa"/>
              <w:bottom w:w="85" w:type="dxa"/>
              <w:right w:w="0" w:type="dxa"/>
            </w:tcMar>
          </w:tcPr>
          <w:p w14:paraId="0599D8BF" w14:textId="77777777" w:rsidR="00770129" w:rsidRPr="009D3030" w:rsidRDefault="009D3030" w:rsidP="00511910">
            <w:pPr>
              <w:pStyle w:val="DTFTableNumbers"/>
            </w:pPr>
            <w:r w:rsidRPr="009D3030">
              <w:t xml:space="preserve">$33 </w:t>
            </w:r>
            <w:r w:rsidR="00770129" w:rsidRPr="009D3030">
              <w:t>000</w:t>
            </w:r>
          </w:p>
        </w:tc>
        <w:tc>
          <w:tcPr>
            <w:tcW w:w="1348" w:type="dxa"/>
            <w:tcMar>
              <w:top w:w="85" w:type="dxa"/>
              <w:left w:w="0" w:type="dxa"/>
              <w:bottom w:w="85" w:type="dxa"/>
              <w:right w:w="0" w:type="dxa"/>
            </w:tcMar>
          </w:tcPr>
          <w:p w14:paraId="0599D8C0" w14:textId="77777777" w:rsidR="00770129" w:rsidRPr="009D3030" w:rsidRDefault="00770129" w:rsidP="00511910">
            <w:pPr>
              <w:pStyle w:val="DTFTableNumbers"/>
            </w:pPr>
          </w:p>
        </w:tc>
      </w:tr>
      <w:tr w:rsidR="00770129" w14:paraId="0599D8C7" w14:textId="77777777" w:rsidTr="00511910">
        <w:tc>
          <w:tcPr>
            <w:tcW w:w="519" w:type="dxa"/>
            <w:tcMar>
              <w:top w:w="85" w:type="dxa"/>
              <w:left w:w="0" w:type="dxa"/>
              <w:bottom w:w="85" w:type="dxa"/>
              <w:right w:w="0" w:type="dxa"/>
            </w:tcMar>
          </w:tcPr>
          <w:p w14:paraId="0599D8C2" w14:textId="77777777" w:rsidR="00770129" w:rsidRDefault="00770129" w:rsidP="00511910">
            <w:pPr>
              <w:pStyle w:val="DTFTableText"/>
            </w:pPr>
            <w:r>
              <w:t>CR</w:t>
            </w:r>
          </w:p>
        </w:tc>
        <w:tc>
          <w:tcPr>
            <w:tcW w:w="2487" w:type="dxa"/>
            <w:tcMar>
              <w:top w:w="85" w:type="dxa"/>
              <w:left w:w="0" w:type="dxa"/>
              <w:bottom w:w="85" w:type="dxa"/>
              <w:right w:w="0" w:type="dxa"/>
            </w:tcMar>
          </w:tcPr>
          <w:p w14:paraId="0599D8C3" w14:textId="77777777" w:rsidR="00770129" w:rsidRDefault="00770129" w:rsidP="00511910">
            <w:pPr>
              <w:pStyle w:val="DTFTableText"/>
            </w:pPr>
            <w:r>
              <w:t>Salaries Expense</w:t>
            </w:r>
          </w:p>
        </w:tc>
        <w:tc>
          <w:tcPr>
            <w:tcW w:w="3937" w:type="dxa"/>
            <w:tcMar>
              <w:top w:w="85" w:type="dxa"/>
              <w:left w:w="0" w:type="dxa"/>
              <w:bottom w:w="85" w:type="dxa"/>
              <w:right w:w="0" w:type="dxa"/>
            </w:tcMar>
          </w:tcPr>
          <w:p w14:paraId="0599D8C4" w14:textId="77777777" w:rsidR="00770129" w:rsidRDefault="00770129" w:rsidP="00511910">
            <w:pPr>
              <w:pStyle w:val="DTFTableText"/>
            </w:pPr>
            <w:r>
              <w:t>(Decrease in Expenses – Operating Statement)</w:t>
            </w:r>
          </w:p>
        </w:tc>
        <w:tc>
          <w:tcPr>
            <w:tcW w:w="1348" w:type="dxa"/>
            <w:tcMar>
              <w:top w:w="85" w:type="dxa"/>
              <w:left w:w="0" w:type="dxa"/>
              <w:bottom w:w="85" w:type="dxa"/>
              <w:right w:w="0" w:type="dxa"/>
            </w:tcMar>
          </w:tcPr>
          <w:p w14:paraId="0599D8C5" w14:textId="77777777" w:rsidR="00770129" w:rsidRPr="009D3030" w:rsidRDefault="00770129" w:rsidP="00511910">
            <w:pPr>
              <w:pStyle w:val="DTFTableNumbers"/>
            </w:pPr>
          </w:p>
        </w:tc>
        <w:tc>
          <w:tcPr>
            <w:tcW w:w="1348" w:type="dxa"/>
            <w:tcMar>
              <w:top w:w="85" w:type="dxa"/>
              <w:left w:w="0" w:type="dxa"/>
              <w:bottom w:w="85" w:type="dxa"/>
              <w:right w:w="0" w:type="dxa"/>
            </w:tcMar>
          </w:tcPr>
          <w:p w14:paraId="0599D8C6" w14:textId="77777777" w:rsidR="00770129" w:rsidRPr="009D3030" w:rsidRDefault="00770129" w:rsidP="00511910">
            <w:pPr>
              <w:pStyle w:val="DTFTableNumbers"/>
            </w:pPr>
            <w:r w:rsidRPr="009D3030">
              <w:t>$600</w:t>
            </w:r>
            <w:r w:rsidR="009D3030" w:rsidRPr="009D3030">
              <w:t xml:space="preserve"> </w:t>
            </w:r>
            <w:r w:rsidRPr="009D3030">
              <w:t>000</w:t>
            </w:r>
          </w:p>
        </w:tc>
      </w:tr>
      <w:tr w:rsidR="00770129" w14:paraId="0599D8CD" w14:textId="77777777" w:rsidTr="00511910">
        <w:tc>
          <w:tcPr>
            <w:tcW w:w="519" w:type="dxa"/>
            <w:tcMar>
              <w:top w:w="85" w:type="dxa"/>
              <w:left w:w="0" w:type="dxa"/>
              <w:bottom w:w="85" w:type="dxa"/>
              <w:right w:w="0" w:type="dxa"/>
            </w:tcMar>
          </w:tcPr>
          <w:p w14:paraId="0599D8C8" w14:textId="77777777" w:rsidR="00770129" w:rsidRDefault="00770129" w:rsidP="00511910">
            <w:pPr>
              <w:pStyle w:val="DTFTableText"/>
            </w:pPr>
            <w:r>
              <w:t>CR</w:t>
            </w:r>
          </w:p>
        </w:tc>
        <w:tc>
          <w:tcPr>
            <w:tcW w:w="2487" w:type="dxa"/>
            <w:tcMar>
              <w:top w:w="85" w:type="dxa"/>
              <w:left w:w="0" w:type="dxa"/>
              <w:bottom w:w="85" w:type="dxa"/>
              <w:right w:w="0" w:type="dxa"/>
            </w:tcMar>
          </w:tcPr>
          <w:p w14:paraId="0599D8C9" w14:textId="77777777" w:rsidR="00770129" w:rsidRDefault="00770129" w:rsidP="00511910">
            <w:pPr>
              <w:pStyle w:val="DTFTableText"/>
            </w:pPr>
            <w:r>
              <w:t>Payroll Tax Expense</w:t>
            </w:r>
          </w:p>
        </w:tc>
        <w:tc>
          <w:tcPr>
            <w:tcW w:w="3937" w:type="dxa"/>
            <w:tcMar>
              <w:top w:w="85" w:type="dxa"/>
              <w:left w:w="0" w:type="dxa"/>
              <w:bottom w:w="85" w:type="dxa"/>
              <w:right w:w="0" w:type="dxa"/>
            </w:tcMar>
          </w:tcPr>
          <w:p w14:paraId="0599D8CA" w14:textId="77777777" w:rsidR="00770129" w:rsidRDefault="00770129" w:rsidP="00511910">
            <w:pPr>
              <w:pStyle w:val="DTFTableText"/>
            </w:pPr>
            <w:r>
              <w:t>(Decrease in Expenses – Operating Statement)</w:t>
            </w:r>
          </w:p>
        </w:tc>
        <w:tc>
          <w:tcPr>
            <w:tcW w:w="1348" w:type="dxa"/>
            <w:tcMar>
              <w:top w:w="85" w:type="dxa"/>
              <w:left w:w="0" w:type="dxa"/>
              <w:bottom w:w="85" w:type="dxa"/>
              <w:right w:w="0" w:type="dxa"/>
            </w:tcMar>
          </w:tcPr>
          <w:p w14:paraId="0599D8CB" w14:textId="77777777" w:rsidR="00770129" w:rsidRPr="009D3030" w:rsidRDefault="00770129" w:rsidP="00511910">
            <w:pPr>
              <w:pStyle w:val="DTFTableNumbers"/>
            </w:pPr>
          </w:p>
        </w:tc>
        <w:tc>
          <w:tcPr>
            <w:tcW w:w="1348" w:type="dxa"/>
            <w:tcMar>
              <w:top w:w="85" w:type="dxa"/>
              <w:left w:w="0" w:type="dxa"/>
              <w:bottom w:w="85" w:type="dxa"/>
              <w:right w:w="0" w:type="dxa"/>
            </w:tcMar>
          </w:tcPr>
          <w:p w14:paraId="0599D8CC" w14:textId="77777777" w:rsidR="00770129" w:rsidRPr="009D3030" w:rsidRDefault="009D3030" w:rsidP="00511910">
            <w:pPr>
              <w:pStyle w:val="DTFTableNumbers"/>
            </w:pPr>
            <w:r w:rsidRPr="009D3030">
              <w:t xml:space="preserve">$33 </w:t>
            </w:r>
            <w:r w:rsidR="00770129" w:rsidRPr="009D3030">
              <w:t>000</w:t>
            </w:r>
          </w:p>
        </w:tc>
      </w:tr>
    </w:tbl>
    <w:p w14:paraId="0599D8CE" w14:textId="77777777" w:rsidR="00770129" w:rsidRPr="00AD3CDD" w:rsidRDefault="00770129" w:rsidP="00AD3CDD">
      <w:pPr>
        <w:pStyle w:val="DTFBodyText"/>
      </w:pPr>
      <w:r>
        <w:t>When the employees earn the remaining four days salary and these amounts are paid, the journal entry would be:</w:t>
      </w:r>
    </w:p>
    <w:tbl>
      <w:tblPr>
        <w:tblpPr w:leftFromText="181" w:rightFromText="181" w:bottomFromText="284" w:vertAnchor="text" w:tblpY="1"/>
        <w:tblOverlap w:val="never"/>
        <w:tblW w:w="9639" w:type="dxa"/>
        <w:tblBorders>
          <w:top w:val="single" w:sz="4" w:space="0" w:color="auto"/>
          <w:bottom w:val="single" w:sz="4" w:space="0" w:color="auto"/>
        </w:tblBorders>
        <w:tblLayout w:type="fixed"/>
        <w:tblLook w:val="0000" w:firstRow="0" w:lastRow="0" w:firstColumn="0" w:lastColumn="0" w:noHBand="0" w:noVBand="0"/>
        <w:tblDescription w:val="Example 1 – Accrued Salaries and Wages – Agency "/>
      </w:tblPr>
      <w:tblGrid>
        <w:gridCol w:w="519"/>
        <w:gridCol w:w="2487"/>
        <w:gridCol w:w="3937"/>
        <w:gridCol w:w="1348"/>
        <w:gridCol w:w="1348"/>
      </w:tblGrid>
      <w:tr w:rsidR="00770129" w14:paraId="0599D8D4" w14:textId="77777777" w:rsidTr="00511910">
        <w:trPr>
          <w:tblHeader/>
        </w:trPr>
        <w:tc>
          <w:tcPr>
            <w:tcW w:w="567" w:type="dxa"/>
            <w:tcMar>
              <w:top w:w="85" w:type="dxa"/>
              <w:left w:w="0" w:type="dxa"/>
              <w:bottom w:w="85" w:type="dxa"/>
              <w:right w:w="0" w:type="dxa"/>
            </w:tcMar>
          </w:tcPr>
          <w:p w14:paraId="0599D8CF" w14:textId="77777777" w:rsidR="00770129" w:rsidRDefault="00770129" w:rsidP="005859FE">
            <w:pPr>
              <w:pStyle w:val="DTFTableText"/>
            </w:pPr>
            <w:r>
              <w:lastRenderedPageBreak/>
              <w:t>DR</w:t>
            </w:r>
          </w:p>
        </w:tc>
        <w:tc>
          <w:tcPr>
            <w:tcW w:w="2722" w:type="dxa"/>
            <w:tcMar>
              <w:top w:w="85" w:type="dxa"/>
              <w:left w:w="0" w:type="dxa"/>
              <w:bottom w:w="85" w:type="dxa"/>
              <w:right w:w="0" w:type="dxa"/>
            </w:tcMar>
          </w:tcPr>
          <w:p w14:paraId="0599D8D0" w14:textId="77777777" w:rsidR="00770129" w:rsidRDefault="00770129" w:rsidP="005859FE">
            <w:pPr>
              <w:pStyle w:val="DTFTableText"/>
            </w:pPr>
            <w:r>
              <w:t>Salaries Expense</w:t>
            </w:r>
          </w:p>
        </w:tc>
        <w:tc>
          <w:tcPr>
            <w:tcW w:w="4309" w:type="dxa"/>
            <w:tcMar>
              <w:top w:w="85" w:type="dxa"/>
              <w:left w:w="0" w:type="dxa"/>
              <w:bottom w:w="85" w:type="dxa"/>
              <w:right w:w="0" w:type="dxa"/>
            </w:tcMar>
          </w:tcPr>
          <w:p w14:paraId="0599D8D1" w14:textId="77777777" w:rsidR="00AD3CDD" w:rsidRDefault="00770129" w:rsidP="005859FE">
            <w:pPr>
              <w:pStyle w:val="DTFTableText"/>
            </w:pPr>
            <w:r>
              <w:t>(Increase in Expenses – Operating Statement)</w:t>
            </w:r>
          </w:p>
        </w:tc>
        <w:tc>
          <w:tcPr>
            <w:tcW w:w="1474" w:type="dxa"/>
            <w:tcMar>
              <w:top w:w="85" w:type="dxa"/>
              <w:left w:w="0" w:type="dxa"/>
              <w:bottom w:w="85" w:type="dxa"/>
              <w:right w:w="0" w:type="dxa"/>
            </w:tcMar>
          </w:tcPr>
          <w:p w14:paraId="0599D8D2" w14:textId="77777777" w:rsidR="00770129" w:rsidRPr="009D3030" w:rsidRDefault="009D3030" w:rsidP="005859FE">
            <w:pPr>
              <w:pStyle w:val="DTFTableNumbers"/>
            </w:pPr>
            <w:r w:rsidRPr="009D3030">
              <w:t xml:space="preserve">$1 000 </w:t>
            </w:r>
            <w:r w:rsidR="00770129" w:rsidRPr="009D3030">
              <w:t>000</w:t>
            </w:r>
          </w:p>
        </w:tc>
        <w:tc>
          <w:tcPr>
            <w:tcW w:w="1474" w:type="dxa"/>
            <w:tcMar>
              <w:top w:w="85" w:type="dxa"/>
              <w:left w:w="0" w:type="dxa"/>
              <w:bottom w:w="85" w:type="dxa"/>
              <w:right w:w="0" w:type="dxa"/>
            </w:tcMar>
          </w:tcPr>
          <w:p w14:paraId="0599D8D3" w14:textId="77777777" w:rsidR="00770129" w:rsidRPr="009D3030" w:rsidRDefault="00770129" w:rsidP="005859FE">
            <w:pPr>
              <w:pStyle w:val="DTFTableNumbers"/>
            </w:pPr>
          </w:p>
        </w:tc>
      </w:tr>
      <w:tr w:rsidR="00770129" w14:paraId="0599D8DA" w14:textId="77777777" w:rsidTr="00511910">
        <w:tc>
          <w:tcPr>
            <w:tcW w:w="567" w:type="dxa"/>
            <w:tcMar>
              <w:top w:w="85" w:type="dxa"/>
              <w:left w:w="0" w:type="dxa"/>
              <w:bottom w:w="85" w:type="dxa"/>
              <w:right w:w="0" w:type="dxa"/>
            </w:tcMar>
          </w:tcPr>
          <w:p w14:paraId="0599D8D5" w14:textId="77777777" w:rsidR="00770129" w:rsidRDefault="00770129" w:rsidP="005859FE">
            <w:pPr>
              <w:pStyle w:val="DTFTableText"/>
            </w:pPr>
            <w:r>
              <w:t>CR</w:t>
            </w:r>
          </w:p>
        </w:tc>
        <w:tc>
          <w:tcPr>
            <w:tcW w:w="2722" w:type="dxa"/>
            <w:tcMar>
              <w:top w:w="85" w:type="dxa"/>
              <w:left w:w="0" w:type="dxa"/>
              <w:bottom w:w="85" w:type="dxa"/>
              <w:right w:w="0" w:type="dxa"/>
            </w:tcMar>
          </w:tcPr>
          <w:p w14:paraId="0599D8D6" w14:textId="77777777" w:rsidR="00770129" w:rsidRDefault="00770129" w:rsidP="005859FE">
            <w:pPr>
              <w:pStyle w:val="DTFTableText"/>
            </w:pPr>
            <w:r>
              <w:t>Cash at Bank</w:t>
            </w:r>
          </w:p>
        </w:tc>
        <w:tc>
          <w:tcPr>
            <w:tcW w:w="4309" w:type="dxa"/>
            <w:tcMar>
              <w:top w:w="85" w:type="dxa"/>
              <w:left w:w="0" w:type="dxa"/>
              <w:bottom w:w="85" w:type="dxa"/>
              <w:right w:w="0" w:type="dxa"/>
            </w:tcMar>
          </w:tcPr>
          <w:p w14:paraId="0599D8D7" w14:textId="77777777" w:rsidR="00770129" w:rsidRDefault="00770129" w:rsidP="005859FE">
            <w:pPr>
              <w:pStyle w:val="DTFTableText"/>
            </w:pPr>
            <w:r>
              <w:t>(Decrease in Assets – Balance Sheet)</w:t>
            </w:r>
          </w:p>
        </w:tc>
        <w:tc>
          <w:tcPr>
            <w:tcW w:w="1474" w:type="dxa"/>
            <w:tcMar>
              <w:top w:w="85" w:type="dxa"/>
              <w:left w:w="0" w:type="dxa"/>
              <w:bottom w:w="85" w:type="dxa"/>
              <w:right w:w="0" w:type="dxa"/>
            </w:tcMar>
          </w:tcPr>
          <w:p w14:paraId="0599D8D8" w14:textId="77777777" w:rsidR="00770129" w:rsidRPr="009D3030" w:rsidRDefault="00770129" w:rsidP="005859FE">
            <w:pPr>
              <w:pStyle w:val="DTFTableNumbers"/>
            </w:pPr>
          </w:p>
        </w:tc>
        <w:tc>
          <w:tcPr>
            <w:tcW w:w="1474" w:type="dxa"/>
            <w:tcMar>
              <w:top w:w="85" w:type="dxa"/>
              <w:left w:w="0" w:type="dxa"/>
              <w:bottom w:w="85" w:type="dxa"/>
              <w:right w:w="0" w:type="dxa"/>
            </w:tcMar>
          </w:tcPr>
          <w:p w14:paraId="0599D8D9" w14:textId="77777777" w:rsidR="00770129" w:rsidRPr="009D3030" w:rsidRDefault="009D3030" w:rsidP="005859FE">
            <w:pPr>
              <w:pStyle w:val="DTFTableNumbers"/>
            </w:pPr>
            <w:r w:rsidRPr="009D3030">
              <w:t xml:space="preserve">$1 000 </w:t>
            </w:r>
            <w:r w:rsidR="00770129" w:rsidRPr="009D3030">
              <w:t>000</w:t>
            </w:r>
          </w:p>
        </w:tc>
      </w:tr>
    </w:tbl>
    <w:p w14:paraId="0599D8DB" w14:textId="77777777" w:rsidR="00770129" w:rsidRPr="00AD3CDD" w:rsidRDefault="00770129" w:rsidP="00AD3CDD">
      <w:pPr>
        <w:pStyle w:val="DTFBodyText"/>
      </w:pPr>
      <w:r>
        <w:t>When the payroll tax is due to be paid for the previous reporting period, the journal entry would be:</w:t>
      </w:r>
    </w:p>
    <w:tbl>
      <w:tblPr>
        <w:tblpPr w:leftFromText="181" w:rightFromText="181" w:vertAnchor="text" w:tblpY="1"/>
        <w:tblOverlap w:val="never"/>
        <w:tblW w:w="9639" w:type="dxa"/>
        <w:tblBorders>
          <w:top w:val="single" w:sz="4" w:space="0" w:color="auto"/>
          <w:bottom w:val="single" w:sz="4" w:space="0" w:color="auto"/>
        </w:tblBorders>
        <w:tblLayout w:type="fixed"/>
        <w:tblLook w:val="0000" w:firstRow="0" w:lastRow="0" w:firstColumn="0" w:lastColumn="0" w:noHBand="0" w:noVBand="0"/>
        <w:tblDescription w:val="Example 1 – Accrued Salaries and Wages – Agency "/>
      </w:tblPr>
      <w:tblGrid>
        <w:gridCol w:w="519"/>
        <w:gridCol w:w="2487"/>
        <w:gridCol w:w="3937"/>
        <w:gridCol w:w="1348"/>
        <w:gridCol w:w="1348"/>
      </w:tblGrid>
      <w:tr w:rsidR="00770129" w14:paraId="0599D8E1" w14:textId="77777777" w:rsidTr="00511910">
        <w:trPr>
          <w:tblHeader/>
        </w:trPr>
        <w:tc>
          <w:tcPr>
            <w:tcW w:w="567" w:type="dxa"/>
            <w:tcMar>
              <w:top w:w="85" w:type="dxa"/>
              <w:left w:w="0" w:type="dxa"/>
              <w:bottom w:w="85" w:type="dxa"/>
              <w:right w:w="0" w:type="dxa"/>
            </w:tcMar>
          </w:tcPr>
          <w:p w14:paraId="0599D8DC" w14:textId="77777777" w:rsidR="00770129" w:rsidRDefault="00770129" w:rsidP="00FC7099">
            <w:pPr>
              <w:pStyle w:val="DTFTableText"/>
            </w:pPr>
            <w:r>
              <w:t>DR</w:t>
            </w:r>
          </w:p>
        </w:tc>
        <w:tc>
          <w:tcPr>
            <w:tcW w:w="2722" w:type="dxa"/>
            <w:tcMar>
              <w:top w:w="85" w:type="dxa"/>
              <w:left w:w="0" w:type="dxa"/>
              <w:bottom w:w="85" w:type="dxa"/>
              <w:right w:w="0" w:type="dxa"/>
            </w:tcMar>
          </w:tcPr>
          <w:p w14:paraId="0599D8DD" w14:textId="77777777" w:rsidR="00770129" w:rsidRDefault="00770129" w:rsidP="00FC7099">
            <w:pPr>
              <w:pStyle w:val="DTFTableText"/>
            </w:pPr>
            <w:r>
              <w:t>Payroll Tax Expense</w:t>
            </w:r>
          </w:p>
        </w:tc>
        <w:tc>
          <w:tcPr>
            <w:tcW w:w="4309" w:type="dxa"/>
            <w:tcMar>
              <w:top w:w="85" w:type="dxa"/>
              <w:left w:w="0" w:type="dxa"/>
              <w:bottom w:w="85" w:type="dxa"/>
              <w:right w:w="0" w:type="dxa"/>
            </w:tcMar>
          </w:tcPr>
          <w:p w14:paraId="0599D8DE" w14:textId="77777777" w:rsidR="00770129" w:rsidRDefault="00770129" w:rsidP="00FC7099">
            <w:pPr>
              <w:pStyle w:val="DTFTableText"/>
            </w:pPr>
            <w:r>
              <w:t>(Increase in Expenses – Operating Statement)</w:t>
            </w:r>
          </w:p>
        </w:tc>
        <w:tc>
          <w:tcPr>
            <w:tcW w:w="1474" w:type="dxa"/>
            <w:tcMar>
              <w:top w:w="85" w:type="dxa"/>
              <w:left w:w="0" w:type="dxa"/>
              <w:bottom w:w="85" w:type="dxa"/>
              <w:right w:w="0" w:type="dxa"/>
            </w:tcMar>
          </w:tcPr>
          <w:p w14:paraId="0599D8DF" w14:textId="77777777" w:rsidR="00770129" w:rsidRDefault="00123D95" w:rsidP="00FC7099">
            <w:pPr>
              <w:pStyle w:val="DTFTableNumbers"/>
            </w:pPr>
            <w:r>
              <w:t xml:space="preserve">$55 </w:t>
            </w:r>
            <w:r w:rsidR="00770129">
              <w:t>000</w:t>
            </w:r>
          </w:p>
        </w:tc>
        <w:tc>
          <w:tcPr>
            <w:tcW w:w="1474" w:type="dxa"/>
            <w:tcMar>
              <w:top w:w="85" w:type="dxa"/>
              <w:left w:w="0" w:type="dxa"/>
              <w:bottom w:w="85" w:type="dxa"/>
              <w:right w:w="0" w:type="dxa"/>
            </w:tcMar>
          </w:tcPr>
          <w:p w14:paraId="0599D8E0" w14:textId="77777777" w:rsidR="00770129" w:rsidRDefault="00770129" w:rsidP="00FC7099">
            <w:pPr>
              <w:pStyle w:val="DTFTableNumbers"/>
            </w:pPr>
          </w:p>
        </w:tc>
      </w:tr>
      <w:tr w:rsidR="00770129" w14:paraId="0599D8E7" w14:textId="77777777" w:rsidTr="00511910">
        <w:tc>
          <w:tcPr>
            <w:tcW w:w="567" w:type="dxa"/>
            <w:tcMar>
              <w:top w:w="85" w:type="dxa"/>
              <w:left w:w="0" w:type="dxa"/>
              <w:bottom w:w="85" w:type="dxa"/>
              <w:right w:w="0" w:type="dxa"/>
            </w:tcMar>
          </w:tcPr>
          <w:p w14:paraId="0599D8E2" w14:textId="77777777" w:rsidR="00770129" w:rsidRDefault="00770129" w:rsidP="00FC7099">
            <w:pPr>
              <w:pStyle w:val="DTFTableText"/>
            </w:pPr>
            <w:r>
              <w:t>CR</w:t>
            </w:r>
          </w:p>
        </w:tc>
        <w:tc>
          <w:tcPr>
            <w:tcW w:w="2722" w:type="dxa"/>
            <w:tcMar>
              <w:top w:w="85" w:type="dxa"/>
              <w:left w:w="0" w:type="dxa"/>
              <w:bottom w:w="85" w:type="dxa"/>
              <w:right w:w="0" w:type="dxa"/>
            </w:tcMar>
          </w:tcPr>
          <w:p w14:paraId="0599D8E3" w14:textId="77777777" w:rsidR="00770129" w:rsidRDefault="00770129" w:rsidP="00FC7099">
            <w:pPr>
              <w:pStyle w:val="DTFTableText"/>
            </w:pPr>
            <w:r>
              <w:t>Cash at Bank</w:t>
            </w:r>
          </w:p>
        </w:tc>
        <w:tc>
          <w:tcPr>
            <w:tcW w:w="4309" w:type="dxa"/>
            <w:tcMar>
              <w:top w:w="85" w:type="dxa"/>
              <w:left w:w="0" w:type="dxa"/>
              <w:bottom w:w="85" w:type="dxa"/>
              <w:right w:w="0" w:type="dxa"/>
            </w:tcMar>
          </w:tcPr>
          <w:p w14:paraId="0599D8E4" w14:textId="77777777" w:rsidR="00770129" w:rsidRDefault="00770129" w:rsidP="00FC7099">
            <w:pPr>
              <w:pStyle w:val="DTFTableText"/>
            </w:pPr>
            <w:r>
              <w:t>(Decrease in Assets – Balance Sheet)</w:t>
            </w:r>
          </w:p>
        </w:tc>
        <w:tc>
          <w:tcPr>
            <w:tcW w:w="1474" w:type="dxa"/>
            <w:tcMar>
              <w:top w:w="85" w:type="dxa"/>
              <w:left w:w="0" w:type="dxa"/>
              <w:bottom w:w="85" w:type="dxa"/>
              <w:right w:w="0" w:type="dxa"/>
            </w:tcMar>
          </w:tcPr>
          <w:p w14:paraId="0599D8E5" w14:textId="77777777" w:rsidR="00770129" w:rsidRDefault="00770129" w:rsidP="00FC7099">
            <w:pPr>
              <w:pStyle w:val="DTFTableNumbers"/>
            </w:pPr>
          </w:p>
        </w:tc>
        <w:tc>
          <w:tcPr>
            <w:tcW w:w="1474" w:type="dxa"/>
            <w:tcMar>
              <w:top w:w="85" w:type="dxa"/>
              <w:left w:w="0" w:type="dxa"/>
              <w:bottom w:w="85" w:type="dxa"/>
              <w:right w:w="0" w:type="dxa"/>
            </w:tcMar>
          </w:tcPr>
          <w:p w14:paraId="0599D8E6" w14:textId="77777777" w:rsidR="00770129" w:rsidRDefault="00770129" w:rsidP="00FC7099">
            <w:pPr>
              <w:pStyle w:val="DTFTableNumbers"/>
            </w:pPr>
            <w:r>
              <w:t>$55</w:t>
            </w:r>
            <w:r w:rsidR="00123D95">
              <w:t xml:space="preserve"> </w:t>
            </w:r>
            <w:r>
              <w:t>000</w:t>
            </w:r>
          </w:p>
        </w:tc>
      </w:tr>
    </w:tbl>
    <w:p w14:paraId="0599D8E8" w14:textId="77777777" w:rsidR="00770129" w:rsidRPr="00FC7099" w:rsidRDefault="00A467D0" w:rsidP="00FC7099">
      <w:pPr>
        <w:pStyle w:val="Heading2"/>
      </w:pPr>
      <w:r w:rsidRPr="00FC7099">
        <w:t>Example 2:</w:t>
      </w:r>
      <w:r w:rsidR="00770129" w:rsidRPr="00FC7099">
        <w:t xml:space="preserve"> Recreation </w:t>
      </w:r>
      <w:r w:rsidR="00281F4D" w:rsidRPr="00FC7099">
        <w:t xml:space="preserve">leave liability – employee </w:t>
      </w:r>
    </w:p>
    <w:p w14:paraId="0599D8E9" w14:textId="77777777" w:rsidR="00770129" w:rsidRDefault="00770129" w:rsidP="005859FE">
      <w:pPr>
        <w:pStyle w:val="DTFBodyText"/>
      </w:pPr>
      <w:r>
        <w:t>In practice the following calculation would be undertaken for all Agency employees based on information in the Personnel Information and Payroll System (PIPS) with journals automatically charged to the Agency’s ledger.</w:t>
      </w:r>
      <w:r w:rsidR="006F5BC3">
        <w:t xml:space="preserve"> </w:t>
      </w:r>
      <w:r>
        <w:t>For illustrative purposes this example shows the calculation of amounts and associated journals for a single employee for a single month.</w:t>
      </w:r>
    </w:p>
    <w:p w14:paraId="0599D8EA" w14:textId="77777777" w:rsidR="00770129" w:rsidRDefault="00770129" w:rsidP="005859FE">
      <w:pPr>
        <w:pStyle w:val="DTFBodyText"/>
      </w:pPr>
      <w:r>
        <w:t>Assuming an employee is entitled to 6 weeks recreation leave per annum, a liability of 2.5 days per month will accrue as the employee provides service.</w:t>
      </w:r>
      <w:r w:rsidR="006F5BC3">
        <w:t xml:space="preserve"> </w:t>
      </w:r>
      <w:r>
        <w:t>In addition, a liability for payroll tax and recreation leave loading will accrue over time.</w:t>
      </w:r>
      <w:r w:rsidR="006F5BC3">
        <w:t xml:space="preserve"> </w:t>
      </w:r>
      <w:r>
        <w:t>At the end of the period a journal entry is required to recognise a liability for the recreation leave earned but not yet taken by the employee.</w:t>
      </w:r>
    </w:p>
    <w:p w14:paraId="0599D8EB" w14:textId="77777777" w:rsidR="005859FE" w:rsidRDefault="00770129" w:rsidP="005859FE">
      <w:pPr>
        <w:pStyle w:val="DTFBodyText"/>
      </w:pPr>
      <w:r>
        <w:t>The employee is paid $2000 per fortnight and is entitled to leave loading.</w:t>
      </w:r>
    </w:p>
    <w:tbl>
      <w:tblPr>
        <w:tblStyle w:val="TableGrid"/>
        <w:tblpPr w:leftFromText="181" w:rightFromText="181" w:bottomFromText="284"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xample 1 – Accrued Salaries and Wages – Agency "/>
      </w:tblPr>
      <w:tblGrid>
        <w:gridCol w:w="5953"/>
        <w:gridCol w:w="284"/>
        <w:gridCol w:w="3402"/>
      </w:tblGrid>
      <w:tr w:rsidR="005859FE" w14:paraId="0599D8EF" w14:textId="77777777" w:rsidTr="00AD3CDD">
        <w:trPr>
          <w:tblHeader/>
        </w:trPr>
        <w:tc>
          <w:tcPr>
            <w:tcW w:w="5953" w:type="dxa"/>
            <w:tcMar>
              <w:top w:w="85" w:type="dxa"/>
              <w:left w:w="0" w:type="dxa"/>
              <w:bottom w:w="85" w:type="dxa"/>
              <w:right w:w="0" w:type="dxa"/>
            </w:tcMar>
          </w:tcPr>
          <w:p w14:paraId="0599D8EC" w14:textId="77777777" w:rsidR="005859FE" w:rsidRDefault="005859FE" w:rsidP="005859FE">
            <w:pPr>
              <w:pStyle w:val="DTFTableText"/>
            </w:pPr>
            <w:r>
              <w:t xml:space="preserve">Daily </w:t>
            </w:r>
            <w:r w:rsidRPr="005859FE">
              <w:t>rate of pay</w:t>
            </w:r>
          </w:p>
        </w:tc>
        <w:tc>
          <w:tcPr>
            <w:tcW w:w="284" w:type="dxa"/>
            <w:tcMar>
              <w:top w:w="85" w:type="dxa"/>
              <w:left w:w="0" w:type="dxa"/>
              <w:bottom w:w="85" w:type="dxa"/>
              <w:right w:w="0" w:type="dxa"/>
            </w:tcMar>
          </w:tcPr>
          <w:p w14:paraId="0599D8ED" w14:textId="77777777" w:rsidR="005859FE" w:rsidRPr="00260EC8" w:rsidRDefault="005859FE" w:rsidP="00260EC8">
            <w:pPr>
              <w:pStyle w:val="DTFTableText"/>
            </w:pPr>
            <w:r w:rsidRPr="00260EC8">
              <w:t>=</w:t>
            </w:r>
          </w:p>
        </w:tc>
        <w:tc>
          <w:tcPr>
            <w:tcW w:w="3402" w:type="dxa"/>
            <w:tcMar>
              <w:top w:w="85" w:type="dxa"/>
              <w:left w:w="0" w:type="dxa"/>
              <w:bottom w:w="85" w:type="dxa"/>
              <w:right w:w="0" w:type="dxa"/>
            </w:tcMar>
          </w:tcPr>
          <w:p w14:paraId="0599D8EE" w14:textId="77777777" w:rsidR="005859FE" w:rsidRDefault="00511910" w:rsidP="005859FE">
            <w:pPr>
              <w:pStyle w:val="DTFTableText"/>
            </w:pPr>
            <w:r>
              <w:t>$2</w:t>
            </w:r>
            <w:r w:rsidR="005859FE" w:rsidRPr="005859FE">
              <w:t>000 x 1/10 days</w:t>
            </w:r>
          </w:p>
        </w:tc>
      </w:tr>
      <w:tr w:rsidR="005859FE" w14:paraId="0599D8F3" w14:textId="77777777" w:rsidTr="00511910">
        <w:tc>
          <w:tcPr>
            <w:tcW w:w="5953" w:type="dxa"/>
            <w:tcMar>
              <w:top w:w="85" w:type="dxa"/>
              <w:left w:w="0" w:type="dxa"/>
              <w:bottom w:w="85" w:type="dxa"/>
              <w:right w:w="0" w:type="dxa"/>
            </w:tcMar>
          </w:tcPr>
          <w:p w14:paraId="0599D8F0" w14:textId="77777777" w:rsidR="005859FE" w:rsidRDefault="005859FE" w:rsidP="005859FE">
            <w:pPr>
              <w:pStyle w:val="DTFTableText"/>
            </w:pPr>
          </w:p>
        </w:tc>
        <w:tc>
          <w:tcPr>
            <w:tcW w:w="284" w:type="dxa"/>
            <w:tcMar>
              <w:top w:w="85" w:type="dxa"/>
              <w:left w:w="0" w:type="dxa"/>
              <w:bottom w:w="85" w:type="dxa"/>
              <w:right w:w="0" w:type="dxa"/>
            </w:tcMar>
          </w:tcPr>
          <w:p w14:paraId="0599D8F1" w14:textId="77777777" w:rsidR="005859FE" w:rsidRPr="00260EC8" w:rsidRDefault="005859FE" w:rsidP="00260EC8">
            <w:pPr>
              <w:pStyle w:val="DTFTableText"/>
            </w:pPr>
            <w:r w:rsidRPr="00260EC8">
              <w:t>=</w:t>
            </w:r>
          </w:p>
        </w:tc>
        <w:tc>
          <w:tcPr>
            <w:tcW w:w="3402" w:type="dxa"/>
            <w:tcMar>
              <w:top w:w="85" w:type="dxa"/>
              <w:left w:w="0" w:type="dxa"/>
              <w:bottom w:w="85" w:type="dxa"/>
              <w:right w:w="0" w:type="dxa"/>
            </w:tcMar>
          </w:tcPr>
          <w:p w14:paraId="0599D8F2" w14:textId="77777777" w:rsidR="005859FE" w:rsidRDefault="005859FE" w:rsidP="005859FE">
            <w:pPr>
              <w:pStyle w:val="DTFTableText"/>
            </w:pPr>
            <w:r w:rsidRPr="005859FE">
              <w:t>$200</w:t>
            </w:r>
          </w:p>
        </w:tc>
      </w:tr>
      <w:tr w:rsidR="005859FE" w14:paraId="0599D8F7" w14:textId="77777777" w:rsidTr="00511910">
        <w:tc>
          <w:tcPr>
            <w:tcW w:w="5953" w:type="dxa"/>
            <w:tcMar>
              <w:top w:w="85" w:type="dxa"/>
              <w:left w:w="0" w:type="dxa"/>
              <w:bottom w:w="85" w:type="dxa"/>
              <w:right w:w="0" w:type="dxa"/>
            </w:tcMar>
          </w:tcPr>
          <w:p w14:paraId="0599D8F4" w14:textId="77777777" w:rsidR="005859FE" w:rsidRDefault="00E64549" w:rsidP="005859FE">
            <w:pPr>
              <w:pStyle w:val="DTFTableText"/>
            </w:pPr>
            <w:r>
              <w:t>Recreation l</w:t>
            </w:r>
            <w:r w:rsidR="005859FE" w:rsidRPr="005859FE">
              <w:t>eave earned for the month</w:t>
            </w:r>
          </w:p>
        </w:tc>
        <w:tc>
          <w:tcPr>
            <w:tcW w:w="284" w:type="dxa"/>
            <w:tcMar>
              <w:top w:w="85" w:type="dxa"/>
              <w:left w:w="0" w:type="dxa"/>
              <w:bottom w:w="85" w:type="dxa"/>
              <w:right w:w="0" w:type="dxa"/>
            </w:tcMar>
          </w:tcPr>
          <w:p w14:paraId="0599D8F5" w14:textId="77777777" w:rsidR="005859FE" w:rsidRPr="00260EC8" w:rsidRDefault="005859FE" w:rsidP="00260EC8">
            <w:pPr>
              <w:pStyle w:val="DTFTableText"/>
            </w:pPr>
            <w:r w:rsidRPr="00260EC8">
              <w:t>=</w:t>
            </w:r>
          </w:p>
        </w:tc>
        <w:tc>
          <w:tcPr>
            <w:tcW w:w="3402" w:type="dxa"/>
            <w:tcMar>
              <w:top w:w="85" w:type="dxa"/>
              <w:left w:w="0" w:type="dxa"/>
              <w:bottom w:w="85" w:type="dxa"/>
              <w:right w:w="0" w:type="dxa"/>
            </w:tcMar>
          </w:tcPr>
          <w:p w14:paraId="0599D8F6" w14:textId="77777777" w:rsidR="005859FE" w:rsidRDefault="005859FE" w:rsidP="005859FE">
            <w:pPr>
              <w:pStyle w:val="DTFTableText"/>
            </w:pPr>
            <w:r w:rsidRPr="005859FE">
              <w:t>$200 x 2.5 days</w:t>
            </w:r>
          </w:p>
        </w:tc>
      </w:tr>
      <w:tr w:rsidR="005859FE" w14:paraId="0599D8FB" w14:textId="77777777" w:rsidTr="00511910">
        <w:tc>
          <w:tcPr>
            <w:tcW w:w="5953" w:type="dxa"/>
            <w:tcMar>
              <w:top w:w="85" w:type="dxa"/>
              <w:left w:w="0" w:type="dxa"/>
              <w:bottom w:w="85" w:type="dxa"/>
              <w:right w:w="0" w:type="dxa"/>
            </w:tcMar>
          </w:tcPr>
          <w:p w14:paraId="0599D8F8" w14:textId="77777777" w:rsidR="005859FE" w:rsidRDefault="005859FE" w:rsidP="005859FE">
            <w:pPr>
              <w:pStyle w:val="DTFTableText"/>
            </w:pPr>
          </w:p>
        </w:tc>
        <w:tc>
          <w:tcPr>
            <w:tcW w:w="284" w:type="dxa"/>
            <w:tcMar>
              <w:top w:w="85" w:type="dxa"/>
              <w:left w:w="0" w:type="dxa"/>
              <w:bottom w:w="85" w:type="dxa"/>
              <w:right w:w="0" w:type="dxa"/>
            </w:tcMar>
          </w:tcPr>
          <w:p w14:paraId="0599D8F9" w14:textId="77777777" w:rsidR="005859FE" w:rsidRPr="00260EC8" w:rsidRDefault="005859FE" w:rsidP="00260EC8">
            <w:pPr>
              <w:pStyle w:val="DTFTableText"/>
            </w:pPr>
            <w:r w:rsidRPr="00260EC8">
              <w:t>=</w:t>
            </w:r>
          </w:p>
        </w:tc>
        <w:tc>
          <w:tcPr>
            <w:tcW w:w="3402" w:type="dxa"/>
            <w:tcMar>
              <w:top w:w="85" w:type="dxa"/>
              <w:left w:w="0" w:type="dxa"/>
              <w:bottom w:w="85" w:type="dxa"/>
              <w:right w:w="0" w:type="dxa"/>
            </w:tcMar>
          </w:tcPr>
          <w:p w14:paraId="0599D8FA" w14:textId="77777777" w:rsidR="005859FE" w:rsidRDefault="005859FE" w:rsidP="005859FE">
            <w:pPr>
              <w:pStyle w:val="DTFTableText"/>
            </w:pPr>
            <w:r w:rsidRPr="005859FE">
              <w:t>$500</w:t>
            </w:r>
          </w:p>
        </w:tc>
      </w:tr>
      <w:tr w:rsidR="005859FE" w14:paraId="0599D8FF" w14:textId="77777777" w:rsidTr="00511910">
        <w:tc>
          <w:tcPr>
            <w:tcW w:w="5953" w:type="dxa"/>
            <w:tcMar>
              <w:top w:w="85" w:type="dxa"/>
              <w:left w:w="0" w:type="dxa"/>
              <w:bottom w:w="85" w:type="dxa"/>
              <w:right w:w="0" w:type="dxa"/>
            </w:tcMar>
          </w:tcPr>
          <w:p w14:paraId="0599D8FC" w14:textId="77777777" w:rsidR="005859FE" w:rsidRDefault="00E64549" w:rsidP="005859FE">
            <w:pPr>
              <w:pStyle w:val="DTFTableText"/>
            </w:pPr>
            <w:r>
              <w:t>Recreation l</w:t>
            </w:r>
            <w:r w:rsidR="005859FE" w:rsidRPr="005859FE">
              <w:t>eave Loading for the month</w:t>
            </w:r>
          </w:p>
        </w:tc>
        <w:tc>
          <w:tcPr>
            <w:tcW w:w="284" w:type="dxa"/>
            <w:tcMar>
              <w:top w:w="85" w:type="dxa"/>
              <w:left w:w="0" w:type="dxa"/>
              <w:bottom w:w="85" w:type="dxa"/>
              <w:right w:w="0" w:type="dxa"/>
            </w:tcMar>
          </w:tcPr>
          <w:p w14:paraId="0599D8FD" w14:textId="77777777" w:rsidR="005859FE" w:rsidRPr="00260EC8" w:rsidRDefault="005859FE" w:rsidP="00260EC8">
            <w:pPr>
              <w:pStyle w:val="DTFTableText"/>
            </w:pPr>
            <w:r w:rsidRPr="00260EC8">
              <w:t>=</w:t>
            </w:r>
          </w:p>
        </w:tc>
        <w:tc>
          <w:tcPr>
            <w:tcW w:w="3402" w:type="dxa"/>
            <w:tcMar>
              <w:top w:w="85" w:type="dxa"/>
              <w:left w:w="0" w:type="dxa"/>
              <w:bottom w:w="85" w:type="dxa"/>
              <w:right w:w="0" w:type="dxa"/>
            </w:tcMar>
          </w:tcPr>
          <w:p w14:paraId="0599D8FE" w14:textId="77777777" w:rsidR="005859FE" w:rsidRDefault="005859FE" w:rsidP="005859FE">
            <w:pPr>
              <w:pStyle w:val="DTFTableText"/>
            </w:pPr>
            <w:r w:rsidRPr="005859FE">
              <w:t xml:space="preserve">$500 x 17.5% </w:t>
            </w:r>
            <w:r w:rsidRPr="005859FE">
              <w:rPr>
                <w:rStyle w:val="FootnoteReference"/>
              </w:rPr>
              <w:footnoteReference w:id="3"/>
            </w:r>
          </w:p>
        </w:tc>
      </w:tr>
      <w:tr w:rsidR="005859FE" w14:paraId="0599D903" w14:textId="77777777" w:rsidTr="00511910">
        <w:tc>
          <w:tcPr>
            <w:tcW w:w="5953" w:type="dxa"/>
            <w:tcMar>
              <w:top w:w="85" w:type="dxa"/>
              <w:left w:w="0" w:type="dxa"/>
              <w:bottom w:w="85" w:type="dxa"/>
              <w:right w:w="0" w:type="dxa"/>
            </w:tcMar>
          </w:tcPr>
          <w:p w14:paraId="0599D900" w14:textId="77777777" w:rsidR="005859FE" w:rsidRDefault="005859FE" w:rsidP="005859FE">
            <w:pPr>
              <w:pStyle w:val="DTFTableText"/>
            </w:pPr>
            <w:r w:rsidRPr="005859FE">
              <w:t xml:space="preserve">(entitlement of 17.5% up to a maximum amount) </w:t>
            </w:r>
            <w:r w:rsidRPr="005859FE">
              <w:rPr>
                <w:rStyle w:val="FootnoteReference"/>
              </w:rPr>
              <w:footnoteReference w:id="4"/>
            </w:r>
            <w:r w:rsidRPr="005859FE">
              <w:t xml:space="preserve"> </w:t>
            </w:r>
          </w:p>
        </w:tc>
        <w:tc>
          <w:tcPr>
            <w:tcW w:w="284" w:type="dxa"/>
            <w:tcMar>
              <w:top w:w="85" w:type="dxa"/>
              <w:left w:w="0" w:type="dxa"/>
              <w:bottom w:w="85" w:type="dxa"/>
              <w:right w:w="0" w:type="dxa"/>
            </w:tcMar>
          </w:tcPr>
          <w:p w14:paraId="0599D901" w14:textId="77777777" w:rsidR="005859FE" w:rsidRPr="00260EC8" w:rsidRDefault="005859FE" w:rsidP="00260EC8">
            <w:pPr>
              <w:pStyle w:val="DTFTableText"/>
            </w:pPr>
            <w:r w:rsidRPr="00260EC8">
              <w:t>=</w:t>
            </w:r>
          </w:p>
        </w:tc>
        <w:tc>
          <w:tcPr>
            <w:tcW w:w="3402" w:type="dxa"/>
            <w:tcMar>
              <w:top w:w="85" w:type="dxa"/>
              <w:left w:w="0" w:type="dxa"/>
              <w:bottom w:w="85" w:type="dxa"/>
              <w:right w:w="0" w:type="dxa"/>
            </w:tcMar>
          </w:tcPr>
          <w:p w14:paraId="0599D902" w14:textId="77777777" w:rsidR="005859FE" w:rsidRDefault="005859FE" w:rsidP="005859FE">
            <w:pPr>
              <w:pStyle w:val="DTFTableText"/>
            </w:pPr>
            <w:r w:rsidRPr="005859FE">
              <w:t>$88</w:t>
            </w:r>
          </w:p>
        </w:tc>
      </w:tr>
      <w:tr w:rsidR="005859FE" w14:paraId="0599D907" w14:textId="77777777" w:rsidTr="00511910">
        <w:tc>
          <w:tcPr>
            <w:tcW w:w="5953" w:type="dxa"/>
            <w:tcMar>
              <w:top w:w="85" w:type="dxa"/>
              <w:left w:w="0" w:type="dxa"/>
              <w:bottom w:w="85" w:type="dxa"/>
              <w:right w:w="0" w:type="dxa"/>
            </w:tcMar>
          </w:tcPr>
          <w:p w14:paraId="0599D904" w14:textId="77777777" w:rsidR="005859FE" w:rsidRDefault="00E64549" w:rsidP="005859FE">
            <w:pPr>
              <w:pStyle w:val="DTFTableText"/>
            </w:pPr>
            <w:r>
              <w:t>Payroll t</w:t>
            </w:r>
            <w:r w:rsidR="005859FE" w:rsidRPr="005859FE">
              <w:t xml:space="preserve">ax for the month (5.5%) </w:t>
            </w:r>
            <w:r w:rsidR="005859FE" w:rsidRPr="005859FE">
              <w:rPr>
                <w:rStyle w:val="FootnoteReference"/>
              </w:rPr>
              <w:footnoteReference w:id="5"/>
            </w:r>
          </w:p>
        </w:tc>
        <w:tc>
          <w:tcPr>
            <w:tcW w:w="284" w:type="dxa"/>
            <w:tcMar>
              <w:top w:w="85" w:type="dxa"/>
              <w:left w:w="0" w:type="dxa"/>
              <w:bottom w:w="85" w:type="dxa"/>
              <w:right w:w="0" w:type="dxa"/>
            </w:tcMar>
          </w:tcPr>
          <w:p w14:paraId="0599D905" w14:textId="77777777" w:rsidR="005859FE" w:rsidRPr="00260EC8" w:rsidRDefault="005859FE" w:rsidP="00260EC8">
            <w:pPr>
              <w:pStyle w:val="DTFTableText"/>
            </w:pPr>
            <w:r w:rsidRPr="00260EC8">
              <w:t>=</w:t>
            </w:r>
          </w:p>
        </w:tc>
        <w:tc>
          <w:tcPr>
            <w:tcW w:w="3402" w:type="dxa"/>
            <w:tcMar>
              <w:top w:w="85" w:type="dxa"/>
              <w:left w:w="0" w:type="dxa"/>
              <w:bottom w:w="85" w:type="dxa"/>
              <w:right w:w="0" w:type="dxa"/>
            </w:tcMar>
          </w:tcPr>
          <w:p w14:paraId="0599D906" w14:textId="77777777" w:rsidR="005859FE" w:rsidRDefault="005859FE" w:rsidP="005859FE">
            <w:pPr>
              <w:pStyle w:val="DTFTableText"/>
            </w:pPr>
            <w:r w:rsidRPr="005859FE">
              <w:t>($500 + $88) x 5.5%</w:t>
            </w:r>
          </w:p>
        </w:tc>
      </w:tr>
      <w:tr w:rsidR="00511910" w14:paraId="0599D90B" w14:textId="77777777" w:rsidTr="00511910">
        <w:tc>
          <w:tcPr>
            <w:tcW w:w="5953" w:type="dxa"/>
            <w:tcMar>
              <w:top w:w="85" w:type="dxa"/>
              <w:left w:w="0" w:type="dxa"/>
              <w:bottom w:w="85" w:type="dxa"/>
              <w:right w:w="0" w:type="dxa"/>
            </w:tcMar>
          </w:tcPr>
          <w:p w14:paraId="0599D908" w14:textId="77777777" w:rsidR="00511910" w:rsidRPr="005859FE" w:rsidRDefault="00511910" w:rsidP="005859FE">
            <w:pPr>
              <w:pStyle w:val="DTFTableText"/>
            </w:pPr>
          </w:p>
        </w:tc>
        <w:tc>
          <w:tcPr>
            <w:tcW w:w="284" w:type="dxa"/>
            <w:tcMar>
              <w:top w:w="85" w:type="dxa"/>
              <w:left w:w="0" w:type="dxa"/>
              <w:bottom w:w="85" w:type="dxa"/>
              <w:right w:w="0" w:type="dxa"/>
            </w:tcMar>
          </w:tcPr>
          <w:p w14:paraId="0599D909" w14:textId="77777777" w:rsidR="00511910" w:rsidRPr="00260EC8" w:rsidRDefault="00511910" w:rsidP="00260EC8">
            <w:pPr>
              <w:pStyle w:val="DTFTableText"/>
            </w:pPr>
            <w:r w:rsidRPr="00260EC8">
              <w:t>=</w:t>
            </w:r>
          </w:p>
        </w:tc>
        <w:tc>
          <w:tcPr>
            <w:tcW w:w="3402" w:type="dxa"/>
            <w:tcMar>
              <w:top w:w="85" w:type="dxa"/>
              <w:left w:w="0" w:type="dxa"/>
              <w:bottom w:w="85" w:type="dxa"/>
              <w:right w:w="0" w:type="dxa"/>
            </w:tcMar>
          </w:tcPr>
          <w:p w14:paraId="0599D90A" w14:textId="77777777" w:rsidR="00511910" w:rsidRPr="005859FE" w:rsidRDefault="00511910" w:rsidP="005859FE">
            <w:pPr>
              <w:pStyle w:val="DTFTableText"/>
            </w:pPr>
            <w:r>
              <w:t>$32</w:t>
            </w:r>
          </w:p>
        </w:tc>
      </w:tr>
    </w:tbl>
    <w:p w14:paraId="0599D90C" w14:textId="77777777" w:rsidR="005859FE" w:rsidRDefault="005859FE" w:rsidP="00770129">
      <w:pPr>
        <w:spacing w:after="0"/>
      </w:pPr>
    </w:p>
    <w:p w14:paraId="0599D90D" w14:textId="77777777" w:rsidR="005859FE" w:rsidRDefault="005859FE">
      <w:pPr>
        <w:spacing w:after="0"/>
      </w:pPr>
      <w:r>
        <w:br w:type="page"/>
      </w:r>
    </w:p>
    <w:p w14:paraId="0599D90E" w14:textId="77777777" w:rsidR="00770129" w:rsidRPr="00511910" w:rsidRDefault="00770129" w:rsidP="005B1D10">
      <w:pPr>
        <w:pStyle w:val="DTFBodyText"/>
      </w:pPr>
      <w:r>
        <w:lastRenderedPageBreak/>
        <w:t>At the end of the reporting period a liability for recreation leave, recreation leave loading and on</w:t>
      </w:r>
      <w:r w:rsidR="00F76642">
        <w:noBreakHyphen/>
      </w:r>
      <w:r>
        <w:t xml:space="preserve">costs such as payroll tax </w:t>
      </w:r>
      <w:r w:rsidRPr="005B1D10">
        <w:rPr>
          <w:vertAlign w:val="superscript"/>
        </w:rPr>
        <w:t>3</w:t>
      </w:r>
      <w:r>
        <w:t>, is recognised for leave earned but not yet taken by the employee:</w:t>
      </w:r>
    </w:p>
    <w:tbl>
      <w:tblPr>
        <w:tblpPr w:leftFromText="181" w:rightFromText="181" w:bottomFromText="284" w:vertAnchor="text" w:tblpY="1"/>
        <w:tblOverlap w:val="never"/>
        <w:tblW w:w="9639" w:type="dxa"/>
        <w:tblBorders>
          <w:top w:val="single" w:sz="4" w:space="0" w:color="auto"/>
          <w:bottom w:val="single" w:sz="4" w:space="0" w:color="auto"/>
        </w:tblBorders>
        <w:tblLayout w:type="fixed"/>
        <w:tblLook w:val="0000" w:firstRow="0" w:lastRow="0" w:firstColumn="0" w:lastColumn="0" w:noHBand="0" w:noVBand="0"/>
      </w:tblPr>
      <w:tblGrid>
        <w:gridCol w:w="513"/>
        <w:gridCol w:w="2489"/>
        <w:gridCol w:w="3939"/>
        <w:gridCol w:w="1349"/>
        <w:gridCol w:w="1349"/>
      </w:tblGrid>
      <w:tr w:rsidR="00770129" w14:paraId="0599D914" w14:textId="77777777" w:rsidTr="00511910">
        <w:trPr>
          <w:trHeight w:val="25"/>
        </w:trPr>
        <w:tc>
          <w:tcPr>
            <w:tcW w:w="560" w:type="dxa"/>
            <w:tcMar>
              <w:top w:w="85" w:type="dxa"/>
              <w:left w:w="0" w:type="dxa"/>
              <w:bottom w:w="85" w:type="dxa"/>
              <w:right w:w="0" w:type="dxa"/>
            </w:tcMar>
          </w:tcPr>
          <w:p w14:paraId="0599D90F" w14:textId="77777777" w:rsidR="00770129" w:rsidRDefault="00770129" w:rsidP="003C5BDC">
            <w:pPr>
              <w:pStyle w:val="DTFTableText"/>
            </w:pPr>
            <w:r>
              <w:t>DR</w:t>
            </w:r>
          </w:p>
        </w:tc>
        <w:tc>
          <w:tcPr>
            <w:tcW w:w="2722" w:type="dxa"/>
            <w:tcMar>
              <w:top w:w="85" w:type="dxa"/>
              <w:left w:w="0" w:type="dxa"/>
              <w:bottom w:w="85" w:type="dxa"/>
              <w:right w:w="0" w:type="dxa"/>
            </w:tcMar>
          </w:tcPr>
          <w:p w14:paraId="0599D910" w14:textId="77777777" w:rsidR="00770129" w:rsidRDefault="00770129" w:rsidP="003C5BDC">
            <w:pPr>
              <w:pStyle w:val="DTFTableText"/>
            </w:pPr>
            <w:r>
              <w:t>Recreation Leave Expense</w:t>
            </w:r>
          </w:p>
        </w:tc>
        <w:tc>
          <w:tcPr>
            <w:tcW w:w="4309" w:type="dxa"/>
            <w:tcMar>
              <w:top w:w="85" w:type="dxa"/>
              <w:left w:w="0" w:type="dxa"/>
              <w:bottom w:w="85" w:type="dxa"/>
              <w:right w:w="0" w:type="dxa"/>
            </w:tcMar>
          </w:tcPr>
          <w:p w14:paraId="0599D911" w14:textId="77777777" w:rsidR="00770129" w:rsidRDefault="00770129" w:rsidP="003C5BDC">
            <w:pPr>
              <w:pStyle w:val="DTFTableText"/>
            </w:pPr>
            <w:r>
              <w:t>(Increase in Expenses – Operating Statement)</w:t>
            </w:r>
          </w:p>
        </w:tc>
        <w:tc>
          <w:tcPr>
            <w:tcW w:w="1474" w:type="dxa"/>
            <w:tcMar>
              <w:top w:w="85" w:type="dxa"/>
              <w:left w:w="0" w:type="dxa"/>
              <w:bottom w:w="85" w:type="dxa"/>
              <w:right w:w="0" w:type="dxa"/>
            </w:tcMar>
          </w:tcPr>
          <w:p w14:paraId="0599D912" w14:textId="77777777" w:rsidR="00770129" w:rsidRDefault="00770129" w:rsidP="003C5BDC">
            <w:pPr>
              <w:pStyle w:val="DTFTableNumbers"/>
            </w:pPr>
            <w:r>
              <w:t>$500</w:t>
            </w:r>
          </w:p>
        </w:tc>
        <w:tc>
          <w:tcPr>
            <w:tcW w:w="1474" w:type="dxa"/>
            <w:tcMar>
              <w:top w:w="85" w:type="dxa"/>
              <w:left w:w="0" w:type="dxa"/>
              <w:bottom w:w="85" w:type="dxa"/>
              <w:right w:w="0" w:type="dxa"/>
            </w:tcMar>
          </w:tcPr>
          <w:p w14:paraId="0599D913" w14:textId="77777777" w:rsidR="00770129" w:rsidRDefault="00770129" w:rsidP="003C5BDC">
            <w:pPr>
              <w:pStyle w:val="DTFTableNumbers"/>
            </w:pPr>
          </w:p>
        </w:tc>
      </w:tr>
      <w:tr w:rsidR="00770129" w14:paraId="0599D91A" w14:textId="77777777" w:rsidTr="00511910">
        <w:tc>
          <w:tcPr>
            <w:tcW w:w="560" w:type="dxa"/>
            <w:tcMar>
              <w:top w:w="85" w:type="dxa"/>
              <w:left w:w="0" w:type="dxa"/>
              <w:bottom w:w="85" w:type="dxa"/>
              <w:right w:w="0" w:type="dxa"/>
            </w:tcMar>
          </w:tcPr>
          <w:p w14:paraId="0599D915" w14:textId="77777777" w:rsidR="00770129" w:rsidRDefault="00770129" w:rsidP="003C5BDC">
            <w:pPr>
              <w:pStyle w:val="DTFTableText"/>
            </w:pPr>
            <w:r>
              <w:t>DR</w:t>
            </w:r>
          </w:p>
        </w:tc>
        <w:tc>
          <w:tcPr>
            <w:tcW w:w="2722" w:type="dxa"/>
            <w:tcMar>
              <w:top w:w="85" w:type="dxa"/>
              <w:left w:w="0" w:type="dxa"/>
              <w:bottom w:w="85" w:type="dxa"/>
              <w:right w:w="0" w:type="dxa"/>
            </w:tcMar>
          </w:tcPr>
          <w:p w14:paraId="0599D916" w14:textId="77777777" w:rsidR="00770129" w:rsidRDefault="00770129" w:rsidP="003C5BDC">
            <w:pPr>
              <w:pStyle w:val="DTFTableText"/>
            </w:pPr>
            <w:r>
              <w:t>Recreation Leave Loading Expense</w:t>
            </w:r>
          </w:p>
        </w:tc>
        <w:tc>
          <w:tcPr>
            <w:tcW w:w="4309" w:type="dxa"/>
            <w:tcMar>
              <w:top w:w="85" w:type="dxa"/>
              <w:left w:w="0" w:type="dxa"/>
              <w:bottom w:w="85" w:type="dxa"/>
              <w:right w:w="0" w:type="dxa"/>
            </w:tcMar>
          </w:tcPr>
          <w:p w14:paraId="0599D917" w14:textId="77777777" w:rsidR="00770129" w:rsidRDefault="00770129" w:rsidP="003C5BDC">
            <w:pPr>
              <w:pStyle w:val="DTFTableText"/>
            </w:pPr>
            <w:r>
              <w:t>(Increase in Expenses – Operating Statement)</w:t>
            </w:r>
          </w:p>
        </w:tc>
        <w:tc>
          <w:tcPr>
            <w:tcW w:w="1474" w:type="dxa"/>
            <w:tcMar>
              <w:top w:w="85" w:type="dxa"/>
              <w:left w:w="0" w:type="dxa"/>
              <w:bottom w:w="85" w:type="dxa"/>
              <w:right w:w="0" w:type="dxa"/>
            </w:tcMar>
          </w:tcPr>
          <w:p w14:paraId="0599D918" w14:textId="77777777" w:rsidR="00770129" w:rsidRDefault="00770129" w:rsidP="003C5BDC">
            <w:pPr>
              <w:pStyle w:val="DTFTableNumbers"/>
            </w:pPr>
            <w:r>
              <w:t>$88</w:t>
            </w:r>
          </w:p>
        </w:tc>
        <w:tc>
          <w:tcPr>
            <w:tcW w:w="1474" w:type="dxa"/>
            <w:tcMar>
              <w:top w:w="85" w:type="dxa"/>
              <w:left w:w="0" w:type="dxa"/>
              <w:bottom w:w="85" w:type="dxa"/>
              <w:right w:w="0" w:type="dxa"/>
            </w:tcMar>
          </w:tcPr>
          <w:p w14:paraId="0599D919" w14:textId="77777777" w:rsidR="00770129" w:rsidRDefault="00770129" w:rsidP="003C5BDC">
            <w:pPr>
              <w:pStyle w:val="DTFTableNumbers"/>
            </w:pPr>
          </w:p>
        </w:tc>
      </w:tr>
      <w:tr w:rsidR="00770129" w14:paraId="0599D920" w14:textId="77777777" w:rsidTr="00511910">
        <w:trPr>
          <w:trHeight w:val="25"/>
        </w:trPr>
        <w:tc>
          <w:tcPr>
            <w:tcW w:w="560" w:type="dxa"/>
            <w:tcMar>
              <w:top w:w="85" w:type="dxa"/>
              <w:left w:w="0" w:type="dxa"/>
              <w:bottom w:w="85" w:type="dxa"/>
              <w:right w:w="0" w:type="dxa"/>
            </w:tcMar>
          </w:tcPr>
          <w:p w14:paraId="0599D91B" w14:textId="77777777" w:rsidR="00770129" w:rsidRDefault="00770129" w:rsidP="003C5BDC">
            <w:pPr>
              <w:pStyle w:val="DTFTableText"/>
            </w:pPr>
            <w:r>
              <w:t>DR</w:t>
            </w:r>
          </w:p>
        </w:tc>
        <w:tc>
          <w:tcPr>
            <w:tcW w:w="2722" w:type="dxa"/>
            <w:tcMar>
              <w:top w:w="85" w:type="dxa"/>
              <w:left w:w="0" w:type="dxa"/>
              <w:bottom w:w="85" w:type="dxa"/>
              <w:right w:w="0" w:type="dxa"/>
            </w:tcMar>
          </w:tcPr>
          <w:p w14:paraId="0599D91C" w14:textId="77777777" w:rsidR="00770129" w:rsidRDefault="00770129" w:rsidP="003C5BDC">
            <w:pPr>
              <w:pStyle w:val="DTFTableText"/>
            </w:pPr>
            <w:r>
              <w:t>Payroll Tax Expense</w:t>
            </w:r>
          </w:p>
        </w:tc>
        <w:tc>
          <w:tcPr>
            <w:tcW w:w="4309" w:type="dxa"/>
            <w:tcMar>
              <w:top w:w="85" w:type="dxa"/>
              <w:left w:w="0" w:type="dxa"/>
              <w:bottom w:w="85" w:type="dxa"/>
              <w:right w:w="0" w:type="dxa"/>
            </w:tcMar>
          </w:tcPr>
          <w:p w14:paraId="0599D91D" w14:textId="77777777" w:rsidR="00770129" w:rsidRDefault="00770129" w:rsidP="003C5BDC">
            <w:pPr>
              <w:pStyle w:val="DTFTableText"/>
            </w:pPr>
            <w:r>
              <w:t>(Increase in Expenses – Operating Statement)</w:t>
            </w:r>
          </w:p>
        </w:tc>
        <w:tc>
          <w:tcPr>
            <w:tcW w:w="1474" w:type="dxa"/>
            <w:tcMar>
              <w:top w:w="85" w:type="dxa"/>
              <w:left w:w="0" w:type="dxa"/>
              <w:bottom w:w="85" w:type="dxa"/>
              <w:right w:w="0" w:type="dxa"/>
            </w:tcMar>
          </w:tcPr>
          <w:p w14:paraId="0599D91E" w14:textId="77777777" w:rsidR="00770129" w:rsidRDefault="00770129" w:rsidP="003C5BDC">
            <w:pPr>
              <w:pStyle w:val="DTFTableNumbers"/>
            </w:pPr>
            <w:r>
              <w:t>$32</w:t>
            </w:r>
          </w:p>
        </w:tc>
        <w:tc>
          <w:tcPr>
            <w:tcW w:w="1474" w:type="dxa"/>
            <w:tcMar>
              <w:top w:w="85" w:type="dxa"/>
              <w:left w:w="0" w:type="dxa"/>
              <w:bottom w:w="85" w:type="dxa"/>
              <w:right w:w="0" w:type="dxa"/>
            </w:tcMar>
          </w:tcPr>
          <w:p w14:paraId="0599D91F" w14:textId="77777777" w:rsidR="00770129" w:rsidRDefault="00770129" w:rsidP="003C5BDC">
            <w:pPr>
              <w:pStyle w:val="DTFTableNumbers"/>
            </w:pPr>
          </w:p>
        </w:tc>
      </w:tr>
      <w:tr w:rsidR="00770129" w14:paraId="0599D926" w14:textId="77777777" w:rsidTr="00511910">
        <w:tc>
          <w:tcPr>
            <w:tcW w:w="560" w:type="dxa"/>
            <w:tcMar>
              <w:top w:w="85" w:type="dxa"/>
              <w:left w:w="0" w:type="dxa"/>
              <w:bottom w:w="85" w:type="dxa"/>
              <w:right w:w="0" w:type="dxa"/>
            </w:tcMar>
          </w:tcPr>
          <w:p w14:paraId="0599D921" w14:textId="77777777" w:rsidR="00770129" w:rsidRDefault="00770129" w:rsidP="003C5BDC">
            <w:pPr>
              <w:pStyle w:val="DTFTableText"/>
            </w:pPr>
            <w:r>
              <w:t>CR</w:t>
            </w:r>
          </w:p>
        </w:tc>
        <w:tc>
          <w:tcPr>
            <w:tcW w:w="2722" w:type="dxa"/>
            <w:tcMar>
              <w:top w:w="85" w:type="dxa"/>
              <w:left w:w="0" w:type="dxa"/>
              <w:bottom w:w="85" w:type="dxa"/>
              <w:right w:w="0" w:type="dxa"/>
            </w:tcMar>
          </w:tcPr>
          <w:p w14:paraId="0599D922" w14:textId="77777777" w:rsidR="00770129" w:rsidRDefault="00770129" w:rsidP="003C5BDC">
            <w:pPr>
              <w:pStyle w:val="DTFTableText"/>
            </w:pPr>
            <w:r>
              <w:t>Provision for Recreation Leave</w:t>
            </w:r>
          </w:p>
        </w:tc>
        <w:tc>
          <w:tcPr>
            <w:tcW w:w="4309" w:type="dxa"/>
            <w:tcMar>
              <w:top w:w="85" w:type="dxa"/>
              <w:left w:w="0" w:type="dxa"/>
              <w:bottom w:w="85" w:type="dxa"/>
              <w:right w:w="0" w:type="dxa"/>
            </w:tcMar>
          </w:tcPr>
          <w:p w14:paraId="0599D923" w14:textId="77777777" w:rsidR="00770129" w:rsidRDefault="00770129" w:rsidP="003C5BDC">
            <w:pPr>
              <w:pStyle w:val="DTFTableText"/>
            </w:pPr>
            <w:r>
              <w:t>(Increase in Liabilities – Balance Sheet)</w:t>
            </w:r>
          </w:p>
        </w:tc>
        <w:tc>
          <w:tcPr>
            <w:tcW w:w="1474" w:type="dxa"/>
            <w:tcMar>
              <w:top w:w="85" w:type="dxa"/>
              <w:left w:w="0" w:type="dxa"/>
              <w:bottom w:w="85" w:type="dxa"/>
              <w:right w:w="0" w:type="dxa"/>
            </w:tcMar>
          </w:tcPr>
          <w:p w14:paraId="0599D924" w14:textId="77777777" w:rsidR="00770129" w:rsidRDefault="00770129" w:rsidP="003C5BDC">
            <w:pPr>
              <w:pStyle w:val="DTFTableNumbers"/>
            </w:pPr>
          </w:p>
        </w:tc>
        <w:tc>
          <w:tcPr>
            <w:tcW w:w="1474" w:type="dxa"/>
            <w:tcMar>
              <w:top w:w="85" w:type="dxa"/>
              <w:left w:w="0" w:type="dxa"/>
              <w:bottom w:w="85" w:type="dxa"/>
              <w:right w:w="0" w:type="dxa"/>
            </w:tcMar>
          </w:tcPr>
          <w:p w14:paraId="0599D925" w14:textId="77777777" w:rsidR="00770129" w:rsidRDefault="00770129" w:rsidP="003C5BDC">
            <w:pPr>
              <w:pStyle w:val="DTFTableNumbers"/>
            </w:pPr>
            <w:r>
              <w:t xml:space="preserve"> $500</w:t>
            </w:r>
          </w:p>
        </w:tc>
      </w:tr>
      <w:tr w:rsidR="00770129" w14:paraId="0599D92C" w14:textId="77777777" w:rsidTr="00511910">
        <w:trPr>
          <w:trHeight w:val="25"/>
        </w:trPr>
        <w:tc>
          <w:tcPr>
            <w:tcW w:w="560" w:type="dxa"/>
            <w:tcMar>
              <w:top w:w="85" w:type="dxa"/>
              <w:left w:w="0" w:type="dxa"/>
              <w:bottom w:w="85" w:type="dxa"/>
              <w:right w:w="0" w:type="dxa"/>
            </w:tcMar>
          </w:tcPr>
          <w:p w14:paraId="0599D927" w14:textId="77777777" w:rsidR="00770129" w:rsidRDefault="00770129" w:rsidP="003C5BDC">
            <w:pPr>
              <w:pStyle w:val="DTFTableText"/>
            </w:pPr>
            <w:r>
              <w:t>CR</w:t>
            </w:r>
          </w:p>
        </w:tc>
        <w:tc>
          <w:tcPr>
            <w:tcW w:w="2722" w:type="dxa"/>
            <w:tcMar>
              <w:top w:w="85" w:type="dxa"/>
              <w:left w:w="0" w:type="dxa"/>
              <w:bottom w:w="85" w:type="dxa"/>
              <w:right w:w="0" w:type="dxa"/>
            </w:tcMar>
          </w:tcPr>
          <w:p w14:paraId="0599D928" w14:textId="77777777" w:rsidR="00770129" w:rsidRDefault="00770129" w:rsidP="003C5BDC">
            <w:pPr>
              <w:pStyle w:val="DTFTableText"/>
            </w:pPr>
            <w:r>
              <w:t>Provision for Recreation Leave Loading</w:t>
            </w:r>
          </w:p>
        </w:tc>
        <w:tc>
          <w:tcPr>
            <w:tcW w:w="4309" w:type="dxa"/>
            <w:tcMar>
              <w:top w:w="85" w:type="dxa"/>
              <w:left w:w="0" w:type="dxa"/>
              <w:bottom w:w="85" w:type="dxa"/>
              <w:right w:w="0" w:type="dxa"/>
            </w:tcMar>
          </w:tcPr>
          <w:p w14:paraId="0599D929" w14:textId="77777777" w:rsidR="00770129" w:rsidRDefault="00770129" w:rsidP="003C5BDC">
            <w:pPr>
              <w:pStyle w:val="DTFTableText"/>
            </w:pPr>
            <w:r>
              <w:t>(Increase in Liabilities – Balance Sheet)</w:t>
            </w:r>
          </w:p>
        </w:tc>
        <w:tc>
          <w:tcPr>
            <w:tcW w:w="1474" w:type="dxa"/>
            <w:tcMar>
              <w:top w:w="85" w:type="dxa"/>
              <w:left w:w="0" w:type="dxa"/>
              <w:bottom w:w="85" w:type="dxa"/>
              <w:right w:w="0" w:type="dxa"/>
            </w:tcMar>
          </w:tcPr>
          <w:p w14:paraId="0599D92A" w14:textId="77777777" w:rsidR="00770129" w:rsidRDefault="00770129" w:rsidP="003C5BDC">
            <w:pPr>
              <w:pStyle w:val="DTFTableNumbers"/>
            </w:pPr>
          </w:p>
        </w:tc>
        <w:tc>
          <w:tcPr>
            <w:tcW w:w="1474" w:type="dxa"/>
            <w:tcMar>
              <w:top w:w="85" w:type="dxa"/>
              <w:left w:w="0" w:type="dxa"/>
              <w:bottom w:w="85" w:type="dxa"/>
              <w:right w:w="0" w:type="dxa"/>
            </w:tcMar>
          </w:tcPr>
          <w:p w14:paraId="0599D92B" w14:textId="77777777" w:rsidR="00770129" w:rsidRDefault="00770129" w:rsidP="003C5BDC">
            <w:pPr>
              <w:pStyle w:val="DTFTableNumbers"/>
            </w:pPr>
            <w:r>
              <w:t>$88</w:t>
            </w:r>
          </w:p>
        </w:tc>
      </w:tr>
      <w:tr w:rsidR="00770129" w14:paraId="0599D932" w14:textId="77777777" w:rsidTr="00511910">
        <w:trPr>
          <w:trHeight w:val="79"/>
        </w:trPr>
        <w:tc>
          <w:tcPr>
            <w:tcW w:w="560" w:type="dxa"/>
            <w:tcMar>
              <w:top w:w="85" w:type="dxa"/>
              <w:left w:w="0" w:type="dxa"/>
              <w:bottom w:w="85" w:type="dxa"/>
              <w:right w:w="0" w:type="dxa"/>
            </w:tcMar>
          </w:tcPr>
          <w:p w14:paraId="0599D92D" w14:textId="77777777" w:rsidR="00770129" w:rsidRDefault="00770129" w:rsidP="003C5BDC">
            <w:pPr>
              <w:pStyle w:val="DTFTableText"/>
            </w:pPr>
            <w:r>
              <w:t>CR</w:t>
            </w:r>
          </w:p>
        </w:tc>
        <w:tc>
          <w:tcPr>
            <w:tcW w:w="2722" w:type="dxa"/>
            <w:tcMar>
              <w:top w:w="85" w:type="dxa"/>
              <w:left w:w="0" w:type="dxa"/>
              <w:bottom w:w="85" w:type="dxa"/>
              <w:right w:w="0" w:type="dxa"/>
            </w:tcMar>
          </w:tcPr>
          <w:p w14:paraId="0599D92E" w14:textId="77777777" w:rsidR="00770129" w:rsidRDefault="00770129" w:rsidP="003C5BDC">
            <w:pPr>
              <w:pStyle w:val="DTFTableText"/>
            </w:pPr>
            <w:r>
              <w:t>Provision for Payroll Tax</w:t>
            </w:r>
          </w:p>
        </w:tc>
        <w:tc>
          <w:tcPr>
            <w:tcW w:w="4309" w:type="dxa"/>
            <w:tcMar>
              <w:top w:w="85" w:type="dxa"/>
              <w:left w:w="0" w:type="dxa"/>
              <w:bottom w:w="85" w:type="dxa"/>
              <w:right w:w="0" w:type="dxa"/>
            </w:tcMar>
          </w:tcPr>
          <w:p w14:paraId="0599D92F" w14:textId="77777777" w:rsidR="00770129" w:rsidRDefault="00770129" w:rsidP="003C5BDC">
            <w:pPr>
              <w:pStyle w:val="DTFTableText"/>
            </w:pPr>
            <w:r>
              <w:t xml:space="preserve"> (Increase in Liabilities – Balance Sheet)</w:t>
            </w:r>
          </w:p>
        </w:tc>
        <w:tc>
          <w:tcPr>
            <w:tcW w:w="1474" w:type="dxa"/>
            <w:tcMar>
              <w:top w:w="85" w:type="dxa"/>
              <w:left w:w="0" w:type="dxa"/>
              <w:bottom w:w="85" w:type="dxa"/>
              <w:right w:w="0" w:type="dxa"/>
            </w:tcMar>
          </w:tcPr>
          <w:p w14:paraId="0599D930" w14:textId="77777777" w:rsidR="00770129" w:rsidRDefault="00770129" w:rsidP="003C5BDC">
            <w:pPr>
              <w:pStyle w:val="DTFTableNumbers"/>
            </w:pPr>
          </w:p>
        </w:tc>
        <w:tc>
          <w:tcPr>
            <w:tcW w:w="1474" w:type="dxa"/>
            <w:tcMar>
              <w:top w:w="85" w:type="dxa"/>
              <w:left w:w="0" w:type="dxa"/>
              <w:bottom w:w="85" w:type="dxa"/>
              <w:right w:w="0" w:type="dxa"/>
            </w:tcMar>
          </w:tcPr>
          <w:p w14:paraId="0599D931" w14:textId="77777777" w:rsidR="00770129" w:rsidRDefault="00770129" w:rsidP="003C5BDC">
            <w:pPr>
              <w:pStyle w:val="DTFTableNumbers"/>
            </w:pPr>
            <w:r>
              <w:t xml:space="preserve"> $32</w:t>
            </w:r>
          </w:p>
        </w:tc>
      </w:tr>
    </w:tbl>
    <w:p w14:paraId="0599D933" w14:textId="77777777" w:rsidR="00F2173F" w:rsidRDefault="00F2173F" w:rsidP="005B1D10">
      <w:pPr>
        <w:pStyle w:val="DTFBodyText"/>
      </w:pPr>
    </w:p>
    <w:p w14:paraId="0599D934" w14:textId="77777777" w:rsidR="00F2173F" w:rsidRDefault="00F2173F">
      <w:pPr>
        <w:spacing w:after="0"/>
        <w:rPr>
          <w:rFonts w:cs="Arial"/>
          <w:b/>
          <w:bCs/>
          <w:sz w:val="24"/>
          <w:szCs w:val="26"/>
          <w:u w:val="single"/>
        </w:rPr>
      </w:pPr>
      <w:r>
        <w:rPr>
          <w:u w:val="single"/>
        </w:rPr>
        <w:br w:type="page"/>
      </w:r>
    </w:p>
    <w:p w14:paraId="0599D935" w14:textId="77777777" w:rsidR="00770129" w:rsidRPr="00AE338E" w:rsidRDefault="00F2173F" w:rsidP="005B1D10">
      <w:pPr>
        <w:pStyle w:val="Heading1"/>
      </w:pPr>
      <w:bookmarkStart w:id="25" w:name="_Toc472677123"/>
      <w:r>
        <w:lastRenderedPageBreak/>
        <w:t>Appendix B</w:t>
      </w:r>
      <w:r w:rsidR="005B1D10">
        <w:t xml:space="preserve">: </w:t>
      </w:r>
      <w:r w:rsidRPr="00AE338E">
        <w:t>Accounting for employee transfers – agency to agency</w:t>
      </w:r>
      <w:bookmarkEnd w:id="25"/>
    </w:p>
    <w:p w14:paraId="0599D936" w14:textId="77777777" w:rsidR="00770129" w:rsidRPr="00102CFD" w:rsidRDefault="00770129" w:rsidP="00F2173F">
      <w:pPr>
        <w:pStyle w:val="DTFBodyText"/>
      </w:pPr>
      <w:r w:rsidRPr="00102CFD">
        <w:t>An employee who has 8 weeks of recreation leave en</w:t>
      </w:r>
      <w:r w:rsidR="00B524F4">
        <w:t xml:space="preserve">titlements owing (totalling $12 </w:t>
      </w:r>
      <w:r w:rsidRPr="00102CFD">
        <w:t>000) and a recreation leave loading liability owing (maximum recreation leave loading payment for that year was $1018) permanently transfers to another Agency at the same salary band. The transfer is not associated with an Administrative Restructure.</w:t>
      </w:r>
    </w:p>
    <w:p w14:paraId="0599D937" w14:textId="77777777" w:rsidR="00770129" w:rsidRPr="00AE338E" w:rsidRDefault="00770129" w:rsidP="00C20802">
      <w:pPr>
        <w:pStyle w:val="Heading2"/>
      </w:pPr>
      <w:r w:rsidRPr="00AE338E">
        <w:t>Rece</w:t>
      </w:r>
      <w:r w:rsidR="00281F4D">
        <w:t>iving A</w:t>
      </w:r>
      <w:r w:rsidRPr="00AE338E">
        <w:t>gency</w:t>
      </w:r>
    </w:p>
    <w:p w14:paraId="0599D938" w14:textId="77777777" w:rsidR="00770129" w:rsidRPr="00102CFD" w:rsidRDefault="00770129" w:rsidP="00F2173F">
      <w:pPr>
        <w:pStyle w:val="DTFBodyText"/>
      </w:pPr>
      <w:r w:rsidRPr="00102CFD">
        <w:t>The receiving Agency will recognise an increase in expenses and an increase in liabilities for the employee’s recreation leave and recreation leave loading owed as at the date of transfer.</w:t>
      </w:r>
    </w:p>
    <w:tbl>
      <w:tblPr>
        <w:tblpPr w:leftFromText="181" w:rightFromText="181" w:vertAnchor="text" w:tblpY="1"/>
        <w:tblOverlap w:val="never"/>
        <w:tblW w:w="9639" w:type="dxa"/>
        <w:tblBorders>
          <w:top w:val="single" w:sz="4" w:space="0" w:color="auto"/>
          <w:bottom w:val="single" w:sz="4" w:space="0" w:color="auto"/>
        </w:tblBorders>
        <w:tblLayout w:type="fixed"/>
        <w:tblLook w:val="0000" w:firstRow="0" w:lastRow="0" w:firstColumn="0" w:lastColumn="0" w:noHBand="0" w:noVBand="0"/>
        <w:tblDescription w:val="Receiving Agency"/>
      </w:tblPr>
      <w:tblGrid>
        <w:gridCol w:w="522"/>
        <w:gridCol w:w="2449"/>
        <w:gridCol w:w="3958"/>
        <w:gridCol w:w="1355"/>
        <w:gridCol w:w="1355"/>
      </w:tblGrid>
      <w:tr w:rsidR="00770129" w14:paraId="0599D93E" w14:textId="77777777" w:rsidTr="00511910">
        <w:trPr>
          <w:tblHeader/>
        </w:trPr>
        <w:tc>
          <w:tcPr>
            <w:tcW w:w="567" w:type="dxa"/>
            <w:tcMar>
              <w:top w:w="85" w:type="dxa"/>
              <w:left w:w="0" w:type="dxa"/>
              <w:bottom w:w="85" w:type="dxa"/>
              <w:right w:w="0" w:type="dxa"/>
            </w:tcMar>
          </w:tcPr>
          <w:p w14:paraId="0599D939" w14:textId="77777777" w:rsidR="00770129" w:rsidRDefault="00770129" w:rsidP="00F2173F">
            <w:pPr>
              <w:pStyle w:val="DTFTableText"/>
            </w:pPr>
            <w:r>
              <w:t>DR</w:t>
            </w:r>
          </w:p>
        </w:tc>
        <w:tc>
          <w:tcPr>
            <w:tcW w:w="2665" w:type="dxa"/>
            <w:tcMar>
              <w:top w:w="85" w:type="dxa"/>
              <w:left w:w="0" w:type="dxa"/>
              <w:bottom w:w="85" w:type="dxa"/>
              <w:right w:w="0" w:type="dxa"/>
            </w:tcMar>
          </w:tcPr>
          <w:p w14:paraId="0599D93A" w14:textId="77777777" w:rsidR="00770129" w:rsidRDefault="00770129" w:rsidP="00F2173F">
            <w:pPr>
              <w:pStyle w:val="DTFTableText"/>
            </w:pPr>
            <w:r>
              <w:t>Recreation Leave Expense</w:t>
            </w:r>
          </w:p>
        </w:tc>
        <w:tc>
          <w:tcPr>
            <w:tcW w:w="4309" w:type="dxa"/>
            <w:tcMar>
              <w:top w:w="85" w:type="dxa"/>
              <w:left w:w="0" w:type="dxa"/>
              <w:bottom w:w="85" w:type="dxa"/>
              <w:right w:w="0" w:type="dxa"/>
            </w:tcMar>
          </w:tcPr>
          <w:p w14:paraId="0599D93B" w14:textId="77777777" w:rsidR="00770129" w:rsidRDefault="00770129" w:rsidP="00F2173F">
            <w:pPr>
              <w:pStyle w:val="DTFTableText"/>
            </w:pPr>
            <w:r>
              <w:t>(Increase in Expenses – Operating Statement)</w:t>
            </w:r>
          </w:p>
        </w:tc>
        <w:tc>
          <w:tcPr>
            <w:tcW w:w="1474" w:type="dxa"/>
            <w:tcMar>
              <w:top w:w="85" w:type="dxa"/>
              <w:left w:w="0" w:type="dxa"/>
              <w:bottom w:w="85" w:type="dxa"/>
              <w:right w:w="0" w:type="dxa"/>
            </w:tcMar>
          </w:tcPr>
          <w:p w14:paraId="0599D93C" w14:textId="77777777" w:rsidR="00770129" w:rsidRDefault="00F2173F" w:rsidP="00F2173F">
            <w:pPr>
              <w:pStyle w:val="DTFTableNumbers"/>
            </w:pPr>
            <w:r>
              <w:t xml:space="preserve">$12 </w:t>
            </w:r>
            <w:r w:rsidR="00770129">
              <w:t>000</w:t>
            </w:r>
          </w:p>
        </w:tc>
        <w:tc>
          <w:tcPr>
            <w:tcW w:w="1474" w:type="dxa"/>
            <w:tcMar>
              <w:top w:w="85" w:type="dxa"/>
              <w:left w:w="0" w:type="dxa"/>
              <w:bottom w:w="85" w:type="dxa"/>
              <w:right w:w="0" w:type="dxa"/>
            </w:tcMar>
          </w:tcPr>
          <w:p w14:paraId="0599D93D" w14:textId="77777777" w:rsidR="00770129" w:rsidRDefault="00770129" w:rsidP="00F2173F">
            <w:pPr>
              <w:pStyle w:val="DTFTableNumbers"/>
            </w:pPr>
          </w:p>
        </w:tc>
      </w:tr>
      <w:tr w:rsidR="00770129" w14:paraId="0599D944" w14:textId="77777777" w:rsidTr="00511910">
        <w:tc>
          <w:tcPr>
            <w:tcW w:w="567" w:type="dxa"/>
            <w:tcMar>
              <w:top w:w="85" w:type="dxa"/>
              <w:left w:w="0" w:type="dxa"/>
              <w:bottom w:w="85" w:type="dxa"/>
              <w:right w:w="0" w:type="dxa"/>
            </w:tcMar>
          </w:tcPr>
          <w:p w14:paraId="0599D93F" w14:textId="77777777" w:rsidR="00770129" w:rsidRDefault="00770129" w:rsidP="00F2173F">
            <w:pPr>
              <w:pStyle w:val="DTFTableText"/>
            </w:pPr>
            <w:r>
              <w:t>DR</w:t>
            </w:r>
          </w:p>
        </w:tc>
        <w:tc>
          <w:tcPr>
            <w:tcW w:w="2665" w:type="dxa"/>
            <w:tcMar>
              <w:top w:w="85" w:type="dxa"/>
              <w:left w:w="0" w:type="dxa"/>
              <w:bottom w:w="85" w:type="dxa"/>
              <w:right w:w="0" w:type="dxa"/>
            </w:tcMar>
          </w:tcPr>
          <w:p w14:paraId="0599D940" w14:textId="77777777" w:rsidR="00770129" w:rsidRDefault="00770129" w:rsidP="00F2173F">
            <w:pPr>
              <w:pStyle w:val="DTFTableText"/>
            </w:pPr>
            <w:r>
              <w:t>Recreation Leave Loading Expense</w:t>
            </w:r>
          </w:p>
        </w:tc>
        <w:tc>
          <w:tcPr>
            <w:tcW w:w="4309" w:type="dxa"/>
            <w:tcMar>
              <w:top w:w="85" w:type="dxa"/>
              <w:left w:w="0" w:type="dxa"/>
              <w:bottom w:w="85" w:type="dxa"/>
              <w:right w:w="0" w:type="dxa"/>
            </w:tcMar>
          </w:tcPr>
          <w:p w14:paraId="0599D941" w14:textId="77777777" w:rsidR="00770129" w:rsidRDefault="00770129" w:rsidP="00F2173F">
            <w:pPr>
              <w:pStyle w:val="DTFTableText"/>
            </w:pPr>
            <w:r>
              <w:t>(Increase in Expenses – Operating Statement)</w:t>
            </w:r>
          </w:p>
        </w:tc>
        <w:tc>
          <w:tcPr>
            <w:tcW w:w="1474" w:type="dxa"/>
            <w:tcMar>
              <w:top w:w="85" w:type="dxa"/>
              <w:left w:w="0" w:type="dxa"/>
              <w:bottom w:w="85" w:type="dxa"/>
              <w:right w:w="0" w:type="dxa"/>
            </w:tcMar>
          </w:tcPr>
          <w:p w14:paraId="0599D942" w14:textId="77777777" w:rsidR="00770129" w:rsidRDefault="00F2173F" w:rsidP="00F2173F">
            <w:pPr>
              <w:pStyle w:val="DTFTableNumbers"/>
            </w:pPr>
            <w:r>
              <w:t xml:space="preserve">$1 </w:t>
            </w:r>
            <w:r w:rsidR="00770129">
              <w:t>018</w:t>
            </w:r>
          </w:p>
        </w:tc>
        <w:tc>
          <w:tcPr>
            <w:tcW w:w="1474" w:type="dxa"/>
            <w:tcMar>
              <w:top w:w="85" w:type="dxa"/>
              <w:left w:w="0" w:type="dxa"/>
              <w:bottom w:w="85" w:type="dxa"/>
              <w:right w:w="0" w:type="dxa"/>
            </w:tcMar>
          </w:tcPr>
          <w:p w14:paraId="0599D943" w14:textId="77777777" w:rsidR="00770129" w:rsidRDefault="00770129" w:rsidP="00F2173F">
            <w:pPr>
              <w:pStyle w:val="DTFTableNumbers"/>
            </w:pPr>
          </w:p>
        </w:tc>
      </w:tr>
      <w:tr w:rsidR="00770129" w14:paraId="0599D94A" w14:textId="77777777" w:rsidTr="00511910">
        <w:tc>
          <w:tcPr>
            <w:tcW w:w="567" w:type="dxa"/>
            <w:tcMar>
              <w:top w:w="85" w:type="dxa"/>
              <w:left w:w="0" w:type="dxa"/>
              <w:bottom w:w="85" w:type="dxa"/>
              <w:right w:w="0" w:type="dxa"/>
            </w:tcMar>
          </w:tcPr>
          <w:p w14:paraId="0599D945" w14:textId="77777777" w:rsidR="00770129" w:rsidRDefault="00770129" w:rsidP="00F2173F">
            <w:pPr>
              <w:pStyle w:val="DTFTableText"/>
            </w:pPr>
            <w:r>
              <w:t>CR</w:t>
            </w:r>
          </w:p>
        </w:tc>
        <w:tc>
          <w:tcPr>
            <w:tcW w:w="2665" w:type="dxa"/>
            <w:tcMar>
              <w:top w:w="85" w:type="dxa"/>
              <w:left w:w="0" w:type="dxa"/>
              <w:bottom w:w="85" w:type="dxa"/>
              <w:right w:w="0" w:type="dxa"/>
            </w:tcMar>
          </w:tcPr>
          <w:p w14:paraId="0599D946" w14:textId="77777777" w:rsidR="00770129" w:rsidRDefault="00770129" w:rsidP="00F2173F">
            <w:pPr>
              <w:pStyle w:val="DTFTableText"/>
            </w:pPr>
            <w:r>
              <w:t>Provision for Recreation Leave</w:t>
            </w:r>
          </w:p>
        </w:tc>
        <w:tc>
          <w:tcPr>
            <w:tcW w:w="4309" w:type="dxa"/>
            <w:tcMar>
              <w:top w:w="85" w:type="dxa"/>
              <w:left w:w="0" w:type="dxa"/>
              <w:bottom w:w="85" w:type="dxa"/>
              <w:right w:w="0" w:type="dxa"/>
            </w:tcMar>
          </w:tcPr>
          <w:p w14:paraId="0599D947" w14:textId="77777777" w:rsidR="00770129" w:rsidRDefault="00770129" w:rsidP="00F2173F">
            <w:pPr>
              <w:pStyle w:val="DTFTableText"/>
            </w:pPr>
            <w:r>
              <w:t>(Increase in Liabilities – Balance Sheet)</w:t>
            </w:r>
          </w:p>
        </w:tc>
        <w:tc>
          <w:tcPr>
            <w:tcW w:w="1474" w:type="dxa"/>
            <w:tcMar>
              <w:top w:w="85" w:type="dxa"/>
              <w:left w:w="0" w:type="dxa"/>
              <w:bottom w:w="85" w:type="dxa"/>
              <w:right w:w="0" w:type="dxa"/>
            </w:tcMar>
          </w:tcPr>
          <w:p w14:paraId="0599D948" w14:textId="77777777" w:rsidR="00770129" w:rsidRDefault="00770129" w:rsidP="00F2173F">
            <w:pPr>
              <w:pStyle w:val="DTFTableNumbers"/>
            </w:pPr>
          </w:p>
        </w:tc>
        <w:tc>
          <w:tcPr>
            <w:tcW w:w="1474" w:type="dxa"/>
            <w:tcMar>
              <w:top w:w="85" w:type="dxa"/>
              <w:left w:w="0" w:type="dxa"/>
              <w:bottom w:w="85" w:type="dxa"/>
              <w:right w:w="0" w:type="dxa"/>
            </w:tcMar>
          </w:tcPr>
          <w:p w14:paraId="0599D949" w14:textId="77777777" w:rsidR="00770129" w:rsidRDefault="00770129" w:rsidP="00F2173F">
            <w:pPr>
              <w:pStyle w:val="DTFTableNumbers"/>
            </w:pPr>
            <w:r>
              <w:t>$12</w:t>
            </w:r>
            <w:r w:rsidR="00F2173F">
              <w:t xml:space="preserve"> </w:t>
            </w:r>
            <w:r>
              <w:t>000</w:t>
            </w:r>
          </w:p>
        </w:tc>
      </w:tr>
      <w:tr w:rsidR="00770129" w14:paraId="0599D950" w14:textId="77777777" w:rsidTr="00511910">
        <w:tc>
          <w:tcPr>
            <w:tcW w:w="567" w:type="dxa"/>
            <w:tcMar>
              <w:top w:w="85" w:type="dxa"/>
              <w:left w:w="0" w:type="dxa"/>
              <w:bottom w:w="85" w:type="dxa"/>
              <w:right w:w="0" w:type="dxa"/>
            </w:tcMar>
          </w:tcPr>
          <w:p w14:paraId="0599D94B" w14:textId="77777777" w:rsidR="00770129" w:rsidRDefault="00770129" w:rsidP="00F2173F">
            <w:pPr>
              <w:pStyle w:val="DTFTableText"/>
            </w:pPr>
            <w:r>
              <w:t>CR</w:t>
            </w:r>
          </w:p>
        </w:tc>
        <w:tc>
          <w:tcPr>
            <w:tcW w:w="2665" w:type="dxa"/>
            <w:tcMar>
              <w:top w:w="85" w:type="dxa"/>
              <w:left w:w="0" w:type="dxa"/>
              <w:bottom w:w="85" w:type="dxa"/>
              <w:right w:w="0" w:type="dxa"/>
            </w:tcMar>
          </w:tcPr>
          <w:p w14:paraId="0599D94C" w14:textId="77777777" w:rsidR="00770129" w:rsidRDefault="00770129" w:rsidP="00F2173F">
            <w:pPr>
              <w:pStyle w:val="DTFTableText"/>
            </w:pPr>
            <w:r>
              <w:t>Provision for Recreation Leave Loading</w:t>
            </w:r>
          </w:p>
        </w:tc>
        <w:tc>
          <w:tcPr>
            <w:tcW w:w="4309" w:type="dxa"/>
            <w:tcMar>
              <w:top w:w="85" w:type="dxa"/>
              <w:left w:w="0" w:type="dxa"/>
              <w:bottom w:w="85" w:type="dxa"/>
              <w:right w:w="0" w:type="dxa"/>
            </w:tcMar>
          </w:tcPr>
          <w:p w14:paraId="0599D94D" w14:textId="77777777" w:rsidR="00770129" w:rsidRDefault="00770129" w:rsidP="00F2173F">
            <w:pPr>
              <w:pStyle w:val="DTFTableText"/>
            </w:pPr>
            <w:r>
              <w:t>(Increase in Liabilities – Balance Sheet)</w:t>
            </w:r>
          </w:p>
        </w:tc>
        <w:tc>
          <w:tcPr>
            <w:tcW w:w="1474" w:type="dxa"/>
            <w:tcMar>
              <w:top w:w="85" w:type="dxa"/>
              <w:left w:w="0" w:type="dxa"/>
              <w:bottom w:w="85" w:type="dxa"/>
              <w:right w:w="0" w:type="dxa"/>
            </w:tcMar>
          </w:tcPr>
          <w:p w14:paraId="0599D94E" w14:textId="77777777" w:rsidR="00770129" w:rsidRDefault="00770129" w:rsidP="00F2173F">
            <w:pPr>
              <w:pStyle w:val="DTFTableNumbers"/>
            </w:pPr>
          </w:p>
        </w:tc>
        <w:tc>
          <w:tcPr>
            <w:tcW w:w="1474" w:type="dxa"/>
            <w:tcMar>
              <w:top w:w="85" w:type="dxa"/>
              <w:left w:w="0" w:type="dxa"/>
              <w:bottom w:w="85" w:type="dxa"/>
              <w:right w:w="0" w:type="dxa"/>
            </w:tcMar>
          </w:tcPr>
          <w:p w14:paraId="0599D94F" w14:textId="77777777" w:rsidR="00770129" w:rsidRDefault="00F2173F" w:rsidP="00F2173F">
            <w:pPr>
              <w:pStyle w:val="DTFTableNumbers"/>
            </w:pPr>
            <w:r>
              <w:t xml:space="preserve">$1 </w:t>
            </w:r>
            <w:r w:rsidR="00770129">
              <w:t>018</w:t>
            </w:r>
          </w:p>
        </w:tc>
      </w:tr>
    </w:tbl>
    <w:p w14:paraId="0599D951" w14:textId="77777777" w:rsidR="00770129" w:rsidRPr="00AE338E" w:rsidRDefault="00770129" w:rsidP="00C20802">
      <w:pPr>
        <w:pStyle w:val="Heading2"/>
      </w:pPr>
      <w:r w:rsidRPr="00AE338E">
        <w:t>Transferring Agency</w:t>
      </w:r>
    </w:p>
    <w:p w14:paraId="0599D952" w14:textId="77777777" w:rsidR="00770129" w:rsidRPr="00102CFD" w:rsidRDefault="00770129" w:rsidP="00F2173F">
      <w:pPr>
        <w:pStyle w:val="DTFBodyText"/>
      </w:pPr>
      <w:r w:rsidRPr="00102CFD">
        <w:t>The transferring Agency will derecognise liabilities for the employee’s recreation leave and recreation loading.</w:t>
      </w:r>
      <w:r w:rsidR="006F5BC3">
        <w:t xml:space="preserve"> </w:t>
      </w:r>
      <w:r w:rsidRPr="00102CFD">
        <w:t>This will result in a reduction in employee benefit liabilities and expenses in the reporting period.</w:t>
      </w:r>
    </w:p>
    <w:tbl>
      <w:tblPr>
        <w:tblW w:w="9639" w:type="dxa"/>
        <w:tblBorders>
          <w:top w:val="single" w:sz="4" w:space="0" w:color="auto"/>
          <w:bottom w:val="single" w:sz="4" w:space="0" w:color="auto"/>
        </w:tblBorders>
        <w:tblLayout w:type="fixed"/>
        <w:tblLook w:val="0000" w:firstRow="0" w:lastRow="0" w:firstColumn="0" w:lastColumn="0" w:noHBand="0" w:noVBand="0"/>
        <w:tblDescription w:val="Transferring Agency"/>
      </w:tblPr>
      <w:tblGrid>
        <w:gridCol w:w="522"/>
        <w:gridCol w:w="2449"/>
        <w:gridCol w:w="3958"/>
        <w:gridCol w:w="1355"/>
        <w:gridCol w:w="1355"/>
      </w:tblGrid>
      <w:tr w:rsidR="00770129" w14:paraId="0599D958" w14:textId="77777777" w:rsidTr="00511910">
        <w:trPr>
          <w:tblHeader/>
        </w:trPr>
        <w:tc>
          <w:tcPr>
            <w:tcW w:w="567" w:type="dxa"/>
            <w:tcMar>
              <w:top w:w="85" w:type="dxa"/>
              <w:left w:w="0" w:type="dxa"/>
              <w:bottom w:w="85" w:type="dxa"/>
              <w:right w:w="0" w:type="dxa"/>
            </w:tcMar>
          </w:tcPr>
          <w:p w14:paraId="0599D953" w14:textId="77777777" w:rsidR="00770129" w:rsidRDefault="00770129" w:rsidP="00F2173F">
            <w:pPr>
              <w:pStyle w:val="DTFTableText"/>
            </w:pPr>
            <w:r>
              <w:t>DR</w:t>
            </w:r>
          </w:p>
        </w:tc>
        <w:tc>
          <w:tcPr>
            <w:tcW w:w="2665" w:type="dxa"/>
            <w:tcMar>
              <w:top w:w="85" w:type="dxa"/>
              <w:left w:w="0" w:type="dxa"/>
              <w:bottom w:w="85" w:type="dxa"/>
              <w:right w:w="0" w:type="dxa"/>
            </w:tcMar>
          </w:tcPr>
          <w:p w14:paraId="0599D954" w14:textId="77777777" w:rsidR="00770129" w:rsidRDefault="00770129" w:rsidP="00F2173F">
            <w:pPr>
              <w:pStyle w:val="DTFTableText"/>
            </w:pPr>
            <w:r>
              <w:t>Provision for Recreation Leave</w:t>
            </w:r>
          </w:p>
        </w:tc>
        <w:tc>
          <w:tcPr>
            <w:tcW w:w="4309" w:type="dxa"/>
            <w:tcMar>
              <w:top w:w="85" w:type="dxa"/>
              <w:left w:w="0" w:type="dxa"/>
              <w:bottom w:w="85" w:type="dxa"/>
              <w:right w:w="0" w:type="dxa"/>
            </w:tcMar>
          </w:tcPr>
          <w:p w14:paraId="0599D955" w14:textId="77777777" w:rsidR="00770129" w:rsidRDefault="00770129" w:rsidP="00F2173F">
            <w:pPr>
              <w:pStyle w:val="DTFTableText"/>
            </w:pPr>
            <w:r>
              <w:t>(Decrease in Liabilities – Balance Sheet)</w:t>
            </w:r>
          </w:p>
        </w:tc>
        <w:tc>
          <w:tcPr>
            <w:tcW w:w="1474" w:type="dxa"/>
            <w:tcMar>
              <w:top w:w="85" w:type="dxa"/>
              <w:left w:w="0" w:type="dxa"/>
              <w:bottom w:w="85" w:type="dxa"/>
              <w:right w:w="0" w:type="dxa"/>
            </w:tcMar>
          </w:tcPr>
          <w:p w14:paraId="0599D956" w14:textId="77777777" w:rsidR="00770129" w:rsidRDefault="00F2173F" w:rsidP="00F2173F">
            <w:pPr>
              <w:pStyle w:val="DTFTableNumbers"/>
            </w:pPr>
            <w:r>
              <w:t xml:space="preserve">$12 </w:t>
            </w:r>
            <w:r w:rsidR="00770129">
              <w:t>000</w:t>
            </w:r>
          </w:p>
        </w:tc>
        <w:tc>
          <w:tcPr>
            <w:tcW w:w="1474" w:type="dxa"/>
            <w:tcMar>
              <w:top w:w="85" w:type="dxa"/>
              <w:left w:w="0" w:type="dxa"/>
              <w:bottom w:w="85" w:type="dxa"/>
              <w:right w:w="0" w:type="dxa"/>
            </w:tcMar>
          </w:tcPr>
          <w:p w14:paraId="0599D957" w14:textId="77777777" w:rsidR="00770129" w:rsidRDefault="00770129" w:rsidP="00F2173F">
            <w:pPr>
              <w:pStyle w:val="DTFTableNumbers"/>
            </w:pPr>
          </w:p>
        </w:tc>
      </w:tr>
      <w:tr w:rsidR="00770129" w14:paraId="0599D95E" w14:textId="77777777" w:rsidTr="00511910">
        <w:tc>
          <w:tcPr>
            <w:tcW w:w="567" w:type="dxa"/>
            <w:tcMar>
              <w:top w:w="85" w:type="dxa"/>
              <w:left w:w="0" w:type="dxa"/>
              <w:bottom w:w="85" w:type="dxa"/>
              <w:right w:w="0" w:type="dxa"/>
            </w:tcMar>
          </w:tcPr>
          <w:p w14:paraId="0599D959" w14:textId="77777777" w:rsidR="00770129" w:rsidRDefault="00770129" w:rsidP="00F2173F">
            <w:pPr>
              <w:pStyle w:val="DTFTableText"/>
            </w:pPr>
            <w:r>
              <w:t>DR</w:t>
            </w:r>
          </w:p>
        </w:tc>
        <w:tc>
          <w:tcPr>
            <w:tcW w:w="2665" w:type="dxa"/>
            <w:tcMar>
              <w:top w:w="85" w:type="dxa"/>
              <w:left w:w="0" w:type="dxa"/>
              <w:bottom w:w="85" w:type="dxa"/>
              <w:right w:w="0" w:type="dxa"/>
            </w:tcMar>
          </w:tcPr>
          <w:p w14:paraId="0599D95A" w14:textId="77777777" w:rsidR="00770129" w:rsidRDefault="00770129" w:rsidP="00F2173F">
            <w:pPr>
              <w:pStyle w:val="DTFTableText"/>
            </w:pPr>
            <w:r>
              <w:t>Provision for Recreation Leave Loading</w:t>
            </w:r>
          </w:p>
        </w:tc>
        <w:tc>
          <w:tcPr>
            <w:tcW w:w="4309" w:type="dxa"/>
            <w:tcMar>
              <w:top w:w="85" w:type="dxa"/>
              <w:left w:w="0" w:type="dxa"/>
              <w:bottom w:w="85" w:type="dxa"/>
              <w:right w:w="0" w:type="dxa"/>
            </w:tcMar>
          </w:tcPr>
          <w:p w14:paraId="0599D95B" w14:textId="77777777" w:rsidR="00770129" w:rsidRDefault="00770129" w:rsidP="00F2173F">
            <w:pPr>
              <w:pStyle w:val="DTFTableText"/>
            </w:pPr>
            <w:r>
              <w:t>(Decrease in Liabilities – Balance Sheet)</w:t>
            </w:r>
          </w:p>
        </w:tc>
        <w:tc>
          <w:tcPr>
            <w:tcW w:w="1474" w:type="dxa"/>
            <w:tcMar>
              <w:top w:w="85" w:type="dxa"/>
              <w:left w:w="0" w:type="dxa"/>
              <w:bottom w:w="85" w:type="dxa"/>
              <w:right w:w="0" w:type="dxa"/>
            </w:tcMar>
          </w:tcPr>
          <w:p w14:paraId="0599D95C" w14:textId="77777777" w:rsidR="00770129" w:rsidRDefault="00F2173F" w:rsidP="00F2173F">
            <w:pPr>
              <w:pStyle w:val="DTFTableNumbers"/>
            </w:pPr>
            <w:r>
              <w:t xml:space="preserve">$1 </w:t>
            </w:r>
            <w:r w:rsidR="00770129">
              <w:t>018</w:t>
            </w:r>
          </w:p>
        </w:tc>
        <w:tc>
          <w:tcPr>
            <w:tcW w:w="1474" w:type="dxa"/>
            <w:tcMar>
              <w:top w:w="85" w:type="dxa"/>
              <w:left w:w="0" w:type="dxa"/>
              <w:bottom w:w="85" w:type="dxa"/>
              <w:right w:w="0" w:type="dxa"/>
            </w:tcMar>
          </w:tcPr>
          <w:p w14:paraId="0599D95D" w14:textId="77777777" w:rsidR="00770129" w:rsidRDefault="00770129" w:rsidP="00F2173F">
            <w:pPr>
              <w:pStyle w:val="DTFTableNumbers"/>
            </w:pPr>
          </w:p>
        </w:tc>
      </w:tr>
      <w:tr w:rsidR="00770129" w14:paraId="0599D964" w14:textId="77777777" w:rsidTr="00511910">
        <w:tc>
          <w:tcPr>
            <w:tcW w:w="567" w:type="dxa"/>
            <w:tcMar>
              <w:top w:w="85" w:type="dxa"/>
              <w:left w:w="0" w:type="dxa"/>
              <w:bottom w:w="85" w:type="dxa"/>
              <w:right w:w="0" w:type="dxa"/>
            </w:tcMar>
          </w:tcPr>
          <w:p w14:paraId="0599D95F" w14:textId="77777777" w:rsidR="00770129" w:rsidRDefault="00770129" w:rsidP="00F2173F">
            <w:pPr>
              <w:pStyle w:val="DTFTableText"/>
            </w:pPr>
            <w:r>
              <w:t>CR</w:t>
            </w:r>
          </w:p>
        </w:tc>
        <w:tc>
          <w:tcPr>
            <w:tcW w:w="2665" w:type="dxa"/>
            <w:tcMar>
              <w:top w:w="85" w:type="dxa"/>
              <w:left w:w="0" w:type="dxa"/>
              <w:bottom w:w="85" w:type="dxa"/>
              <w:right w:w="0" w:type="dxa"/>
            </w:tcMar>
          </w:tcPr>
          <w:p w14:paraId="0599D960" w14:textId="77777777" w:rsidR="00770129" w:rsidRDefault="00770129" w:rsidP="00F2173F">
            <w:pPr>
              <w:pStyle w:val="DTFTableText"/>
            </w:pPr>
            <w:r>
              <w:t>Recreation Leave Expense</w:t>
            </w:r>
          </w:p>
        </w:tc>
        <w:tc>
          <w:tcPr>
            <w:tcW w:w="4309" w:type="dxa"/>
            <w:tcMar>
              <w:top w:w="85" w:type="dxa"/>
              <w:left w:w="0" w:type="dxa"/>
              <w:bottom w:w="85" w:type="dxa"/>
              <w:right w:w="0" w:type="dxa"/>
            </w:tcMar>
          </w:tcPr>
          <w:p w14:paraId="0599D961" w14:textId="77777777" w:rsidR="00770129" w:rsidRDefault="00770129" w:rsidP="00F2173F">
            <w:pPr>
              <w:pStyle w:val="DTFTableText"/>
            </w:pPr>
            <w:r>
              <w:t>(Decrease in Expenses – Operating Statement)</w:t>
            </w:r>
          </w:p>
        </w:tc>
        <w:tc>
          <w:tcPr>
            <w:tcW w:w="1474" w:type="dxa"/>
            <w:tcMar>
              <w:top w:w="85" w:type="dxa"/>
              <w:left w:w="0" w:type="dxa"/>
              <w:bottom w:w="85" w:type="dxa"/>
              <w:right w:w="0" w:type="dxa"/>
            </w:tcMar>
          </w:tcPr>
          <w:p w14:paraId="0599D962" w14:textId="77777777" w:rsidR="00770129" w:rsidRDefault="00770129" w:rsidP="00F2173F">
            <w:pPr>
              <w:pStyle w:val="DTFTableNumbers"/>
            </w:pPr>
          </w:p>
        </w:tc>
        <w:tc>
          <w:tcPr>
            <w:tcW w:w="1474" w:type="dxa"/>
            <w:tcMar>
              <w:top w:w="85" w:type="dxa"/>
              <w:left w:w="0" w:type="dxa"/>
              <w:bottom w:w="85" w:type="dxa"/>
              <w:right w:w="0" w:type="dxa"/>
            </w:tcMar>
          </w:tcPr>
          <w:p w14:paraId="0599D963" w14:textId="77777777" w:rsidR="00770129" w:rsidRDefault="00F2173F" w:rsidP="00F2173F">
            <w:pPr>
              <w:pStyle w:val="DTFTableNumbers"/>
            </w:pPr>
            <w:r>
              <w:t xml:space="preserve">$12 </w:t>
            </w:r>
            <w:r w:rsidR="00770129">
              <w:t>000</w:t>
            </w:r>
          </w:p>
        </w:tc>
      </w:tr>
      <w:tr w:rsidR="00770129" w14:paraId="0599D96A" w14:textId="77777777" w:rsidTr="00511910">
        <w:tc>
          <w:tcPr>
            <w:tcW w:w="567" w:type="dxa"/>
            <w:tcMar>
              <w:top w:w="85" w:type="dxa"/>
              <w:left w:w="0" w:type="dxa"/>
              <w:bottom w:w="85" w:type="dxa"/>
              <w:right w:w="0" w:type="dxa"/>
            </w:tcMar>
          </w:tcPr>
          <w:p w14:paraId="0599D965" w14:textId="77777777" w:rsidR="00770129" w:rsidRDefault="00770129" w:rsidP="00F2173F">
            <w:pPr>
              <w:pStyle w:val="DTFTableText"/>
            </w:pPr>
            <w:r>
              <w:t>CR</w:t>
            </w:r>
          </w:p>
        </w:tc>
        <w:tc>
          <w:tcPr>
            <w:tcW w:w="2665" w:type="dxa"/>
            <w:tcMar>
              <w:top w:w="85" w:type="dxa"/>
              <w:left w:w="0" w:type="dxa"/>
              <w:bottom w:w="85" w:type="dxa"/>
              <w:right w:w="0" w:type="dxa"/>
            </w:tcMar>
          </w:tcPr>
          <w:p w14:paraId="0599D966" w14:textId="77777777" w:rsidR="00770129" w:rsidRDefault="00770129" w:rsidP="00F2173F">
            <w:pPr>
              <w:pStyle w:val="DTFTableText"/>
            </w:pPr>
            <w:r>
              <w:t>Recreation Leave Loading Expense</w:t>
            </w:r>
          </w:p>
        </w:tc>
        <w:tc>
          <w:tcPr>
            <w:tcW w:w="4309" w:type="dxa"/>
            <w:tcMar>
              <w:top w:w="85" w:type="dxa"/>
              <w:left w:w="0" w:type="dxa"/>
              <w:bottom w:w="85" w:type="dxa"/>
              <w:right w:w="0" w:type="dxa"/>
            </w:tcMar>
          </w:tcPr>
          <w:p w14:paraId="0599D967" w14:textId="77777777" w:rsidR="00770129" w:rsidRDefault="00770129" w:rsidP="00F2173F">
            <w:pPr>
              <w:pStyle w:val="DTFTableText"/>
            </w:pPr>
            <w:r>
              <w:t>(Decrease in Expenses – Operating Statement)</w:t>
            </w:r>
          </w:p>
        </w:tc>
        <w:tc>
          <w:tcPr>
            <w:tcW w:w="1474" w:type="dxa"/>
            <w:tcMar>
              <w:top w:w="85" w:type="dxa"/>
              <w:left w:w="0" w:type="dxa"/>
              <w:bottom w:w="85" w:type="dxa"/>
              <w:right w:w="0" w:type="dxa"/>
            </w:tcMar>
          </w:tcPr>
          <w:p w14:paraId="0599D968" w14:textId="77777777" w:rsidR="00770129" w:rsidRDefault="00770129" w:rsidP="00F2173F">
            <w:pPr>
              <w:pStyle w:val="DTFTableNumbers"/>
            </w:pPr>
          </w:p>
        </w:tc>
        <w:tc>
          <w:tcPr>
            <w:tcW w:w="1474" w:type="dxa"/>
            <w:tcMar>
              <w:top w:w="85" w:type="dxa"/>
              <w:left w:w="0" w:type="dxa"/>
              <w:bottom w:w="85" w:type="dxa"/>
              <w:right w:w="0" w:type="dxa"/>
            </w:tcMar>
          </w:tcPr>
          <w:p w14:paraId="0599D969" w14:textId="77777777" w:rsidR="00770129" w:rsidRDefault="00F2173F" w:rsidP="00F2173F">
            <w:pPr>
              <w:pStyle w:val="DTFTableNumbers"/>
            </w:pPr>
            <w:r>
              <w:t xml:space="preserve">$1 </w:t>
            </w:r>
            <w:r w:rsidR="00770129">
              <w:t>018</w:t>
            </w:r>
          </w:p>
        </w:tc>
      </w:tr>
    </w:tbl>
    <w:p w14:paraId="0599D96B" w14:textId="77777777" w:rsidR="00770129" w:rsidRDefault="00770129" w:rsidP="005B1D10">
      <w:pPr>
        <w:pStyle w:val="DTFBodyText"/>
      </w:pPr>
    </w:p>
    <w:p w14:paraId="0599D96C" w14:textId="77777777" w:rsidR="00770129" w:rsidRDefault="00770129" w:rsidP="00770129">
      <w:pPr>
        <w:pStyle w:val="DTFBodyText"/>
      </w:pPr>
    </w:p>
    <w:p w14:paraId="0599D96D" w14:textId="77777777" w:rsidR="00770129" w:rsidRPr="00770129" w:rsidRDefault="00770129" w:rsidP="00770129"/>
    <w:sectPr w:rsidR="00770129" w:rsidRPr="00770129" w:rsidSect="009D0813">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9D970" w14:textId="77777777" w:rsidR="00912722" w:rsidRDefault="00912722" w:rsidP="007332FF">
      <w:r>
        <w:separator/>
      </w:r>
    </w:p>
  </w:endnote>
  <w:endnote w:type="continuationSeparator" w:id="0">
    <w:p w14:paraId="0599D971" w14:textId="77777777" w:rsidR="00912722" w:rsidRDefault="0091272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Std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48CFE" w14:textId="77777777" w:rsidR="003D0C72" w:rsidRDefault="003D0C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D973" w14:textId="77777777" w:rsidR="00511910" w:rsidRPr="00AE306C" w:rsidRDefault="00FC3176" w:rsidP="002926BC">
    <w:pPr>
      <w:tabs>
        <w:tab w:val="right" w:pos="10206"/>
      </w:tabs>
      <w:spacing w:after="120"/>
      <w:ind w:left="-567" w:right="-568"/>
      <w:rPr>
        <w:sz w:val="16"/>
        <w:szCs w:val="16"/>
      </w:rPr>
    </w:pPr>
    <w:r>
      <w:rPr>
        <w:sz w:val="16"/>
        <w:szCs w:val="16"/>
      </w:rPr>
      <w:pict w14:anchorId="0599D97C">
        <v:rect id="_x0000_i1025" style="width:481.9pt;height:.5pt;mso-position-vertical:absolute" o:hralign="center" o:hrstd="t" o:hrnoshade="t" o:hr="t" fillcolor="black [3213]" stroked="f"/>
      </w:pict>
    </w:r>
  </w:p>
  <w:p w14:paraId="0599D974" w14:textId="77777777" w:rsidR="00511910" w:rsidRPr="004D1B76" w:rsidRDefault="00511910"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281F4D">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281F4D">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FC3176">
      <w:rPr>
        <w:rStyle w:val="NTGFooter2deptpagenumChar"/>
        <w:rFonts w:eastAsia="Calibri"/>
        <w:noProof/>
      </w:rPr>
      <w:t>2</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FC3176">
      <w:rPr>
        <w:rStyle w:val="NTGFooter2deptpagenumChar"/>
        <w:rFonts w:eastAsia="Calibri"/>
        <w:noProof/>
      </w:rPr>
      <w:t>12</w:t>
    </w:r>
    <w:r w:rsidRPr="007B5DA2">
      <w:rPr>
        <w:rStyle w:val="NTGFooter2deptpagenumChar"/>
        <w:rFonts w:eastAsia="Calibri"/>
      </w:rPr>
      <w:fldChar w:fldCharType="end"/>
    </w:r>
  </w:p>
  <w:p w14:paraId="0599D975" w14:textId="4E86B826" w:rsidR="00511910" w:rsidRPr="007B5DA2" w:rsidRDefault="003D0C72" w:rsidP="003D0C72">
    <w:pPr>
      <w:pStyle w:val="NTGFooter2DateVersion"/>
      <w:tabs>
        <w:tab w:val="clear" w:pos="9639"/>
        <w:tab w:val="right" w:pos="10206"/>
      </w:tabs>
      <w:ind w:left="-567" w:right="-568"/>
      <w:rPr>
        <w:rStyle w:val="NTGFooter2deptpagenumChar"/>
        <w:rFonts w:eastAsia="Calibri"/>
      </w:rPr>
    </w:pPr>
    <w:r>
      <w:t>18 January 2017</w:t>
    </w:r>
    <w:bookmarkStart w:id="26" w:name="_GoBack"/>
    <w:bookmarkEnd w:id="2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511910" w:rsidRPr="00132658" w14:paraId="0599D97A" w14:textId="77777777" w:rsidTr="002B5591">
      <w:trPr>
        <w:cantSplit/>
        <w:trHeight w:hRule="exact" w:val="1400"/>
        <w:tblHeader/>
      </w:trPr>
      <w:tc>
        <w:tcPr>
          <w:tcW w:w="8505" w:type="dxa"/>
          <w:vAlign w:val="center"/>
        </w:tcPr>
        <w:p w14:paraId="0599D977" w14:textId="77777777" w:rsidR="00511910" w:rsidRPr="00705C9D" w:rsidRDefault="00511910"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281F4D">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281F4D">
            <w:rPr>
              <w:rStyle w:val="NTGFooterDepartmentNameChar"/>
            </w:rPr>
            <w:t>Treasury and Finance</w:t>
          </w:r>
          <w:r w:rsidRPr="00705C9D">
            <w:rPr>
              <w:rStyle w:val="NTGFooterDepartmentNameChar"/>
            </w:rPr>
            <w:fldChar w:fldCharType="end"/>
          </w:r>
        </w:p>
        <w:p w14:paraId="0599D978" w14:textId="5FCAFB94" w:rsidR="00511910" w:rsidRPr="007B5DA2" w:rsidRDefault="00511910" w:rsidP="003D0C72">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FC3176">
            <w:rPr>
              <w:noProof/>
            </w:rPr>
            <w:t>1</w:t>
          </w:r>
          <w:r w:rsidRPr="007B5DA2">
            <w:fldChar w:fldCharType="end"/>
          </w:r>
          <w:r w:rsidRPr="007B5DA2">
            <w:t xml:space="preserve"> of </w:t>
          </w:r>
          <w:r w:rsidR="00FC3176">
            <w:fldChar w:fldCharType="begin"/>
          </w:r>
          <w:r w:rsidR="00FC3176">
            <w:instrText xml:space="preserve"> NUMPAGES  \* Arabic  \* MERGEFORMAT </w:instrText>
          </w:r>
          <w:r w:rsidR="00FC3176">
            <w:fldChar w:fldCharType="separate"/>
          </w:r>
          <w:r w:rsidR="00FC3176">
            <w:rPr>
              <w:noProof/>
            </w:rPr>
            <w:t>12</w:t>
          </w:r>
          <w:r w:rsidR="00FC3176">
            <w:rPr>
              <w:noProof/>
            </w:rPr>
            <w:fldChar w:fldCharType="end"/>
          </w:r>
          <w:r w:rsidRPr="007B5DA2">
            <w:tab/>
          </w:r>
          <w:r w:rsidR="003D0C72">
            <w:t>18</w:t>
          </w:r>
          <w:r>
            <w:t xml:space="preserve"> </w:t>
          </w:r>
          <w:r w:rsidR="003D0C72">
            <w:t>January 2017</w:t>
          </w:r>
        </w:p>
      </w:tc>
      <w:tc>
        <w:tcPr>
          <w:tcW w:w="2268" w:type="dxa"/>
          <w:vAlign w:val="center"/>
        </w:tcPr>
        <w:p w14:paraId="0599D979" w14:textId="77777777" w:rsidR="00511910" w:rsidRPr="001E14EB" w:rsidRDefault="00511910" w:rsidP="00543BD1">
          <w:pPr>
            <w:spacing w:after="0"/>
            <w:jc w:val="right"/>
          </w:pPr>
          <w:r w:rsidRPr="00132658">
            <w:rPr>
              <w:noProof/>
            </w:rPr>
            <w:drawing>
              <wp:inline distT="0" distB="0" distL="0" distR="0" wp14:anchorId="0599D97D" wp14:editId="0599D97E">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0599D97B" w14:textId="77777777" w:rsidR="00511910" w:rsidRPr="00543BD1" w:rsidRDefault="00511910" w:rsidP="00543BD1">
    <w:pPr>
      <w:pStyle w:val="NoSpacing"/>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9D96E" w14:textId="77777777" w:rsidR="00912722" w:rsidRDefault="00912722" w:rsidP="007332FF">
      <w:r>
        <w:separator/>
      </w:r>
    </w:p>
  </w:footnote>
  <w:footnote w:type="continuationSeparator" w:id="0">
    <w:p w14:paraId="0599D96F" w14:textId="77777777" w:rsidR="00912722" w:rsidRDefault="00912722" w:rsidP="007332FF">
      <w:r>
        <w:continuationSeparator/>
      </w:r>
    </w:p>
  </w:footnote>
  <w:footnote w:id="1">
    <w:p w14:paraId="0599D97F" w14:textId="77777777" w:rsidR="00511910" w:rsidRDefault="00511910" w:rsidP="00770129">
      <w:pPr>
        <w:pStyle w:val="FootnoteText"/>
        <w:rPr>
          <w:sz w:val="18"/>
        </w:rPr>
      </w:pPr>
      <w:r>
        <w:rPr>
          <w:rStyle w:val="FootnoteReference"/>
          <w:sz w:val="18"/>
        </w:rPr>
        <w:footnoteRef/>
      </w:r>
      <w:r>
        <w:rPr>
          <w:sz w:val="18"/>
        </w:rPr>
        <w:t xml:space="preserve"> Refer to relevant Treasury Payroll Tax Revenue Circulars for up to date information on Payroll Tax.</w:t>
      </w:r>
    </w:p>
  </w:footnote>
  <w:footnote w:id="2">
    <w:p w14:paraId="0599D980" w14:textId="77777777" w:rsidR="00511910" w:rsidRDefault="00511910" w:rsidP="00770129">
      <w:pPr>
        <w:pStyle w:val="FootnoteText"/>
        <w:rPr>
          <w:sz w:val="18"/>
        </w:rPr>
      </w:pPr>
      <w:r>
        <w:rPr>
          <w:rStyle w:val="FootnoteReference"/>
          <w:sz w:val="18"/>
        </w:rPr>
        <w:footnoteRef/>
      </w:r>
      <w:r>
        <w:rPr>
          <w:sz w:val="18"/>
        </w:rPr>
        <w:t xml:space="preserve"> In practice a liability for Payroll tax may be determined on an annual basis (that is, 30 June) where amounts are immaterial.</w:t>
      </w:r>
    </w:p>
  </w:footnote>
  <w:footnote w:id="3">
    <w:p w14:paraId="0599D981" w14:textId="77777777" w:rsidR="00511910" w:rsidRPr="00135968" w:rsidRDefault="00511910" w:rsidP="005859FE">
      <w:pPr>
        <w:pStyle w:val="FootnoteText"/>
        <w:spacing w:before="0" w:after="80"/>
        <w:rPr>
          <w:sz w:val="18"/>
        </w:rPr>
      </w:pPr>
      <w:r w:rsidRPr="00A35586">
        <w:rPr>
          <w:rStyle w:val="FootnoteReference"/>
          <w:sz w:val="18"/>
        </w:rPr>
        <w:footnoteRef/>
      </w:r>
      <w:r w:rsidRPr="00A35586">
        <w:rPr>
          <w:sz w:val="18"/>
        </w:rPr>
        <w:t xml:space="preserve"> </w:t>
      </w:r>
      <w:r w:rsidRPr="00135968">
        <w:rPr>
          <w:sz w:val="18"/>
        </w:rPr>
        <w:t>In this example a 17.5% rate is used to estimate leave loading amounts during the year.</w:t>
      </w:r>
      <w:r>
        <w:rPr>
          <w:sz w:val="18"/>
        </w:rPr>
        <w:t xml:space="preserve"> </w:t>
      </w:r>
      <w:r w:rsidRPr="00135968">
        <w:rPr>
          <w:sz w:val="18"/>
        </w:rPr>
        <w:t>Calculation of recreation leave loading should take into account the maximum recreation leave loading amount payable and also exclude employees who are not entitled to a leave loading bonus.</w:t>
      </w:r>
    </w:p>
  </w:footnote>
  <w:footnote w:id="4">
    <w:p w14:paraId="0599D982" w14:textId="77777777" w:rsidR="00511910" w:rsidRDefault="00511910" w:rsidP="005859FE">
      <w:pPr>
        <w:pStyle w:val="FootnoteText"/>
        <w:spacing w:before="0" w:after="0"/>
        <w:rPr>
          <w:sz w:val="18"/>
        </w:rPr>
      </w:pPr>
      <w:r>
        <w:rPr>
          <w:rStyle w:val="FootnoteReference"/>
          <w:sz w:val="18"/>
        </w:rPr>
        <w:footnoteRef/>
      </w:r>
      <w:r>
        <w:rPr>
          <w:sz w:val="18"/>
        </w:rPr>
        <w:t xml:space="preserve"> A maximum payment for recreation leave loading applies under the </w:t>
      </w:r>
      <w:r>
        <w:rPr>
          <w:i/>
          <w:sz w:val="18"/>
        </w:rPr>
        <w:t>Public Sector Employment and Management Act</w:t>
      </w:r>
      <w:r>
        <w:rPr>
          <w:sz w:val="18"/>
        </w:rPr>
        <w:t>. Note that recreation leave loading does not apply to Executive Contract Officers.</w:t>
      </w:r>
    </w:p>
  </w:footnote>
  <w:footnote w:id="5">
    <w:p w14:paraId="0599D983" w14:textId="77777777" w:rsidR="00511910" w:rsidRDefault="00511910" w:rsidP="005859FE">
      <w:pPr>
        <w:pStyle w:val="FootnoteText"/>
        <w:spacing w:before="80" w:after="0"/>
        <w:rPr>
          <w:sz w:val="18"/>
        </w:rPr>
      </w:pPr>
      <w:r>
        <w:rPr>
          <w:rStyle w:val="FootnoteReference"/>
          <w:sz w:val="18"/>
        </w:rPr>
        <w:footnoteRef/>
      </w:r>
      <w:r>
        <w:rPr>
          <w:sz w:val="18"/>
        </w:rPr>
        <w:t xml:space="preserve"> Refer to relevant Treasury Payroll Tax Revenue Circulars for up to date information on </w:t>
      </w:r>
      <w:r w:rsidR="00E64549">
        <w:rPr>
          <w:sz w:val="18"/>
        </w:rPr>
        <w:t>payroll tax</w:t>
      </w:r>
      <w:r>
        <w:rPr>
          <w:sz w:val="18"/>
        </w:rPr>
        <w:t xml:space="preserve">. In practice a liability for </w:t>
      </w:r>
      <w:r w:rsidR="00E64549">
        <w:rPr>
          <w:sz w:val="18"/>
        </w:rPr>
        <w:t xml:space="preserve">payroll tax </w:t>
      </w:r>
      <w:r>
        <w:rPr>
          <w:sz w:val="18"/>
        </w:rPr>
        <w:t>may be determined on an annual basis (that is, 30 June) where amounts are immaterial.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FF02D" w14:textId="77777777" w:rsidR="003D0C72" w:rsidRDefault="003D0C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D972" w14:textId="77777777" w:rsidR="00511910" w:rsidRDefault="00FC3176" w:rsidP="002926BC">
    <w:pPr>
      <w:pStyle w:val="Header"/>
      <w:tabs>
        <w:tab w:val="clear" w:pos="9026"/>
      </w:tabs>
      <w:ind w:right="-568"/>
    </w:pPr>
    <w:r>
      <w:fldChar w:fldCharType="begin"/>
    </w:r>
    <w:r>
      <w:instrText xml:space="preserve"> TITLE   \* MERGEFORMAT </w:instrText>
    </w:r>
    <w:r>
      <w:fldChar w:fldCharType="separate"/>
    </w:r>
    <w:r w:rsidR="00281F4D">
      <w:t>Accounting – liabilities (Section A3.4: Employee benefits)</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D976" w14:textId="77777777" w:rsidR="00511910" w:rsidRPr="00AE0EFF" w:rsidRDefault="00511910" w:rsidP="00AE0EFF">
    <w:pPr>
      <w:pStyle w:val="Title"/>
    </w:pPr>
    <w:r w:rsidRPr="00AE0EFF">
      <w:t>Treasurer’s Directions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567"/>
    <w:multiLevelType w:val="multilevel"/>
    <w:tmpl w:val="BB902FCE"/>
    <w:lvl w:ilvl="0">
      <w:start w:val="1"/>
      <w:numFmt w:val="lowerRoman"/>
      <w:pStyle w:val="DTFListNumber1-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305E5F"/>
    <w:multiLevelType w:val="hybridMultilevel"/>
    <w:tmpl w:val="699022B0"/>
    <w:lvl w:ilvl="0" w:tplc="3D3C7374">
      <w:start w:val="1"/>
      <w:numFmt w:val="bullet"/>
      <w:pStyle w:val="ListBullet4"/>
      <w:lvlText w:val="−"/>
      <w:lvlJc w:val="left"/>
      <w:pPr>
        <w:ind w:left="785"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34E74"/>
    <w:multiLevelType w:val="hybridMultilevel"/>
    <w:tmpl w:val="943EB11C"/>
    <w:lvl w:ilvl="0" w:tplc="32E85392">
      <w:start w:val="1"/>
      <w:numFmt w:val="decimal"/>
      <w:pStyle w:val="DTFHeading2-numbered"/>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 w15:restartNumberingAfterBreak="0">
    <w:nsid w:val="171C3D8A"/>
    <w:multiLevelType w:val="multilevel"/>
    <w:tmpl w:val="F3BC187E"/>
    <w:lvl w:ilvl="0">
      <w:start w:val="1"/>
      <w:numFmt w:val="bullet"/>
      <w:pStyle w:val="DTFListBullet1-Black"/>
      <w:lvlText w:val=""/>
      <w:lvlJc w:val="left"/>
      <w:pPr>
        <w:ind w:left="680" w:hanging="396"/>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254C0A94"/>
    <w:multiLevelType w:val="multilevel"/>
    <w:tmpl w:val="652496DE"/>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077" w:hanging="397"/>
      </w:pPr>
      <w:rPr>
        <w:rFonts w:ascii="Courier New" w:hAnsi="Courier New" w:hint="default"/>
      </w:rPr>
    </w:lvl>
    <w:lvl w:ilvl="2">
      <w:start w:val="1"/>
      <w:numFmt w:val="bullet"/>
      <w:lvlText w:val=""/>
      <w:lvlJc w:val="left"/>
      <w:pPr>
        <w:ind w:left="2366" w:hanging="360"/>
      </w:pPr>
      <w:rPr>
        <w:rFonts w:ascii="Wingdings" w:hAnsi="Wingdings" w:hint="default"/>
      </w:rPr>
    </w:lvl>
    <w:lvl w:ilvl="3">
      <w:start w:val="1"/>
      <w:numFmt w:val="bullet"/>
      <w:lvlText w:val=""/>
      <w:lvlJc w:val="left"/>
      <w:pPr>
        <w:ind w:left="3086" w:hanging="360"/>
      </w:pPr>
      <w:rPr>
        <w:rFonts w:ascii="Symbol" w:hAnsi="Symbol" w:hint="default"/>
      </w:rPr>
    </w:lvl>
    <w:lvl w:ilvl="4">
      <w:start w:val="1"/>
      <w:numFmt w:val="bullet"/>
      <w:lvlText w:val="o"/>
      <w:lvlJc w:val="left"/>
      <w:pPr>
        <w:ind w:left="3806" w:hanging="360"/>
      </w:pPr>
      <w:rPr>
        <w:rFonts w:ascii="Courier New" w:hAnsi="Courier New" w:cs="Courier New" w:hint="default"/>
      </w:rPr>
    </w:lvl>
    <w:lvl w:ilvl="5">
      <w:start w:val="1"/>
      <w:numFmt w:val="bullet"/>
      <w:lvlText w:val=""/>
      <w:lvlJc w:val="left"/>
      <w:pPr>
        <w:ind w:left="4526" w:hanging="360"/>
      </w:pPr>
      <w:rPr>
        <w:rFonts w:ascii="Wingdings" w:hAnsi="Wingdings" w:hint="default"/>
      </w:rPr>
    </w:lvl>
    <w:lvl w:ilvl="6">
      <w:start w:val="1"/>
      <w:numFmt w:val="bullet"/>
      <w:lvlText w:val=""/>
      <w:lvlJc w:val="left"/>
      <w:pPr>
        <w:ind w:left="5246" w:hanging="360"/>
      </w:pPr>
      <w:rPr>
        <w:rFonts w:ascii="Symbol" w:hAnsi="Symbol" w:hint="default"/>
      </w:rPr>
    </w:lvl>
    <w:lvl w:ilvl="7">
      <w:start w:val="1"/>
      <w:numFmt w:val="bullet"/>
      <w:lvlText w:val="o"/>
      <w:lvlJc w:val="left"/>
      <w:pPr>
        <w:ind w:left="5966" w:hanging="360"/>
      </w:pPr>
      <w:rPr>
        <w:rFonts w:ascii="Courier New" w:hAnsi="Courier New" w:cs="Courier New" w:hint="default"/>
      </w:rPr>
    </w:lvl>
    <w:lvl w:ilvl="8">
      <w:start w:val="1"/>
      <w:numFmt w:val="bullet"/>
      <w:lvlText w:val=""/>
      <w:lvlJc w:val="left"/>
      <w:pPr>
        <w:ind w:left="6686" w:hanging="360"/>
      </w:pPr>
      <w:rPr>
        <w:rFonts w:ascii="Wingdings" w:hAnsi="Wingdings" w:hint="default"/>
      </w:rPr>
    </w:lvl>
  </w:abstractNum>
  <w:abstractNum w:abstractNumId="7" w15:restartNumberingAfterBreak="0">
    <w:nsid w:val="2A59584B"/>
    <w:multiLevelType w:val="multilevel"/>
    <w:tmpl w:val="8D8CCF9A"/>
    <w:styleLink w:val="NTGTable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8" w15:restartNumberingAfterBreak="0">
    <w:nsid w:val="311A6781"/>
    <w:multiLevelType w:val="multilevel"/>
    <w:tmpl w:val="A45AB330"/>
    <w:lvl w:ilvl="0">
      <w:start w:val="1"/>
      <w:numFmt w:val="decimal"/>
      <w:pStyle w:val="DTFListNumber1"/>
      <w:lvlText w:val="%1."/>
      <w:lvlJc w:val="left"/>
      <w:pPr>
        <w:ind w:left="680" w:hanging="39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2151D29"/>
    <w:multiLevelType w:val="multilevel"/>
    <w:tmpl w:val="4D565A9C"/>
    <w:styleLink w:val="DTFList-roman"/>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0302BA"/>
    <w:multiLevelType w:val="multilevel"/>
    <w:tmpl w:val="D3422800"/>
    <w:lvl w:ilvl="0">
      <w:start w:val="1"/>
      <w:numFmt w:val="bullet"/>
      <w:lvlText w:val=""/>
      <w:lvlJc w:val="left"/>
      <w:pPr>
        <w:ind w:left="1077" w:hanging="680"/>
      </w:pPr>
      <w:rPr>
        <w:rFonts w:ascii="Symbol" w:hAnsi="Symbol"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pStyle w:val="DTFListBullet3-Dash"/>
      <w:lvlText w:val=""/>
      <w:lvlJc w:val="left"/>
      <w:pPr>
        <w:ind w:left="1474" w:hanging="397"/>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E36164"/>
    <w:multiLevelType w:val="hybridMultilevel"/>
    <w:tmpl w:val="C29A37E8"/>
    <w:lvl w:ilvl="0" w:tplc="3F46C1E0">
      <w:numFmt w:val="bullet"/>
      <w:pStyle w:val="DTFListBullet1-Orange"/>
      <w:lvlText w:val="●"/>
      <w:lvlJc w:val="left"/>
      <w:pPr>
        <w:ind w:left="1004" w:hanging="360"/>
      </w:pPr>
      <w:rPr>
        <w:rFonts w:ascii="Arial" w:eastAsia="Times New Roman" w:hAnsi="Arial" w:hint="default"/>
        <w:b w:val="0"/>
        <w:bCs w:val="0"/>
        <w:i w:val="0"/>
        <w:iCs w:val="0"/>
        <w:caps w:val="0"/>
        <w:smallCaps w:val="0"/>
        <w:strike w:val="0"/>
        <w:dstrike w:val="0"/>
        <w:vanish w:val="0"/>
        <w:color w:val="CB6015"/>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6335E44"/>
    <w:multiLevelType w:val="multilevel"/>
    <w:tmpl w:val="53204A44"/>
    <w:styleLink w:val="NTGTableNum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D320EB"/>
    <w:multiLevelType w:val="multilevel"/>
    <w:tmpl w:val="C9F0B32C"/>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BE5445F"/>
    <w:multiLevelType w:val="multilevel"/>
    <w:tmpl w:val="5156D342"/>
    <w:name w:val="DTF List Main Features"/>
    <w:lvl w:ilvl="0">
      <w:start w:val="1"/>
      <w:numFmt w:val="bullet"/>
      <w:pStyle w:val="DTFListlevel1-Orange"/>
      <w:lvlText w:val="●"/>
      <w:lvlJc w:val="left"/>
      <w:pPr>
        <w:ind w:left="680" w:hanging="396"/>
      </w:pPr>
      <w:rPr>
        <w:rFonts w:ascii="Arial" w:hAnsi="Arial" w:hint="default"/>
        <w:b w:val="0"/>
        <w:bCs w:val="0"/>
        <w:i w:val="0"/>
        <w:iCs w:val="0"/>
        <w:caps w:val="0"/>
        <w:smallCaps w:val="0"/>
        <w:strike w:val="0"/>
        <w:dstrike w:val="0"/>
        <w:noProof w:val="0"/>
        <w:vanish w:val="0"/>
        <w:color w:val="CB601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D90555D"/>
    <w:multiLevelType w:val="multilevel"/>
    <w:tmpl w:val="6F860756"/>
    <w:styleLink w:val="NTGStandardNumList"/>
    <w:lvl w:ilvl="0">
      <w:start w:val="1"/>
      <w:numFmt w:val="decimal"/>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530D5528"/>
    <w:multiLevelType w:val="multilevel"/>
    <w:tmpl w:val="0FC8EC3E"/>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077" w:hanging="397"/>
      </w:pPr>
      <w:rPr>
        <w:rFonts w:ascii="Courier New" w:hAnsi="Courier New" w:hint="default"/>
      </w:rPr>
    </w:lvl>
    <w:lvl w:ilvl="2">
      <w:start w:val="1"/>
      <w:numFmt w:val="bullet"/>
      <w:lvlText w:val=""/>
      <w:lvlJc w:val="left"/>
      <w:pPr>
        <w:ind w:left="2366" w:hanging="360"/>
      </w:pPr>
      <w:rPr>
        <w:rFonts w:ascii="Wingdings" w:hAnsi="Wingdings" w:hint="default"/>
      </w:rPr>
    </w:lvl>
    <w:lvl w:ilvl="3">
      <w:start w:val="1"/>
      <w:numFmt w:val="bullet"/>
      <w:lvlText w:val=""/>
      <w:lvlJc w:val="left"/>
      <w:pPr>
        <w:ind w:left="3086" w:hanging="360"/>
      </w:pPr>
      <w:rPr>
        <w:rFonts w:ascii="Symbol" w:hAnsi="Symbol" w:hint="default"/>
      </w:rPr>
    </w:lvl>
    <w:lvl w:ilvl="4">
      <w:start w:val="1"/>
      <w:numFmt w:val="bullet"/>
      <w:lvlText w:val="o"/>
      <w:lvlJc w:val="left"/>
      <w:pPr>
        <w:ind w:left="3806" w:hanging="360"/>
      </w:pPr>
      <w:rPr>
        <w:rFonts w:ascii="Courier New" w:hAnsi="Courier New" w:cs="Courier New" w:hint="default"/>
      </w:rPr>
    </w:lvl>
    <w:lvl w:ilvl="5">
      <w:start w:val="1"/>
      <w:numFmt w:val="bullet"/>
      <w:lvlText w:val=""/>
      <w:lvlJc w:val="left"/>
      <w:pPr>
        <w:ind w:left="4526" w:hanging="360"/>
      </w:pPr>
      <w:rPr>
        <w:rFonts w:ascii="Wingdings" w:hAnsi="Wingdings" w:hint="default"/>
      </w:rPr>
    </w:lvl>
    <w:lvl w:ilvl="6">
      <w:start w:val="1"/>
      <w:numFmt w:val="bullet"/>
      <w:lvlText w:val=""/>
      <w:lvlJc w:val="left"/>
      <w:pPr>
        <w:ind w:left="5246" w:hanging="360"/>
      </w:pPr>
      <w:rPr>
        <w:rFonts w:ascii="Symbol" w:hAnsi="Symbol" w:hint="default"/>
      </w:rPr>
    </w:lvl>
    <w:lvl w:ilvl="7">
      <w:start w:val="1"/>
      <w:numFmt w:val="bullet"/>
      <w:lvlText w:val="o"/>
      <w:lvlJc w:val="left"/>
      <w:pPr>
        <w:ind w:left="5966" w:hanging="360"/>
      </w:pPr>
      <w:rPr>
        <w:rFonts w:ascii="Courier New" w:hAnsi="Courier New" w:cs="Courier New" w:hint="default"/>
      </w:rPr>
    </w:lvl>
    <w:lvl w:ilvl="8">
      <w:start w:val="1"/>
      <w:numFmt w:val="bullet"/>
      <w:lvlText w:val=""/>
      <w:lvlJc w:val="left"/>
      <w:pPr>
        <w:ind w:left="6686" w:hanging="360"/>
      </w:pPr>
      <w:rPr>
        <w:rFonts w:ascii="Wingdings" w:hAnsi="Wingdings" w:hint="default"/>
      </w:rPr>
    </w:lvl>
  </w:abstractNum>
  <w:abstractNum w:abstractNumId="17" w15:restartNumberingAfterBreak="0">
    <w:nsid w:val="55304DAD"/>
    <w:multiLevelType w:val="multilevel"/>
    <w:tmpl w:val="1BB08130"/>
    <w:lvl w:ilvl="0">
      <w:start w:val="1"/>
      <w:numFmt w:val="bullet"/>
      <w:lvlText w:val="•"/>
      <w:lvlJc w:val="left"/>
      <w:pPr>
        <w:ind w:left="1040" w:hanging="360"/>
      </w:pPr>
      <w:rPr>
        <w:rFonts w:ascii="Arial MT Std Light" w:hAnsi="Arial MT Std Light" w:hint="default"/>
      </w:rPr>
    </w:lvl>
    <w:lvl w:ilvl="1">
      <w:start w:val="1"/>
      <w:numFmt w:val="bullet"/>
      <w:pStyle w:val="DTFListBullet2-Black"/>
      <w:lvlText w:val=""/>
      <w:lvlJc w:val="left"/>
      <w:pPr>
        <w:ind w:left="1107" w:hanging="397"/>
      </w:pPr>
      <w:rPr>
        <w:rFonts w:ascii="Symbol" w:hAnsi="Symbol"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8" w15:restartNumberingAfterBreak="0">
    <w:nsid w:val="58D70AA1"/>
    <w:multiLevelType w:val="multilevel"/>
    <w:tmpl w:val="21FE5146"/>
    <w:lvl w:ilvl="0">
      <w:start w:val="1"/>
      <w:numFmt w:val="lowerRoman"/>
      <w:pStyle w:val="ListNumber1-Roman"/>
      <w:lvlText w:val="(%1)"/>
      <w:lvlJc w:val="left"/>
      <w:pPr>
        <w:ind w:left="680" w:hanging="396"/>
      </w:pPr>
      <w:rPr>
        <w:rFonts w:hint="default"/>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077" w:hanging="397"/>
      </w:pPr>
      <w:rPr>
        <w:rFonts w:ascii="Courier New" w:hAnsi="Courier New" w:hint="default"/>
      </w:rPr>
    </w:lvl>
    <w:lvl w:ilvl="2">
      <w:start w:val="1"/>
      <w:numFmt w:val="bullet"/>
      <w:lvlText w:val=""/>
      <w:lvlJc w:val="left"/>
      <w:pPr>
        <w:ind w:left="2366" w:hanging="360"/>
      </w:pPr>
      <w:rPr>
        <w:rFonts w:ascii="Wingdings" w:hAnsi="Wingdings" w:hint="default"/>
      </w:rPr>
    </w:lvl>
    <w:lvl w:ilvl="3">
      <w:start w:val="1"/>
      <w:numFmt w:val="bullet"/>
      <w:lvlText w:val=""/>
      <w:lvlJc w:val="left"/>
      <w:pPr>
        <w:ind w:left="3086" w:hanging="360"/>
      </w:pPr>
      <w:rPr>
        <w:rFonts w:ascii="Symbol" w:hAnsi="Symbol" w:hint="default"/>
      </w:rPr>
    </w:lvl>
    <w:lvl w:ilvl="4">
      <w:start w:val="1"/>
      <w:numFmt w:val="bullet"/>
      <w:lvlText w:val="o"/>
      <w:lvlJc w:val="left"/>
      <w:pPr>
        <w:ind w:left="3806" w:hanging="360"/>
      </w:pPr>
      <w:rPr>
        <w:rFonts w:ascii="Courier New" w:hAnsi="Courier New" w:cs="Courier New" w:hint="default"/>
      </w:rPr>
    </w:lvl>
    <w:lvl w:ilvl="5">
      <w:start w:val="1"/>
      <w:numFmt w:val="bullet"/>
      <w:lvlText w:val=""/>
      <w:lvlJc w:val="left"/>
      <w:pPr>
        <w:ind w:left="4526" w:hanging="360"/>
      </w:pPr>
      <w:rPr>
        <w:rFonts w:ascii="Wingdings" w:hAnsi="Wingdings" w:hint="default"/>
      </w:rPr>
    </w:lvl>
    <w:lvl w:ilvl="6">
      <w:start w:val="1"/>
      <w:numFmt w:val="bullet"/>
      <w:lvlText w:val=""/>
      <w:lvlJc w:val="left"/>
      <w:pPr>
        <w:ind w:left="5246" w:hanging="360"/>
      </w:pPr>
      <w:rPr>
        <w:rFonts w:ascii="Symbol" w:hAnsi="Symbol" w:hint="default"/>
      </w:rPr>
    </w:lvl>
    <w:lvl w:ilvl="7">
      <w:start w:val="1"/>
      <w:numFmt w:val="bullet"/>
      <w:lvlText w:val="o"/>
      <w:lvlJc w:val="left"/>
      <w:pPr>
        <w:ind w:left="5966" w:hanging="360"/>
      </w:pPr>
      <w:rPr>
        <w:rFonts w:ascii="Courier New" w:hAnsi="Courier New" w:cs="Courier New" w:hint="default"/>
      </w:rPr>
    </w:lvl>
    <w:lvl w:ilvl="8">
      <w:start w:val="1"/>
      <w:numFmt w:val="bullet"/>
      <w:lvlText w:val=""/>
      <w:lvlJc w:val="left"/>
      <w:pPr>
        <w:ind w:left="6686" w:hanging="360"/>
      </w:pPr>
      <w:rPr>
        <w:rFonts w:ascii="Wingdings" w:hAnsi="Wingdings" w:hint="default"/>
      </w:rPr>
    </w:lvl>
  </w:abstractNum>
  <w:abstractNum w:abstractNumId="19" w15:restartNumberingAfterBreak="0">
    <w:nsid w:val="5C8A5F0C"/>
    <w:multiLevelType w:val="multilevel"/>
    <w:tmpl w:val="7CDCA408"/>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017495"/>
    <w:multiLevelType w:val="multilevel"/>
    <w:tmpl w:val="CAAA51AC"/>
    <w:lvl w:ilvl="0">
      <w:start w:val="1"/>
      <w:numFmt w:val="lowerRoman"/>
      <w:pStyle w:val="ListNumber2-Roman"/>
      <w:lvlText w:val="(%1)"/>
      <w:lvlJc w:val="left"/>
      <w:pPr>
        <w:ind w:left="539" w:hanging="39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20B5A49"/>
    <w:multiLevelType w:val="multilevel"/>
    <w:tmpl w:val="4D565A9C"/>
    <w:numStyleLink w:val="DTFList-roman"/>
  </w:abstractNum>
  <w:abstractNum w:abstractNumId="22" w15:restartNumberingAfterBreak="0">
    <w:nsid w:val="75517737"/>
    <w:multiLevelType w:val="multilevel"/>
    <w:tmpl w:val="0C709EBA"/>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B507A1"/>
    <w:multiLevelType w:val="multilevel"/>
    <w:tmpl w:val="BB5EAEBE"/>
    <w:lvl w:ilvl="0">
      <w:start w:val="1"/>
      <w:numFmt w:val="bullet"/>
      <w:pStyle w:val="DTFListBullet2-Dash"/>
      <w:lvlText w:val=""/>
      <w:lvlJc w:val="left"/>
      <w:pPr>
        <w:ind w:left="1080" w:hanging="40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1"/>
  </w:num>
  <w:num w:numId="4">
    <w:abstractNumId w:val="17"/>
  </w:num>
  <w:num w:numId="5">
    <w:abstractNumId w:val="23"/>
  </w:num>
  <w:num w:numId="6">
    <w:abstractNumId w:val="10"/>
  </w:num>
  <w:num w:numId="7">
    <w:abstractNumId w:val="9"/>
  </w:num>
  <w:num w:numId="8">
    <w:abstractNumId w:val="14"/>
  </w:num>
  <w:num w:numId="9">
    <w:abstractNumId w:val="8"/>
  </w:num>
  <w:num w:numId="10">
    <w:abstractNumId w:val="20"/>
  </w:num>
  <w:num w:numId="11">
    <w:abstractNumId w:val="5"/>
  </w:num>
  <w:num w:numId="12">
    <w:abstractNumId w:val="15"/>
  </w:num>
  <w:num w:numId="13">
    <w:abstractNumId w:val="7"/>
  </w:num>
  <w:num w:numId="14">
    <w:abstractNumId w:val="12"/>
  </w:num>
  <w:num w:numId="15">
    <w:abstractNumId w:val="2"/>
  </w:num>
  <w:num w:numId="16">
    <w:abstractNumId w:val="1"/>
  </w:num>
  <w:num w:numId="17">
    <w:abstractNumId w:val="2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pYcjAeplqi9dctsfPwKAtgdYA7KcUzC6v109xSCldVbA2INMplf6ai6VyP6yZQQOQ24SABclcmlB8Brg9HV9EA==" w:salt="+pGqWWQKtBv4aNQueb3rrQ=="/>
  <w:defaultTabStop w:val="720"/>
  <w:drawingGridHorizontalSpacing w:val="11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4E"/>
    <w:rsid w:val="00001DDF"/>
    <w:rsid w:val="00001E38"/>
    <w:rsid w:val="00006161"/>
    <w:rsid w:val="00011815"/>
    <w:rsid w:val="0001192E"/>
    <w:rsid w:val="00012735"/>
    <w:rsid w:val="000131E6"/>
    <w:rsid w:val="00015854"/>
    <w:rsid w:val="0001722F"/>
    <w:rsid w:val="000176EB"/>
    <w:rsid w:val="00027DB8"/>
    <w:rsid w:val="00031A96"/>
    <w:rsid w:val="000320BA"/>
    <w:rsid w:val="00032202"/>
    <w:rsid w:val="00036B72"/>
    <w:rsid w:val="000400CA"/>
    <w:rsid w:val="00040995"/>
    <w:rsid w:val="00040BF3"/>
    <w:rsid w:val="00041532"/>
    <w:rsid w:val="0004220C"/>
    <w:rsid w:val="0004431F"/>
    <w:rsid w:val="00046016"/>
    <w:rsid w:val="000471F3"/>
    <w:rsid w:val="000514A8"/>
    <w:rsid w:val="00051F45"/>
    <w:rsid w:val="00053417"/>
    <w:rsid w:val="00053848"/>
    <w:rsid w:val="00062035"/>
    <w:rsid w:val="00063A03"/>
    <w:rsid w:val="00066165"/>
    <w:rsid w:val="0007143F"/>
    <w:rsid w:val="000720A7"/>
    <w:rsid w:val="000720BE"/>
    <w:rsid w:val="00072361"/>
    <w:rsid w:val="0007259C"/>
    <w:rsid w:val="00073423"/>
    <w:rsid w:val="00074245"/>
    <w:rsid w:val="000758FA"/>
    <w:rsid w:val="00076DEC"/>
    <w:rsid w:val="00077F63"/>
    <w:rsid w:val="00080202"/>
    <w:rsid w:val="000807FB"/>
    <w:rsid w:val="00080DCD"/>
    <w:rsid w:val="00081C35"/>
    <w:rsid w:val="00081D61"/>
    <w:rsid w:val="0008378F"/>
    <w:rsid w:val="000840A3"/>
    <w:rsid w:val="00085B86"/>
    <w:rsid w:val="00085E5A"/>
    <w:rsid w:val="00086A5F"/>
    <w:rsid w:val="000910D1"/>
    <w:rsid w:val="000911EF"/>
    <w:rsid w:val="000960E2"/>
    <w:rsid w:val="000962C5"/>
    <w:rsid w:val="000975A8"/>
    <w:rsid w:val="000A087B"/>
    <w:rsid w:val="000A15E5"/>
    <w:rsid w:val="000A2BF9"/>
    <w:rsid w:val="000A559C"/>
    <w:rsid w:val="000A6365"/>
    <w:rsid w:val="000A7FC4"/>
    <w:rsid w:val="000B07B0"/>
    <w:rsid w:val="000B21F7"/>
    <w:rsid w:val="000B270B"/>
    <w:rsid w:val="000B3C9A"/>
    <w:rsid w:val="000B5173"/>
    <w:rsid w:val="000B5AC4"/>
    <w:rsid w:val="000C120E"/>
    <w:rsid w:val="000C1280"/>
    <w:rsid w:val="000C216E"/>
    <w:rsid w:val="000C3775"/>
    <w:rsid w:val="000C6949"/>
    <w:rsid w:val="000D1F29"/>
    <w:rsid w:val="000D28D8"/>
    <w:rsid w:val="000E7DAF"/>
    <w:rsid w:val="000F13CD"/>
    <w:rsid w:val="000F440F"/>
    <w:rsid w:val="000F4EAB"/>
    <w:rsid w:val="00104E7F"/>
    <w:rsid w:val="00107952"/>
    <w:rsid w:val="001114BC"/>
    <w:rsid w:val="00112601"/>
    <w:rsid w:val="001137EC"/>
    <w:rsid w:val="00113964"/>
    <w:rsid w:val="001152F5"/>
    <w:rsid w:val="00117743"/>
    <w:rsid w:val="00117F5B"/>
    <w:rsid w:val="001212F0"/>
    <w:rsid w:val="00122F2F"/>
    <w:rsid w:val="00123D95"/>
    <w:rsid w:val="00124AC0"/>
    <w:rsid w:val="0013008B"/>
    <w:rsid w:val="00130793"/>
    <w:rsid w:val="00131E2F"/>
    <w:rsid w:val="00132658"/>
    <w:rsid w:val="00132F3E"/>
    <w:rsid w:val="00132FC9"/>
    <w:rsid w:val="00135920"/>
    <w:rsid w:val="00136B04"/>
    <w:rsid w:val="001372B8"/>
    <w:rsid w:val="00150DC0"/>
    <w:rsid w:val="00153138"/>
    <w:rsid w:val="00153140"/>
    <w:rsid w:val="001552A9"/>
    <w:rsid w:val="00156CD4"/>
    <w:rsid w:val="00162870"/>
    <w:rsid w:val="00163A0C"/>
    <w:rsid w:val="00164A3E"/>
    <w:rsid w:val="001718A6"/>
    <w:rsid w:val="00175D00"/>
    <w:rsid w:val="00175E4D"/>
    <w:rsid w:val="00177EF3"/>
    <w:rsid w:val="00181620"/>
    <w:rsid w:val="001826BF"/>
    <w:rsid w:val="00182AF6"/>
    <w:rsid w:val="001934DB"/>
    <w:rsid w:val="00193A16"/>
    <w:rsid w:val="00194AE6"/>
    <w:rsid w:val="001950EF"/>
    <w:rsid w:val="001957AD"/>
    <w:rsid w:val="001965F6"/>
    <w:rsid w:val="001A06AE"/>
    <w:rsid w:val="001A2B7F"/>
    <w:rsid w:val="001A2E90"/>
    <w:rsid w:val="001A3A44"/>
    <w:rsid w:val="001A6DB1"/>
    <w:rsid w:val="001B19D7"/>
    <w:rsid w:val="001B1B27"/>
    <w:rsid w:val="001B229D"/>
    <w:rsid w:val="001B2B6C"/>
    <w:rsid w:val="001B4D05"/>
    <w:rsid w:val="001B59FE"/>
    <w:rsid w:val="001B6E19"/>
    <w:rsid w:val="001C0E86"/>
    <w:rsid w:val="001C2859"/>
    <w:rsid w:val="001C3285"/>
    <w:rsid w:val="001C4E2F"/>
    <w:rsid w:val="001C6148"/>
    <w:rsid w:val="001C7E74"/>
    <w:rsid w:val="001D01C4"/>
    <w:rsid w:val="001D0812"/>
    <w:rsid w:val="001D52B0"/>
    <w:rsid w:val="001D73EE"/>
    <w:rsid w:val="001E14EB"/>
    <w:rsid w:val="001E23E1"/>
    <w:rsid w:val="001F5131"/>
    <w:rsid w:val="001F5443"/>
    <w:rsid w:val="001F59E6"/>
    <w:rsid w:val="001F7322"/>
    <w:rsid w:val="001F7700"/>
    <w:rsid w:val="002043B6"/>
    <w:rsid w:val="00204A49"/>
    <w:rsid w:val="00205CCB"/>
    <w:rsid w:val="00206936"/>
    <w:rsid w:val="00206C6F"/>
    <w:rsid w:val="00206FBD"/>
    <w:rsid w:val="0020725C"/>
    <w:rsid w:val="00207746"/>
    <w:rsid w:val="002119AC"/>
    <w:rsid w:val="0021287C"/>
    <w:rsid w:val="00212919"/>
    <w:rsid w:val="00213C51"/>
    <w:rsid w:val="00214594"/>
    <w:rsid w:val="00222301"/>
    <w:rsid w:val="0022479A"/>
    <w:rsid w:val="00224A6C"/>
    <w:rsid w:val="002250B6"/>
    <w:rsid w:val="00226474"/>
    <w:rsid w:val="00227D12"/>
    <w:rsid w:val="00230031"/>
    <w:rsid w:val="002306F3"/>
    <w:rsid w:val="002307DD"/>
    <w:rsid w:val="00240DF2"/>
    <w:rsid w:val="00240F8C"/>
    <w:rsid w:val="002433C2"/>
    <w:rsid w:val="00245F24"/>
    <w:rsid w:val="00247343"/>
    <w:rsid w:val="0025227D"/>
    <w:rsid w:val="0025240D"/>
    <w:rsid w:val="00257BED"/>
    <w:rsid w:val="00260C9E"/>
    <w:rsid w:val="00260EC8"/>
    <w:rsid w:val="0026521A"/>
    <w:rsid w:val="002660BE"/>
    <w:rsid w:val="00274D4B"/>
    <w:rsid w:val="00275659"/>
    <w:rsid w:val="00275888"/>
    <w:rsid w:val="0027727E"/>
    <w:rsid w:val="002806F5"/>
    <w:rsid w:val="00281577"/>
    <w:rsid w:val="00281F4D"/>
    <w:rsid w:val="00286554"/>
    <w:rsid w:val="00286B08"/>
    <w:rsid w:val="00287C5F"/>
    <w:rsid w:val="002926BC"/>
    <w:rsid w:val="00293A72"/>
    <w:rsid w:val="002A0C47"/>
    <w:rsid w:val="002A30C3"/>
    <w:rsid w:val="002A6B6D"/>
    <w:rsid w:val="002B01C7"/>
    <w:rsid w:val="002B0CD5"/>
    <w:rsid w:val="002B30C5"/>
    <w:rsid w:val="002B388A"/>
    <w:rsid w:val="002B38F7"/>
    <w:rsid w:val="002B5591"/>
    <w:rsid w:val="002B6774"/>
    <w:rsid w:val="002B6C6D"/>
    <w:rsid w:val="002C1FE9"/>
    <w:rsid w:val="002C489F"/>
    <w:rsid w:val="002C61A7"/>
    <w:rsid w:val="002C6289"/>
    <w:rsid w:val="002C7143"/>
    <w:rsid w:val="002D0FA9"/>
    <w:rsid w:val="002D1985"/>
    <w:rsid w:val="002D1B54"/>
    <w:rsid w:val="002D293F"/>
    <w:rsid w:val="002D2A47"/>
    <w:rsid w:val="002D3A57"/>
    <w:rsid w:val="002D6132"/>
    <w:rsid w:val="002D7D05"/>
    <w:rsid w:val="002E20C8"/>
    <w:rsid w:val="002E339D"/>
    <w:rsid w:val="002E64D4"/>
    <w:rsid w:val="002E6A44"/>
    <w:rsid w:val="002F010C"/>
    <w:rsid w:val="002F0657"/>
    <w:rsid w:val="002F0DB1"/>
    <w:rsid w:val="002F281F"/>
    <w:rsid w:val="002F2885"/>
    <w:rsid w:val="002F408D"/>
    <w:rsid w:val="0030126A"/>
    <w:rsid w:val="00303783"/>
    <w:rsid w:val="003037F9"/>
    <w:rsid w:val="00303FF3"/>
    <w:rsid w:val="003041CB"/>
    <w:rsid w:val="003064AF"/>
    <w:rsid w:val="00307A5E"/>
    <w:rsid w:val="00310F46"/>
    <w:rsid w:val="00312C79"/>
    <w:rsid w:val="00315060"/>
    <w:rsid w:val="003246A5"/>
    <w:rsid w:val="003258E6"/>
    <w:rsid w:val="00327038"/>
    <w:rsid w:val="00332E0E"/>
    <w:rsid w:val="00340EFC"/>
    <w:rsid w:val="00341084"/>
    <w:rsid w:val="00341398"/>
    <w:rsid w:val="00342283"/>
    <w:rsid w:val="00343A87"/>
    <w:rsid w:val="00344E4A"/>
    <w:rsid w:val="00346802"/>
    <w:rsid w:val="00347FB6"/>
    <w:rsid w:val="003504FD"/>
    <w:rsid w:val="00350881"/>
    <w:rsid w:val="003522AD"/>
    <w:rsid w:val="003543B4"/>
    <w:rsid w:val="00357D55"/>
    <w:rsid w:val="00363158"/>
    <w:rsid w:val="00363513"/>
    <w:rsid w:val="00365154"/>
    <w:rsid w:val="003657E5"/>
    <w:rsid w:val="00365DAD"/>
    <w:rsid w:val="00366EAB"/>
    <w:rsid w:val="00371DC7"/>
    <w:rsid w:val="0037295D"/>
    <w:rsid w:val="003746D2"/>
    <w:rsid w:val="0037717C"/>
    <w:rsid w:val="00377B21"/>
    <w:rsid w:val="00382AD1"/>
    <w:rsid w:val="00382F45"/>
    <w:rsid w:val="003836A3"/>
    <w:rsid w:val="00387039"/>
    <w:rsid w:val="0038723C"/>
    <w:rsid w:val="00391084"/>
    <w:rsid w:val="00394876"/>
    <w:rsid w:val="00394AAF"/>
    <w:rsid w:val="003A05F4"/>
    <w:rsid w:val="003A32D2"/>
    <w:rsid w:val="003A6664"/>
    <w:rsid w:val="003A6CE6"/>
    <w:rsid w:val="003A7B18"/>
    <w:rsid w:val="003B1282"/>
    <w:rsid w:val="003B2AC4"/>
    <w:rsid w:val="003B603C"/>
    <w:rsid w:val="003B67FD"/>
    <w:rsid w:val="003B6B56"/>
    <w:rsid w:val="003C0FC5"/>
    <w:rsid w:val="003C37CA"/>
    <w:rsid w:val="003C5BDC"/>
    <w:rsid w:val="003C710E"/>
    <w:rsid w:val="003C748A"/>
    <w:rsid w:val="003C7BA7"/>
    <w:rsid w:val="003C7F7B"/>
    <w:rsid w:val="003D088A"/>
    <w:rsid w:val="003D0C72"/>
    <w:rsid w:val="003D42C0"/>
    <w:rsid w:val="003D7818"/>
    <w:rsid w:val="003E2445"/>
    <w:rsid w:val="003E3BB2"/>
    <w:rsid w:val="003E4B12"/>
    <w:rsid w:val="003E7799"/>
    <w:rsid w:val="003E7CDB"/>
    <w:rsid w:val="003F1296"/>
    <w:rsid w:val="003F5B0E"/>
    <w:rsid w:val="003F64E0"/>
    <w:rsid w:val="003F6B26"/>
    <w:rsid w:val="0040222A"/>
    <w:rsid w:val="004033A1"/>
    <w:rsid w:val="004047BC"/>
    <w:rsid w:val="004074A1"/>
    <w:rsid w:val="00414688"/>
    <w:rsid w:val="00414CB3"/>
    <w:rsid w:val="0041563D"/>
    <w:rsid w:val="00424AC9"/>
    <w:rsid w:val="004252EA"/>
    <w:rsid w:val="00425641"/>
    <w:rsid w:val="00425F94"/>
    <w:rsid w:val="0042613B"/>
    <w:rsid w:val="004264A9"/>
    <w:rsid w:val="004268BD"/>
    <w:rsid w:val="00426E25"/>
    <w:rsid w:val="0044288B"/>
    <w:rsid w:val="004429C7"/>
    <w:rsid w:val="004432BD"/>
    <w:rsid w:val="00443B6E"/>
    <w:rsid w:val="00444D13"/>
    <w:rsid w:val="00445DD5"/>
    <w:rsid w:val="004507F1"/>
    <w:rsid w:val="004512A5"/>
    <w:rsid w:val="00451830"/>
    <w:rsid w:val="0045420A"/>
    <w:rsid w:val="004554D4"/>
    <w:rsid w:val="00461744"/>
    <w:rsid w:val="00463056"/>
    <w:rsid w:val="0046514E"/>
    <w:rsid w:val="004655A6"/>
    <w:rsid w:val="00465DF7"/>
    <w:rsid w:val="00466D96"/>
    <w:rsid w:val="00466E0B"/>
    <w:rsid w:val="00467163"/>
    <w:rsid w:val="00470109"/>
    <w:rsid w:val="0047026F"/>
    <w:rsid w:val="00473C98"/>
    <w:rsid w:val="00476CC9"/>
    <w:rsid w:val="004809C1"/>
    <w:rsid w:val="00480E74"/>
    <w:rsid w:val="00482DF8"/>
    <w:rsid w:val="0048439C"/>
    <w:rsid w:val="00485C6F"/>
    <w:rsid w:val="00485E17"/>
    <w:rsid w:val="004864DE"/>
    <w:rsid w:val="004904E7"/>
    <w:rsid w:val="0049075E"/>
    <w:rsid w:val="00494BE5"/>
    <w:rsid w:val="004955D6"/>
    <w:rsid w:val="004A2538"/>
    <w:rsid w:val="004A45D5"/>
    <w:rsid w:val="004A4AC9"/>
    <w:rsid w:val="004B0C15"/>
    <w:rsid w:val="004B0C3D"/>
    <w:rsid w:val="004B216D"/>
    <w:rsid w:val="004B35EA"/>
    <w:rsid w:val="004B3834"/>
    <w:rsid w:val="004B54E3"/>
    <w:rsid w:val="004B6EDE"/>
    <w:rsid w:val="004C01BA"/>
    <w:rsid w:val="004C2F25"/>
    <w:rsid w:val="004C742B"/>
    <w:rsid w:val="004D075F"/>
    <w:rsid w:val="004D1B76"/>
    <w:rsid w:val="004D424D"/>
    <w:rsid w:val="004D604C"/>
    <w:rsid w:val="004D6570"/>
    <w:rsid w:val="004D6BA6"/>
    <w:rsid w:val="004D6BDF"/>
    <w:rsid w:val="004E019E"/>
    <w:rsid w:val="004E06EC"/>
    <w:rsid w:val="004E2CB7"/>
    <w:rsid w:val="004E36AB"/>
    <w:rsid w:val="004E578E"/>
    <w:rsid w:val="004E5A0A"/>
    <w:rsid w:val="004E5C80"/>
    <w:rsid w:val="004F016A"/>
    <w:rsid w:val="004F6AD4"/>
    <w:rsid w:val="005007A2"/>
    <w:rsid w:val="005008AD"/>
    <w:rsid w:val="00501870"/>
    <w:rsid w:val="00502FB3"/>
    <w:rsid w:val="00503DE5"/>
    <w:rsid w:val="00503DE9"/>
    <w:rsid w:val="0050530C"/>
    <w:rsid w:val="00507782"/>
    <w:rsid w:val="00511910"/>
    <w:rsid w:val="00512A04"/>
    <w:rsid w:val="005149D5"/>
    <w:rsid w:val="00515D08"/>
    <w:rsid w:val="0051627B"/>
    <w:rsid w:val="00517ABB"/>
    <w:rsid w:val="00523ED6"/>
    <w:rsid w:val="00532EE9"/>
    <w:rsid w:val="005335FE"/>
    <w:rsid w:val="00540C01"/>
    <w:rsid w:val="00543BD1"/>
    <w:rsid w:val="0054746E"/>
    <w:rsid w:val="005566D5"/>
    <w:rsid w:val="005572FA"/>
    <w:rsid w:val="00557B42"/>
    <w:rsid w:val="00560348"/>
    <w:rsid w:val="005641CD"/>
    <w:rsid w:val="00564C12"/>
    <w:rsid w:val="005654B8"/>
    <w:rsid w:val="00566089"/>
    <w:rsid w:val="0056795E"/>
    <w:rsid w:val="00567B2C"/>
    <w:rsid w:val="00570034"/>
    <w:rsid w:val="00575EDA"/>
    <w:rsid w:val="005762CC"/>
    <w:rsid w:val="005778F0"/>
    <w:rsid w:val="00580A88"/>
    <w:rsid w:val="00582D3D"/>
    <w:rsid w:val="005839E3"/>
    <w:rsid w:val="005848E0"/>
    <w:rsid w:val="005859FE"/>
    <w:rsid w:val="00585E43"/>
    <w:rsid w:val="005903E1"/>
    <w:rsid w:val="00592310"/>
    <w:rsid w:val="00593646"/>
    <w:rsid w:val="005943CE"/>
    <w:rsid w:val="00595386"/>
    <w:rsid w:val="005958FF"/>
    <w:rsid w:val="005A324A"/>
    <w:rsid w:val="005A4AC0"/>
    <w:rsid w:val="005A5FDF"/>
    <w:rsid w:val="005A72BB"/>
    <w:rsid w:val="005B0FB7"/>
    <w:rsid w:val="005B122A"/>
    <w:rsid w:val="005B1D10"/>
    <w:rsid w:val="005B485E"/>
    <w:rsid w:val="005B5AC2"/>
    <w:rsid w:val="005C25D0"/>
    <w:rsid w:val="005C2833"/>
    <w:rsid w:val="005C2F5B"/>
    <w:rsid w:val="005C465B"/>
    <w:rsid w:val="005E144D"/>
    <w:rsid w:val="005E28A1"/>
    <w:rsid w:val="005E3A43"/>
    <w:rsid w:val="005E52CA"/>
    <w:rsid w:val="005E78B3"/>
    <w:rsid w:val="005F7847"/>
    <w:rsid w:val="00600ECF"/>
    <w:rsid w:val="0060101B"/>
    <w:rsid w:val="00601A1A"/>
    <w:rsid w:val="00605EB5"/>
    <w:rsid w:val="00607F42"/>
    <w:rsid w:val="0061035C"/>
    <w:rsid w:val="006170D9"/>
    <w:rsid w:val="006202BE"/>
    <w:rsid w:val="00620675"/>
    <w:rsid w:val="0062081A"/>
    <w:rsid w:val="00621857"/>
    <w:rsid w:val="00626134"/>
    <w:rsid w:val="00627D18"/>
    <w:rsid w:val="00641C33"/>
    <w:rsid w:val="00642029"/>
    <w:rsid w:val="006433C3"/>
    <w:rsid w:val="0065066E"/>
    <w:rsid w:val="00650BD4"/>
    <w:rsid w:val="00650F5B"/>
    <w:rsid w:val="00652D18"/>
    <w:rsid w:val="00653BF3"/>
    <w:rsid w:val="00665B21"/>
    <w:rsid w:val="00665FC5"/>
    <w:rsid w:val="006665E9"/>
    <w:rsid w:val="006670D7"/>
    <w:rsid w:val="00667B6C"/>
    <w:rsid w:val="00670213"/>
    <w:rsid w:val="006719EA"/>
    <w:rsid w:val="00671A50"/>
    <w:rsid w:val="00671F13"/>
    <w:rsid w:val="0067400A"/>
    <w:rsid w:val="006752B5"/>
    <w:rsid w:val="00676967"/>
    <w:rsid w:val="00680C23"/>
    <w:rsid w:val="00683698"/>
    <w:rsid w:val="0068510F"/>
    <w:rsid w:val="006863B4"/>
    <w:rsid w:val="0069344C"/>
    <w:rsid w:val="00693E26"/>
    <w:rsid w:val="00695513"/>
    <w:rsid w:val="00697328"/>
    <w:rsid w:val="0069738E"/>
    <w:rsid w:val="006A0007"/>
    <w:rsid w:val="006A33C5"/>
    <w:rsid w:val="006A3B5C"/>
    <w:rsid w:val="006A572F"/>
    <w:rsid w:val="006B4D9A"/>
    <w:rsid w:val="006B657D"/>
    <w:rsid w:val="006D0EB6"/>
    <w:rsid w:val="006D162B"/>
    <w:rsid w:val="006D668C"/>
    <w:rsid w:val="006D66F7"/>
    <w:rsid w:val="006E01B5"/>
    <w:rsid w:val="006E1D84"/>
    <w:rsid w:val="006E2BE6"/>
    <w:rsid w:val="006E3E5F"/>
    <w:rsid w:val="006E6655"/>
    <w:rsid w:val="006E7747"/>
    <w:rsid w:val="006F1403"/>
    <w:rsid w:val="006F3C18"/>
    <w:rsid w:val="006F45F2"/>
    <w:rsid w:val="006F54EB"/>
    <w:rsid w:val="006F5BC3"/>
    <w:rsid w:val="0070014A"/>
    <w:rsid w:val="007027C6"/>
    <w:rsid w:val="00705C9D"/>
    <w:rsid w:val="00711668"/>
    <w:rsid w:val="00713BEE"/>
    <w:rsid w:val="007145CD"/>
    <w:rsid w:val="00714F1D"/>
    <w:rsid w:val="007178C7"/>
    <w:rsid w:val="00721BAB"/>
    <w:rsid w:val="00722DDB"/>
    <w:rsid w:val="00724728"/>
    <w:rsid w:val="00724BA6"/>
    <w:rsid w:val="00724F98"/>
    <w:rsid w:val="007271FF"/>
    <w:rsid w:val="00730446"/>
    <w:rsid w:val="00730B9B"/>
    <w:rsid w:val="007332FF"/>
    <w:rsid w:val="007333EF"/>
    <w:rsid w:val="007359EB"/>
    <w:rsid w:val="007408F5"/>
    <w:rsid w:val="00741EAE"/>
    <w:rsid w:val="007457CE"/>
    <w:rsid w:val="00750ED4"/>
    <w:rsid w:val="00754324"/>
    <w:rsid w:val="00754F9E"/>
    <w:rsid w:val="007553D5"/>
    <w:rsid w:val="00755CAC"/>
    <w:rsid w:val="00757B67"/>
    <w:rsid w:val="00760308"/>
    <w:rsid w:val="0076190B"/>
    <w:rsid w:val="00762C16"/>
    <w:rsid w:val="00762CFF"/>
    <w:rsid w:val="00762DBD"/>
    <w:rsid w:val="00763A2D"/>
    <w:rsid w:val="00766236"/>
    <w:rsid w:val="00767521"/>
    <w:rsid w:val="00770129"/>
    <w:rsid w:val="0077190F"/>
    <w:rsid w:val="007728B5"/>
    <w:rsid w:val="0077364B"/>
    <w:rsid w:val="00774134"/>
    <w:rsid w:val="00777795"/>
    <w:rsid w:val="00783A57"/>
    <w:rsid w:val="00784C92"/>
    <w:rsid w:val="00785BEC"/>
    <w:rsid w:val="0078785F"/>
    <w:rsid w:val="007937BC"/>
    <w:rsid w:val="00795618"/>
    <w:rsid w:val="00796350"/>
    <w:rsid w:val="00796461"/>
    <w:rsid w:val="007A5D43"/>
    <w:rsid w:val="007A66AD"/>
    <w:rsid w:val="007A6A4F"/>
    <w:rsid w:val="007A6DA3"/>
    <w:rsid w:val="007B03F5"/>
    <w:rsid w:val="007B0B3A"/>
    <w:rsid w:val="007B0EA7"/>
    <w:rsid w:val="007B325B"/>
    <w:rsid w:val="007B46F0"/>
    <w:rsid w:val="007B5DA2"/>
    <w:rsid w:val="007C0AF5"/>
    <w:rsid w:val="007C0E0B"/>
    <w:rsid w:val="007C1862"/>
    <w:rsid w:val="007C59AB"/>
    <w:rsid w:val="007C5CFD"/>
    <w:rsid w:val="007C6D9F"/>
    <w:rsid w:val="007D0ADB"/>
    <w:rsid w:val="007D2118"/>
    <w:rsid w:val="007D40C5"/>
    <w:rsid w:val="007E2799"/>
    <w:rsid w:val="007E4D7B"/>
    <w:rsid w:val="007E6170"/>
    <w:rsid w:val="007E6FC1"/>
    <w:rsid w:val="007E7C54"/>
    <w:rsid w:val="007F2DBF"/>
    <w:rsid w:val="007F7A8A"/>
    <w:rsid w:val="00802462"/>
    <w:rsid w:val="00806244"/>
    <w:rsid w:val="008101E2"/>
    <w:rsid w:val="0081059D"/>
    <w:rsid w:val="00811B73"/>
    <w:rsid w:val="008128E6"/>
    <w:rsid w:val="00815297"/>
    <w:rsid w:val="00817BA1"/>
    <w:rsid w:val="00821D75"/>
    <w:rsid w:val="00823022"/>
    <w:rsid w:val="00825BFE"/>
    <w:rsid w:val="00826B86"/>
    <w:rsid w:val="00827FC8"/>
    <w:rsid w:val="00830426"/>
    <w:rsid w:val="008313C4"/>
    <w:rsid w:val="00841A5A"/>
    <w:rsid w:val="00842838"/>
    <w:rsid w:val="008444B2"/>
    <w:rsid w:val="00847564"/>
    <w:rsid w:val="00853EB9"/>
    <w:rsid w:val="0085460E"/>
    <w:rsid w:val="0085634D"/>
    <w:rsid w:val="0085797F"/>
    <w:rsid w:val="00861997"/>
    <w:rsid w:val="00861DC3"/>
    <w:rsid w:val="00862AD6"/>
    <w:rsid w:val="00867019"/>
    <w:rsid w:val="00871876"/>
    <w:rsid w:val="008735A9"/>
    <w:rsid w:val="008761A7"/>
    <w:rsid w:val="008772A0"/>
    <w:rsid w:val="00877D20"/>
    <w:rsid w:val="00881C48"/>
    <w:rsid w:val="0088486D"/>
    <w:rsid w:val="00885B80"/>
    <w:rsid w:val="00885E9B"/>
    <w:rsid w:val="008877F6"/>
    <w:rsid w:val="008965D7"/>
    <w:rsid w:val="008A0C65"/>
    <w:rsid w:val="008A4BBA"/>
    <w:rsid w:val="008A6D65"/>
    <w:rsid w:val="008A7C12"/>
    <w:rsid w:val="008B1895"/>
    <w:rsid w:val="008B1B85"/>
    <w:rsid w:val="008B505C"/>
    <w:rsid w:val="008B529E"/>
    <w:rsid w:val="008B6E5B"/>
    <w:rsid w:val="008C17FB"/>
    <w:rsid w:val="008C2E41"/>
    <w:rsid w:val="008C3AFE"/>
    <w:rsid w:val="008C702C"/>
    <w:rsid w:val="008D20D0"/>
    <w:rsid w:val="008D2A9A"/>
    <w:rsid w:val="008D3F13"/>
    <w:rsid w:val="008D57B8"/>
    <w:rsid w:val="008D797F"/>
    <w:rsid w:val="008E03FC"/>
    <w:rsid w:val="008E09C1"/>
    <w:rsid w:val="008E355A"/>
    <w:rsid w:val="008E3B4C"/>
    <w:rsid w:val="008E470A"/>
    <w:rsid w:val="008E510B"/>
    <w:rsid w:val="008F15C3"/>
    <w:rsid w:val="008F56DC"/>
    <w:rsid w:val="0090170A"/>
    <w:rsid w:val="00902B13"/>
    <w:rsid w:val="00911941"/>
    <w:rsid w:val="00912722"/>
    <w:rsid w:val="00917A50"/>
    <w:rsid w:val="00920079"/>
    <w:rsid w:val="00920447"/>
    <w:rsid w:val="00925ED0"/>
    <w:rsid w:val="00925F0F"/>
    <w:rsid w:val="00932889"/>
    <w:rsid w:val="00932F6B"/>
    <w:rsid w:val="00933DE9"/>
    <w:rsid w:val="00941385"/>
    <w:rsid w:val="009434D3"/>
    <w:rsid w:val="009439FC"/>
    <w:rsid w:val="009468BC"/>
    <w:rsid w:val="0095655B"/>
    <w:rsid w:val="0095672A"/>
    <w:rsid w:val="009616DF"/>
    <w:rsid w:val="00961A90"/>
    <w:rsid w:val="00964DE0"/>
    <w:rsid w:val="0096542F"/>
    <w:rsid w:val="00967AF6"/>
    <w:rsid w:val="00967FA7"/>
    <w:rsid w:val="009714B8"/>
    <w:rsid w:val="00971645"/>
    <w:rsid w:val="00971F46"/>
    <w:rsid w:val="00972388"/>
    <w:rsid w:val="00972485"/>
    <w:rsid w:val="00977919"/>
    <w:rsid w:val="0098022B"/>
    <w:rsid w:val="00980294"/>
    <w:rsid w:val="00982168"/>
    <w:rsid w:val="00983335"/>
    <w:rsid w:val="00986D03"/>
    <w:rsid w:val="009870FA"/>
    <w:rsid w:val="009972E5"/>
    <w:rsid w:val="009A289A"/>
    <w:rsid w:val="009A5897"/>
    <w:rsid w:val="009A6C3D"/>
    <w:rsid w:val="009A6FDC"/>
    <w:rsid w:val="009B1913"/>
    <w:rsid w:val="009B1EED"/>
    <w:rsid w:val="009B4D65"/>
    <w:rsid w:val="009B6657"/>
    <w:rsid w:val="009B75A7"/>
    <w:rsid w:val="009C16B4"/>
    <w:rsid w:val="009C2875"/>
    <w:rsid w:val="009C2CE7"/>
    <w:rsid w:val="009C596F"/>
    <w:rsid w:val="009C636E"/>
    <w:rsid w:val="009D0813"/>
    <w:rsid w:val="009D0D15"/>
    <w:rsid w:val="009D14F9"/>
    <w:rsid w:val="009D2B74"/>
    <w:rsid w:val="009D3030"/>
    <w:rsid w:val="009D34E0"/>
    <w:rsid w:val="009D4CD9"/>
    <w:rsid w:val="009D67FB"/>
    <w:rsid w:val="009D7F5A"/>
    <w:rsid w:val="009E0064"/>
    <w:rsid w:val="009E175D"/>
    <w:rsid w:val="009E3CC2"/>
    <w:rsid w:val="009E678D"/>
    <w:rsid w:val="009E7E75"/>
    <w:rsid w:val="009F20BE"/>
    <w:rsid w:val="009F2A4D"/>
    <w:rsid w:val="009F5B95"/>
    <w:rsid w:val="00A02612"/>
    <w:rsid w:val="00A046A2"/>
    <w:rsid w:val="00A0556E"/>
    <w:rsid w:val="00A05911"/>
    <w:rsid w:val="00A05E26"/>
    <w:rsid w:val="00A05F8B"/>
    <w:rsid w:val="00A0727F"/>
    <w:rsid w:val="00A07D9E"/>
    <w:rsid w:val="00A10655"/>
    <w:rsid w:val="00A2060B"/>
    <w:rsid w:val="00A21C22"/>
    <w:rsid w:val="00A21C38"/>
    <w:rsid w:val="00A25193"/>
    <w:rsid w:val="00A26F6A"/>
    <w:rsid w:val="00A31AE8"/>
    <w:rsid w:val="00A35A55"/>
    <w:rsid w:val="00A3739D"/>
    <w:rsid w:val="00A37DDA"/>
    <w:rsid w:val="00A426A9"/>
    <w:rsid w:val="00A431FE"/>
    <w:rsid w:val="00A435AA"/>
    <w:rsid w:val="00A44F37"/>
    <w:rsid w:val="00A45C3B"/>
    <w:rsid w:val="00A467D0"/>
    <w:rsid w:val="00A54E06"/>
    <w:rsid w:val="00A57864"/>
    <w:rsid w:val="00A61D77"/>
    <w:rsid w:val="00A65283"/>
    <w:rsid w:val="00A75CA7"/>
    <w:rsid w:val="00A777A0"/>
    <w:rsid w:val="00A80807"/>
    <w:rsid w:val="00A84A12"/>
    <w:rsid w:val="00A8646E"/>
    <w:rsid w:val="00A925EC"/>
    <w:rsid w:val="00A936E6"/>
    <w:rsid w:val="00A9415B"/>
    <w:rsid w:val="00A95163"/>
    <w:rsid w:val="00A9673A"/>
    <w:rsid w:val="00AA0587"/>
    <w:rsid w:val="00AA541E"/>
    <w:rsid w:val="00AA782D"/>
    <w:rsid w:val="00AA7A0B"/>
    <w:rsid w:val="00AB0631"/>
    <w:rsid w:val="00AB1D59"/>
    <w:rsid w:val="00AC40ED"/>
    <w:rsid w:val="00AC5073"/>
    <w:rsid w:val="00AD0DA4"/>
    <w:rsid w:val="00AD3CDD"/>
    <w:rsid w:val="00AD4169"/>
    <w:rsid w:val="00AD695E"/>
    <w:rsid w:val="00AE07E0"/>
    <w:rsid w:val="00AE0EFF"/>
    <w:rsid w:val="00AE25C6"/>
    <w:rsid w:val="00AE306C"/>
    <w:rsid w:val="00AE4CC7"/>
    <w:rsid w:val="00AF0CAB"/>
    <w:rsid w:val="00AF4F30"/>
    <w:rsid w:val="00AF5823"/>
    <w:rsid w:val="00B02EF1"/>
    <w:rsid w:val="00B03F0B"/>
    <w:rsid w:val="00B04B2A"/>
    <w:rsid w:val="00B05F41"/>
    <w:rsid w:val="00B0688B"/>
    <w:rsid w:val="00B07C97"/>
    <w:rsid w:val="00B07E47"/>
    <w:rsid w:val="00B15754"/>
    <w:rsid w:val="00B20317"/>
    <w:rsid w:val="00B2046E"/>
    <w:rsid w:val="00B20E8B"/>
    <w:rsid w:val="00B212E0"/>
    <w:rsid w:val="00B219D4"/>
    <w:rsid w:val="00B22CBE"/>
    <w:rsid w:val="00B24665"/>
    <w:rsid w:val="00B26106"/>
    <w:rsid w:val="00B26844"/>
    <w:rsid w:val="00B27423"/>
    <w:rsid w:val="00B323D9"/>
    <w:rsid w:val="00B32B75"/>
    <w:rsid w:val="00B343CC"/>
    <w:rsid w:val="00B351DD"/>
    <w:rsid w:val="00B3606B"/>
    <w:rsid w:val="00B4118D"/>
    <w:rsid w:val="00B43709"/>
    <w:rsid w:val="00B4421B"/>
    <w:rsid w:val="00B460E7"/>
    <w:rsid w:val="00B47826"/>
    <w:rsid w:val="00B47EE0"/>
    <w:rsid w:val="00B51B6D"/>
    <w:rsid w:val="00B5230A"/>
    <w:rsid w:val="00B524F4"/>
    <w:rsid w:val="00B52CAA"/>
    <w:rsid w:val="00B532F4"/>
    <w:rsid w:val="00B54915"/>
    <w:rsid w:val="00B560B2"/>
    <w:rsid w:val="00B56F41"/>
    <w:rsid w:val="00B6008C"/>
    <w:rsid w:val="00B6033E"/>
    <w:rsid w:val="00B614F7"/>
    <w:rsid w:val="00B61B26"/>
    <w:rsid w:val="00B624A6"/>
    <w:rsid w:val="00B677D6"/>
    <w:rsid w:val="00B708E9"/>
    <w:rsid w:val="00B716BF"/>
    <w:rsid w:val="00B71CD3"/>
    <w:rsid w:val="00B732DE"/>
    <w:rsid w:val="00B77DFD"/>
    <w:rsid w:val="00B803FA"/>
    <w:rsid w:val="00B811B2"/>
    <w:rsid w:val="00B81261"/>
    <w:rsid w:val="00B81D26"/>
    <w:rsid w:val="00B8223E"/>
    <w:rsid w:val="00B832AE"/>
    <w:rsid w:val="00B83463"/>
    <w:rsid w:val="00B84042"/>
    <w:rsid w:val="00B86678"/>
    <w:rsid w:val="00B96513"/>
    <w:rsid w:val="00B96A24"/>
    <w:rsid w:val="00BA0DDA"/>
    <w:rsid w:val="00BA1D47"/>
    <w:rsid w:val="00BA66F0"/>
    <w:rsid w:val="00BA7301"/>
    <w:rsid w:val="00BA7743"/>
    <w:rsid w:val="00BB14B3"/>
    <w:rsid w:val="00BB2AE7"/>
    <w:rsid w:val="00BB2F26"/>
    <w:rsid w:val="00BB6464"/>
    <w:rsid w:val="00BC0145"/>
    <w:rsid w:val="00BC151D"/>
    <w:rsid w:val="00BC1BB8"/>
    <w:rsid w:val="00BC4905"/>
    <w:rsid w:val="00BC50DB"/>
    <w:rsid w:val="00BC5101"/>
    <w:rsid w:val="00BC6534"/>
    <w:rsid w:val="00BD033B"/>
    <w:rsid w:val="00BD0FA5"/>
    <w:rsid w:val="00BD4CD6"/>
    <w:rsid w:val="00BD54AC"/>
    <w:rsid w:val="00BD609B"/>
    <w:rsid w:val="00BD7B29"/>
    <w:rsid w:val="00BE0163"/>
    <w:rsid w:val="00BE6144"/>
    <w:rsid w:val="00BE635A"/>
    <w:rsid w:val="00BF02D1"/>
    <w:rsid w:val="00BF2ABB"/>
    <w:rsid w:val="00BF378C"/>
    <w:rsid w:val="00BF3C4C"/>
    <w:rsid w:val="00BF4029"/>
    <w:rsid w:val="00BF4FC5"/>
    <w:rsid w:val="00BF613E"/>
    <w:rsid w:val="00C04EB3"/>
    <w:rsid w:val="00C10F10"/>
    <w:rsid w:val="00C11A18"/>
    <w:rsid w:val="00C147F8"/>
    <w:rsid w:val="00C14CC4"/>
    <w:rsid w:val="00C20802"/>
    <w:rsid w:val="00C21E5B"/>
    <w:rsid w:val="00C24115"/>
    <w:rsid w:val="00C25057"/>
    <w:rsid w:val="00C258BD"/>
    <w:rsid w:val="00C26715"/>
    <w:rsid w:val="00C309D8"/>
    <w:rsid w:val="00C3369F"/>
    <w:rsid w:val="00C372A4"/>
    <w:rsid w:val="00C40521"/>
    <w:rsid w:val="00C42862"/>
    <w:rsid w:val="00C42B79"/>
    <w:rsid w:val="00C4611A"/>
    <w:rsid w:val="00C533E6"/>
    <w:rsid w:val="00C565FE"/>
    <w:rsid w:val="00C61AEC"/>
    <w:rsid w:val="00C61AFA"/>
    <w:rsid w:val="00C62099"/>
    <w:rsid w:val="00C62BA6"/>
    <w:rsid w:val="00C63FEE"/>
    <w:rsid w:val="00C65CE3"/>
    <w:rsid w:val="00C67FA7"/>
    <w:rsid w:val="00C70191"/>
    <w:rsid w:val="00C712A3"/>
    <w:rsid w:val="00C7254B"/>
    <w:rsid w:val="00C72867"/>
    <w:rsid w:val="00C75407"/>
    <w:rsid w:val="00C75E81"/>
    <w:rsid w:val="00C82093"/>
    <w:rsid w:val="00C83070"/>
    <w:rsid w:val="00C851C6"/>
    <w:rsid w:val="00C92B4C"/>
    <w:rsid w:val="00C94034"/>
    <w:rsid w:val="00C94821"/>
    <w:rsid w:val="00C94C4C"/>
    <w:rsid w:val="00C94C6B"/>
    <w:rsid w:val="00C954F6"/>
    <w:rsid w:val="00CA1ABB"/>
    <w:rsid w:val="00CA2C7C"/>
    <w:rsid w:val="00CA3AF4"/>
    <w:rsid w:val="00CA4B60"/>
    <w:rsid w:val="00CA65E7"/>
    <w:rsid w:val="00CA67CF"/>
    <w:rsid w:val="00CA6BC5"/>
    <w:rsid w:val="00CA6C51"/>
    <w:rsid w:val="00CA751C"/>
    <w:rsid w:val="00CB02D2"/>
    <w:rsid w:val="00CB254C"/>
    <w:rsid w:val="00CB5CBB"/>
    <w:rsid w:val="00CB6333"/>
    <w:rsid w:val="00CB72B3"/>
    <w:rsid w:val="00CC09C0"/>
    <w:rsid w:val="00CC1DD7"/>
    <w:rsid w:val="00CC2438"/>
    <w:rsid w:val="00CC2627"/>
    <w:rsid w:val="00CC2A78"/>
    <w:rsid w:val="00CC452F"/>
    <w:rsid w:val="00CC5C8E"/>
    <w:rsid w:val="00CC6806"/>
    <w:rsid w:val="00CD63B2"/>
    <w:rsid w:val="00CE42A6"/>
    <w:rsid w:val="00CE5C46"/>
    <w:rsid w:val="00CE640F"/>
    <w:rsid w:val="00CE6481"/>
    <w:rsid w:val="00CF540E"/>
    <w:rsid w:val="00CF77E0"/>
    <w:rsid w:val="00D007E4"/>
    <w:rsid w:val="00D009B1"/>
    <w:rsid w:val="00D02F07"/>
    <w:rsid w:val="00D11E93"/>
    <w:rsid w:val="00D15A04"/>
    <w:rsid w:val="00D16C9F"/>
    <w:rsid w:val="00D17F1A"/>
    <w:rsid w:val="00D212DE"/>
    <w:rsid w:val="00D219C5"/>
    <w:rsid w:val="00D22495"/>
    <w:rsid w:val="00D2461B"/>
    <w:rsid w:val="00D256D8"/>
    <w:rsid w:val="00D268E6"/>
    <w:rsid w:val="00D26F2E"/>
    <w:rsid w:val="00D3146C"/>
    <w:rsid w:val="00D342DD"/>
    <w:rsid w:val="00D34CD7"/>
    <w:rsid w:val="00D362B1"/>
    <w:rsid w:val="00D36A49"/>
    <w:rsid w:val="00D41A41"/>
    <w:rsid w:val="00D4261F"/>
    <w:rsid w:val="00D43283"/>
    <w:rsid w:val="00D455A1"/>
    <w:rsid w:val="00D45F04"/>
    <w:rsid w:val="00D517C6"/>
    <w:rsid w:val="00D52F9D"/>
    <w:rsid w:val="00D5385D"/>
    <w:rsid w:val="00D53F74"/>
    <w:rsid w:val="00D615B6"/>
    <w:rsid w:val="00D61F18"/>
    <w:rsid w:val="00D635CF"/>
    <w:rsid w:val="00D636B1"/>
    <w:rsid w:val="00D66868"/>
    <w:rsid w:val="00D67ED1"/>
    <w:rsid w:val="00D71B0A"/>
    <w:rsid w:val="00D71D84"/>
    <w:rsid w:val="00D72464"/>
    <w:rsid w:val="00D74A41"/>
    <w:rsid w:val="00D76555"/>
    <w:rsid w:val="00D768EB"/>
    <w:rsid w:val="00D778B3"/>
    <w:rsid w:val="00D80DFA"/>
    <w:rsid w:val="00D832D9"/>
    <w:rsid w:val="00D86C6E"/>
    <w:rsid w:val="00D87863"/>
    <w:rsid w:val="00D91D22"/>
    <w:rsid w:val="00D975C0"/>
    <w:rsid w:val="00DA4769"/>
    <w:rsid w:val="00DA4FA8"/>
    <w:rsid w:val="00DA5285"/>
    <w:rsid w:val="00DA6952"/>
    <w:rsid w:val="00DB1CF6"/>
    <w:rsid w:val="00DB240B"/>
    <w:rsid w:val="00DB4F91"/>
    <w:rsid w:val="00DC3117"/>
    <w:rsid w:val="00DC5DD9"/>
    <w:rsid w:val="00DC617C"/>
    <w:rsid w:val="00DD23D7"/>
    <w:rsid w:val="00DD3044"/>
    <w:rsid w:val="00DD3799"/>
    <w:rsid w:val="00DD7FBC"/>
    <w:rsid w:val="00DE0B3C"/>
    <w:rsid w:val="00DE2199"/>
    <w:rsid w:val="00DE33B5"/>
    <w:rsid w:val="00DE4D8D"/>
    <w:rsid w:val="00DE5E18"/>
    <w:rsid w:val="00DE61D4"/>
    <w:rsid w:val="00DE6814"/>
    <w:rsid w:val="00DF0487"/>
    <w:rsid w:val="00DF25F7"/>
    <w:rsid w:val="00DF2881"/>
    <w:rsid w:val="00DF2C5E"/>
    <w:rsid w:val="00DF32B7"/>
    <w:rsid w:val="00E00932"/>
    <w:rsid w:val="00E02681"/>
    <w:rsid w:val="00E02792"/>
    <w:rsid w:val="00E034D8"/>
    <w:rsid w:val="00E0395F"/>
    <w:rsid w:val="00E04C35"/>
    <w:rsid w:val="00E04CC0"/>
    <w:rsid w:val="00E070F1"/>
    <w:rsid w:val="00E11CF1"/>
    <w:rsid w:val="00E15816"/>
    <w:rsid w:val="00E160D5"/>
    <w:rsid w:val="00E16F5C"/>
    <w:rsid w:val="00E20A25"/>
    <w:rsid w:val="00E24897"/>
    <w:rsid w:val="00E25866"/>
    <w:rsid w:val="00E2652C"/>
    <w:rsid w:val="00E30556"/>
    <w:rsid w:val="00E30981"/>
    <w:rsid w:val="00E31375"/>
    <w:rsid w:val="00E33136"/>
    <w:rsid w:val="00E3434C"/>
    <w:rsid w:val="00E3456E"/>
    <w:rsid w:val="00E3681E"/>
    <w:rsid w:val="00E3723D"/>
    <w:rsid w:val="00E37F92"/>
    <w:rsid w:val="00E4200A"/>
    <w:rsid w:val="00E4398E"/>
    <w:rsid w:val="00E442D5"/>
    <w:rsid w:val="00E51BBF"/>
    <w:rsid w:val="00E520D4"/>
    <w:rsid w:val="00E56AC1"/>
    <w:rsid w:val="00E574EB"/>
    <w:rsid w:val="00E61513"/>
    <w:rsid w:val="00E64549"/>
    <w:rsid w:val="00E649C4"/>
    <w:rsid w:val="00E71A0F"/>
    <w:rsid w:val="00E72127"/>
    <w:rsid w:val="00E723F4"/>
    <w:rsid w:val="00E7262B"/>
    <w:rsid w:val="00E73B46"/>
    <w:rsid w:val="00E75E50"/>
    <w:rsid w:val="00E77239"/>
    <w:rsid w:val="00E80FCE"/>
    <w:rsid w:val="00E8514A"/>
    <w:rsid w:val="00E85BE2"/>
    <w:rsid w:val="00E85C1F"/>
    <w:rsid w:val="00E861DB"/>
    <w:rsid w:val="00E93406"/>
    <w:rsid w:val="00E95583"/>
    <w:rsid w:val="00E956C5"/>
    <w:rsid w:val="00E95C39"/>
    <w:rsid w:val="00E964A8"/>
    <w:rsid w:val="00EA02F8"/>
    <w:rsid w:val="00EA2113"/>
    <w:rsid w:val="00EA2C39"/>
    <w:rsid w:val="00EA3470"/>
    <w:rsid w:val="00EA6C48"/>
    <w:rsid w:val="00EA7122"/>
    <w:rsid w:val="00EA783B"/>
    <w:rsid w:val="00EB0A96"/>
    <w:rsid w:val="00EB1412"/>
    <w:rsid w:val="00EB2BD5"/>
    <w:rsid w:val="00EB5304"/>
    <w:rsid w:val="00EB77F9"/>
    <w:rsid w:val="00EC12E2"/>
    <w:rsid w:val="00EC1B86"/>
    <w:rsid w:val="00EC46B5"/>
    <w:rsid w:val="00EC5150"/>
    <w:rsid w:val="00EC5769"/>
    <w:rsid w:val="00ED27D5"/>
    <w:rsid w:val="00ED320A"/>
    <w:rsid w:val="00ED4357"/>
    <w:rsid w:val="00ED5A2D"/>
    <w:rsid w:val="00EE11A0"/>
    <w:rsid w:val="00EE2560"/>
    <w:rsid w:val="00EE38FA"/>
    <w:rsid w:val="00EE3E2C"/>
    <w:rsid w:val="00EE3FDC"/>
    <w:rsid w:val="00EE5D23"/>
    <w:rsid w:val="00EE6048"/>
    <w:rsid w:val="00EE75B5"/>
    <w:rsid w:val="00EF3CA4"/>
    <w:rsid w:val="00EF5680"/>
    <w:rsid w:val="00F01226"/>
    <w:rsid w:val="00F014DA"/>
    <w:rsid w:val="00F13E09"/>
    <w:rsid w:val="00F1784B"/>
    <w:rsid w:val="00F2173F"/>
    <w:rsid w:val="00F2174F"/>
    <w:rsid w:val="00F21E50"/>
    <w:rsid w:val="00F220CA"/>
    <w:rsid w:val="00F2656E"/>
    <w:rsid w:val="00F269F7"/>
    <w:rsid w:val="00F27268"/>
    <w:rsid w:val="00F277C6"/>
    <w:rsid w:val="00F27A52"/>
    <w:rsid w:val="00F36CD0"/>
    <w:rsid w:val="00F42C9E"/>
    <w:rsid w:val="00F45468"/>
    <w:rsid w:val="00F473A5"/>
    <w:rsid w:val="00F51215"/>
    <w:rsid w:val="00F547F1"/>
    <w:rsid w:val="00F5533C"/>
    <w:rsid w:val="00F567AA"/>
    <w:rsid w:val="00F56E43"/>
    <w:rsid w:val="00F61A6D"/>
    <w:rsid w:val="00F62185"/>
    <w:rsid w:val="00F638DC"/>
    <w:rsid w:val="00F66450"/>
    <w:rsid w:val="00F66923"/>
    <w:rsid w:val="00F66BEB"/>
    <w:rsid w:val="00F726D6"/>
    <w:rsid w:val="00F75213"/>
    <w:rsid w:val="00F76642"/>
    <w:rsid w:val="00F80175"/>
    <w:rsid w:val="00F8086F"/>
    <w:rsid w:val="00F8508D"/>
    <w:rsid w:val="00F8661D"/>
    <w:rsid w:val="00F9225E"/>
    <w:rsid w:val="00F94398"/>
    <w:rsid w:val="00F9499F"/>
    <w:rsid w:val="00F95F89"/>
    <w:rsid w:val="00FA7A64"/>
    <w:rsid w:val="00FB2B56"/>
    <w:rsid w:val="00FB3506"/>
    <w:rsid w:val="00FB3585"/>
    <w:rsid w:val="00FB3675"/>
    <w:rsid w:val="00FB3F36"/>
    <w:rsid w:val="00FB5F19"/>
    <w:rsid w:val="00FB66EE"/>
    <w:rsid w:val="00FC100D"/>
    <w:rsid w:val="00FC12BF"/>
    <w:rsid w:val="00FC14DC"/>
    <w:rsid w:val="00FC3176"/>
    <w:rsid w:val="00FC5E22"/>
    <w:rsid w:val="00FC6639"/>
    <w:rsid w:val="00FC7099"/>
    <w:rsid w:val="00FD3E6F"/>
    <w:rsid w:val="00FD51B9"/>
    <w:rsid w:val="00FD62ED"/>
    <w:rsid w:val="00FD6494"/>
    <w:rsid w:val="00FE0D73"/>
    <w:rsid w:val="00FE2A39"/>
    <w:rsid w:val="00FE2E84"/>
    <w:rsid w:val="00FE3110"/>
    <w:rsid w:val="00FF5281"/>
    <w:rsid w:val="00FF6B17"/>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599D7FE"/>
  <w15:docId w15:val="{C576AC82-5F84-45DB-B207-6BFECC73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0" w:unhideWhenUsed="1" w:qFormat="1"/>
    <w:lsdException w:name="heading 4" w:semiHidden="1" w:uiPriority="2"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170"/>
    <w:pPr>
      <w:spacing w:after="200"/>
    </w:pPr>
    <w:rPr>
      <w:rFonts w:ascii="Arial" w:eastAsia="Times New Roman" w:hAnsi="Arial"/>
      <w:sz w:val="22"/>
      <w:lang w:eastAsia="en-AU"/>
    </w:rPr>
  </w:style>
  <w:style w:type="paragraph" w:styleId="Heading1">
    <w:name w:val="heading 1"/>
    <w:aliases w:val="DTF Heading 1"/>
    <w:next w:val="Normal"/>
    <w:link w:val="Heading1Char"/>
    <w:uiPriority w:val="2"/>
    <w:qFormat/>
    <w:rsid w:val="007E6170"/>
    <w:pPr>
      <w:spacing w:before="360" w:after="240"/>
      <w:outlineLvl w:val="0"/>
    </w:pPr>
    <w:rPr>
      <w:rFonts w:ascii="Arial" w:eastAsiaTheme="majorEastAsia" w:hAnsi="Arial" w:cs="Arial"/>
      <w:b/>
      <w:bCs/>
      <w:iCs/>
      <w:color w:val="606060"/>
      <w:sz w:val="28"/>
      <w:szCs w:val="28"/>
      <w:lang w:eastAsia="en-AU"/>
    </w:rPr>
  </w:style>
  <w:style w:type="paragraph" w:styleId="Heading2">
    <w:name w:val="heading 2"/>
    <w:aliases w:val="DTF Heading 2"/>
    <w:next w:val="Normal"/>
    <w:link w:val="Heading2Char"/>
    <w:autoRedefine/>
    <w:qFormat/>
    <w:rsid w:val="00CF77E0"/>
    <w:pPr>
      <w:spacing w:before="360" w:after="240"/>
      <w:outlineLvl w:val="1"/>
    </w:pPr>
    <w:rPr>
      <w:rFonts w:ascii="Arial" w:eastAsia="Times New Roman" w:hAnsi="Arial" w:cs="Arial"/>
      <w:b/>
      <w:bCs/>
      <w:sz w:val="24"/>
      <w:szCs w:val="26"/>
      <w:lang w:eastAsia="en-AU"/>
    </w:rPr>
  </w:style>
  <w:style w:type="paragraph" w:styleId="Heading3">
    <w:name w:val="heading 3"/>
    <w:aliases w:val="DTF Heading 3"/>
    <w:next w:val="Normal"/>
    <w:link w:val="Heading3Char"/>
    <w:qFormat/>
    <w:rsid w:val="00770129"/>
    <w:pPr>
      <w:spacing w:before="360" w:after="240"/>
      <w:outlineLvl w:val="2"/>
    </w:pPr>
    <w:rPr>
      <w:rFonts w:ascii="Arial" w:eastAsia="Times New Roman" w:hAnsi="Arial" w:cs="Arial"/>
      <w:b/>
      <w:bCs/>
      <w:sz w:val="22"/>
      <w:szCs w:val="22"/>
      <w:lang w:val="en-US" w:eastAsia="en-AU"/>
    </w:rPr>
  </w:style>
  <w:style w:type="paragraph" w:styleId="Heading4">
    <w:name w:val="heading 4"/>
    <w:next w:val="Normal"/>
    <w:link w:val="Heading4Char"/>
    <w:uiPriority w:val="2"/>
    <w:qFormat/>
    <w:rsid w:val="007E6170"/>
    <w:pPr>
      <w:keepNext/>
      <w:keepLines/>
      <w:spacing w:before="360" w:after="240"/>
      <w:outlineLvl w:val="3"/>
    </w:pPr>
    <w:rPr>
      <w:rFonts w:ascii="Arial" w:eastAsiaTheme="majorEastAsia" w:hAnsi="Arial" w:cstheme="majorBidi"/>
      <w:b/>
      <w:bCs/>
      <w:iCs/>
      <w:color w:val="606060"/>
      <w:sz w:val="22"/>
      <w:lang w:eastAsia="en-AU"/>
    </w:rPr>
  </w:style>
  <w:style w:type="paragraph" w:styleId="Heading5">
    <w:name w:val="heading 5"/>
    <w:basedOn w:val="Normal"/>
    <w:next w:val="Normal"/>
    <w:link w:val="Heading5Char"/>
    <w:uiPriority w:val="9"/>
    <w:rsid w:val="007E6170"/>
    <w:pPr>
      <w:keepNext/>
      <w:keepLines/>
      <w:spacing w:before="240" w:after="240"/>
      <w:outlineLvl w:val="4"/>
    </w:pPr>
    <w:rPr>
      <w:rFonts w:eastAsiaTheme="majorEastAsia" w:cstheme="majorBidi"/>
      <w:b/>
      <w:color w:val="000000" w:themeColor="text1"/>
    </w:rPr>
  </w:style>
  <w:style w:type="paragraph" w:styleId="Heading6">
    <w:name w:val="heading 6"/>
    <w:basedOn w:val="Normal"/>
    <w:next w:val="Normal"/>
    <w:link w:val="Heading6Char"/>
    <w:uiPriority w:val="9"/>
    <w:rsid w:val="007E6170"/>
    <w:pPr>
      <w:keepNext/>
      <w:keepLines/>
      <w:spacing w:before="240" w:after="240"/>
      <w:outlineLvl w:val="5"/>
    </w:pPr>
    <w:rPr>
      <w:rFonts w:eastAsiaTheme="majorEastAsia" w:cstheme="majorBidi"/>
      <w:b/>
      <w:iCs/>
      <w:color w:val="606060"/>
    </w:rPr>
  </w:style>
  <w:style w:type="paragraph" w:styleId="Heading7">
    <w:name w:val="heading 7"/>
    <w:basedOn w:val="Normal"/>
    <w:next w:val="Normal"/>
    <w:link w:val="Heading7Char"/>
    <w:uiPriority w:val="9"/>
    <w:rsid w:val="007E6170"/>
    <w:pPr>
      <w:keepNext/>
      <w:keepLines/>
      <w:spacing w:before="240" w:after="24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7E6170"/>
    <w:pPr>
      <w:keepNext/>
      <w:keepLines/>
      <w:spacing w:before="240" w:after="240"/>
      <w:outlineLvl w:val="7"/>
    </w:pPr>
    <w:rPr>
      <w:rFonts w:eastAsiaTheme="majorEastAsia" w:cstheme="majorBidi"/>
      <w:b/>
      <w:color w:val="606060"/>
    </w:rPr>
  </w:style>
  <w:style w:type="paragraph" w:styleId="Heading9">
    <w:name w:val="heading 9"/>
    <w:basedOn w:val="Normal"/>
    <w:next w:val="Normal"/>
    <w:link w:val="Heading9Char"/>
    <w:uiPriority w:val="9"/>
    <w:rsid w:val="007E6170"/>
    <w:pPr>
      <w:keepNext/>
      <w:keepLines/>
      <w:spacing w:before="240" w:after="24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7E6170"/>
    <w:rPr>
      <w:rFonts w:ascii="Arial" w:hAnsi="Arial"/>
      <w:sz w:val="22"/>
    </w:rPr>
  </w:style>
  <w:style w:type="character" w:customStyle="1" w:styleId="Heading1Char">
    <w:name w:val="Heading 1 Char"/>
    <w:aliases w:val="DTF Heading 1 Char"/>
    <w:basedOn w:val="DefaultParagraphFont"/>
    <w:link w:val="Heading1"/>
    <w:uiPriority w:val="2"/>
    <w:rsid w:val="007E6170"/>
    <w:rPr>
      <w:rFonts w:ascii="Arial" w:eastAsiaTheme="majorEastAsia" w:hAnsi="Arial" w:cs="Arial"/>
      <w:b/>
      <w:bCs/>
      <w:iCs/>
      <w:color w:val="606060"/>
      <w:sz w:val="28"/>
      <w:szCs w:val="28"/>
      <w:lang w:eastAsia="en-AU"/>
    </w:rPr>
  </w:style>
  <w:style w:type="character" w:customStyle="1" w:styleId="Heading2Char">
    <w:name w:val="Heading 2 Char"/>
    <w:aliases w:val="DTF Heading 2 Char"/>
    <w:basedOn w:val="DefaultParagraphFont"/>
    <w:link w:val="Heading2"/>
    <w:uiPriority w:val="2"/>
    <w:rsid w:val="00CF77E0"/>
    <w:rPr>
      <w:rFonts w:ascii="Arial" w:eastAsia="Times New Roman" w:hAnsi="Arial" w:cs="Arial"/>
      <w:b/>
      <w:bCs/>
      <w:sz w:val="24"/>
      <w:szCs w:val="26"/>
      <w:lang w:eastAsia="en-AU"/>
    </w:rPr>
  </w:style>
  <w:style w:type="paragraph" w:styleId="Title">
    <w:name w:val="Title"/>
    <w:aliases w:val="DTF Title"/>
    <w:next w:val="Normal"/>
    <w:link w:val="TitleChar"/>
    <w:uiPriority w:val="10"/>
    <w:rsid w:val="00AE0EFF"/>
    <w:pPr>
      <w:spacing w:after="240"/>
    </w:pPr>
    <w:rPr>
      <w:rFonts w:ascii="Arial Black" w:eastAsia="Times New Roman" w:hAnsi="Arial Black" w:cs="Arial"/>
      <w:b/>
      <w:color w:val="CB6015"/>
      <w:sz w:val="36"/>
      <w:szCs w:val="36"/>
      <w:lang w:eastAsia="en-AU"/>
    </w:rPr>
  </w:style>
  <w:style w:type="character" w:customStyle="1" w:styleId="TitleChar">
    <w:name w:val="Title Char"/>
    <w:aliases w:val="DTF Title Char"/>
    <w:basedOn w:val="DefaultParagraphFont"/>
    <w:link w:val="Title"/>
    <w:uiPriority w:val="10"/>
    <w:rsid w:val="00AE0EFF"/>
    <w:rPr>
      <w:rFonts w:ascii="Arial Black" w:eastAsia="Times New Roman" w:hAnsi="Arial Black" w:cs="Arial"/>
      <w:b/>
      <w:color w:val="CB6015"/>
      <w:sz w:val="36"/>
      <w:szCs w:val="36"/>
      <w:lang w:eastAsia="en-AU"/>
    </w:rPr>
  </w:style>
  <w:style w:type="paragraph" w:styleId="Subtitle">
    <w:name w:val="Subtitle"/>
    <w:aliases w:val="DTF Subtitle"/>
    <w:next w:val="Normal"/>
    <w:link w:val="SubtitleChar"/>
    <w:autoRedefine/>
    <w:uiPriority w:val="11"/>
    <w:semiHidden/>
    <w:rsid w:val="007E6170"/>
    <w:rPr>
      <w:rFonts w:ascii="Arial" w:eastAsia="Times New Roman" w:hAnsi="Arial"/>
      <w:sz w:val="32"/>
      <w:szCs w:val="24"/>
      <w:lang w:val="en-US" w:eastAsia="en-AU"/>
    </w:rPr>
  </w:style>
  <w:style w:type="character" w:customStyle="1" w:styleId="SubtitleChar">
    <w:name w:val="Subtitle Char"/>
    <w:aliases w:val="DTF Subtitle Char"/>
    <w:basedOn w:val="DefaultParagraphFont"/>
    <w:link w:val="Subtitle"/>
    <w:uiPriority w:val="11"/>
    <w:semiHidden/>
    <w:rsid w:val="007E6170"/>
    <w:rPr>
      <w:rFonts w:ascii="Arial" w:eastAsia="Times New Roman" w:hAnsi="Arial"/>
      <w:sz w:val="32"/>
      <w:szCs w:val="24"/>
      <w:lang w:val="en-US" w:eastAsia="en-AU"/>
    </w:rPr>
  </w:style>
  <w:style w:type="character" w:customStyle="1" w:styleId="Heading3Char">
    <w:name w:val="Heading 3 Char"/>
    <w:aliases w:val="DTF Heading 3 Char"/>
    <w:basedOn w:val="DefaultParagraphFont"/>
    <w:link w:val="Heading3"/>
    <w:rsid w:val="00770129"/>
    <w:rPr>
      <w:rFonts w:ascii="Arial" w:eastAsia="Times New Roman" w:hAnsi="Arial" w:cs="Arial"/>
      <w:b/>
      <w:bCs/>
      <w:sz w:val="22"/>
      <w:szCs w:val="22"/>
      <w:lang w:val="en-US" w:eastAsia="en-AU"/>
    </w:rPr>
  </w:style>
  <w:style w:type="paragraph" w:styleId="BlockText">
    <w:name w:val="Block Text"/>
    <w:basedOn w:val="Normal"/>
    <w:semiHidden/>
    <w:rsid w:val="007E6170"/>
    <w:rPr>
      <w:rFonts w:eastAsiaTheme="minorEastAsia"/>
      <w:iCs/>
      <w:szCs w:val="22"/>
      <w:lang w:eastAsia="en-US"/>
    </w:rPr>
  </w:style>
  <w:style w:type="paragraph" w:styleId="Header">
    <w:name w:val="header"/>
    <w:aliases w:val="NTG Page Header"/>
    <w:basedOn w:val="Normal"/>
    <w:next w:val="Normal"/>
    <w:link w:val="HeaderChar"/>
    <w:uiPriority w:val="11"/>
    <w:rsid w:val="007E617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7E6170"/>
    <w:rPr>
      <w:rFonts w:ascii="Arial" w:eastAsia="Times New Roman" w:hAnsi="Arial"/>
      <w:b/>
      <w:sz w:val="22"/>
      <w:lang w:eastAsia="en-AU"/>
    </w:rPr>
  </w:style>
  <w:style w:type="paragraph" w:styleId="Footer">
    <w:name w:val="footer"/>
    <w:basedOn w:val="Normal"/>
    <w:link w:val="FooterChar"/>
    <w:uiPriority w:val="99"/>
    <w:semiHidden/>
    <w:rsid w:val="007E6170"/>
    <w:pPr>
      <w:tabs>
        <w:tab w:val="center" w:pos="4513"/>
        <w:tab w:val="right" w:pos="9026"/>
      </w:tabs>
      <w:spacing w:after="0"/>
    </w:pPr>
  </w:style>
  <w:style w:type="character" w:customStyle="1" w:styleId="FooterChar">
    <w:name w:val="Footer Char"/>
    <w:basedOn w:val="DefaultParagraphFont"/>
    <w:link w:val="Footer"/>
    <w:uiPriority w:val="99"/>
    <w:semiHidden/>
    <w:rsid w:val="007E6170"/>
    <w:rPr>
      <w:rFonts w:ascii="Arial" w:eastAsia="Times New Roman" w:hAnsi="Arial"/>
      <w:sz w:val="22"/>
      <w:lang w:eastAsia="en-AU"/>
    </w:rPr>
  </w:style>
  <w:style w:type="paragraph" w:customStyle="1" w:styleId="SubTitle0">
    <w:name w:val="Sub Title"/>
    <w:basedOn w:val="Normal"/>
    <w:rsid w:val="006752B5"/>
    <w:pPr>
      <w:spacing w:after="240"/>
    </w:pPr>
    <w:rPr>
      <w:b/>
      <w:sz w:val="32"/>
      <w:szCs w:val="24"/>
      <w:lang w:val="en-US"/>
    </w:rPr>
  </w:style>
  <w:style w:type="paragraph" w:styleId="BalloonText">
    <w:name w:val="Balloon Text"/>
    <w:basedOn w:val="Normal"/>
    <w:link w:val="BalloonTextChar"/>
    <w:uiPriority w:val="99"/>
    <w:semiHidden/>
    <w:unhideWhenUsed/>
    <w:rsid w:val="007E6170"/>
    <w:rPr>
      <w:rFonts w:ascii="Tahoma" w:hAnsi="Tahoma" w:cs="Tahoma"/>
      <w:sz w:val="16"/>
      <w:szCs w:val="16"/>
    </w:rPr>
  </w:style>
  <w:style w:type="character" w:customStyle="1" w:styleId="BalloonTextChar">
    <w:name w:val="Balloon Text Char"/>
    <w:basedOn w:val="DefaultParagraphFont"/>
    <w:link w:val="BalloonText"/>
    <w:uiPriority w:val="99"/>
    <w:semiHidden/>
    <w:rsid w:val="007E6170"/>
    <w:rPr>
      <w:rFonts w:ascii="Tahoma" w:eastAsia="Times New Roman" w:hAnsi="Tahoma" w:cs="Tahoma"/>
      <w:sz w:val="16"/>
      <w:szCs w:val="16"/>
      <w:lang w:eastAsia="en-AU"/>
    </w:rPr>
  </w:style>
  <w:style w:type="character" w:customStyle="1" w:styleId="Heading4Char">
    <w:name w:val="Heading 4 Char"/>
    <w:basedOn w:val="DefaultParagraphFont"/>
    <w:link w:val="Heading4"/>
    <w:uiPriority w:val="2"/>
    <w:rsid w:val="007E6170"/>
    <w:rPr>
      <w:rFonts w:ascii="Arial" w:eastAsiaTheme="majorEastAsia" w:hAnsi="Arial" w:cstheme="majorBidi"/>
      <w:b/>
      <w:bCs/>
      <w:iCs/>
      <w:color w:val="606060"/>
      <w:sz w:val="22"/>
      <w:lang w:eastAsia="en-AU"/>
    </w:rPr>
  </w:style>
  <w:style w:type="paragraph" w:styleId="NormalWeb">
    <w:name w:val="Normal (Web)"/>
    <w:basedOn w:val="Normal"/>
    <w:uiPriority w:val="99"/>
    <w:semiHidden/>
    <w:unhideWhenUsed/>
    <w:rsid w:val="007E6170"/>
    <w:rPr>
      <w:rFonts w:ascii="Times New Roman" w:hAnsi="Times New Roman"/>
      <w:sz w:val="24"/>
      <w:szCs w:val="24"/>
    </w:rPr>
  </w:style>
  <w:style w:type="character" w:styleId="PlaceholderText">
    <w:name w:val="Placeholder Text"/>
    <w:basedOn w:val="DefaultParagraphFont"/>
    <w:uiPriority w:val="99"/>
    <w:semiHidden/>
    <w:rsid w:val="007E6170"/>
    <w:rPr>
      <w:color w:val="808080"/>
    </w:rPr>
  </w:style>
  <w:style w:type="paragraph" w:styleId="ListParagraph">
    <w:name w:val="List Paragraph"/>
    <w:basedOn w:val="BlockText"/>
    <w:uiPriority w:val="34"/>
    <w:qFormat/>
    <w:rsid w:val="007E6170"/>
  </w:style>
  <w:style w:type="table" w:styleId="TableGrid">
    <w:name w:val="Table Grid"/>
    <w:aliases w:val="TD Table"/>
    <w:basedOn w:val="TableNormal"/>
    <w:uiPriority w:val="59"/>
    <w:rsid w:val="007E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E6170"/>
    <w:pPr>
      <w:widowControl w:val="0"/>
      <w:tabs>
        <w:tab w:val="left" w:pos="1778"/>
        <w:tab w:val="right" w:pos="9026"/>
      </w:tabs>
      <w:spacing w:after="0"/>
    </w:pPr>
    <w:rPr>
      <w:rFonts w:eastAsia="Calibri" w:cs="Arial"/>
      <w:sz w:val="20"/>
      <w:szCs w:val="16"/>
      <w:lang w:eastAsia="en-US"/>
    </w:rPr>
  </w:style>
  <w:style w:type="paragraph" w:customStyle="1" w:styleId="NTGFooterDepartmentof">
    <w:name w:val="NTG Footer Department of"/>
    <w:link w:val="NTGFooterDepartmentofChar"/>
    <w:uiPriority w:val="7"/>
    <w:rsid w:val="007E6170"/>
    <w:pPr>
      <w:widowControl w:val="0"/>
      <w:tabs>
        <w:tab w:val="right" w:pos="9026"/>
      </w:tabs>
    </w:pPr>
    <w:rPr>
      <w:rFonts w:ascii="Arial" w:hAnsi="Arial" w:cs="Arial"/>
      <w:caps/>
      <w:szCs w:val="16"/>
    </w:rPr>
  </w:style>
  <w:style w:type="paragraph" w:customStyle="1" w:styleId="NTGFooterDepartmentName">
    <w:name w:val="NTG Footer Department Name"/>
    <w:link w:val="NTGFooterDepartmentNameChar"/>
    <w:uiPriority w:val="7"/>
    <w:rsid w:val="007E6170"/>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E6170"/>
    <w:rPr>
      <w:rFonts w:ascii="Arial" w:hAnsi="Arial" w:cs="Arial"/>
      <w:szCs w:val="16"/>
    </w:rPr>
  </w:style>
  <w:style w:type="character" w:customStyle="1" w:styleId="NTGFooterDepartmentofChar">
    <w:name w:val="NTG Footer Department of Char"/>
    <w:basedOn w:val="DefaultParagraphFont"/>
    <w:link w:val="NTGFooterDepartmentof"/>
    <w:uiPriority w:val="7"/>
    <w:rsid w:val="007E6170"/>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7E6170"/>
    <w:rPr>
      <w:rFonts w:ascii="Arial Black" w:hAnsi="Arial Black" w:cs="Arial"/>
      <w:caps/>
      <w:szCs w:val="16"/>
    </w:rPr>
  </w:style>
  <w:style w:type="paragraph" w:customStyle="1" w:styleId="Appendix">
    <w:name w:val="Appendix"/>
    <w:basedOn w:val="Heading1"/>
    <w:next w:val="Normal"/>
    <w:uiPriority w:val="11"/>
    <w:qFormat/>
    <w:rsid w:val="007E6170"/>
    <w:pPr>
      <w:spacing w:before="240" w:after="200"/>
    </w:pPr>
    <w:rPr>
      <w:iCs w:val="0"/>
      <w:lang w:eastAsia="en-US"/>
    </w:rPr>
  </w:style>
  <w:style w:type="paragraph" w:styleId="BodyText">
    <w:name w:val="Body Text"/>
    <w:basedOn w:val="Normal"/>
    <w:link w:val="BodyTextChar"/>
    <w:uiPriority w:val="99"/>
    <w:semiHidden/>
    <w:rsid w:val="007E6170"/>
    <w:pPr>
      <w:spacing w:after="120"/>
    </w:pPr>
    <w:rPr>
      <w:rFonts w:eastAsia="Calibri"/>
      <w:szCs w:val="22"/>
      <w:lang w:eastAsia="en-US"/>
    </w:rPr>
  </w:style>
  <w:style w:type="character" w:customStyle="1" w:styleId="BodyTextChar">
    <w:name w:val="Body Text Char"/>
    <w:basedOn w:val="DefaultParagraphFont"/>
    <w:link w:val="BodyText"/>
    <w:uiPriority w:val="99"/>
    <w:semiHidden/>
    <w:rsid w:val="007E6170"/>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7E6170"/>
    <w:pPr>
      <w:spacing w:after="480"/>
    </w:pPr>
  </w:style>
  <w:style w:type="numbering" w:customStyle="1" w:styleId="NTGStandardList">
    <w:name w:val="NTG Standard List"/>
    <w:basedOn w:val="NoList"/>
    <w:rsid w:val="007E6170"/>
    <w:pPr>
      <w:numPr>
        <w:numId w:val="11"/>
      </w:numPr>
    </w:pPr>
  </w:style>
  <w:style w:type="table" w:customStyle="1" w:styleId="NTGTable">
    <w:name w:val="NTG Table"/>
    <w:basedOn w:val="TableTheme"/>
    <w:uiPriority w:val="99"/>
    <w:rsid w:val="007E6170"/>
    <w:rPr>
      <w:rFonts w:ascii="Arial" w:hAnsi="Arial"/>
      <w:sz w:val="22"/>
      <w:szCs w:val="22"/>
      <w:lang w:eastAsia="en-AU"/>
    </w:rPr>
    <w:tblPr>
      <w:tblInd w:w="113" w:type="dxa"/>
    </w:tblPr>
    <w:tcPr>
      <w:shd w:val="clear" w:color="auto" w:fill="auto"/>
    </w:tcPr>
    <w:tblStylePr w:type="firstRow">
      <w:pPr>
        <w:wordWrap/>
        <w:spacing w:beforeLines="0" w:before="60" w:beforeAutospacing="0" w:afterLines="0" w:after="60" w:afterAutospacing="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style>
  <w:style w:type="table" w:styleId="TableTheme">
    <w:name w:val="Table Theme"/>
    <w:basedOn w:val="TableNormal"/>
    <w:uiPriority w:val="99"/>
    <w:semiHidden/>
    <w:unhideWhenUsed/>
    <w:rsid w:val="007E6170"/>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TGTableList">
    <w:name w:val="NTG Table List"/>
    <w:uiPriority w:val="99"/>
    <w:rsid w:val="007E6170"/>
    <w:pPr>
      <w:numPr>
        <w:numId w:val="13"/>
      </w:numPr>
    </w:pPr>
  </w:style>
  <w:style w:type="numbering" w:customStyle="1" w:styleId="NTGTableNumList">
    <w:name w:val="NTG Table Num List"/>
    <w:uiPriority w:val="99"/>
    <w:rsid w:val="007E6170"/>
    <w:pPr>
      <w:numPr>
        <w:numId w:val="14"/>
      </w:numPr>
    </w:pPr>
  </w:style>
  <w:style w:type="paragraph" w:customStyle="1" w:styleId="NTGTableText">
    <w:name w:val="NTG Table Text"/>
    <w:basedOn w:val="Normal"/>
    <w:uiPriority w:val="1"/>
    <w:qFormat/>
    <w:rsid w:val="007E6170"/>
    <w:pPr>
      <w:spacing w:after="40"/>
    </w:pPr>
    <w:rPr>
      <w:lang w:eastAsia="en-US"/>
    </w:rPr>
  </w:style>
  <w:style w:type="character" w:customStyle="1" w:styleId="Heading5Char">
    <w:name w:val="Heading 5 Char"/>
    <w:basedOn w:val="DefaultParagraphFont"/>
    <w:link w:val="Heading5"/>
    <w:uiPriority w:val="9"/>
    <w:rsid w:val="007E6170"/>
    <w:rPr>
      <w:rFonts w:ascii="Arial" w:eastAsiaTheme="majorEastAsia" w:hAnsi="Arial" w:cstheme="majorBidi"/>
      <w:b/>
      <w:color w:val="000000" w:themeColor="text1"/>
      <w:sz w:val="22"/>
      <w:lang w:eastAsia="en-AU"/>
    </w:rPr>
  </w:style>
  <w:style w:type="character" w:customStyle="1" w:styleId="Heading6Char">
    <w:name w:val="Heading 6 Char"/>
    <w:basedOn w:val="DefaultParagraphFont"/>
    <w:link w:val="Heading6"/>
    <w:uiPriority w:val="9"/>
    <w:rsid w:val="007E6170"/>
    <w:rPr>
      <w:rFonts w:ascii="Arial" w:eastAsiaTheme="majorEastAsia" w:hAnsi="Arial" w:cstheme="majorBidi"/>
      <w:b/>
      <w:iCs/>
      <w:color w:val="606060"/>
      <w:sz w:val="22"/>
      <w:lang w:eastAsia="en-AU"/>
    </w:rPr>
  </w:style>
  <w:style w:type="character" w:customStyle="1" w:styleId="Heading7Char">
    <w:name w:val="Heading 7 Char"/>
    <w:basedOn w:val="DefaultParagraphFont"/>
    <w:link w:val="Heading7"/>
    <w:uiPriority w:val="9"/>
    <w:rsid w:val="007E6170"/>
    <w:rPr>
      <w:rFonts w:ascii="Arial" w:eastAsiaTheme="majorEastAsia" w:hAnsi="Arial" w:cstheme="majorBidi"/>
      <w:b/>
      <w:iCs/>
      <w:color w:val="000000" w:themeColor="text1"/>
      <w:sz w:val="22"/>
      <w:lang w:eastAsia="en-AU"/>
    </w:rPr>
  </w:style>
  <w:style w:type="character" w:customStyle="1" w:styleId="Heading8Char">
    <w:name w:val="Heading 8 Char"/>
    <w:basedOn w:val="DefaultParagraphFont"/>
    <w:link w:val="Heading8"/>
    <w:uiPriority w:val="9"/>
    <w:rsid w:val="007E6170"/>
    <w:rPr>
      <w:rFonts w:ascii="Arial" w:eastAsiaTheme="majorEastAsia" w:hAnsi="Arial" w:cstheme="majorBidi"/>
      <w:b/>
      <w:color w:val="606060"/>
      <w:sz w:val="22"/>
      <w:lang w:eastAsia="en-AU"/>
    </w:rPr>
  </w:style>
  <w:style w:type="character" w:customStyle="1" w:styleId="Heading9Char">
    <w:name w:val="Heading 9 Char"/>
    <w:basedOn w:val="DefaultParagraphFont"/>
    <w:link w:val="Heading9"/>
    <w:uiPriority w:val="9"/>
    <w:rsid w:val="007E6170"/>
    <w:rPr>
      <w:rFonts w:ascii="Arial" w:eastAsiaTheme="majorEastAsia" w:hAnsi="Arial" w:cstheme="majorBidi"/>
      <w:b/>
      <w:iCs/>
      <w:color w:val="000000" w:themeColor="text1"/>
      <w:sz w:val="22"/>
      <w:lang w:eastAsia="en-AU"/>
    </w:rPr>
  </w:style>
  <w:style w:type="paragraph" w:customStyle="1" w:styleId="NTGFooter2deptpagenum">
    <w:name w:val="NTG Footer 2 dept &amp; page num"/>
    <w:basedOn w:val="Normal"/>
    <w:link w:val="NTGFooter2deptpagenumChar"/>
    <w:uiPriority w:val="7"/>
    <w:rsid w:val="007E6170"/>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7E6170"/>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7E6170"/>
    <w:rPr>
      <w:rFonts w:ascii="Arial" w:eastAsia="Times New Roman" w:hAnsi="Arial"/>
      <w:lang w:eastAsia="en-AU"/>
    </w:rPr>
  </w:style>
  <w:style w:type="numbering" w:customStyle="1" w:styleId="NTGStandardNumList">
    <w:name w:val="NTG Standard Num List"/>
    <w:uiPriority w:val="99"/>
    <w:rsid w:val="007E6170"/>
    <w:pPr>
      <w:numPr>
        <w:numId w:val="12"/>
      </w:numPr>
    </w:pPr>
  </w:style>
  <w:style w:type="paragraph" w:styleId="ListNumber">
    <w:name w:val="List Number"/>
    <w:basedOn w:val="Normal"/>
    <w:uiPriority w:val="99"/>
    <w:rsid w:val="007C6D9F"/>
  </w:style>
  <w:style w:type="paragraph" w:styleId="ListNumber2">
    <w:name w:val="List Number 2"/>
    <w:basedOn w:val="Normal"/>
    <w:uiPriority w:val="99"/>
    <w:rsid w:val="007E6170"/>
    <w:pPr>
      <w:numPr>
        <w:ilvl w:val="1"/>
        <w:numId w:val="12"/>
      </w:numPr>
    </w:pPr>
  </w:style>
  <w:style w:type="paragraph" w:styleId="ListNumber3">
    <w:name w:val="List Number 3"/>
    <w:basedOn w:val="Normal"/>
    <w:uiPriority w:val="99"/>
    <w:rsid w:val="007E6170"/>
    <w:pPr>
      <w:numPr>
        <w:ilvl w:val="2"/>
        <w:numId w:val="12"/>
      </w:numPr>
    </w:pPr>
  </w:style>
  <w:style w:type="paragraph" w:styleId="ListNumber4">
    <w:name w:val="List Number 4"/>
    <w:basedOn w:val="Normal"/>
    <w:uiPriority w:val="99"/>
    <w:rsid w:val="007E6170"/>
    <w:pPr>
      <w:numPr>
        <w:ilvl w:val="3"/>
        <w:numId w:val="12"/>
      </w:numPr>
    </w:pPr>
  </w:style>
  <w:style w:type="paragraph" w:styleId="ListNumber5">
    <w:name w:val="List Number 5"/>
    <w:basedOn w:val="Normal"/>
    <w:uiPriority w:val="99"/>
    <w:rsid w:val="007E6170"/>
    <w:pPr>
      <w:numPr>
        <w:ilvl w:val="4"/>
        <w:numId w:val="12"/>
      </w:numPr>
    </w:pPr>
  </w:style>
  <w:style w:type="paragraph" w:styleId="ListBullet">
    <w:name w:val="List Bullet"/>
    <w:basedOn w:val="Normal"/>
    <w:uiPriority w:val="99"/>
    <w:rsid w:val="004E2CB7"/>
  </w:style>
  <w:style w:type="paragraph" w:styleId="ListBullet2">
    <w:name w:val="List Bullet 2"/>
    <w:basedOn w:val="Normal"/>
    <w:uiPriority w:val="99"/>
    <w:rsid w:val="004E2CB7"/>
  </w:style>
  <w:style w:type="paragraph" w:styleId="ListBullet3">
    <w:name w:val="List Bullet 3"/>
    <w:basedOn w:val="Normal"/>
    <w:uiPriority w:val="99"/>
    <w:rsid w:val="004E2CB7"/>
  </w:style>
  <w:style w:type="paragraph" w:styleId="ListBullet4">
    <w:name w:val="List Bullet 4"/>
    <w:aliases w:val="DTF Table Dash"/>
    <w:autoRedefine/>
    <w:uiPriority w:val="99"/>
    <w:rsid w:val="009D0813"/>
    <w:pPr>
      <w:numPr>
        <w:numId w:val="15"/>
      </w:numPr>
      <w:tabs>
        <w:tab w:val="left" w:pos="680"/>
      </w:tabs>
    </w:pPr>
    <w:rPr>
      <w:rFonts w:ascii="Lato" w:eastAsia="Times New Roman" w:hAnsi="Lato" w:cs="Arial"/>
      <w:color w:val="000000"/>
      <w:sz w:val="22"/>
      <w:szCs w:val="22"/>
      <w:lang w:eastAsia="en-AU"/>
      <w14:scene3d>
        <w14:camera w14:prst="orthographicFront"/>
        <w14:lightRig w14:rig="threePt" w14:dir="t">
          <w14:rot w14:lat="0" w14:lon="0" w14:rev="0"/>
        </w14:lightRig>
      </w14:scene3d>
    </w:rPr>
  </w:style>
  <w:style w:type="paragraph" w:styleId="ListBullet5">
    <w:name w:val="List Bullet 5"/>
    <w:basedOn w:val="Normal"/>
    <w:uiPriority w:val="99"/>
    <w:rsid w:val="007E6170"/>
    <w:pPr>
      <w:numPr>
        <w:ilvl w:val="4"/>
        <w:numId w:val="11"/>
      </w:numPr>
    </w:pPr>
  </w:style>
  <w:style w:type="character" w:styleId="Hyperlink">
    <w:name w:val="Hyperlink"/>
    <w:basedOn w:val="DefaultParagraphFont"/>
    <w:uiPriority w:val="99"/>
    <w:unhideWhenUsed/>
    <w:rsid w:val="007E6170"/>
    <w:rPr>
      <w:color w:val="0000FF" w:themeColor="hyperlink"/>
      <w:u w:val="single"/>
    </w:rPr>
  </w:style>
  <w:style w:type="character" w:styleId="FollowedHyperlink">
    <w:name w:val="FollowedHyperlink"/>
    <w:basedOn w:val="DefaultParagraphFont"/>
    <w:uiPriority w:val="99"/>
    <w:semiHidden/>
    <w:unhideWhenUsed/>
    <w:rsid w:val="007E6170"/>
    <w:rPr>
      <w:color w:val="800080" w:themeColor="followedHyperlink"/>
      <w:u w:val="single"/>
    </w:rPr>
  </w:style>
  <w:style w:type="paragraph" w:styleId="TOCHeading">
    <w:name w:val="TOC Heading"/>
    <w:basedOn w:val="Heading1"/>
    <w:next w:val="Normal"/>
    <w:uiPriority w:val="39"/>
    <w:semiHidden/>
    <w:unhideWhenUsed/>
    <w:rsid w:val="007E6170"/>
    <w:pPr>
      <w:keepLines/>
      <w:spacing w:before="480" w:after="0"/>
      <w:outlineLvl w:val="9"/>
    </w:pPr>
    <w:rPr>
      <w:iCs w:val="0"/>
    </w:rPr>
  </w:style>
  <w:style w:type="character" w:customStyle="1" w:styleId="DTFArialBlack">
    <w:name w:val="DTF Arial Black"/>
    <w:uiPriority w:val="1"/>
    <w:qFormat/>
    <w:rsid w:val="007E6170"/>
    <w:rPr>
      <w:rFonts w:ascii="Arial Black" w:hAnsi="Arial Black"/>
    </w:rPr>
  </w:style>
  <w:style w:type="paragraph" w:customStyle="1" w:styleId="DTFBodyText">
    <w:name w:val="DTF Body Text"/>
    <w:basedOn w:val="Normal"/>
    <w:link w:val="DTFBodyTextChar"/>
    <w:qFormat/>
    <w:rsid w:val="0081059D"/>
    <w:pPr>
      <w:tabs>
        <w:tab w:val="left" w:pos="709"/>
        <w:tab w:val="left" w:pos="1276"/>
        <w:tab w:val="left" w:pos="4536"/>
      </w:tabs>
    </w:pPr>
    <w:rPr>
      <w:rFonts w:cs="Arial"/>
    </w:rPr>
  </w:style>
  <w:style w:type="character" w:customStyle="1" w:styleId="DTFBodyTextChar">
    <w:name w:val="DTF Body Text Char"/>
    <w:basedOn w:val="DefaultParagraphFont"/>
    <w:link w:val="DTFBodyText"/>
    <w:rsid w:val="0081059D"/>
    <w:rPr>
      <w:rFonts w:ascii="Arial" w:eastAsia="Times New Roman" w:hAnsi="Arial" w:cs="Arial"/>
      <w:sz w:val="22"/>
      <w:lang w:eastAsia="en-AU"/>
    </w:rPr>
  </w:style>
  <w:style w:type="paragraph" w:customStyle="1" w:styleId="DTFFooter">
    <w:name w:val="DTF Footer"/>
    <w:qFormat/>
    <w:rsid w:val="007E6170"/>
    <w:pPr>
      <w:framePr w:hSpace="181" w:wrap="around" w:vAnchor="text" w:hAnchor="text" w:y="1"/>
      <w:suppressOverlap/>
    </w:pPr>
    <w:rPr>
      <w:rFonts w:ascii="Arial" w:eastAsia="Times New Roman" w:hAnsi="Arial" w:cs="Arial"/>
      <w:sz w:val="16"/>
      <w:szCs w:val="16"/>
      <w:lang w:eastAsia="en-AU"/>
    </w:rPr>
  </w:style>
  <w:style w:type="character" w:customStyle="1" w:styleId="DTFGreyText">
    <w:name w:val="DTF Grey Text"/>
    <w:uiPriority w:val="1"/>
    <w:qFormat/>
    <w:rsid w:val="007E6170"/>
    <w:rPr>
      <w:color w:val="606060"/>
    </w:rPr>
  </w:style>
  <w:style w:type="paragraph" w:customStyle="1" w:styleId="DTFHeading2-HighlightText">
    <w:name w:val="DTF Heading 2 - Highlight Text"/>
    <w:next w:val="DTFBodyText"/>
    <w:autoRedefine/>
    <w:qFormat/>
    <w:rsid w:val="00711668"/>
    <w:pPr>
      <w:spacing w:before="240" w:after="240"/>
    </w:pPr>
    <w:rPr>
      <w:rFonts w:ascii="Arial" w:eastAsiaTheme="majorEastAsia" w:hAnsi="Arial" w:cs="Arial"/>
      <w:b/>
      <w:bCs/>
      <w:iCs/>
      <w:color w:val="606060"/>
      <w:sz w:val="28"/>
      <w:szCs w:val="28"/>
      <w:lang w:eastAsia="en-AU"/>
    </w:rPr>
  </w:style>
  <w:style w:type="paragraph" w:customStyle="1" w:styleId="DTFHeading2-numbered">
    <w:name w:val="DTF Heading 2 - numbered"/>
    <w:basedOn w:val="Normal"/>
    <w:autoRedefine/>
    <w:qFormat/>
    <w:rsid w:val="00711668"/>
    <w:pPr>
      <w:numPr>
        <w:numId w:val="1"/>
      </w:numPr>
      <w:suppressAutoHyphens/>
      <w:autoSpaceDE w:val="0"/>
      <w:autoSpaceDN w:val="0"/>
      <w:adjustRightInd w:val="0"/>
      <w:spacing w:after="120" w:line="300" w:lineRule="atLeast"/>
      <w:textAlignment w:val="center"/>
    </w:pPr>
    <w:rPr>
      <w:rFonts w:ascii="Arial MT Std Light" w:hAnsi="Arial MT Std Light" w:cs="Arial MT Std Light"/>
      <w:color w:val="00A98F"/>
      <w:w w:val="90"/>
      <w:sz w:val="28"/>
      <w:szCs w:val="28"/>
      <w:lang w:val="en-GB"/>
    </w:rPr>
  </w:style>
  <w:style w:type="paragraph" w:customStyle="1" w:styleId="DTFHeading3-HighlightText">
    <w:name w:val="DTF Heading 3 - Highlight Text"/>
    <w:autoRedefine/>
    <w:qFormat/>
    <w:rsid w:val="00711668"/>
    <w:pPr>
      <w:framePr w:hSpace="181" w:wrap="around" w:vAnchor="text" w:hAnchor="text" w:y="1"/>
      <w:spacing w:before="120" w:after="240"/>
      <w:suppressOverlap/>
    </w:pPr>
    <w:rPr>
      <w:rFonts w:ascii="Arial" w:eastAsia="Times New Roman" w:hAnsi="Arial" w:cs="Arial"/>
      <w:b/>
      <w:bCs/>
      <w:sz w:val="24"/>
      <w:szCs w:val="26"/>
      <w:lang w:eastAsia="en-AU"/>
    </w:rPr>
  </w:style>
  <w:style w:type="paragraph" w:styleId="TOC1">
    <w:name w:val="toc 1"/>
    <w:basedOn w:val="Normal"/>
    <w:next w:val="Normal"/>
    <w:autoRedefine/>
    <w:uiPriority w:val="39"/>
    <w:unhideWhenUsed/>
    <w:rsid w:val="007E6170"/>
    <w:pPr>
      <w:spacing w:after="100"/>
    </w:pPr>
  </w:style>
  <w:style w:type="paragraph" w:customStyle="1" w:styleId="DTFHeading4">
    <w:name w:val="DTF Heading 4"/>
    <w:next w:val="DTFBodyText"/>
    <w:autoRedefine/>
    <w:qFormat/>
    <w:rsid w:val="00770129"/>
    <w:pPr>
      <w:spacing w:before="60" w:after="60"/>
    </w:pPr>
    <w:rPr>
      <w:rFonts w:ascii="Arial" w:eastAsia="Times New Roman" w:hAnsi="Arial" w:cs="Arial"/>
      <w:b/>
      <w:bCs/>
      <w:color w:val="606060"/>
      <w:sz w:val="22"/>
      <w:szCs w:val="22"/>
      <w:lang w:eastAsia="en-AU"/>
    </w:rPr>
  </w:style>
  <w:style w:type="character" w:customStyle="1" w:styleId="DTFItalic">
    <w:name w:val="DTF Italic"/>
    <w:uiPriority w:val="1"/>
    <w:qFormat/>
    <w:rsid w:val="007E6170"/>
    <w:rPr>
      <w:i/>
    </w:rPr>
  </w:style>
  <w:style w:type="paragraph" w:customStyle="1" w:styleId="DTFListBullet1-Black">
    <w:name w:val="DTF List Bullet 1 - Black"/>
    <w:link w:val="DTFListBullet1-BlackChar"/>
    <w:autoRedefine/>
    <w:qFormat/>
    <w:rsid w:val="00711668"/>
    <w:pPr>
      <w:numPr>
        <w:numId w:val="2"/>
      </w:numPr>
      <w:spacing w:after="200"/>
    </w:pPr>
    <w:rPr>
      <w:rFonts w:ascii="Arial" w:eastAsia="Times New Roman" w:hAnsi="Arial" w:cs="Arial"/>
      <w:color w:val="000000" w:themeColor="text1"/>
      <w:sz w:val="22"/>
      <w:lang w:eastAsia="en-AU"/>
    </w:rPr>
  </w:style>
  <w:style w:type="character" w:customStyle="1" w:styleId="DTFListBullet1-BlackChar">
    <w:name w:val="DTF List Bullet 1 - Black Char"/>
    <w:basedOn w:val="DefaultParagraphFont"/>
    <w:link w:val="DTFListBullet1-Black"/>
    <w:rsid w:val="00711668"/>
    <w:rPr>
      <w:rFonts w:ascii="Arial" w:eastAsia="Times New Roman" w:hAnsi="Arial" w:cs="Arial"/>
      <w:color w:val="000000" w:themeColor="text1"/>
      <w:sz w:val="22"/>
      <w:lang w:eastAsia="en-AU"/>
    </w:rPr>
  </w:style>
  <w:style w:type="paragraph" w:customStyle="1" w:styleId="DTFListBullet1-Orange">
    <w:name w:val="DTF List Bullet 1 - Orange"/>
    <w:autoRedefine/>
    <w:qFormat/>
    <w:rsid w:val="00A0556E"/>
    <w:pPr>
      <w:numPr>
        <w:numId w:val="3"/>
      </w:numPr>
      <w:spacing w:after="200"/>
      <w:ind w:left="681" w:hanging="397"/>
    </w:pPr>
    <w:rPr>
      <w:rFonts w:ascii="Arial" w:eastAsia="Times New Roman" w:hAnsi="Arial" w:cs="Arial"/>
      <w:sz w:val="22"/>
      <w:lang w:eastAsia="en-AU"/>
    </w:rPr>
  </w:style>
  <w:style w:type="paragraph" w:customStyle="1" w:styleId="DTFListBullet2-Black">
    <w:name w:val="DTF List Bullet 2 - Black"/>
    <w:autoRedefine/>
    <w:qFormat/>
    <w:rsid w:val="00711668"/>
    <w:pPr>
      <w:numPr>
        <w:ilvl w:val="1"/>
        <w:numId w:val="4"/>
      </w:numPr>
      <w:spacing w:after="200"/>
    </w:pPr>
    <w:rPr>
      <w:rFonts w:ascii="Arial" w:eastAsia="Times New Roman" w:hAnsi="Arial" w:cs="Arial"/>
      <w:sz w:val="22"/>
      <w:lang w:eastAsia="en-AU"/>
    </w:rPr>
  </w:style>
  <w:style w:type="paragraph" w:customStyle="1" w:styleId="DTFListBullet2-Dash">
    <w:name w:val="DTF List Bullet 2 - Dash"/>
    <w:autoRedefine/>
    <w:qFormat/>
    <w:rsid w:val="00711668"/>
    <w:pPr>
      <w:numPr>
        <w:numId w:val="5"/>
      </w:numPr>
      <w:spacing w:after="200"/>
    </w:pPr>
    <w:rPr>
      <w:rFonts w:ascii="Arial" w:eastAsia="Times New Roman" w:hAnsi="Arial" w:cs="Arial"/>
      <w:sz w:val="22"/>
      <w:lang w:eastAsia="en-AU"/>
    </w:rPr>
  </w:style>
  <w:style w:type="paragraph" w:customStyle="1" w:styleId="DTFListBullet3-Dash">
    <w:name w:val="DTF List Bullet 3 - Dash"/>
    <w:autoRedefine/>
    <w:qFormat/>
    <w:rsid w:val="00711668"/>
    <w:pPr>
      <w:numPr>
        <w:ilvl w:val="2"/>
        <w:numId w:val="6"/>
      </w:numPr>
      <w:tabs>
        <w:tab w:val="left" w:pos="1701"/>
      </w:tabs>
      <w:spacing w:after="200"/>
    </w:pPr>
    <w:rPr>
      <w:rFonts w:ascii="Arial" w:eastAsia="Times New Roman" w:hAnsi="Arial" w:cs="Arial"/>
      <w:sz w:val="22"/>
      <w:lang w:eastAsia="en-AU"/>
    </w:rPr>
  </w:style>
  <w:style w:type="paragraph" w:customStyle="1" w:styleId="DTFListNumber1">
    <w:name w:val="DTF List Number 1"/>
    <w:autoRedefine/>
    <w:qFormat/>
    <w:rsid w:val="007E6170"/>
    <w:pPr>
      <w:numPr>
        <w:numId w:val="9"/>
      </w:numPr>
      <w:spacing w:after="200"/>
    </w:pPr>
    <w:rPr>
      <w:rFonts w:ascii="Arial" w:eastAsia="Times New Roman" w:hAnsi="Arial" w:cs="Arial"/>
      <w:sz w:val="22"/>
      <w:lang w:eastAsia="en-AU"/>
    </w:rPr>
  </w:style>
  <w:style w:type="paragraph" w:customStyle="1" w:styleId="ListNumber1-Roman">
    <w:name w:val="List Number 1 - Roman"/>
    <w:basedOn w:val="ListNumber2"/>
    <w:autoRedefine/>
    <w:rsid w:val="00511910"/>
    <w:pPr>
      <w:numPr>
        <w:ilvl w:val="0"/>
        <w:numId w:val="26"/>
      </w:numPr>
      <w:tabs>
        <w:tab w:val="left" w:pos="709"/>
        <w:tab w:val="left" w:pos="1276"/>
        <w:tab w:val="left" w:pos="4536"/>
      </w:tabs>
    </w:pPr>
    <w:rPr>
      <w:rFonts w:cs="Arial"/>
    </w:rPr>
  </w:style>
  <w:style w:type="paragraph" w:customStyle="1" w:styleId="DTFListNumber1-Roman">
    <w:name w:val="DTF List Number 1 - Roman"/>
    <w:autoRedefine/>
    <w:qFormat/>
    <w:rsid w:val="00A65283"/>
    <w:pPr>
      <w:numPr>
        <w:numId w:val="21"/>
      </w:numPr>
      <w:spacing w:after="200"/>
    </w:pPr>
    <w:rPr>
      <w:rFonts w:ascii="Arial" w:eastAsia="Times New Roman" w:hAnsi="Arial" w:cs="Arial"/>
      <w:sz w:val="22"/>
      <w:lang w:eastAsia="en-AU"/>
    </w:rPr>
  </w:style>
  <w:style w:type="character" w:customStyle="1" w:styleId="DTFStrong">
    <w:name w:val="DTF Strong"/>
    <w:uiPriority w:val="1"/>
    <w:qFormat/>
    <w:rsid w:val="007E6170"/>
    <w:rPr>
      <w:b/>
    </w:rPr>
  </w:style>
  <w:style w:type="paragraph" w:customStyle="1" w:styleId="DTFTableHeading4-Centred">
    <w:name w:val="DTF Table Heading 4 - Centred"/>
    <w:basedOn w:val="Heading4"/>
    <w:rsid w:val="007E6170"/>
    <w:pPr>
      <w:spacing w:before="120" w:after="120"/>
      <w:jc w:val="center"/>
    </w:pPr>
    <w:rPr>
      <w:rFonts w:eastAsia="Times New Roman" w:cs="Times New Roman"/>
      <w:iCs w:val="0"/>
    </w:rPr>
  </w:style>
  <w:style w:type="paragraph" w:customStyle="1" w:styleId="DTFTableNumbers">
    <w:name w:val="DTF Table Numbers"/>
    <w:basedOn w:val="Normal"/>
    <w:autoRedefine/>
    <w:qFormat/>
    <w:rsid w:val="009D3030"/>
    <w:pPr>
      <w:tabs>
        <w:tab w:val="left" w:pos="709"/>
        <w:tab w:val="left" w:pos="1276"/>
        <w:tab w:val="left" w:pos="4536"/>
      </w:tabs>
      <w:spacing w:after="0"/>
      <w:ind w:right="170"/>
      <w:jc w:val="right"/>
    </w:pPr>
    <w:rPr>
      <w:rFonts w:cs="Arial"/>
    </w:rPr>
  </w:style>
  <w:style w:type="paragraph" w:customStyle="1" w:styleId="DTFTableText">
    <w:name w:val="DTF Table Text"/>
    <w:basedOn w:val="Normal"/>
    <w:qFormat/>
    <w:rsid w:val="007E6170"/>
    <w:pPr>
      <w:tabs>
        <w:tab w:val="left" w:pos="709"/>
        <w:tab w:val="left" w:pos="1276"/>
        <w:tab w:val="left" w:pos="4536"/>
      </w:tabs>
      <w:spacing w:after="0"/>
    </w:pPr>
    <w:rPr>
      <w:rFonts w:cs="Arial"/>
    </w:rPr>
  </w:style>
  <w:style w:type="paragraph" w:customStyle="1" w:styleId="DTFTableText-Centred">
    <w:name w:val="DTF Table Text - Centred"/>
    <w:basedOn w:val="DTFTableText"/>
    <w:qFormat/>
    <w:rsid w:val="007E6170"/>
    <w:pPr>
      <w:jc w:val="center"/>
    </w:pPr>
  </w:style>
  <w:style w:type="paragraph" w:customStyle="1" w:styleId="DTFTOC1">
    <w:name w:val="DTF TOC 1"/>
    <w:autoRedefine/>
    <w:qFormat/>
    <w:rsid w:val="007F7A8A"/>
    <w:pPr>
      <w:tabs>
        <w:tab w:val="left" w:pos="9639"/>
      </w:tabs>
      <w:spacing w:after="200"/>
    </w:pPr>
    <w:rPr>
      <w:rFonts w:ascii="Arial" w:eastAsia="Times New Roman" w:hAnsi="Arial" w:cs="Arial"/>
      <w:sz w:val="22"/>
      <w:lang w:eastAsia="en-AU"/>
    </w:rPr>
  </w:style>
  <w:style w:type="paragraph" w:customStyle="1" w:styleId="ListNumber2-Roman">
    <w:name w:val="List Number 2 - Roman"/>
    <w:basedOn w:val="Normal"/>
    <w:qFormat/>
    <w:rsid w:val="007E6170"/>
    <w:pPr>
      <w:numPr>
        <w:numId w:val="10"/>
      </w:numPr>
      <w:tabs>
        <w:tab w:val="left" w:pos="709"/>
        <w:tab w:val="left" w:pos="1276"/>
        <w:tab w:val="left" w:pos="4536"/>
      </w:tabs>
    </w:pPr>
    <w:rPr>
      <w:rFonts w:cs="Arial"/>
    </w:rPr>
  </w:style>
  <w:style w:type="paragraph" w:customStyle="1" w:styleId="DTFHeading2-Lineabove">
    <w:name w:val="DTF Heading 2 - Line above"/>
    <w:basedOn w:val="Heading2"/>
    <w:next w:val="Normal"/>
    <w:link w:val="DTFHeading2-LineaboveChar"/>
    <w:qFormat/>
    <w:rsid w:val="007E6170"/>
    <w:pPr>
      <w:pBdr>
        <w:top w:val="single" w:sz="24" w:space="6" w:color="F1A673"/>
      </w:pBdr>
    </w:pPr>
    <w:rPr>
      <w:bCs w:val="0"/>
      <w:iCs/>
    </w:rPr>
  </w:style>
  <w:style w:type="paragraph" w:customStyle="1" w:styleId="DTFHeading3-Lineabove">
    <w:name w:val="DTF Heading 3 - Line above"/>
    <w:basedOn w:val="Normal"/>
    <w:next w:val="Normal"/>
    <w:link w:val="DTFHeading3-LineaboveChar"/>
    <w:qFormat/>
    <w:rsid w:val="007E6170"/>
    <w:pPr>
      <w:pBdr>
        <w:top w:val="single" w:sz="24" w:space="6" w:color="F1A673"/>
      </w:pBdr>
      <w:spacing w:before="360" w:after="240"/>
    </w:pPr>
    <w:rPr>
      <w:rFonts w:cs="Arial"/>
      <w:b/>
      <w:bCs/>
      <w:sz w:val="24"/>
      <w:szCs w:val="26"/>
    </w:rPr>
  </w:style>
  <w:style w:type="character" w:customStyle="1" w:styleId="DTFHeading3-LineaboveChar">
    <w:name w:val="DTF Heading 3 - Line above Char"/>
    <w:basedOn w:val="DefaultParagraphFont"/>
    <w:link w:val="DTFHeading3-Lineabove"/>
    <w:rsid w:val="007E6170"/>
    <w:rPr>
      <w:rFonts w:ascii="Arial" w:eastAsia="Times New Roman" w:hAnsi="Arial" w:cs="Arial"/>
      <w:b/>
      <w:bCs/>
      <w:sz w:val="24"/>
      <w:szCs w:val="26"/>
      <w:lang w:eastAsia="en-AU"/>
    </w:rPr>
  </w:style>
  <w:style w:type="paragraph" w:customStyle="1" w:styleId="DTFSpacer-Lineabove">
    <w:name w:val="DTF Spacer - Line above"/>
    <w:basedOn w:val="Normal"/>
    <w:next w:val="DTFBodyText"/>
    <w:link w:val="DTFSpacer-LineaboveChar"/>
    <w:qFormat/>
    <w:rsid w:val="007E6170"/>
    <w:pPr>
      <w:pBdr>
        <w:top w:val="single" w:sz="24" w:space="1" w:color="F1A673"/>
      </w:pBdr>
      <w:tabs>
        <w:tab w:val="left" w:pos="709"/>
        <w:tab w:val="left" w:pos="1276"/>
        <w:tab w:val="left" w:pos="4536"/>
      </w:tabs>
      <w:spacing w:after="120"/>
    </w:pPr>
    <w:rPr>
      <w:rFonts w:cs="Arial"/>
      <w:sz w:val="2"/>
    </w:rPr>
  </w:style>
  <w:style w:type="character" w:customStyle="1" w:styleId="DTFSpacer-LineaboveChar">
    <w:name w:val="DTF Spacer - Line above Char"/>
    <w:basedOn w:val="DefaultParagraphFont"/>
    <w:link w:val="DTFSpacer-Lineabove"/>
    <w:rsid w:val="007E6170"/>
    <w:rPr>
      <w:rFonts w:ascii="Arial" w:eastAsia="Times New Roman" w:hAnsi="Arial" w:cs="Arial"/>
      <w:sz w:val="2"/>
      <w:lang w:eastAsia="en-AU"/>
    </w:rPr>
  </w:style>
  <w:style w:type="paragraph" w:styleId="ListContinue2">
    <w:name w:val="List Continue 2"/>
    <w:aliases w:val="DTF List Continue 2"/>
    <w:basedOn w:val="Normal"/>
    <w:uiPriority w:val="99"/>
    <w:unhideWhenUsed/>
    <w:rsid w:val="007E6170"/>
    <w:pPr>
      <w:ind w:left="737"/>
    </w:pPr>
  </w:style>
  <w:style w:type="character" w:styleId="CommentReference">
    <w:name w:val="annotation reference"/>
    <w:basedOn w:val="DefaultParagraphFont"/>
    <w:uiPriority w:val="99"/>
    <w:semiHidden/>
    <w:unhideWhenUsed/>
    <w:rsid w:val="007E6170"/>
    <w:rPr>
      <w:sz w:val="16"/>
      <w:szCs w:val="16"/>
    </w:rPr>
  </w:style>
  <w:style w:type="paragraph" w:styleId="CommentSubject">
    <w:name w:val="annotation subject"/>
    <w:basedOn w:val="Normal"/>
    <w:link w:val="CommentSubjectChar"/>
    <w:uiPriority w:val="99"/>
    <w:semiHidden/>
    <w:unhideWhenUsed/>
    <w:rsid w:val="005B1D10"/>
    <w:rPr>
      <w:b/>
      <w:bCs/>
      <w:sz w:val="20"/>
    </w:rPr>
  </w:style>
  <w:style w:type="character" w:customStyle="1" w:styleId="CommentSubjectChar">
    <w:name w:val="Comment Subject Char"/>
    <w:basedOn w:val="DefaultParagraphFont"/>
    <w:link w:val="CommentSubject"/>
    <w:uiPriority w:val="99"/>
    <w:semiHidden/>
    <w:rsid w:val="005B1D10"/>
    <w:rPr>
      <w:rFonts w:ascii="Arial" w:eastAsia="Times New Roman" w:hAnsi="Arial"/>
      <w:b/>
      <w:bCs/>
      <w:lang w:eastAsia="en-AU"/>
    </w:rPr>
  </w:style>
  <w:style w:type="paragraph" w:styleId="Revision">
    <w:name w:val="Revision"/>
    <w:hidden/>
    <w:uiPriority w:val="99"/>
    <w:semiHidden/>
    <w:rsid w:val="000C1280"/>
    <w:rPr>
      <w:rFonts w:ascii="Arial" w:eastAsia="Times New Roman" w:hAnsi="Arial"/>
      <w:sz w:val="22"/>
      <w:lang w:eastAsia="en-AU"/>
    </w:rPr>
  </w:style>
  <w:style w:type="paragraph" w:customStyle="1" w:styleId="DTFHeading1-Lineabove">
    <w:name w:val="DTF Heading 1 - Line above"/>
    <w:basedOn w:val="Heading1"/>
    <w:qFormat/>
    <w:rsid w:val="007E6170"/>
    <w:pPr>
      <w:pBdr>
        <w:top w:val="single" w:sz="24" w:space="6" w:color="F1A673"/>
      </w:pBdr>
    </w:pPr>
    <w:rPr>
      <w:bCs w:val="0"/>
    </w:rPr>
  </w:style>
  <w:style w:type="character" w:customStyle="1" w:styleId="DTFHeading2-LineaboveChar">
    <w:name w:val="DTF Heading 2 - Line above Char"/>
    <w:basedOn w:val="DefaultParagraphFont"/>
    <w:link w:val="DTFHeading2-Lineabove"/>
    <w:rsid w:val="007E6170"/>
    <w:rPr>
      <w:rFonts w:ascii="Arial" w:eastAsia="Times New Roman" w:hAnsi="Arial" w:cs="Arial"/>
      <w:b/>
      <w:sz w:val="24"/>
      <w:szCs w:val="26"/>
      <w:lang w:eastAsia="en-AU"/>
    </w:rPr>
  </w:style>
  <w:style w:type="numbering" w:customStyle="1" w:styleId="DTFList-roman">
    <w:name w:val="DTF List - roman"/>
    <w:aliases w:val="bullet,dash"/>
    <w:uiPriority w:val="99"/>
    <w:rsid w:val="007E6170"/>
    <w:pPr>
      <w:numPr>
        <w:numId w:val="7"/>
      </w:numPr>
    </w:pPr>
  </w:style>
  <w:style w:type="paragraph" w:customStyle="1" w:styleId="DTFListlevel1-Orange">
    <w:name w:val="DTF List level 1 - Orange"/>
    <w:basedOn w:val="ListBullet"/>
    <w:autoRedefine/>
    <w:qFormat/>
    <w:rsid w:val="007E6170"/>
    <w:pPr>
      <w:numPr>
        <w:numId w:val="8"/>
      </w:numPr>
    </w:pPr>
    <w:rPr>
      <w:rFonts w:cs="Arial"/>
    </w:rPr>
  </w:style>
  <w:style w:type="paragraph" w:customStyle="1" w:styleId="DTFSubTitle">
    <w:name w:val="DTF Sub Title"/>
    <w:basedOn w:val="Normal"/>
    <w:rsid w:val="007E6170"/>
    <w:pPr>
      <w:spacing w:after="240"/>
    </w:pPr>
    <w:rPr>
      <w:b/>
      <w:sz w:val="32"/>
      <w:szCs w:val="24"/>
      <w:lang w:val="en-US"/>
    </w:rPr>
  </w:style>
  <w:style w:type="numbering" w:customStyle="1" w:styleId="StyleBulletedSymbolsymbolLeft063cmHanging063cm">
    <w:name w:val="Style Bulleted Symbol (symbol) Left:  0.63 cm Hanging:  0.63 cm"/>
    <w:basedOn w:val="NoList"/>
    <w:rsid w:val="00A0556E"/>
    <w:pPr>
      <w:numPr>
        <w:numId w:val="16"/>
      </w:numPr>
    </w:pPr>
  </w:style>
  <w:style w:type="paragraph" w:customStyle="1" w:styleId="SOI-Heading">
    <w:name w:val="SOI - Heading"/>
    <w:basedOn w:val="Normal"/>
    <w:rsid w:val="00A0556E"/>
    <w:pPr>
      <w:spacing w:before="360" w:after="240"/>
      <w:jc w:val="center"/>
    </w:pPr>
    <w:rPr>
      <w:rFonts w:ascii="Arial Narrow" w:hAnsi="Arial Narrow"/>
      <w:b/>
      <w:sz w:val="28"/>
      <w:lang w:val="en-US"/>
    </w:rPr>
  </w:style>
  <w:style w:type="paragraph" w:styleId="TOC4">
    <w:name w:val="toc 4"/>
    <w:basedOn w:val="Normal"/>
    <w:next w:val="Normal"/>
    <w:autoRedefine/>
    <w:uiPriority w:val="39"/>
    <w:unhideWhenUsed/>
    <w:rsid w:val="00770129"/>
    <w:pPr>
      <w:spacing w:after="100"/>
      <w:ind w:left="660"/>
    </w:pPr>
    <w:rPr>
      <w:rFonts w:cs="Arial"/>
    </w:rPr>
  </w:style>
  <w:style w:type="paragraph" w:customStyle="1" w:styleId="Appendix-Heading">
    <w:name w:val="Appendix - Heading"/>
    <w:next w:val="Normal"/>
    <w:rsid w:val="00770129"/>
    <w:pPr>
      <w:tabs>
        <w:tab w:val="left" w:pos="2127"/>
      </w:tabs>
      <w:spacing w:before="120" w:after="120"/>
      <w:jc w:val="center"/>
    </w:pPr>
    <w:rPr>
      <w:rFonts w:ascii="Arial Narrow" w:eastAsia="Times New Roman" w:hAnsi="Arial Narrow"/>
      <w:b/>
      <w:caps/>
      <w:sz w:val="24"/>
      <w:lang w:eastAsia="en-AU"/>
    </w:rPr>
  </w:style>
  <w:style w:type="paragraph" w:styleId="FootnoteText">
    <w:name w:val="footnote text"/>
    <w:basedOn w:val="Normal"/>
    <w:link w:val="FootnoteTextChar"/>
    <w:semiHidden/>
    <w:rsid w:val="00770129"/>
    <w:pPr>
      <w:spacing w:before="120" w:after="120"/>
      <w:jc w:val="both"/>
    </w:pPr>
    <w:rPr>
      <w:rFonts w:ascii="Arial Narrow" w:hAnsi="Arial Narrow"/>
      <w:sz w:val="20"/>
      <w:lang w:val="en-US"/>
    </w:rPr>
  </w:style>
  <w:style w:type="character" w:customStyle="1" w:styleId="FootnoteTextChar">
    <w:name w:val="Footnote Text Char"/>
    <w:basedOn w:val="DefaultParagraphFont"/>
    <w:link w:val="FootnoteText"/>
    <w:semiHidden/>
    <w:rsid w:val="00770129"/>
    <w:rPr>
      <w:rFonts w:ascii="Arial Narrow" w:eastAsia="Times New Roman" w:hAnsi="Arial Narrow"/>
      <w:lang w:val="en-US" w:eastAsia="en-AU"/>
    </w:rPr>
  </w:style>
  <w:style w:type="character" w:styleId="FootnoteReference">
    <w:name w:val="footnote reference"/>
    <w:semiHidden/>
    <w:rsid w:val="00770129"/>
    <w:rPr>
      <w:vertAlign w:val="superscript"/>
    </w:rPr>
  </w:style>
  <w:style w:type="paragraph" w:styleId="ListContinue">
    <w:name w:val="List Continue"/>
    <w:basedOn w:val="Normal"/>
    <w:uiPriority w:val="99"/>
    <w:unhideWhenUsed/>
    <w:rsid w:val="005839E3"/>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0430884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6583545">
      <w:bodyDiv w:val="1"/>
      <w:marLeft w:val="0"/>
      <w:marRight w:val="0"/>
      <w:marTop w:val="0"/>
      <w:marBottom w:val="0"/>
      <w:divBdr>
        <w:top w:val="none" w:sz="0" w:space="0" w:color="auto"/>
        <w:left w:val="none" w:sz="0" w:space="0" w:color="auto"/>
        <w:bottom w:val="none" w:sz="0" w:space="0" w:color="auto"/>
        <w:right w:val="none" w:sz="0" w:space="0" w:color="auto"/>
      </w:divBdr>
    </w:div>
    <w:div w:id="21037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F37471F57747B2AEF99EF89DCCCAE8"/>
        <w:category>
          <w:name w:val="General"/>
          <w:gallery w:val="placeholder"/>
        </w:category>
        <w:types>
          <w:type w:val="bbPlcHdr"/>
        </w:types>
        <w:behaviors>
          <w:behavior w:val="content"/>
        </w:behaviors>
        <w:guid w:val="{B1ECF9DA-2A03-4440-9101-5FC1259FB069}"/>
      </w:docPartPr>
      <w:docPartBody>
        <w:p w:rsidR="006B209A" w:rsidRDefault="006B209A">
          <w:pPr>
            <w:pStyle w:val="AFF37471F57747B2AEF99EF89DCCCAE8"/>
          </w:pPr>
          <w:r w:rsidRPr="00AD00A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Std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9A"/>
    <w:rsid w:val="00125453"/>
    <w:rsid w:val="001E27EC"/>
    <w:rsid w:val="005979CF"/>
    <w:rsid w:val="006B209A"/>
    <w:rsid w:val="00C8308E"/>
    <w:rsid w:val="00C918A4"/>
    <w:rsid w:val="00DB1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453"/>
    <w:rPr>
      <w:color w:val="808080"/>
    </w:rPr>
  </w:style>
  <w:style w:type="paragraph" w:customStyle="1" w:styleId="AFF37471F57747B2AEF99EF89DCCCAE8">
    <w:name w:val="AFF37471F57747B2AEF99EF89DCCCAE8"/>
  </w:style>
  <w:style w:type="paragraph" w:customStyle="1" w:styleId="1253968E12BD4E00B487A035C5736FF7">
    <w:name w:val="1253968E12BD4E00B487A035C5736FF7"/>
    <w:rsid w:val="0012545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2017-01-19T14:30:00+00:00</Release_x0020_Date>
    <Publication_x0020_Title xmlns="378e824e-6e02-4c0d-8321-dd86fba681ee">Accounting – liabilities (Section A3.4: Employee benefits)</Publication_x0020_Title>
    <Sub_x0020_Sub_x0020_Category xmlns="378e824e-6e02-4c0d-8321-dd86fba681ee" xsi:nil="true"/>
    <Details xmlns="378e824e-6e02-4c0d-8321-dd86fba681ee" xsi:nil="true"/>
    <Main_x0020_Category xmlns="378e824e-6e02-4c0d-8321-dd86fba681ee">3</Main_x0020_Category>
    <Tax_x0020_Type_x0020_Topic xmlns="378e824e-6e02-4c0d-8321-dd86fba681ee" xsi:nil="true"/>
    <Sub_x0020_Category xmlns="378e824e-6e02-4c0d-8321-dd86fba681ee">12</Sub_x0020_Category>
    <Identifier xmlns="378e824e-6e02-4c0d-8321-dd86fba681ee">TD-A3.4</Identifier>
    <Notify xmlns="378e824e-6e02-4c0d-8321-dd86fba681ee">false</Notify>
    <Publication_x0020_Type xmlns="378e824e-6e02-4c0d-8321-dd86fba681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B829-2EB2-48C3-B790-A8C5FBF53794}">
  <ds:schemaRefs>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378e824e-6e02-4c0d-8321-dd86fba681ee"/>
  </ds:schemaRefs>
</ds:datastoreItem>
</file>

<file path=customXml/itemProps2.xml><?xml version="1.0" encoding="utf-8"?>
<ds:datastoreItem xmlns:ds="http://schemas.openxmlformats.org/officeDocument/2006/customXml" ds:itemID="{4DE5B12D-2788-4A12-9ADC-E28738FAA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A2CD1-EEF7-491A-AE42-9339F62E73B7}">
  <ds:schemaRefs>
    <ds:schemaRef ds:uri="http://schemas.microsoft.com/sharepoint/v3/contenttype/forms"/>
  </ds:schemaRefs>
</ds:datastoreItem>
</file>

<file path=customXml/itemProps4.xml><?xml version="1.0" encoding="utf-8"?>
<ds:datastoreItem xmlns:ds="http://schemas.openxmlformats.org/officeDocument/2006/customXml" ds:itemID="{30ECAF7F-783B-4304-BA8F-C9414AF92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3836</Words>
  <Characters>21871</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Accounting – liabilities (Section A3.4: Employee benefits)</vt:lpstr>
    </vt:vector>
  </TitlesOfParts>
  <Company>Northern Territory Government</Company>
  <LinksUpToDate>false</LinksUpToDate>
  <CharactersWithSpaces>25656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 liabilities (Section A3.4: Employee benefits)</dc:title>
  <dc:creator>Barbara Beamsley</dc:creator>
  <cp:lastModifiedBy>Barbara Beamsley</cp:lastModifiedBy>
  <cp:revision>7</cp:revision>
  <cp:lastPrinted>2017-01-20T01:57:00Z</cp:lastPrinted>
  <dcterms:created xsi:type="dcterms:W3CDTF">2017-01-20T03:34:00Z</dcterms:created>
  <dcterms:modified xsi:type="dcterms:W3CDTF">2017-01-20T05:26:00Z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&lt;, Version x.x optional&gt;</vt:lpwstr>
  </property>
  <property fmtid="{D5CDD505-2E9C-101B-9397-08002B2CF9AE}" pid="6" name="DocumentDate">
    <vt:lpwstr>18 January 2017</vt:lpwstr>
  </property>
  <property fmtid="{D5CDD505-2E9C-101B-9397-08002B2CF9AE}" pid="7" name="ContentTypeId">
    <vt:lpwstr>0x010100AE1D68356F7FB54A917EB6B48522F7AB</vt:lpwstr>
  </property>
</Properties>
</file>