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NTGTable"/>
        <w:tblW w:w="0" w:type="auto"/>
        <w:tblLook w:val="06A0" w:firstRow="1" w:lastRow="0" w:firstColumn="1" w:lastColumn="0" w:noHBand="1" w:noVBand="1"/>
        <w:tblDescription w:val="Document details showing row labels: purpose, last reviewed, operative date and references."/>
      </w:tblPr>
      <w:tblGrid>
        <w:gridCol w:w="1838"/>
        <w:gridCol w:w="6883"/>
      </w:tblGrid>
      <w:tr w:rsidR="00720493" w:rsidRPr="00720493" w14:paraId="0BCC1A72" w14:textId="77777777" w:rsidTr="004D07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721" w:type="dxa"/>
            <w:gridSpan w:val="2"/>
          </w:tcPr>
          <w:p w14:paraId="2487E0E9" w14:textId="77777777" w:rsidR="00720493" w:rsidRPr="00720493" w:rsidRDefault="00F15130" w:rsidP="0050015F">
            <w:pPr>
              <w:pStyle w:val="ListNumber"/>
              <w:numPr>
                <w:ilvl w:val="0"/>
                <w:numId w:val="0"/>
              </w:numPr>
            </w:pPr>
            <w:r>
              <w:t xml:space="preserve">Treasurer’s </w:t>
            </w:r>
            <w:r w:rsidR="00ED769A">
              <w:t>D</w:t>
            </w:r>
            <w:r>
              <w:t>irection (mandatory)</w:t>
            </w:r>
          </w:p>
        </w:tc>
      </w:tr>
      <w:tr w:rsidR="00720493" w:rsidRPr="00720493" w14:paraId="35ECD6DA" w14:textId="77777777" w:rsidTr="00076B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301F4C0D" w14:textId="77777777" w:rsidR="00720493" w:rsidRPr="00720493" w:rsidRDefault="00720493" w:rsidP="00AA376C">
            <w:pPr>
              <w:spacing w:line="276" w:lineRule="auto"/>
              <w:rPr>
                <w:b/>
                <w:bCs/>
              </w:rPr>
            </w:pPr>
            <w:r w:rsidRPr="00720493">
              <w:rPr>
                <w:b/>
                <w:bCs/>
              </w:rPr>
              <w:t>Purpose</w:t>
            </w:r>
          </w:p>
        </w:tc>
        <w:tc>
          <w:tcPr>
            <w:tcW w:w="6883" w:type="dxa"/>
          </w:tcPr>
          <w:p w14:paraId="3BB550E3" w14:textId="60328A6B" w:rsidR="00720493" w:rsidRPr="00720493" w:rsidRDefault="002B3C57" w:rsidP="004F2EDF">
            <w:pPr>
              <w:autoSpaceDE w:val="0"/>
              <w:autoSpaceDN w:val="0"/>
              <w:adjustRightInd w:val="0"/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To detail the</w:t>
            </w:r>
            <w:r w:rsidR="00A94FEB">
              <w:rPr>
                <w:bCs/>
              </w:rPr>
              <w:t xml:space="preserve"> key </w:t>
            </w:r>
            <w:r w:rsidR="004F2EDF">
              <w:rPr>
                <w:bCs/>
              </w:rPr>
              <w:t>principl</w:t>
            </w:r>
            <w:r w:rsidR="00235296">
              <w:rPr>
                <w:bCs/>
              </w:rPr>
              <w:t>es of income management, income</w:t>
            </w:r>
            <w:r>
              <w:rPr>
                <w:bCs/>
              </w:rPr>
              <w:t xml:space="preserve"> recognition and reporting requirements for agencies to comply with Australian accounting standards on revenue</w:t>
            </w:r>
            <w:r w:rsidR="00A94FEB">
              <w:rPr>
                <w:bCs/>
              </w:rPr>
              <w:t>.</w:t>
            </w:r>
            <w:r>
              <w:rPr>
                <w:bCs/>
              </w:rPr>
              <w:t xml:space="preserve"> </w:t>
            </w:r>
          </w:p>
        </w:tc>
      </w:tr>
      <w:tr w:rsidR="00720493" w:rsidRPr="00720493" w14:paraId="07F6C3A9" w14:textId="77777777" w:rsidTr="00076B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59FB407C" w14:textId="77777777" w:rsidR="00720493" w:rsidRPr="00720493" w:rsidRDefault="00720493" w:rsidP="00AA376C">
            <w:pPr>
              <w:spacing w:line="276" w:lineRule="auto"/>
              <w:rPr>
                <w:b/>
                <w:bCs/>
              </w:rPr>
            </w:pPr>
            <w:r w:rsidRPr="00720493">
              <w:rPr>
                <w:b/>
                <w:bCs/>
              </w:rPr>
              <w:t>Last reviewed</w:t>
            </w:r>
          </w:p>
        </w:tc>
        <w:tc>
          <w:tcPr>
            <w:tcW w:w="6883" w:type="dxa"/>
          </w:tcPr>
          <w:p w14:paraId="16E5C657" w14:textId="2CBE1845" w:rsidR="00720493" w:rsidRPr="00720493" w:rsidRDefault="00C918C9" w:rsidP="00AA376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Not applicable</w:t>
            </w:r>
          </w:p>
        </w:tc>
      </w:tr>
      <w:tr w:rsidR="00720493" w:rsidRPr="00720493" w14:paraId="6BBCBD84" w14:textId="77777777" w:rsidTr="00076B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20BCEBE2" w14:textId="77777777" w:rsidR="00720493" w:rsidRPr="00720493" w:rsidRDefault="00720493" w:rsidP="00AA376C">
            <w:pPr>
              <w:spacing w:line="276" w:lineRule="auto"/>
              <w:rPr>
                <w:b/>
                <w:bCs/>
              </w:rPr>
            </w:pPr>
            <w:r w:rsidRPr="00720493">
              <w:rPr>
                <w:b/>
                <w:bCs/>
              </w:rPr>
              <w:t>Operative date</w:t>
            </w:r>
          </w:p>
        </w:tc>
        <w:tc>
          <w:tcPr>
            <w:tcW w:w="6883" w:type="dxa"/>
          </w:tcPr>
          <w:p w14:paraId="0AB20D81" w14:textId="352FC219" w:rsidR="003941A3" w:rsidRPr="00720493" w:rsidRDefault="00C918C9" w:rsidP="00AA376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t xml:space="preserve">Commencing from </w:t>
            </w:r>
            <w:fldSimple w:instr=" DOCPROPERTY  DocumentDate  \* MERGEFORMAT ">
              <w:r>
                <w:t>1 February 2020</w:t>
              </w:r>
            </w:fldSimple>
          </w:p>
        </w:tc>
      </w:tr>
      <w:tr w:rsidR="00720493" w:rsidRPr="00720493" w14:paraId="043CA339" w14:textId="77777777" w:rsidTr="00205294">
        <w:trPr>
          <w:trHeight w:val="48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42BF5EE0" w14:textId="77777777" w:rsidR="00720493" w:rsidRPr="003278D6" w:rsidRDefault="00720493" w:rsidP="00AA376C">
            <w:pPr>
              <w:spacing w:line="276" w:lineRule="auto"/>
              <w:rPr>
                <w:b/>
                <w:bCs/>
              </w:rPr>
            </w:pPr>
            <w:r w:rsidRPr="003278D6">
              <w:rPr>
                <w:b/>
                <w:bCs/>
              </w:rPr>
              <w:t>References</w:t>
            </w:r>
          </w:p>
        </w:tc>
        <w:tc>
          <w:tcPr>
            <w:tcW w:w="6883" w:type="dxa"/>
          </w:tcPr>
          <w:p w14:paraId="2ACBBDC2" w14:textId="02334A96" w:rsidR="00085A78" w:rsidRPr="002B3C57" w:rsidRDefault="00B62252" w:rsidP="002B3C57">
            <w:pPr>
              <w:pStyle w:val="NTGTableBulletLis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2B3C57">
              <w:rPr>
                <w:i/>
              </w:rPr>
              <w:t>Financial Management Act</w:t>
            </w:r>
            <w:r w:rsidR="00A94FEB">
              <w:rPr>
                <w:i/>
              </w:rPr>
              <w:t xml:space="preserve"> 1995</w:t>
            </w:r>
          </w:p>
          <w:p w14:paraId="765570BE" w14:textId="2E13AE11" w:rsidR="002B3C57" w:rsidRDefault="00447D4C" w:rsidP="002B3C57">
            <w:pPr>
              <w:pStyle w:val="NTGTableBulletLis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AASB 15 Revenue from contracts with c</w:t>
            </w:r>
            <w:r w:rsidR="002B3C57" w:rsidRPr="009D4D3A">
              <w:t>ustomers</w:t>
            </w:r>
          </w:p>
          <w:p w14:paraId="4BEA95A0" w14:textId="3342C5C4" w:rsidR="002B3C57" w:rsidRDefault="002B3C57" w:rsidP="002B3C57">
            <w:pPr>
              <w:pStyle w:val="NTGTableBulletLis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D4D3A">
              <w:t xml:space="preserve">AASB 1058 Income for </w:t>
            </w:r>
            <w:r w:rsidR="00447D4C">
              <w:t>not-for-profit e</w:t>
            </w:r>
            <w:r w:rsidRPr="009D4D3A">
              <w:t>ntities</w:t>
            </w:r>
          </w:p>
          <w:p w14:paraId="41A413F0" w14:textId="77777777" w:rsidR="009609B4" w:rsidRPr="009D4D3A" w:rsidRDefault="009609B4" w:rsidP="009609B4">
            <w:pPr>
              <w:pStyle w:val="NTGTableBulletLis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AASB 1004 Contributions</w:t>
            </w:r>
          </w:p>
          <w:p w14:paraId="2B580D6B" w14:textId="7BC6B8E8" w:rsidR="002B3C57" w:rsidRPr="009D4D3A" w:rsidRDefault="002B3C57" w:rsidP="002B3C57">
            <w:pPr>
              <w:pStyle w:val="NTGTableBulletLis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D4D3A">
              <w:t>AASB 2016-8 Amendmen</w:t>
            </w:r>
            <w:r w:rsidR="00447D4C">
              <w:t xml:space="preserve">ts to AASB 9 </w:t>
            </w:r>
            <w:r w:rsidR="00036993">
              <w:t xml:space="preserve">and </w:t>
            </w:r>
            <w:r w:rsidR="00447D4C">
              <w:t>15 – Australian implementation g</w:t>
            </w:r>
            <w:r w:rsidRPr="009D4D3A">
              <w:t xml:space="preserve">uidance for </w:t>
            </w:r>
            <w:r w:rsidR="00447D4C">
              <w:t>not-for-profit e</w:t>
            </w:r>
            <w:r w:rsidRPr="009D4D3A">
              <w:t>ntities</w:t>
            </w:r>
          </w:p>
          <w:p w14:paraId="6C077D49" w14:textId="7A38B592" w:rsidR="002B3C57" w:rsidRDefault="002B3C57" w:rsidP="002B3C57">
            <w:pPr>
              <w:pStyle w:val="NTGTableBulletLis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D4D3A">
              <w:t>AASB 2018-4 Amendment</w:t>
            </w:r>
            <w:r w:rsidR="00447D4C">
              <w:t xml:space="preserve">s to AASB 15 </w:t>
            </w:r>
            <w:r w:rsidR="00036993">
              <w:t xml:space="preserve">and </w:t>
            </w:r>
            <w:r w:rsidR="00447D4C">
              <w:t>16 – Australian implementation g</w:t>
            </w:r>
            <w:r w:rsidRPr="009D4D3A">
              <w:t xml:space="preserve">uidance for </w:t>
            </w:r>
            <w:r w:rsidR="00447D4C">
              <w:t>not-for-profit public sector l</w:t>
            </w:r>
            <w:r w:rsidRPr="009D4D3A">
              <w:t>icensors</w:t>
            </w:r>
          </w:p>
          <w:p w14:paraId="51ECC2BC" w14:textId="27F6D32D" w:rsidR="00E320D3" w:rsidRDefault="00E320D3" w:rsidP="002B3C57">
            <w:pPr>
              <w:pStyle w:val="NTGTableBulletLis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AASB 2</w:t>
            </w:r>
            <w:r w:rsidR="008103C1">
              <w:t>018-8 Amendments to AASB 1, 16,</w:t>
            </w:r>
            <w:r>
              <w:t xml:space="preserve">117, </w:t>
            </w:r>
            <w:r w:rsidR="008103C1">
              <w:t>1</w:t>
            </w:r>
            <w:r>
              <w:t xml:space="preserve">049 </w:t>
            </w:r>
            <w:r w:rsidR="00036993">
              <w:t xml:space="preserve">and </w:t>
            </w:r>
            <w:r>
              <w:t>1058 Right-of-</w:t>
            </w:r>
            <w:r w:rsidR="00447D4C">
              <w:t>use assets of not-for-profit e</w:t>
            </w:r>
            <w:r>
              <w:t xml:space="preserve">ntities </w:t>
            </w:r>
          </w:p>
          <w:p w14:paraId="05FC3680" w14:textId="6108B78B" w:rsidR="00F669A7" w:rsidRDefault="00F669A7" w:rsidP="002B3C57">
            <w:pPr>
              <w:pStyle w:val="NTGTableBulletLis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AASB 9 Financial Instruments</w:t>
            </w:r>
          </w:p>
          <w:p w14:paraId="1E6A09D7" w14:textId="2DE4415F" w:rsidR="00EC7FDA" w:rsidRDefault="00EC7FDA" w:rsidP="002B3C57">
            <w:pPr>
              <w:pStyle w:val="NTGTableBulletLis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78D6">
              <w:t>Guidance doc</w:t>
            </w:r>
            <w:r w:rsidR="003E16DF">
              <w:t xml:space="preserve">ument – </w:t>
            </w:r>
            <w:r w:rsidR="00447D4C">
              <w:t>Income</w:t>
            </w:r>
            <w:r w:rsidR="003E16DF">
              <w:t xml:space="preserve"> </w:t>
            </w:r>
            <w:r w:rsidRPr="003278D6">
              <w:t>(</w:t>
            </w:r>
            <w:r w:rsidRPr="007D57B4">
              <w:rPr>
                <w:b/>
              </w:rPr>
              <w:t>recommende</w:t>
            </w:r>
            <w:r w:rsidR="003074F4" w:rsidRPr="007D57B4">
              <w:rPr>
                <w:b/>
              </w:rPr>
              <w:t>d to be read in conjunction with</w:t>
            </w:r>
            <w:r w:rsidR="007D57B4">
              <w:rPr>
                <w:b/>
              </w:rPr>
              <w:t xml:space="preserve"> this Treasurer</w:t>
            </w:r>
            <w:r w:rsidR="00356366">
              <w:rPr>
                <w:b/>
              </w:rPr>
              <w:t>’</w:t>
            </w:r>
            <w:r w:rsidR="007D57B4">
              <w:rPr>
                <w:b/>
              </w:rPr>
              <w:t>s</w:t>
            </w:r>
            <w:r w:rsidRPr="007D57B4">
              <w:rPr>
                <w:b/>
              </w:rPr>
              <w:t xml:space="preserve"> Direction</w:t>
            </w:r>
            <w:r w:rsidRPr="003278D6">
              <w:t>)</w:t>
            </w:r>
          </w:p>
          <w:p w14:paraId="28AC97C7" w14:textId="72F99D91" w:rsidR="00F97074" w:rsidRDefault="00F97074" w:rsidP="002B3C57">
            <w:pPr>
              <w:pStyle w:val="NTGTableBulletLis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Transitional implementation: Income (</w:t>
            </w:r>
            <w:r w:rsidRPr="007D57B4">
              <w:rPr>
                <w:b/>
              </w:rPr>
              <w:t>recommended to be read in conjunction with</w:t>
            </w:r>
            <w:r>
              <w:rPr>
                <w:b/>
              </w:rPr>
              <w:t xml:space="preserve"> this Treasurer’s</w:t>
            </w:r>
            <w:r w:rsidRPr="007D57B4">
              <w:rPr>
                <w:b/>
              </w:rPr>
              <w:t xml:space="preserve"> Direction</w:t>
            </w:r>
            <w:r w:rsidRPr="003278D6">
              <w:t>)</w:t>
            </w:r>
          </w:p>
          <w:p w14:paraId="64D42DD8" w14:textId="7A850A4D" w:rsidR="00234716" w:rsidRDefault="00234716" w:rsidP="00234716">
            <w:pPr>
              <w:pStyle w:val="NTGTableBulletLis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78D6">
              <w:t>Guidance doc</w:t>
            </w:r>
            <w:r>
              <w:t xml:space="preserve">ument – Accounting for Territory income </w:t>
            </w:r>
            <w:r w:rsidRPr="003278D6">
              <w:t>(</w:t>
            </w:r>
            <w:r w:rsidRPr="007D57B4">
              <w:rPr>
                <w:b/>
              </w:rPr>
              <w:t>recommended to be read in conjunction with</w:t>
            </w:r>
            <w:r>
              <w:rPr>
                <w:b/>
              </w:rPr>
              <w:t xml:space="preserve"> this Treasurer’s</w:t>
            </w:r>
            <w:r w:rsidRPr="007D57B4">
              <w:rPr>
                <w:b/>
              </w:rPr>
              <w:t xml:space="preserve"> Direction</w:t>
            </w:r>
            <w:r w:rsidRPr="003278D6">
              <w:t>)</w:t>
            </w:r>
          </w:p>
          <w:p w14:paraId="7E5E5700" w14:textId="653B7698" w:rsidR="00EC7FDA" w:rsidRPr="003278D6" w:rsidRDefault="00EC7FDA" w:rsidP="00235296">
            <w:pPr>
              <w:pStyle w:val="NTGTableBulletList1"/>
              <w:numPr>
                <w:ilvl w:val="0"/>
                <w:numId w:val="0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</w:tr>
    </w:tbl>
    <w:p w14:paraId="0E5A99FF" w14:textId="731AB0CC" w:rsidR="00E320D3" w:rsidRDefault="00250C42" w:rsidP="00CD5DC4">
      <w:pPr>
        <w:pStyle w:val="Heading1"/>
        <w:tabs>
          <w:tab w:val="left" w:pos="3465"/>
        </w:tabs>
        <w:spacing w:line="276" w:lineRule="auto"/>
        <w:ind w:left="432" w:hanging="432"/>
      </w:pPr>
      <w:r>
        <w:t>Scope</w:t>
      </w:r>
      <w:r w:rsidR="00CD5DC4">
        <w:tab/>
      </w:r>
    </w:p>
    <w:p w14:paraId="0D4249DE" w14:textId="3E1D6814" w:rsidR="00193EA6" w:rsidRDefault="00CE78AD" w:rsidP="00AB0679">
      <w:pPr>
        <w:pStyle w:val="ListParagraph"/>
        <w:numPr>
          <w:ilvl w:val="0"/>
          <w:numId w:val="29"/>
        </w:numPr>
        <w:ind w:left="426"/>
      </w:pPr>
      <w:r>
        <w:t>This Treasurer</w:t>
      </w:r>
      <w:r w:rsidR="00356366">
        <w:t>’</w:t>
      </w:r>
      <w:r>
        <w:t xml:space="preserve">s Direction outlines key principles for income management including how to measure and account for income in accordance with Australian accounting standards. </w:t>
      </w:r>
    </w:p>
    <w:p w14:paraId="7A5CC4D5" w14:textId="7440F4E0" w:rsidR="00F0124F" w:rsidRDefault="00F0124F" w:rsidP="00AB0679">
      <w:pPr>
        <w:pStyle w:val="ListParagraph"/>
        <w:numPr>
          <w:ilvl w:val="0"/>
          <w:numId w:val="29"/>
        </w:numPr>
        <w:ind w:left="426"/>
      </w:pPr>
      <w:r>
        <w:t>Any reference to ‘agency’ also includes ‘government business division</w:t>
      </w:r>
      <w:r w:rsidR="000763FD">
        <w:t>’</w:t>
      </w:r>
      <w:r w:rsidR="00D80E2A">
        <w:t xml:space="preserve"> (GBD)</w:t>
      </w:r>
      <w:r>
        <w:t>.</w:t>
      </w:r>
    </w:p>
    <w:p w14:paraId="71043148" w14:textId="6BA383D7" w:rsidR="00C92AFA" w:rsidRPr="00D47AFB" w:rsidRDefault="00D47AFB" w:rsidP="00D47AFB">
      <w:pPr>
        <w:pStyle w:val="Heading1"/>
        <w:spacing w:line="276" w:lineRule="auto"/>
        <w:ind w:left="432" w:hanging="432"/>
      </w:pPr>
      <w:r>
        <w:t>Principles of income management</w:t>
      </w:r>
    </w:p>
    <w:p w14:paraId="71AB3D22" w14:textId="73949AD5" w:rsidR="00DA3863" w:rsidRDefault="00DA3863" w:rsidP="00AB0679">
      <w:pPr>
        <w:pStyle w:val="ListNumber2"/>
        <w:numPr>
          <w:ilvl w:val="0"/>
          <w:numId w:val="29"/>
        </w:numPr>
        <w:tabs>
          <w:tab w:val="left" w:pos="525"/>
        </w:tabs>
        <w:ind w:left="426"/>
      </w:pPr>
      <w:r>
        <w:t>An agency must optimise revenue generation, where possible.</w:t>
      </w:r>
    </w:p>
    <w:p w14:paraId="18BD2527" w14:textId="3539693E" w:rsidR="008C7303" w:rsidRDefault="004D5D32" w:rsidP="00AB0679">
      <w:pPr>
        <w:pStyle w:val="ListNumber2"/>
        <w:numPr>
          <w:ilvl w:val="0"/>
          <w:numId w:val="29"/>
        </w:numPr>
        <w:tabs>
          <w:tab w:val="left" w:pos="525"/>
        </w:tabs>
        <w:ind w:left="426"/>
      </w:pPr>
      <w:r>
        <w:t>Where agency rev</w:t>
      </w:r>
      <w:r w:rsidR="008B25ED">
        <w:t xml:space="preserve">enue is less than forecast, the </w:t>
      </w:r>
      <w:r>
        <w:t>accountable officer must manage resources</w:t>
      </w:r>
      <w:r w:rsidR="008B25ED">
        <w:t xml:space="preserve"> and limit</w:t>
      </w:r>
      <w:r w:rsidR="003931F1">
        <w:t xml:space="preserve"> associated</w:t>
      </w:r>
      <w:r w:rsidR="008B25ED">
        <w:t xml:space="preserve"> expenditure</w:t>
      </w:r>
      <w:r w:rsidR="003931F1">
        <w:t xml:space="preserve">. </w:t>
      </w:r>
      <w:r>
        <w:t xml:space="preserve"> </w:t>
      </w:r>
    </w:p>
    <w:p w14:paraId="0080798B" w14:textId="32025997" w:rsidR="00EE321F" w:rsidRDefault="00EE321F" w:rsidP="00AB0679">
      <w:pPr>
        <w:pStyle w:val="ListNumber2"/>
        <w:numPr>
          <w:ilvl w:val="0"/>
          <w:numId w:val="29"/>
        </w:numPr>
        <w:tabs>
          <w:tab w:val="left" w:pos="525"/>
        </w:tabs>
        <w:ind w:left="426"/>
      </w:pPr>
      <w:r>
        <w:t>In exceptional circumstances</w:t>
      </w:r>
      <w:r w:rsidR="00084086">
        <w:t>, where additional appropriation is required, an accountable officer must refer to the Treasurer</w:t>
      </w:r>
      <w:r w:rsidR="00356366">
        <w:t>’</w:t>
      </w:r>
      <w:r w:rsidR="00084086">
        <w:t>s Direction</w:t>
      </w:r>
      <w:r w:rsidR="00CC1FFA">
        <w:t xml:space="preserve"> B1.2 – The </w:t>
      </w:r>
      <w:r w:rsidR="00223E19">
        <w:t xml:space="preserve">budget </w:t>
      </w:r>
      <w:r w:rsidR="00CC1FFA">
        <w:t>process</w:t>
      </w:r>
      <w:r w:rsidR="00223E19">
        <w:t>,</w:t>
      </w:r>
      <w:r w:rsidR="00084086">
        <w:t xml:space="preserve"> to seek approval from Cabinet. </w:t>
      </w:r>
      <w:r>
        <w:t xml:space="preserve"> </w:t>
      </w:r>
    </w:p>
    <w:p w14:paraId="51D022C8" w14:textId="5BC383B7" w:rsidR="00634CE9" w:rsidRDefault="00C92AFA" w:rsidP="00AB0679">
      <w:pPr>
        <w:pStyle w:val="ListNumber2"/>
        <w:numPr>
          <w:ilvl w:val="0"/>
          <w:numId w:val="29"/>
        </w:numPr>
        <w:tabs>
          <w:tab w:val="left" w:pos="525"/>
        </w:tabs>
        <w:ind w:left="426"/>
      </w:pPr>
      <w:r w:rsidRPr="00EE321F">
        <w:t>Agencies must recognise all income at the GST exclusive amount in the ledger.</w:t>
      </w:r>
    </w:p>
    <w:p w14:paraId="2B74E560" w14:textId="77777777" w:rsidR="00AB0679" w:rsidRDefault="00AB0679">
      <w:pPr>
        <w:rPr>
          <w:rFonts w:eastAsiaTheme="majorEastAsia" w:cstheme="majorBidi"/>
          <w:b/>
          <w:bCs/>
          <w:iCs/>
          <w:color w:val="606060"/>
          <w:sz w:val="28"/>
          <w:szCs w:val="28"/>
        </w:rPr>
      </w:pPr>
      <w:r>
        <w:br w:type="page"/>
      </w:r>
    </w:p>
    <w:p w14:paraId="56E3EB31" w14:textId="46BF1427" w:rsidR="002E4A7D" w:rsidRDefault="002E4A7D" w:rsidP="002E4A7D">
      <w:pPr>
        <w:pStyle w:val="Heading2"/>
        <w:ind w:left="576" w:hanging="576"/>
      </w:pPr>
      <w:r>
        <w:lastRenderedPageBreak/>
        <w:t xml:space="preserve">Seeking approval to use additional agency revenue </w:t>
      </w:r>
    </w:p>
    <w:p w14:paraId="00C2AB3E" w14:textId="5D2B927A" w:rsidR="002E4A7D" w:rsidRDefault="00084086" w:rsidP="00AB0679">
      <w:pPr>
        <w:pStyle w:val="ListParagraph"/>
        <w:numPr>
          <w:ilvl w:val="0"/>
          <w:numId w:val="29"/>
        </w:numPr>
        <w:ind w:left="426"/>
      </w:pPr>
      <w:bookmarkStart w:id="0" w:name="_Ref30672630"/>
      <w:r>
        <w:t xml:space="preserve">If increases to agency revenue </w:t>
      </w:r>
      <w:r w:rsidR="002E4A7D">
        <w:t>is expected to exceed</w:t>
      </w:r>
      <w:r>
        <w:t xml:space="preserve"> approved budget</w:t>
      </w:r>
      <w:r w:rsidR="00E25166">
        <w:t xml:space="preserve"> for a financial year </w:t>
      </w:r>
      <w:r>
        <w:t>by</w:t>
      </w:r>
      <w:r w:rsidR="00E25166">
        <w:t xml:space="preserve"> </w:t>
      </w:r>
      <w:r>
        <w:t>$500 00</w:t>
      </w:r>
      <w:r w:rsidR="002E4A7D">
        <w:t>0</w:t>
      </w:r>
      <w:r w:rsidR="001B2F70">
        <w:t xml:space="preserve"> per request</w:t>
      </w:r>
      <w:r w:rsidR="002E4A7D">
        <w:t>, it may:</w:t>
      </w:r>
      <w:bookmarkEnd w:id="0"/>
    </w:p>
    <w:p w14:paraId="47302757" w14:textId="6B9F44E2" w:rsidR="002E4A7D" w:rsidRDefault="002E4A7D" w:rsidP="00AB0679">
      <w:pPr>
        <w:pStyle w:val="ListParagraph"/>
        <w:numPr>
          <w:ilvl w:val="1"/>
          <w:numId w:val="29"/>
        </w:numPr>
        <w:ind w:left="851"/>
      </w:pPr>
      <w:r>
        <w:t>seek approval to utili</w:t>
      </w:r>
      <w:r w:rsidR="00084086">
        <w:t>se revenue as part of the</w:t>
      </w:r>
      <w:r>
        <w:t xml:space="preserve"> budget process</w:t>
      </w:r>
      <w:r w:rsidR="00084086">
        <w:t xml:space="preserve"> </w:t>
      </w:r>
    </w:p>
    <w:p w14:paraId="1D6208D4" w14:textId="3C15B2FA" w:rsidR="002E4A7D" w:rsidRDefault="00064DA5" w:rsidP="00AB0679">
      <w:pPr>
        <w:pStyle w:val="ListParagraph"/>
        <w:numPr>
          <w:ilvl w:val="1"/>
          <w:numId w:val="29"/>
        </w:numPr>
        <w:ind w:left="851"/>
      </w:pPr>
      <w:proofErr w:type="gramStart"/>
      <w:r>
        <w:t>or</w:t>
      </w:r>
      <w:proofErr w:type="gramEnd"/>
      <w:r>
        <w:t xml:space="preserve"> </w:t>
      </w:r>
      <w:r w:rsidR="002E4A7D">
        <w:t xml:space="preserve">submit a ministerial request to the Treasurer, where it seeks to utilise revenue </w:t>
      </w:r>
      <w:r w:rsidR="000319B2">
        <w:t xml:space="preserve">outside the </w:t>
      </w:r>
      <w:r w:rsidR="002E4A7D">
        <w:t>budget process</w:t>
      </w:r>
      <w:r w:rsidR="00AB0679">
        <w:t>.</w:t>
      </w:r>
    </w:p>
    <w:p w14:paraId="5F3846EB" w14:textId="2353C9EC" w:rsidR="00084086" w:rsidRDefault="00084086" w:rsidP="00AB0679">
      <w:pPr>
        <w:pStyle w:val="ListParagraph"/>
        <w:numPr>
          <w:ilvl w:val="0"/>
          <w:numId w:val="29"/>
        </w:numPr>
        <w:ind w:left="426"/>
      </w:pPr>
      <w:bookmarkStart w:id="1" w:name="_Ref30672637"/>
      <w:r>
        <w:t xml:space="preserve">If increases to agency revenue </w:t>
      </w:r>
      <w:r w:rsidR="004A31B1">
        <w:t xml:space="preserve">are </w:t>
      </w:r>
      <w:r>
        <w:t>expected to be</w:t>
      </w:r>
      <w:r w:rsidR="000319B2">
        <w:t xml:space="preserve"> less than</w:t>
      </w:r>
      <w:r>
        <w:t xml:space="preserve"> $500 000 </w:t>
      </w:r>
      <w:r w:rsidR="00900E9C">
        <w:t xml:space="preserve">per request </w:t>
      </w:r>
      <w:r w:rsidR="000319B2">
        <w:t xml:space="preserve">for the </w:t>
      </w:r>
      <w:r w:rsidR="00E25166">
        <w:t xml:space="preserve">financial </w:t>
      </w:r>
      <w:r w:rsidR="000319B2">
        <w:t>year</w:t>
      </w:r>
      <w:r>
        <w:t xml:space="preserve"> when compared to </w:t>
      </w:r>
      <w:proofErr w:type="gramStart"/>
      <w:r>
        <w:t>approved</w:t>
      </w:r>
      <w:proofErr w:type="gramEnd"/>
      <w:r>
        <w:t xml:space="preserve"> budget, approval</w:t>
      </w:r>
      <w:r w:rsidR="00356366">
        <w:t xml:space="preserve"> to utilise</w:t>
      </w:r>
      <w:r>
        <w:t xml:space="preserve"> </w:t>
      </w:r>
      <w:r w:rsidR="00356366">
        <w:t xml:space="preserve">revenue </w:t>
      </w:r>
      <w:r>
        <w:t>must be provided by the accountable officer and endorsement sought from the relevant minister.</w:t>
      </w:r>
      <w:bookmarkEnd w:id="1"/>
    </w:p>
    <w:p w14:paraId="00A0D4CD" w14:textId="37046B66" w:rsidR="002E4A7D" w:rsidRDefault="002E4A7D" w:rsidP="00AB0679">
      <w:pPr>
        <w:pStyle w:val="ListNumber2"/>
        <w:numPr>
          <w:ilvl w:val="0"/>
          <w:numId w:val="29"/>
        </w:numPr>
        <w:ind w:left="426"/>
      </w:pPr>
      <w:r>
        <w:t xml:space="preserve">Pursuant to paragraph </w:t>
      </w:r>
      <w:r w:rsidR="007140BF">
        <w:rPr>
          <w:highlight w:val="yellow"/>
        </w:rPr>
        <w:fldChar w:fldCharType="begin"/>
      </w:r>
      <w:r w:rsidR="007140BF">
        <w:instrText xml:space="preserve"> REF _Ref30672630 \r \h </w:instrText>
      </w:r>
      <w:r w:rsidR="007140BF">
        <w:rPr>
          <w:highlight w:val="yellow"/>
        </w:rPr>
      </w:r>
      <w:r w:rsidR="007140BF">
        <w:rPr>
          <w:highlight w:val="yellow"/>
        </w:rPr>
        <w:fldChar w:fldCharType="separate"/>
      </w:r>
      <w:r w:rsidR="00BF1CA6">
        <w:t>7</w:t>
      </w:r>
      <w:r w:rsidR="007140BF">
        <w:rPr>
          <w:highlight w:val="yellow"/>
        </w:rPr>
        <w:fldChar w:fldCharType="end"/>
      </w:r>
      <w:r>
        <w:t xml:space="preserve"> and </w:t>
      </w:r>
      <w:r w:rsidR="007140BF">
        <w:rPr>
          <w:highlight w:val="yellow"/>
        </w:rPr>
        <w:fldChar w:fldCharType="begin"/>
      </w:r>
      <w:r w:rsidR="007140BF">
        <w:instrText xml:space="preserve"> REF _Ref30672637 \r \h </w:instrText>
      </w:r>
      <w:r w:rsidR="007140BF">
        <w:rPr>
          <w:highlight w:val="yellow"/>
        </w:rPr>
      </w:r>
      <w:r w:rsidR="007140BF">
        <w:rPr>
          <w:highlight w:val="yellow"/>
        </w:rPr>
        <w:fldChar w:fldCharType="separate"/>
      </w:r>
      <w:r w:rsidR="00BF1CA6">
        <w:t>8</w:t>
      </w:r>
      <w:r w:rsidR="007140BF">
        <w:rPr>
          <w:highlight w:val="yellow"/>
        </w:rPr>
        <w:fldChar w:fldCharType="end"/>
      </w:r>
      <w:r w:rsidRPr="007140BF">
        <w:t>,</w:t>
      </w:r>
      <w:r>
        <w:t xml:space="preserve"> an agency must submit a budget administrat</w:t>
      </w:r>
      <w:r w:rsidR="000319B2">
        <w:t xml:space="preserve">ive variation during the </w:t>
      </w:r>
      <w:r>
        <w:t>budget process supported by ministerial endorsement and or Treasurer</w:t>
      </w:r>
      <w:r w:rsidR="004A31B1">
        <w:t>’</w:t>
      </w:r>
      <w:r>
        <w:t>s approval for requests sought outside the budget process.</w:t>
      </w:r>
    </w:p>
    <w:p w14:paraId="3E332959" w14:textId="6B778509" w:rsidR="000319B2" w:rsidRPr="006569C5" w:rsidRDefault="000319B2" w:rsidP="00AB0679">
      <w:pPr>
        <w:pStyle w:val="ListNumber2"/>
        <w:numPr>
          <w:ilvl w:val="0"/>
          <w:numId w:val="29"/>
        </w:numPr>
        <w:ind w:left="426"/>
      </w:pPr>
      <w:r>
        <w:t xml:space="preserve">Pursuant to </w:t>
      </w:r>
      <w:r w:rsidRPr="00E9556A">
        <w:t xml:space="preserve">paragraph </w:t>
      </w:r>
      <w:r w:rsidR="007140BF">
        <w:rPr>
          <w:highlight w:val="yellow"/>
        </w:rPr>
        <w:fldChar w:fldCharType="begin"/>
      </w:r>
      <w:r w:rsidR="007140BF">
        <w:instrText xml:space="preserve"> REF _Ref30672630 \r \h </w:instrText>
      </w:r>
      <w:r w:rsidR="007140BF">
        <w:rPr>
          <w:highlight w:val="yellow"/>
        </w:rPr>
      </w:r>
      <w:r w:rsidR="007140BF">
        <w:rPr>
          <w:highlight w:val="yellow"/>
        </w:rPr>
        <w:fldChar w:fldCharType="separate"/>
      </w:r>
      <w:r w:rsidR="00BF1CA6">
        <w:t>7</w:t>
      </w:r>
      <w:r w:rsidR="007140BF">
        <w:rPr>
          <w:highlight w:val="yellow"/>
        </w:rPr>
        <w:fldChar w:fldCharType="end"/>
      </w:r>
      <w:r w:rsidRPr="007140BF">
        <w:t>,</w:t>
      </w:r>
      <w:r>
        <w:t xml:space="preserve"> all requests must include sufficient evidence to support the request.</w:t>
      </w:r>
    </w:p>
    <w:p w14:paraId="180E596F" w14:textId="7E2D38CB" w:rsidR="00634CE9" w:rsidRDefault="00634CE9" w:rsidP="002E4A7D">
      <w:pPr>
        <w:pStyle w:val="Heading2"/>
        <w:tabs>
          <w:tab w:val="left" w:pos="1995"/>
        </w:tabs>
        <w:ind w:left="576" w:hanging="576"/>
      </w:pPr>
      <w:r w:rsidRPr="00634CE9">
        <w:t>Offsetting</w:t>
      </w:r>
      <w:r w:rsidR="002E4A7D">
        <w:tab/>
      </w:r>
    </w:p>
    <w:p w14:paraId="19DC8997" w14:textId="6C0CB51A" w:rsidR="000E10DD" w:rsidRDefault="000E10DD" w:rsidP="00AB0679">
      <w:pPr>
        <w:pStyle w:val="ListParagraph"/>
        <w:numPr>
          <w:ilvl w:val="0"/>
          <w:numId w:val="29"/>
        </w:numPr>
        <w:ind w:left="426"/>
      </w:pPr>
      <w:r>
        <w:t>Agencies must not offset income and expenses unless permitted by a Treasurer</w:t>
      </w:r>
      <w:r w:rsidR="00356366">
        <w:t>’</w:t>
      </w:r>
      <w:r>
        <w:t>s Direction or Australian accounting standard.</w:t>
      </w:r>
    </w:p>
    <w:p w14:paraId="31648C68" w14:textId="2858A968" w:rsidR="00634CE9" w:rsidRPr="00B13162" w:rsidRDefault="000319B2" w:rsidP="00AB0679">
      <w:pPr>
        <w:pStyle w:val="ListParagraph"/>
        <w:numPr>
          <w:ilvl w:val="0"/>
          <w:numId w:val="29"/>
        </w:numPr>
        <w:ind w:left="426"/>
      </w:pPr>
      <w:r>
        <w:t xml:space="preserve">Offsetting is permitted for </w:t>
      </w:r>
      <w:r w:rsidR="00634CE9">
        <w:t>the following provided both occur within the same financial year</w:t>
      </w:r>
      <w:r w:rsidR="004A31B1">
        <w:t>:</w:t>
      </w:r>
      <w:r w:rsidR="00634CE9">
        <w:t xml:space="preserve"> </w:t>
      </w:r>
    </w:p>
    <w:p w14:paraId="796B2D0C" w14:textId="2B4FFA4F" w:rsidR="00634CE9" w:rsidRDefault="008103C1" w:rsidP="00AB0679">
      <w:pPr>
        <w:pStyle w:val="ListParagraph"/>
        <w:numPr>
          <w:ilvl w:val="1"/>
          <w:numId w:val="29"/>
        </w:numPr>
        <w:ind w:left="851"/>
      </w:pPr>
      <w:r>
        <w:t>Payments</w:t>
      </w:r>
      <w:r w:rsidR="00634CE9">
        <w:t xml:space="preserve"> received for a seconded staff member can be offset against agency employee expenses if the agency continues to pay for employee’s salary and related costs, only to the extent of the costs incurred.</w:t>
      </w:r>
    </w:p>
    <w:p w14:paraId="3415B51B" w14:textId="1BE7D195" w:rsidR="00F12ABD" w:rsidRDefault="00634CE9" w:rsidP="00AB0679">
      <w:pPr>
        <w:pStyle w:val="ListParagraph"/>
        <w:numPr>
          <w:ilvl w:val="1"/>
          <w:numId w:val="29"/>
        </w:numPr>
        <w:ind w:left="851"/>
      </w:pPr>
      <w:r w:rsidRPr="00B13162">
        <w:t>Refunds or credit notes received from suppliers</w:t>
      </w:r>
      <w:r w:rsidR="00E14CBA">
        <w:t xml:space="preserve"> </w:t>
      </w:r>
      <w:r w:rsidRPr="00B13162">
        <w:t xml:space="preserve">can be offset against the cost of the purchased goods. </w:t>
      </w:r>
    </w:p>
    <w:p w14:paraId="7E564007" w14:textId="16096864" w:rsidR="00E14CBA" w:rsidRPr="006772B6" w:rsidRDefault="00F12ABD" w:rsidP="00AB0679">
      <w:pPr>
        <w:pStyle w:val="ListParagraph"/>
        <w:numPr>
          <w:ilvl w:val="1"/>
          <w:numId w:val="29"/>
        </w:numPr>
        <w:ind w:left="851"/>
      </w:pPr>
      <w:r w:rsidRPr="006772B6">
        <w:t>Repayment of a grant</w:t>
      </w:r>
      <w:r w:rsidR="00F10F0F">
        <w:t xml:space="preserve"> and subsidy</w:t>
      </w:r>
      <w:r w:rsidRPr="006772B6">
        <w:t xml:space="preserve"> expense where adjusting a previously recognised grant </w:t>
      </w:r>
      <w:r w:rsidR="00F10F0F">
        <w:t xml:space="preserve">and subsidy </w:t>
      </w:r>
      <w:r w:rsidRPr="006772B6">
        <w:t xml:space="preserve">expense reflects the substance of </w:t>
      </w:r>
      <w:r w:rsidRPr="00FB3FEF">
        <w:t>the transaction.</w:t>
      </w:r>
      <w:r w:rsidR="00634CE9" w:rsidRPr="00FB3FEF">
        <w:t xml:space="preserve"> </w:t>
      </w:r>
    </w:p>
    <w:p w14:paraId="17C1445E" w14:textId="48B2A732" w:rsidR="00E14CBA" w:rsidRDefault="00E14CBA" w:rsidP="00E14CBA">
      <w:pPr>
        <w:pStyle w:val="Heading1"/>
        <w:spacing w:line="276" w:lineRule="auto"/>
        <w:ind w:left="432" w:hanging="432"/>
      </w:pPr>
      <w:r>
        <w:t>Principles for income recognition</w:t>
      </w:r>
    </w:p>
    <w:p w14:paraId="53E714A0" w14:textId="63D840AB" w:rsidR="00E14CBA" w:rsidRDefault="00D96D23" w:rsidP="00AB0679">
      <w:pPr>
        <w:pStyle w:val="ListParagraph"/>
        <w:numPr>
          <w:ilvl w:val="0"/>
          <w:numId w:val="29"/>
        </w:numPr>
        <w:ind w:left="426"/>
      </w:pPr>
      <w:bookmarkStart w:id="2" w:name="_Ref30672793"/>
      <w:r>
        <w:t>Agencies may</w:t>
      </w:r>
      <w:r w:rsidR="00E14CBA">
        <w:t xml:space="preserve"> co</w:t>
      </w:r>
      <w:r w:rsidR="00F32F3E">
        <w:t>nsider the following categories to determine</w:t>
      </w:r>
      <w:r>
        <w:t xml:space="preserve"> </w:t>
      </w:r>
      <w:r w:rsidR="00CC1FFA">
        <w:t>the</w:t>
      </w:r>
      <w:r w:rsidR="00E14CBA">
        <w:t xml:space="preserve"> principle</w:t>
      </w:r>
      <w:r>
        <w:t>s</w:t>
      </w:r>
      <w:r w:rsidR="00E14CBA">
        <w:t xml:space="preserve"> to apply</w:t>
      </w:r>
      <w:r>
        <w:t xml:space="preserve"> when recognising income</w:t>
      </w:r>
      <w:r w:rsidR="00E14CBA">
        <w:t>:</w:t>
      </w:r>
      <w:bookmarkEnd w:id="2"/>
    </w:p>
    <w:p w14:paraId="01FB2615" w14:textId="016F0E00" w:rsidR="00E14CBA" w:rsidRDefault="00CC1FFA" w:rsidP="00AB0679">
      <w:pPr>
        <w:pStyle w:val="ListParagraph"/>
        <w:numPr>
          <w:ilvl w:val="1"/>
          <w:numId w:val="29"/>
        </w:numPr>
        <w:ind w:left="851"/>
      </w:pPr>
      <w:proofErr w:type="gramStart"/>
      <w:r>
        <w:t>does</w:t>
      </w:r>
      <w:proofErr w:type="gramEnd"/>
      <w:r>
        <w:t xml:space="preserve"> a </w:t>
      </w:r>
      <w:r w:rsidR="00E14CBA">
        <w:t>transaction create a performance obligation and give rise to a liability</w:t>
      </w:r>
      <w:r w:rsidR="004A31B1">
        <w:t>?</w:t>
      </w:r>
      <w:r w:rsidR="00635C02">
        <w:t xml:space="preserve"> </w:t>
      </w:r>
    </w:p>
    <w:p w14:paraId="497A8CEE" w14:textId="02F85908" w:rsidR="00E14CBA" w:rsidRDefault="00E14CBA" w:rsidP="00AB0679">
      <w:pPr>
        <w:pStyle w:val="ListParagraph"/>
        <w:numPr>
          <w:ilvl w:val="1"/>
          <w:numId w:val="29"/>
        </w:numPr>
        <w:ind w:left="851"/>
      </w:pPr>
      <w:proofErr w:type="gramStart"/>
      <w:r>
        <w:t>is</w:t>
      </w:r>
      <w:proofErr w:type="gramEnd"/>
      <w:r>
        <w:t xml:space="preserve"> </w:t>
      </w:r>
      <w:r w:rsidR="00CC1FFA">
        <w:t xml:space="preserve">it </w:t>
      </w:r>
      <w:r>
        <w:t>income for the acquisition or construction of an asset</w:t>
      </w:r>
      <w:r w:rsidR="004A31B1">
        <w:t>?</w:t>
      </w:r>
    </w:p>
    <w:p w14:paraId="6481E0A0" w14:textId="07ADFEDF" w:rsidR="00B0680B" w:rsidRDefault="00B0680B" w:rsidP="00AB0679">
      <w:pPr>
        <w:pStyle w:val="ListParagraph"/>
        <w:numPr>
          <w:ilvl w:val="1"/>
          <w:numId w:val="29"/>
        </w:numPr>
        <w:ind w:left="851"/>
      </w:pPr>
      <w:proofErr w:type="gramStart"/>
      <w:r>
        <w:t>is</w:t>
      </w:r>
      <w:proofErr w:type="gramEnd"/>
      <w:r>
        <w:t xml:space="preserve"> it a contribution by an owner</w:t>
      </w:r>
      <w:r w:rsidR="004A31B1">
        <w:t>?</w:t>
      </w:r>
      <w:r>
        <w:t xml:space="preserve"> </w:t>
      </w:r>
    </w:p>
    <w:p w14:paraId="6694B55E" w14:textId="3702C938" w:rsidR="00E14CBA" w:rsidRDefault="00CC1FFA" w:rsidP="00AB0679">
      <w:pPr>
        <w:pStyle w:val="ListParagraph"/>
        <w:numPr>
          <w:ilvl w:val="1"/>
          <w:numId w:val="29"/>
        </w:numPr>
        <w:ind w:left="851"/>
      </w:pPr>
      <w:proofErr w:type="gramStart"/>
      <w:r>
        <w:t>is</w:t>
      </w:r>
      <w:proofErr w:type="gramEnd"/>
      <w:r>
        <w:t xml:space="preserve"> it</w:t>
      </w:r>
      <w:r w:rsidR="00E14CBA">
        <w:t xml:space="preserve"> income for a licence</w:t>
      </w:r>
      <w:r w:rsidR="00DF29B8">
        <w:t xml:space="preserve"> (</w:t>
      </w:r>
      <w:r w:rsidR="0066056C">
        <w:t>excludes</w:t>
      </w:r>
      <w:r w:rsidR="00DF29B8">
        <w:t xml:space="preserve"> licences which contain a lease or are a service concession arrangement)</w:t>
      </w:r>
      <w:r w:rsidR="004A31B1">
        <w:t>?</w:t>
      </w:r>
    </w:p>
    <w:p w14:paraId="448E587D" w14:textId="289C617E" w:rsidR="00E32846" w:rsidRDefault="00E32846" w:rsidP="00AB0679">
      <w:pPr>
        <w:pStyle w:val="ListParagraph"/>
        <w:numPr>
          <w:ilvl w:val="1"/>
          <w:numId w:val="29"/>
        </w:numPr>
        <w:ind w:left="851"/>
      </w:pPr>
      <w:proofErr w:type="gramStart"/>
      <w:r>
        <w:t>is</w:t>
      </w:r>
      <w:proofErr w:type="gramEnd"/>
      <w:r>
        <w:t xml:space="preserve"> it income related to volunteer services</w:t>
      </w:r>
      <w:r w:rsidR="004A31B1">
        <w:t>?</w:t>
      </w:r>
    </w:p>
    <w:p w14:paraId="30B8D4C3" w14:textId="208C6978" w:rsidR="00E14CBA" w:rsidRDefault="00CC1FFA" w:rsidP="00AB0679">
      <w:pPr>
        <w:pStyle w:val="ListParagraph"/>
        <w:numPr>
          <w:ilvl w:val="1"/>
          <w:numId w:val="29"/>
        </w:numPr>
        <w:ind w:left="851"/>
      </w:pPr>
      <w:proofErr w:type="gramStart"/>
      <w:r>
        <w:t>is</w:t>
      </w:r>
      <w:proofErr w:type="gramEnd"/>
      <w:r>
        <w:t xml:space="preserve"> it</w:t>
      </w:r>
      <w:r w:rsidR="00E14CBA">
        <w:t xml:space="preserve"> income relating to assets acquired</w:t>
      </w:r>
      <w:r w:rsidR="00EA0F68">
        <w:t xml:space="preserve"> </w:t>
      </w:r>
      <w:r w:rsidR="00D96D23">
        <w:t>for nil consideration</w:t>
      </w:r>
      <w:r w:rsidR="00EA0F68">
        <w:t xml:space="preserve"> or </w:t>
      </w:r>
      <w:r w:rsidR="001912EE">
        <w:t xml:space="preserve">significantly </w:t>
      </w:r>
      <w:r w:rsidR="00E14CBA">
        <w:t>below fair value</w:t>
      </w:r>
      <w:r w:rsidR="004A31B1">
        <w:t>?</w:t>
      </w:r>
    </w:p>
    <w:p w14:paraId="2D62B166" w14:textId="42A28DB4" w:rsidR="00E14CBA" w:rsidRDefault="001912EE" w:rsidP="00AB0679">
      <w:pPr>
        <w:pStyle w:val="ListParagraph"/>
        <w:numPr>
          <w:ilvl w:val="1"/>
          <w:numId w:val="29"/>
        </w:numPr>
        <w:ind w:left="851"/>
      </w:pPr>
      <w:proofErr w:type="gramStart"/>
      <w:r>
        <w:t>is</w:t>
      </w:r>
      <w:proofErr w:type="gramEnd"/>
      <w:r>
        <w:t xml:space="preserve"> it a tax or a </w:t>
      </w:r>
      <w:r w:rsidR="002D19C8">
        <w:t>fine?</w:t>
      </w:r>
    </w:p>
    <w:p w14:paraId="7122FBBE" w14:textId="6C67D285" w:rsidR="008F7EDE" w:rsidRDefault="00A50DC6" w:rsidP="00AB0679">
      <w:pPr>
        <w:pStyle w:val="ListParagraph"/>
        <w:numPr>
          <w:ilvl w:val="1"/>
          <w:numId w:val="29"/>
        </w:numPr>
        <w:ind w:left="851"/>
      </w:pPr>
      <w:proofErr w:type="gramStart"/>
      <w:r>
        <w:t>i</w:t>
      </w:r>
      <w:r w:rsidR="008F7EDE">
        <w:t>s</w:t>
      </w:r>
      <w:proofErr w:type="gramEnd"/>
      <w:r w:rsidR="008F7EDE">
        <w:t xml:space="preserve"> it a</w:t>
      </w:r>
      <w:r>
        <w:t xml:space="preserve"> pass</w:t>
      </w:r>
      <w:r w:rsidR="004A31B1">
        <w:t>-</w:t>
      </w:r>
      <w:r>
        <w:t>on</w:t>
      </w:r>
      <w:r w:rsidR="008F7EDE">
        <w:t xml:space="preserve"> arrangement?</w:t>
      </w:r>
    </w:p>
    <w:p w14:paraId="32B2F46A" w14:textId="6577A509" w:rsidR="00695BB6" w:rsidRDefault="00D96D23" w:rsidP="00AB0679">
      <w:pPr>
        <w:pStyle w:val="ListParagraph"/>
        <w:numPr>
          <w:ilvl w:val="0"/>
          <w:numId w:val="29"/>
        </w:numPr>
        <w:ind w:left="567"/>
      </w:pPr>
      <w:r>
        <w:lastRenderedPageBreak/>
        <w:t xml:space="preserve">Agencies must refer to the relevant Australian accounting standards, to determine the appropriate income recognition principles, for categories of income not listed in paragraph </w:t>
      </w:r>
      <w:r w:rsidR="007140BF">
        <w:rPr>
          <w:highlight w:val="yellow"/>
        </w:rPr>
        <w:fldChar w:fldCharType="begin"/>
      </w:r>
      <w:r w:rsidR="007140BF">
        <w:instrText xml:space="preserve"> REF _Ref30672793 \r \h </w:instrText>
      </w:r>
      <w:r w:rsidR="007140BF">
        <w:rPr>
          <w:highlight w:val="yellow"/>
        </w:rPr>
      </w:r>
      <w:r w:rsidR="007140BF">
        <w:rPr>
          <w:highlight w:val="yellow"/>
        </w:rPr>
        <w:fldChar w:fldCharType="separate"/>
      </w:r>
      <w:r w:rsidR="00BF1CA6">
        <w:t>13</w:t>
      </w:r>
      <w:r w:rsidR="007140BF">
        <w:rPr>
          <w:highlight w:val="yellow"/>
        </w:rPr>
        <w:fldChar w:fldCharType="end"/>
      </w:r>
      <w:r>
        <w:t xml:space="preserve">. </w:t>
      </w:r>
      <w:r w:rsidR="00695BB6">
        <w:t xml:space="preserve"> </w:t>
      </w:r>
    </w:p>
    <w:p w14:paraId="4D8D828F" w14:textId="1E3E3AF8" w:rsidR="00B0680B" w:rsidRDefault="00B0680B" w:rsidP="00305D6F">
      <w:pPr>
        <w:pStyle w:val="Heading1"/>
        <w:spacing w:line="276" w:lineRule="auto"/>
        <w:ind w:left="432" w:hanging="432"/>
      </w:pPr>
      <w:r>
        <w:t>Transaction</w:t>
      </w:r>
      <w:r w:rsidR="003A30A6">
        <w:t xml:space="preserve"> that</w:t>
      </w:r>
      <w:r w:rsidR="00584C23">
        <w:t xml:space="preserve"> </w:t>
      </w:r>
      <w:r w:rsidR="003A30A6">
        <w:t>create</w:t>
      </w:r>
      <w:r w:rsidR="00223E19">
        <w:t>s</w:t>
      </w:r>
      <w:r w:rsidR="001F675E">
        <w:t xml:space="preserve"> a performance obligation or contract liability</w:t>
      </w:r>
    </w:p>
    <w:p w14:paraId="6B5FC2F6" w14:textId="62160B79" w:rsidR="004C4BBB" w:rsidRDefault="004C4BBB" w:rsidP="00AB0679">
      <w:pPr>
        <w:pStyle w:val="ListParagraph"/>
        <w:numPr>
          <w:ilvl w:val="0"/>
          <w:numId w:val="29"/>
        </w:numPr>
        <w:ind w:left="426"/>
      </w:pPr>
      <w:r>
        <w:t>A performance obligation is a promise in a contract with a customer to transfer to the customer either:</w:t>
      </w:r>
    </w:p>
    <w:p w14:paraId="61D8D001" w14:textId="77777777" w:rsidR="00B11ECC" w:rsidRDefault="004C4BBB" w:rsidP="00AB0679">
      <w:pPr>
        <w:pStyle w:val="ListParagraph"/>
        <w:numPr>
          <w:ilvl w:val="1"/>
          <w:numId w:val="29"/>
        </w:numPr>
        <w:ind w:left="851"/>
      </w:pPr>
      <w:r>
        <w:t xml:space="preserve">a good or service (or bundle of goods or services) that is distinct </w:t>
      </w:r>
    </w:p>
    <w:p w14:paraId="47A00CC0" w14:textId="05DE8FD0" w:rsidR="004C4BBB" w:rsidRDefault="004C4BBB" w:rsidP="00AB0679">
      <w:pPr>
        <w:pStyle w:val="ListParagraph"/>
        <w:numPr>
          <w:ilvl w:val="1"/>
          <w:numId w:val="29"/>
        </w:numPr>
        <w:ind w:left="851"/>
      </w:pPr>
      <w:proofErr w:type="gramStart"/>
      <w:r>
        <w:t>or</w:t>
      </w:r>
      <w:proofErr w:type="gramEnd"/>
      <w:r w:rsidR="00B11ECC">
        <w:t xml:space="preserve"> a series of distinct goods or services that are substantially the same and have the same pattern of transfer to the customer</w:t>
      </w:r>
      <w:r w:rsidR="00AB0679">
        <w:t>.</w:t>
      </w:r>
    </w:p>
    <w:p w14:paraId="032D57C5" w14:textId="77777777" w:rsidR="00781E2D" w:rsidRDefault="003A30A6" w:rsidP="00AB0679">
      <w:pPr>
        <w:pStyle w:val="ListParagraph"/>
        <w:numPr>
          <w:ilvl w:val="0"/>
          <w:numId w:val="29"/>
        </w:numPr>
        <w:ind w:left="426"/>
      </w:pPr>
      <w:r>
        <w:t>R</w:t>
      </w:r>
      <w:r w:rsidR="00164BC9">
        <w:t>evenue</w:t>
      </w:r>
      <w:r>
        <w:t xml:space="preserve"> recognition</w:t>
      </w:r>
      <w:r w:rsidR="00164BC9">
        <w:t xml:space="preserve"> must reflect consideration received or receivable</w:t>
      </w:r>
      <w:r>
        <w:t>,</w:t>
      </w:r>
      <w:r w:rsidR="00164BC9">
        <w:t xml:space="preserve"> for goods or services transferred to a customer.</w:t>
      </w:r>
    </w:p>
    <w:p w14:paraId="0AEB8D2E" w14:textId="15187ECB" w:rsidR="00DF3F9A" w:rsidRDefault="00131C62" w:rsidP="00AB0679">
      <w:pPr>
        <w:pStyle w:val="ListParagraph"/>
        <w:numPr>
          <w:ilvl w:val="0"/>
          <w:numId w:val="29"/>
        </w:numPr>
        <w:ind w:left="426"/>
      </w:pPr>
      <w:r>
        <w:t>At contract inception, a</w:t>
      </w:r>
      <w:r w:rsidR="00235296">
        <w:t xml:space="preserve">gencies must determine if </w:t>
      </w:r>
      <w:r w:rsidR="00F324F2">
        <w:t xml:space="preserve">a performance obligation will be satisfied </w:t>
      </w:r>
      <w:r w:rsidR="00235296">
        <w:t>at a point in time or over</w:t>
      </w:r>
      <w:r w:rsidR="001E2CD6">
        <w:t xml:space="preserve"> </w:t>
      </w:r>
      <w:r w:rsidR="00235296">
        <w:t>time</w:t>
      </w:r>
      <w:r w:rsidR="00F324F2">
        <w:t xml:space="preserve">. </w:t>
      </w:r>
    </w:p>
    <w:p w14:paraId="6A00C7A6" w14:textId="77777777" w:rsidR="007501C0" w:rsidRDefault="00235296" w:rsidP="00AB0679">
      <w:pPr>
        <w:pStyle w:val="ListParagraph"/>
        <w:numPr>
          <w:ilvl w:val="0"/>
          <w:numId w:val="29"/>
        </w:numPr>
        <w:ind w:left="426"/>
      </w:pPr>
      <w:bookmarkStart w:id="3" w:name="_Ref30672898"/>
      <w:r>
        <w:t>Where a performance obligation is satisfied over</w:t>
      </w:r>
      <w:r w:rsidR="00356366">
        <w:t xml:space="preserve"> </w:t>
      </w:r>
      <w:r>
        <w:t>time, an agency must apply a single method consistently, to measure progress towards the satisfaction of the performance obligations.</w:t>
      </w:r>
      <w:bookmarkEnd w:id="3"/>
    </w:p>
    <w:p w14:paraId="39A34EF2" w14:textId="66042D0D" w:rsidR="00E458D7" w:rsidRDefault="007501C0" w:rsidP="00AB0679">
      <w:pPr>
        <w:pStyle w:val="ListParagraph"/>
        <w:numPr>
          <w:ilvl w:val="0"/>
          <w:numId w:val="29"/>
        </w:numPr>
        <w:ind w:left="426"/>
      </w:pPr>
      <w:r>
        <w:t xml:space="preserve">Pursuant to paragraph </w:t>
      </w:r>
      <w:r w:rsidR="007140BF">
        <w:rPr>
          <w:highlight w:val="yellow"/>
        </w:rPr>
        <w:fldChar w:fldCharType="begin"/>
      </w:r>
      <w:r w:rsidR="007140BF">
        <w:instrText xml:space="preserve"> REF _Ref30672898 \r \h </w:instrText>
      </w:r>
      <w:r w:rsidR="007140BF">
        <w:rPr>
          <w:highlight w:val="yellow"/>
        </w:rPr>
      </w:r>
      <w:r w:rsidR="007140BF">
        <w:rPr>
          <w:highlight w:val="yellow"/>
        </w:rPr>
        <w:fldChar w:fldCharType="separate"/>
      </w:r>
      <w:r w:rsidR="00BF1CA6">
        <w:t>18</w:t>
      </w:r>
      <w:r w:rsidR="007140BF">
        <w:rPr>
          <w:highlight w:val="yellow"/>
        </w:rPr>
        <w:fldChar w:fldCharType="end"/>
      </w:r>
      <w:r w:rsidRPr="007140BF">
        <w:t>,</w:t>
      </w:r>
      <w:r>
        <w:t xml:space="preserve"> where an agency uses an output method to measure progress towards satisfying a performance obligation, it may recognise revenue equal to an amount it has the right to invoice, if the right to considera</w:t>
      </w:r>
      <w:r w:rsidR="003F5F06">
        <w:t xml:space="preserve">tion from the customer </w:t>
      </w:r>
      <w:r>
        <w:t>corresponds</w:t>
      </w:r>
      <w:r w:rsidR="003F5F06">
        <w:t xml:space="preserve"> directly </w:t>
      </w:r>
      <w:r>
        <w:t>with the value to the customer of the agency’</w:t>
      </w:r>
      <w:r w:rsidR="00E458D7">
        <w:t>s performance to date.</w:t>
      </w:r>
    </w:p>
    <w:p w14:paraId="1BD3196D" w14:textId="49414BED" w:rsidR="00FF606C" w:rsidRDefault="00FF606C" w:rsidP="00AB0679">
      <w:pPr>
        <w:pStyle w:val="ListParagraph"/>
        <w:numPr>
          <w:ilvl w:val="0"/>
          <w:numId w:val="29"/>
        </w:numPr>
        <w:ind w:left="426"/>
      </w:pPr>
      <w:r>
        <w:t>Agencies must re</w:t>
      </w:r>
      <w:r w:rsidR="006F7161">
        <w:t>-</w:t>
      </w:r>
      <w:r>
        <w:t>measure progress towards satisfaction of the performance obligation at a minimum quarterly for contracts with a tota</w:t>
      </w:r>
      <w:r w:rsidR="00254FAF">
        <w:t>l value of $5 million or more, and</w:t>
      </w:r>
      <w:r>
        <w:t xml:space="preserve"> annually for other contracts</w:t>
      </w:r>
      <w:r w:rsidR="00A64A26">
        <w:t xml:space="preserve">, </w:t>
      </w:r>
      <w:r w:rsidR="00B9127C">
        <w:t xml:space="preserve">subject to the exemption in paragraph </w:t>
      </w:r>
      <w:r w:rsidR="007140BF">
        <w:rPr>
          <w:highlight w:val="yellow"/>
        </w:rPr>
        <w:fldChar w:fldCharType="begin"/>
      </w:r>
      <w:r w:rsidR="007140BF">
        <w:instrText xml:space="preserve"> REF _Ref30672953 \r \h </w:instrText>
      </w:r>
      <w:r w:rsidR="007140BF">
        <w:rPr>
          <w:highlight w:val="yellow"/>
        </w:rPr>
      </w:r>
      <w:r w:rsidR="007140BF">
        <w:rPr>
          <w:highlight w:val="yellow"/>
        </w:rPr>
        <w:fldChar w:fldCharType="separate"/>
      </w:r>
      <w:r w:rsidR="00BF1CA6">
        <w:t>21</w:t>
      </w:r>
      <w:r w:rsidR="007140BF">
        <w:rPr>
          <w:highlight w:val="yellow"/>
        </w:rPr>
        <w:fldChar w:fldCharType="end"/>
      </w:r>
      <w:r w:rsidR="00B9127C">
        <w:t>.</w:t>
      </w:r>
    </w:p>
    <w:p w14:paraId="2A20A765" w14:textId="3C6263A0" w:rsidR="00E9556A" w:rsidRDefault="00E9556A" w:rsidP="007140BF">
      <w:pPr>
        <w:pStyle w:val="Heading2"/>
        <w:ind w:left="576" w:hanging="576"/>
      </w:pPr>
      <w:r>
        <w:t>Recognition exemption</w:t>
      </w:r>
    </w:p>
    <w:p w14:paraId="590DF1A6" w14:textId="726E93AD" w:rsidR="00E9556A" w:rsidRDefault="00E9556A" w:rsidP="00AB0679">
      <w:pPr>
        <w:pStyle w:val="ListParagraph"/>
        <w:numPr>
          <w:ilvl w:val="0"/>
          <w:numId w:val="29"/>
        </w:numPr>
        <w:ind w:left="426"/>
      </w:pPr>
      <w:bookmarkStart w:id="4" w:name="_Ref30673077"/>
      <w:bookmarkStart w:id="5" w:name="_Ref30672953"/>
      <w:r>
        <w:t>Where the total value of a contract is $50 000</w:t>
      </w:r>
      <w:r w:rsidR="00212AF5">
        <w:t xml:space="preserve"> (GST exclusive)</w:t>
      </w:r>
      <w:r>
        <w:t xml:space="preserve"> or less, an agency may elect to recognise revenue upfront, on receipt of cash.</w:t>
      </w:r>
      <w:bookmarkEnd w:id="4"/>
      <w:r>
        <w:t xml:space="preserve"> </w:t>
      </w:r>
      <w:bookmarkEnd w:id="5"/>
      <w:r>
        <w:t xml:space="preserve"> </w:t>
      </w:r>
    </w:p>
    <w:p w14:paraId="06FC6113" w14:textId="734AE680" w:rsidR="00E9556A" w:rsidRDefault="00E9556A" w:rsidP="00AB0679">
      <w:pPr>
        <w:pStyle w:val="ListParagraph"/>
        <w:numPr>
          <w:ilvl w:val="0"/>
          <w:numId w:val="29"/>
        </w:numPr>
        <w:ind w:left="426"/>
      </w:pPr>
      <w:bookmarkStart w:id="6" w:name="_Ref30673096"/>
      <w:r>
        <w:t xml:space="preserve">Pursuant to paragraph </w:t>
      </w:r>
      <w:r w:rsidR="007140BF">
        <w:rPr>
          <w:highlight w:val="yellow"/>
        </w:rPr>
        <w:fldChar w:fldCharType="begin"/>
      </w:r>
      <w:r w:rsidR="007140BF">
        <w:instrText xml:space="preserve"> REF _Ref30673077 \r \h </w:instrText>
      </w:r>
      <w:r w:rsidR="007140BF">
        <w:rPr>
          <w:highlight w:val="yellow"/>
        </w:rPr>
      </w:r>
      <w:r w:rsidR="007140BF">
        <w:rPr>
          <w:highlight w:val="yellow"/>
        </w:rPr>
        <w:fldChar w:fldCharType="separate"/>
      </w:r>
      <w:r w:rsidR="00BF1CA6">
        <w:t>21</w:t>
      </w:r>
      <w:r w:rsidR="007140BF">
        <w:rPr>
          <w:highlight w:val="yellow"/>
        </w:rPr>
        <w:fldChar w:fldCharType="end"/>
      </w:r>
      <w:r>
        <w:t>, an agency must apply this election consistently to all low value contracts.</w:t>
      </w:r>
      <w:bookmarkEnd w:id="6"/>
      <w:r>
        <w:t xml:space="preserve">  </w:t>
      </w:r>
    </w:p>
    <w:p w14:paraId="1B24BB5E" w14:textId="653C2A78" w:rsidR="00E9556A" w:rsidRDefault="00E9556A" w:rsidP="00AB0679">
      <w:pPr>
        <w:pStyle w:val="ListParagraph"/>
        <w:numPr>
          <w:ilvl w:val="0"/>
          <w:numId w:val="29"/>
        </w:numPr>
        <w:ind w:left="426"/>
      </w:pPr>
      <w:r>
        <w:t xml:space="preserve">GBDs are not permitted to apply the election option in paragraphs </w:t>
      </w:r>
      <w:r w:rsidR="007140BF">
        <w:rPr>
          <w:highlight w:val="yellow"/>
        </w:rPr>
        <w:fldChar w:fldCharType="begin"/>
      </w:r>
      <w:r w:rsidR="007140BF">
        <w:instrText xml:space="preserve"> REF _Ref30673077 \r \h </w:instrText>
      </w:r>
      <w:r w:rsidR="007140BF">
        <w:rPr>
          <w:highlight w:val="yellow"/>
        </w:rPr>
      </w:r>
      <w:r w:rsidR="007140BF">
        <w:rPr>
          <w:highlight w:val="yellow"/>
        </w:rPr>
        <w:fldChar w:fldCharType="separate"/>
      </w:r>
      <w:r w:rsidR="00BF1CA6">
        <w:t>21</w:t>
      </w:r>
      <w:r w:rsidR="007140BF">
        <w:rPr>
          <w:highlight w:val="yellow"/>
        </w:rPr>
        <w:fldChar w:fldCharType="end"/>
      </w:r>
      <w:r w:rsidR="00EE2F5E">
        <w:t xml:space="preserve"> </w:t>
      </w:r>
      <w:r>
        <w:t xml:space="preserve">and </w:t>
      </w:r>
      <w:r w:rsidR="007140BF">
        <w:rPr>
          <w:highlight w:val="yellow"/>
        </w:rPr>
        <w:fldChar w:fldCharType="begin"/>
      </w:r>
      <w:r w:rsidR="007140BF">
        <w:instrText xml:space="preserve"> REF _Ref30673096 \r \h </w:instrText>
      </w:r>
      <w:r w:rsidR="007140BF">
        <w:rPr>
          <w:highlight w:val="yellow"/>
        </w:rPr>
      </w:r>
      <w:r w:rsidR="007140BF">
        <w:rPr>
          <w:highlight w:val="yellow"/>
        </w:rPr>
        <w:fldChar w:fldCharType="separate"/>
      </w:r>
      <w:r w:rsidR="00BF1CA6">
        <w:t>22</w:t>
      </w:r>
      <w:r w:rsidR="007140BF">
        <w:rPr>
          <w:highlight w:val="yellow"/>
        </w:rPr>
        <w:fldChar w:fldCharType="end"/>
      </w:r>
      <w:r w:rsidRPr="007140BF">
        <w:t>.</w:t>
      </w:r>
    </w:p>
    <w:p w14:paraId="64B0EEB8" w14:textId="3DEB2979" w:rsidR="00B0680B" w:rsidRDefault="00B0680B">
      <w:pPr>
        <w:pStyle w:val="Heading1"/>
        <w:spacing w:line="276" w:lineRule="auto"/>
        <w:ind w:left="432" w:hanging="432"/>
      </w:pPr>
      <w:r>
        <w:t>Income for the acquisition or construction of an asset (capital grants)</w:t>
      </w:r>
    </w:p>
    <w:p w14:paraId="31B127DA" w14:textId="690A94C4" w:rsidR="00B0680B" w:rsidRPr="00FC68FC" w:rsidRDefault="00B0680B" w:rsidP="00AB0679">
      <w:pPr>
        <w:pStyle w:val="ListParagraph"/>
        <w:numPr>
          <w:ilvl w:val="0"/>
          <w:numId w:val="29"/>
        </w:numPr>
        <w:ind w:left="426"/>
      </w:pPr>
      <w:r w:rsidRPr="00FC68FC">
        <w:t xml:space="preserve">Agencies must </w:t>
      </w:r>
      <w:r w:rsidR="00131C62" w:rsidRPr="00FC68FC">
        <w:t>recognise</w:t>
      </w:r>
      <w:r w:rsidRPr="00FC68FC">
        <w:t xml:space="preserve"> revenue</w:t>
      </w:r>
      <w:r w:rsidR="006917DA" w:rsidRPr="00FC68FC">
        <w:t xml:space="preserve"> for the acquisition of an asset, </w:t>
      </w:r>
      <w:r w:rsidRPr="00FC68FC">
        <w:t>which the agency retains, at the point in time when it acquires and controls the asset</w:t>
      </w:r>
      <w:r w:rsidR="00EA467E" w:rsidRPr="007140BF">
        <w:t>,</w:t>
      </w:r>
      <w:r w:rsidR="005C6FDE" w:rsidRPr="007140BF">
        <w:t xml:space="preserve"> where </w:t>
      </w:r>
      <w:r w:rsidR="00C6076C">
        <w:t xml:space="preserve">the </w:t>
      </w:r>
      <w:r w:rsidR="005C6FDE" w:rsidRPr="007140BF">
        <w:t xml:space="preserve">contract has </w:t>
      </w:r>
      <w:r w:rsidR="00EA467E" w:rsidRPr="007140BF">
        <w:t>sufficiently specific performance obligations.</w:t>
      </w:r>
      <w:r w:rsidR="00AF6347" w:rsidRPr="007140BF">
        <w:t xml:space="preserve"> </w:t>
      </w:r>
    </w:p>
    <w:p w14:paraId="7DD8A090" w14:textId="781BDF3A" w:rsidR="00716D5B" w:rsidRPr="00FC68FC" w:rsidRDefault="00CB05FD" w:rsidP="00AB0679">
      <w:pPr>
        <w:pStyle w:val="ListParagraph"/>
        <w:numPr>
          <w:ilvl w:val="0"/>
          <w:numId w:val="29"/>
        </w:numPr>
        <w:ind w:left="426"/>
      </w:pPr>
      <w:bookmarkStart w:id="7" w:name="_Ref30673164"/>
      <w:r w:rsidRPr="00FC68FC">
        <w:t xml:space="preserve">Agencies must </w:t>
      </w:r>
      <w:r w:rsidR="00131C62" w:rsidRPr="00FC68FC">
        <w:t xml:space="preserve">recognise </w:t>
      </w:r>
      <w:r w:rsidR="00384947" w:rsidRPr="00FC68FC">
        <w:t>revenue for</w:t>
      </w:r>
      <w:r w:rsidRPr="00FC68FC">
        <w:t xml:space="preserve"> the construction of an asset </w:t>
      </w:r>
      <w:r w:rsidR="001E2CD6">
        <w:t>that</w:t>
      </w:r>
      <w:r w:rsidR="001E2CD6" w:rsidRPr="00FC68FC">
        <w:t xml:space="preserve"> </w:t>
      </w:r>
      <w:r w:rsidRPr="00FC68FC">
        <w:t>the agency retains, over</w:t>
      </w:r>
      <w:r w:rsidR="00C6076C">
        <w:t xml:space="preserve"> </w:t>
      </w:r>
      <w:r w:rsidRPr="00FC68FC">
        <w:t>time as the performance obligation is satisfied</w:t>
      </w:r>
      <w:r w:rsidR="00AF6347" w:rsidRPr="00FC68FC">
        <w:t>,</w:t>
      </w:r>
      <w:r w:rsidR="00EA467E" w:rsidRPr="007140BF">
        <w:t xml:space="preserve"> </w:t>
      </w:r>
      <w:r w:rsidR="005C6FDE" w:rsidRPr="007140BF">
        <w:t xml:space="preserve">where </w:t>
      </w:r>
      <w:r w:rsidR="00580B44">
        <w:t>the</w:t>
      </w:r>
      <w:r w:rsidR="00580B44" w:rsidRPr="007140BF">
        <w:t xml:space="preserve"> </w:t>
      </w:r>
      <w:r w:rsidR="005C6FDE" w:rsidRPr="007140BF">
        <w:t xml:space="preserve">contract has </w:t>
      </w:r>
      <w:r w:rsidR="00EA467E" w:rsidRPr="007140BF">
        <w:t>sufficiently specific performance obligations.</w:t>
      </w:r>
      <w:bookmarkEnd w:id="7"/>
      <w:r w:rsidR="00EA467E" w:rsidRPr="007140BF">
        <w:t xml:space="preserve"> </w:t>
      </w:r>
      <w:r w:rsidRPr="00FC68FC">
        <w:t xml:space="preserve"> </w:t>
      </w:r>
    </w:p>
    <w:p w14:paraId="33C9DF95" w14:textId="47222401" w:rsidR="00316E96" w:rsidRDefault="00383B30" w:rsidP="00AB0679">
      <w:pPr>
        <w:pStyle w:val="ListParagraph"/>
        <w:numPr>
          <w:ilvl w:val="0"/>
          <w:numId w:val="29"/>
        </w:numPr>
        <w:ind w:left="426"/>
      </w:pPr>
      <w:r>
        <w:t xml:space="preserve">Pursuant to paragraph </w:t>
      </w:r>
      <w:r w:rsidR="007140BF">
        <w:rPr>
          <w:highlight w:val="yellow"/>
        </w:rPr>
        <w:fldChar w:fldCharType="begin"/>
      </w:r>
      <w:r w:rsidR="007140BF">
        <w:instrText xml:space="preserve"> REF _Ref30673164 \r \h </w:instrText>
      </w:r>
      <w:r w:rsidR="007140BF">
        <w:rPr>
          <w:highlight w:val="yellow"/>
        </w:rPr>
      </w:r>
      <w:r w:rsidR="007140BF">
        <w:rPr>
          <w:highlight w:val="yellow"/>
        </w:rPr>
        <w:fldChar w:fldCharType="separate"/>
      </w:r>
      <w:r w:rsidR="00BF1CA6">
        <w:t>25</w:t>
      </w:r>
      <w:r w:rsidR="007140BF">
        <w:rPr>
          <w:highlight w:val="yellow"/>
        </w:rPr>
        <w:fldChar w:fldCharType="end"/>
      </w:r>
      <w:r>
        <w:t xml:space="preserve">, </w:t>
      </w:r>
      <w:r w:rsidR="008C17EB">
        <w:t>revenue</w:t>
      </w:r>
      <w:r>
        <w:t xml:space="preserve"> must be recognised in </w:t>
      </w:r>
      <w:r w:rsidR="00316E96">
        <w:t xml:space="preserve">direct proportion to the </w:t>
      </w:r>
      <w:r w:rsidR="001E2CD6">
        <w:t xml:space="preserve">completed </w:t>
      </w:r>
      <w:r w:rsidR="00316E96">
        <w:t>amount of construction</w:t>
      </w:r>
      <w:r w:rsidR="001E2CD6">
        <w:t xml:space="preserve"> </w:t>
      </w:r>
      <w:r w:rsidR="00316E96">
        <w:t>work</w:t>
      </w:r>
      <w:r w:rsidR="001E2CD6">
        <w:t xml:space="preserve"> </w:t>
      </w:r>
      <w:r w:rsidR="00316E96">
        <w:t>in</w:t>
      </w:r>
      <w:r w:rsidR="001E2CD6">
        <w:t xml:space="preserve"> </w:t>
      </w:r>
      <w:r w:rsidR="00316E96">
        <w:t>progress.</w:t>
      </w:r>
    </w:p>
    <w:p w14:paraId="6ACB6598" w14:textId="758909BD" w:rsidR="0088572B" w:rsidRDefault="006E319B" w:rsidP="00AB0679">
      <w:pPr>
        <w:pStyle w:val="ListParagraph"/>
        <w:numPr>
          <w:ilvl w:val="0"/>
          <w:numId w:val="29"/>
        </w:numPr>
        <w:ind w:left="426"/>
      </w:pPr>
      <w:r>
        <w:lastRenderedPageBreak/>
        <w:t>The percentage of completion for c</w:t>
      </w:r>
      <w:r w:rsidR="0088572B">
        <w:t>onstruction work</w:t>
      </w:r>
      <w:r w:rsidR="006C4551">
        <w:t xml:space="preserve"> </w:t>
      </w:r>
      <w:r w:rsidR="0088572B">
        <w:t>in</w:t>
      </w:r>
      <w:r w:rsidR="006C4551">
        <w:t xml:space="preserve"> </w:t>
      </w:r>
      <w:r w:rsidR="0088572B">
        <w:t>progress must be measured using</w:t>
      </w:r>
      <w:r>
        <w:t xml:space="preserve"> cost</w:t>
      </w:r>
      <w:r w:rsidR="00356366">
        <w:t>s</w:t>
      </w:r>
      <w:r>
        <w:t xml:space="preserve"> incurred to date, </w:t>
      </w:r>
      <w:r w:rsidR="003A30A6">
        <w:t xml:space="preserve">as a proportion of </w:t>
      </w:r>
      <w:r w:rsidR="0076775F">
        <w:t xml:space="preserve">estimated total </w:t>
      </w:r>
      <w:r>
        <w:t>project cost.</w:t>
      </w:r>
      <w:r w:rsidR="0088572B">
        <w:t xml:space="preserve"> </w:t>
      </w:r>
    </w:p>
    <w:p w14:paraId="54864F37" w14:textId="51D2EA3F" w:rsidR="00C4605B" w:rsidRPr="00FC68FC" w:rsidRDefault="00C4605B" w:rsidP="00AB0679">
      <w:pPr>
        <w:pStyle w:val="ListParagraph"/>
        <w:numPr>
          <w:ilvl w:val="0"/>
          <w:numId w:val="29"/>
        </w:numPr>
        <w:ind w:left="426"/>
      </w:pPr>
      <w:r w:rsidRPr="00FC68FC">
        <w:t xml:space="preserve">Agencies must recognise revenue for the acquisition or construction of an asset </w:t>
      </w:r>
      <w:r w:rsidR="006C4551">
        <w:t>that</w:t>
      </w:r>
      <w:r w:rsidRPr="00FC68FC">
        <w:t xml:space="preserve"> the agency </w:t>
      </w:r>
      <w:r w:rsidR="0031040E" w:rsidRPr="007140BF">
        <w:t>retains, on receipt</w:t>
      </w:r>
      <w:r w:rsidRPr="00FC68FC">
        <w:t>, where</w:t>
      </w:r>
      <w:r w:rsidR="0031040E" w:rsidRPr="007140BF">
        <w:t xml:space="preserve"> performance obligations outlined in the contract are not sufficiently specific. </w:t>
      </w:r>
    </w:p>
    <w:p w14:paraId="5E40A212" w14:textId="5432880D" w:rsidR="00881FBA" w:rsidRDefault="00881FBA" w:rsidP="00305D6F">
      <w:pPr>
        <w:pStyle w:val="Heading1"/>
        <w:spacing w:line="276" w:lineRule="auto"/>
        <w:ind w:left="432" w:hanging="432"/>
      </w:pPr>
      <w:r>
        <w:t>Contribution by</w:t>
      </w:r>
      <w:r w:rsidR="00DF29B8">
        <w:t xml:space="preserve"> owners</w:t>
      </w:r>
    </w:p>
    <w:p w14:paraId="12F35F69" w14:textId="0FDFCD5C" w:rsidR="00881FBA" w:rsidRDefault="00DF29B8" w:rsidP="00AB0679">
      <w:pPr>
        <w:pStyle w:val="ListParagraph"/>
        <w:numPr>
          <w:ilvl w:val="0"/>
          <w:numId w:val="29"/>
        </w:numPr>
        <w:ind w:left="284"/>
      </w:pPr>
      <w:r>
        <w:t xml:space="preserve">Agencies must recognise a contribution by an owner, such as capital </w:t>
      </w:r>
      <w:r w:rsidR="00131C62">
        <w:t xml:space="preserve">or output </w:t>
      </w:r>
      <w:r w:rsidR="00C2718A">
        <w:t>appropriation, on</w:t>
      </w:r>
      <w:r>
        <w:t xml:space="preserve"> receipt, in accordance with Australian accounting standards. </w:t>
      </w:r>
    </w:p>
    <w:p w14:paraId="23E591AC" w14:textId="15400492" w:rsidR="00E32846" w:rsidRPr="00881FBA" w:rsidRDefault="00DF29B8" w:rsidP="00305D6F">
      <w:pPr>
        <w:pStyle w:val="Heading1"/>
        <w:spacing w:line="276" w:lineRule="auto"/>
        <w:ind w:left="432" w:hanging="432"/>
      </w:pPr>
      <w:r>
        <w:t xml:space="preserve">Licences </w:t>
      </w:r>
    </w:p>
    <w:p w14:paraId="7A5B85F6" w14:textId="6C772371" w:rsidR="00131C62" w:rsidRDefault="0093372E" w:rsidP="00AB0679">
      <w:pPr>
        <w:pStyle w:val="Heading2"/>
        <w:numPr>
          <w:ilvl w:val="0"/>
          <w:numId w:val="29"/>
        </w:numPr>
        <w:ind w:left="426"/>
        <w:rPr>
          <w:rFonts w:eastAsia="Calibri" w:cs="Times New Roman"/>
          <w:b w:val="0"/>
          <w:bCs w:val="0"/>
          <w:iCs w:val="0"/>
          <w:color w:val="auto"/>
          <w:sz w:val="22"/>
          <w:szCs w:val="22"/>
        </w:rPr>
      </w:pPr>
      <w:r>
        <w:rPr>
          <w:rFonts w:eastAsia="Calibri" w:cs="Times New Roman"/>
          <w:b w:val="0"/>
          <w:bCs w:val="0"/>
          <w:iCs w:val="0"/>
          <w:color w:val="auto"/>
          <w:sz w:val="22"/>
          <w:szCs w:val="22"/>
        </w:rPr>
        <w:t xml:space="preserve">A licence is an </w:t>
      </w:r>
      <w:r w:rsidR="00131C62">
        <w:rPr>
          <w:rFonts w:eastAsia="Calibri" w:cs="Times New Roman"/>
          <w:b w:val="0"/>
          <w:bCs w:val="0"/>
          <w:iCs w:val="0"/>
          <w:color w:val="auto"/>
          <w:sz w:val="22"/>
          <w:szCs w:val="22"/>
        </w:rPr>
        <w:t>authority or permission to use</w:t>
      </w:r>
      <w:r>
        <w:rPr>
          <w:rFonts w:eastAsia="Calibri" w:cs="Times New Roman"/>
          <w:b w:val="0"/>
          <w:bCs w:val="0"/>
          <w:iCs w:val="0"/>
          <w:color w:val="auto"/>
          <w:sz w:val="22"/>
          <w:szCs w:val="22"/>
        </w:rPr>
        <w:t>, do or own something.</w:t>
      </w:r>
    </w:p>
    <w:p w14:paraId="2D4C02BF" w14:textId="7EBEA94A" w:rsidR="001C45FA" w:rsidRDefault="0093372E" w:rsidP="00AB0679">
      <w:pPr>
        <w:pStyle w:val="Heading2"/>
        <w:numPr>
          <w:ilvl w:val="0"/>
          <w:numId w:val="29"/>
        </w:numPr>
        <w:ind w:left="426"/>
        <w:rPr>
          <w:rFonts w:eastAsia="Calibri" w:cs="Times New Roman"/>
          <w:b w:val="0"/>
          <w:bCs w:val="0"/>
          <w:iCs w:val="0"/>
          <w:color w:val="auto"/>
          <w:sz w:val="22"/>
          <w:szCs w:val="22"/>
        </w:rPr>
      </w:pPr>
      <w:r>
        <w:rPr>
          <w:rFonts w:eastAsia="Calibri" w:cs="Times New Roman"/>
          <w:b w:val="0"/>
          <w:bCs w:val="0"/>
          <w:iCs w:val="0"/>
          <w:color w:val="auto"/>
          <w:sz w:val="22"/>
          <w:szCs w:val="22"/>
        </w:rPr>
        <w:t>It includes:</w:t>
      </w:r>
    </w:p>
    <w:p w14:paraId="0806B25A" w14:textId="64F6FB0C" w:rsidR="001C45FA" w:rsidRDefault="001C45FA" w:rsidP="00AB0679">
      <w:pPr>
        <w:pStyle w:val="ListParagraph"/>
        <w:numPr>
          <w:ilvl w:val="1"/>
          <w:numId w:val="29"/>
        </w:numPr>
        <w:ind w:left="851"/>
      </w:pPr>
      <w:r>
        <w:t xml:space="preserve">licences issued with enforceable rights and obligations </w:t>
      </w:r>
    </w:p>
    <w:p w14:paraId="3CFFB465" w14:textId="032A1ED1" w:rsidR="001C45FA" w:rsidRDefault="001C45FA" w:rsidP="00AB0679">
      <w:pPr>
        <w:pStyle w:val="ListParagraph"/>
        <w:numPr>
          <w:ilvl w:val="1"/>
          <w:numId w:val="29"/>
        </w:numPr>
        <w:ind w:left="851"/>
      </w:pPr>
      <w:proofErr w:type="gramStart"/>
      <w:r>
        <w:t>licences</w:t>
      </w:r>
      <w:proofErr w:type="gramEnd"/>
      <w:r>
        <w:t xml:space="preserve"> created by statute under Australian law</w:t>
      </w:r>
      <w:r w:rsidR="006C4551">
        <w:t>.</w:t>
      </w:r>
    </w:p>
    <w:p w14:paraId="060B8214" w14:textId="01ECF166" w:rsidR="00F62679" w:rsidRPr="00FA6ACA" w:rsidRDefault="009B37A6" w:rsidP="00AB0679">
      <w:pPr>
        <w:pStyle w:val="ListParagraph"/>
        <w:numPr>
          <w:ilvl w:val="0"/>
          <w:numId w:val="29"/>
        </w:numPr>
        <w:ind w:left="426"/>
      </w:pPr>
      <w:r>
        <w:t>It</w:t>
      </w:r>
      <w:r w:rsidR="0093372E">
        <w:t xml:space="preserve"> </w:t>
      </w:r>
      <w:r w:rsidR="0040029E">
        <w:t>exclude</w:t>
      </w:r>
      <w:r>
        <w:t>s</w:t>
      </w:r>
      <w:r w:rsidR="001C45FA">
        <w:t xml:space="preserve"> licences </w:t>
      </w:r>
      <w:r w:rsidR="006C4551">
        <w:t xml:space="preserve">that </w:t>
      </w:r>
      <w:r w:rsidR="001C45FA">
        <w:t>contain a lease or are a service concession arrangement</w:t>
      </w:r>
      <w:r w:rsidR="00FA6ACA">
        <w:t>.</w:t>
      </w:r>
    </w:p>
    <w:p w14:paraId="0D5B84D1" w14:textId="77777777" w:rsidR="006A7D5D" w:rsidRDefault="006A7D5D" w:rsidP="006A7D5D">
      <w:pPr>
        <w:pStyle w:val="Heading2"/>
        <w:ind w:left="576" w:hanging="576"/>
      </w:pPr>
      <w:r>
        <w:t xml:space="preserve">Recognition exemptions </w:t>
      </w:r>
    </w:p>
    <w:p w14:paraId="48806487" w14:textId="5A387C3B" w:rsidR="0093372E" w:rsidRDefault="0093372E" w:rsidP="00AB0679">
      <w:pPr>
        <w:pStyle w:val="ListParagraph"/>
        <w:numPr>
          <w:ilvl w:val="0"/>
          <w:numId w:val="29"/>
        </w:numPr>
        <w:ind w:left="426"/>
      </w:pPr>
      <w:r>
        <w:t>The following licence exemptions require revenue from licences to be recognised at the point in time when the licence is issued:</w:t>
      </w:r>
    </w:p>
    <w:p w14:paraId="543A6EDF" w14:textId="7F423745" w:rsidR="0093372E" w:rsidRDefault="0093372E" w:rsidP="00AB0679">
      <w:pPr>
        <w:pStyle w:val="ListParagraph"/>
        <w:numPr>
          <w:ilvl w:val="1"/>
          <w:numId w:val="29"/>
        </w:numPr>
        <w:ind w:left="851"/>
      </w:pPr>
      <w:r>
        <w:t>short</w:t>
      </w:r>
      <w:r w:rsidR="006C4551">
        <w:t>-</w:t>
      </w:r>
      <w:r>
        <w:t>term licence –</w:t>
      </w:r>
      <w:r w:rsidR="00DB0C34">
        <w:t xml:space="preserve"> licence with a </w:t>
      </w:r>
      <w:r>
        <w:t xml:space="preserve"> term of 12 months or less</w:t>
      </w:r>
    </w:p>
    <w:p w14:paraId="130455C3" w14:textId="2A4F44EF" w:rsidR="00DB0C34" w:rsidRDefault="00DB0C34" w:rsidP="00AB0679">
      <w:pPr>
        <w:pStyle w:val="ListParagraph"/>
        <w:numPr>
          <w:ilvl w:val="1"/>
          <w:numId w:val="29"/>
        </w:numPr>
        <w:ind w:left="851"/>
      </w:pPr>
      <w:r>
        <w:t>low</w:t>
      </w:r>
      <w:r w:rsidR="006C4551">
        <w:t>-</w:t>
      </w:r>
      <w:r>
        <w:t xml:space="preserve">value licence – licence with a transaction price of $10 000 </w:t>
      </w:r>
      <w:r w:rsidR="00212AF5">
        <w:t xml:space="preserve">(GST exclusive) </w:t>
      </w:r>
      <w:r>
        <w:t>or less</w:t>
      </w:r>
    </w:p>
    <w:p w14:paraId="7CD9845C" w14:textId="2E3BC866" w:rsidR="005356D9" w:rsidRPr="00FA0F74" w:rsidRDefault="00DB0C34" w:rsidP="00AB0679">
      <w:pPr>
        <w:pStyle w:val="ListParagraph"/>
        <w:numPr>
          <w:ilvl w:val="2"/>
          <w:numId w:val="29"/>
        </w:numPr>
        <w:ind w:left="1134"/>
      </w:pPr>
      <w:r>
        <w:t>A licence does not qualify as a low</w:t>
      </w:r>
      <w:r w:rsidR="006C4551">
        <w:t>-</w:t>
      </w:r>
      <w:r>
        <w:t xml:space="preserve">value licence if </w:t>
      </w:r>
      <w:r w:rsidRPr="00FA0F74">
        <w:t>the nature of the licence is not typically of low value</w:t>
      </w:r>
      <w:r w:rsidR="006C4551" w:rsidRPr="00FA0F74">
        <w:t>.</w:t>
      </w:r>
    </w:p>
    <w:p w14:paraId="149817C9" w14:textId="75B67404" w:rsidR="00153D33" w:rsidRDefault="00153D33" w:rsidP="00153D33">
      <w:pPr>
        <w:pStyle w:val="Heading1"/>
        <w:spacing w:line="276" w:lineRule="auto"/>
        <w:ind w:left="432" w:hanging="432"/>
      </w:pPr>
      <w:r w:rsidRPr="00FA0F74">
        <w:t>Volunteer services</w:t>
      </w:r>
    </w:p>
    <w:p w14:paraId="29D54420" w14:textId="794A49FF" w:rsidR="00153D33" w:rsidRDefault="00153D33" w:rsidP="00AB0679">
      <w:pPr>
        <w:pStyle w:val="ListParagraph"/>
        <w:numPr>
          <w:ilvl w:val="0"/>
          <w:numId w:val="29"/>
        </w:numPr>
        <w:ind w:left="426"/>
      </w:pPr>
      <w:r>
        <w:t>Volunteer services are services received by an agency free of charge or for consideration significantly less than fair value of those services.</w:t>
      </w:r>
    </w:p>
    <w:p w14:paraId="75A34BC0" w14:textId="77777777" w:rsidR="00153D33" w:rsidRDefault="00153D33" w:rsidP="00AB0679">
      <w:pPr>
        <w:pStyle w:val="ListParagraph"/>
        <w:numPr>
          <w:ilvl w:val="0"/>
          <w:numId w:val="29"/>
        </w:numPr>
        <w:ind w:left="426"/>
      </w:pPr>
      <w:r>
        <w:t>Agencies must recognise the value of volunteer services in the financial statements only if:</w:t>
      </w:r>
    </w:p>
    <w:p w14:paraId="149DF392" w14:textId="4B2551CC" w:rsidR="00153D33" w:rsidRDefault="00153D33" w:rsidP="00AB0679">
      <w:pPr>
        <w:pStyle w:val="ListParagraph"/>
        <w:numPr>
          <w:ilvl w:val="1"/>
          <w:numId w:val="29"/>
        </w:numPr>
        <w:ind w:left="851"/>
      </w:pPr>
      <w:r>
        <w:t xml:space="preserve">services would be purchased if they had not been donated </w:t>
      </w:r>
    </w:p>
    <w:p w14:paraId="2E239F77" w14:textId="1FFF8AF8" w:rsidR="00495C2C" w:rsidRDefault="00153D33" w:rsidP="00AB0679">
      <w:pPr>
        <w:pStyle w:val="ListParagraph"/>
        <w:numPr>
          <w:ilvl w:val="1"/>
          <w:numId w:val="29"/>
        </w:numPr>
        <w:ind w:left="851"/>
      </w:pPr>
      <w:r>
        <w:t>the fair value of the volunteer services can be reliably measured</w:t>
      </w:r>
    </w:p>
    <w:p w14:paraId="0A95F465" w14:textId="2982FC80" w:rsidR="00153D33" w:rsidRDefault="006C4551" w:rsidP="00AB0679">
      <w:pPr>
        <w:pStyle w:val="ListParagraph"/>
        <w:numPr>
          <w:ilvl w:val="1"/>
          <w:numId w:val="29"/>
        </w:numPr>
        <w:ind w:left="851"/>
      </w:pPr>
      <w:proofErr w:type="gramStart"/>
      <w:r>
        <w:t>they</w:t>
      </w:r>
      <w:proofErr w:type="gramEnd"/>
      <w:r>
        <w:t xml:space="preserve"> </w:t>
      </w:r>
      <w:r w:rsidR="00495C2C">
        <w:t>are material</w:t>
      </w:r>
      <w:r w:rsidR="00153D33">
        <w:t>.</w:t>
      </w:r>
    </w:p>
    <w:p w14:paraId="77100C65" w14:textId="6725E28A" w:rsidR="004245F3" w:rsidRDefault="001912EE" w:rsidP="00106A72">
      <w:pPr>
        <w:pStyle w:val="Heading1"/>
        <w:spacing w:line="276" w:lineRule="auto"/>
        <w:ind w:left="432" w:hanging="432"/>
      </w:pPr>
      <w:r>
        <w:t>Income for assets acquired</w:t>
      </w:r>
      <w:r w:rsidR="00857992">
        <w:t xml:space="preserve"> for nil consideration</w:t>
      </w:r>
      <w:r w:rsidR="002A2DC3">
        <w:t xml:space="preserve"> or</w:t>
      </w:r>
      <w:r>
        <w:t xml:space="preserve"> </w:t>
      </w:r>
      <w:r w:rsidR="004245F3">
        <w:t>significantly below fair value</w:t>
      </w:r>
    </w:p>
    <w:p w14:paraId="15ECD011" w14:textId="0B0065AE" w:rsidR="004245F3" w:rsidRDefault="004245F3" w:rsidP="004245F3">
      <w:pPr>
        <w:pStyle w:val="Heading2"/>
        <w:ind w:left="576" w:hanging="576"/>
      </w:pPr>
      <w:r>
        <w:t>Assets acquired for nil consideration</w:t>
      </w:r>
    </w:p>
    <w:p w14:paraId="382F55EE" w14:textId="75CDDAF4" w:rsidR="004245F3" w:rsidRPr="004245F3" w:rsidRDefault="00AE7A46" w:rsidP="00AB0679">
      <w:pPr>
        <w:pStyle w:val="ListParagraph"/>
        <w:numPr>
          <w:ilvl w:val="0"/>
          <w:numId w:val="29"/>
        </w:numPr>
        <w:ind w:left="426"/>
      </w:pPr>
      <w:r>
        <w:t xml:space="preserve">Agencies </w:t>
      </w:r>
      <w:r w:rsidR="002A2DC3">
        <w:t>must recognise</w:t>
      </w:r>
      <w:r w:rsidR="0040029E">
        <w:t xml:space="preserve"> an asset acquired for nil consideration</w:t>
      </w:r>
      <w:r w:rsidR="002A2DC3">
        <w:t xml:space="preserve">, at fair value on initial recognition in accordance with </w:t>
      </w:r>
      <w:r w:rsidR="001F675E">
        <w:t xml:space="preserve">Australian accounting standards. </w:t>
      </w:r>
      <w:r w:rsidR="00EE29CD">
        <w:t xml:space="preserve"> </w:t>
      </w:r>
      <w:r w:rsidR="004245F3">
        <w:t xml:space="preserve"> </w:t>
      </w:r>
    </w:p>
    <w:p w14:paraId="13D41253" w14:textId="20904C6D" w:rsidR="00DB0C34" w:rsidRDefault="00DB0C34" w:rsidP="004245F3">
      <w:pPr>
        <w:pStyle w:val="Heading2"/>
        <w:ind w:left="576" w:hanging="576"/>
      </w:pPr>
      <w:r>
        <w:lastRenderedPageBreak/>
        <w:t xml:space="preserve">Assets acquired significantly below fair value </w:t>
      </w:r>
    </w:p>
    <w:p w14:paraId="7674AE58" w14:textId="2F3B13E8" w:rsidR="00DB0C34" w:rsidRPr="00AB0679" w:rsidRDefault="00DB0C34" w:rsidP="00AB0679">
      <w:pPr>
        <w:pStyle w:val="Heading3"/>
        <w:numPr>
          <w:ilvl w:val="0"/>
          <w:numId w:val="29"/>
        </w:numPr>
        <w:ind w:left="426"/>
        <w:rPr>
          <w:rFonts w:eastAsiaTheme="minorEastAsia" w:cs="Times New Roman"/>
          <w:b w:val="0"/>
          <w:bCs w:val="0"/>
          <w:sz w:val="22"/>
          <w:szCs w:val="22"/>
        </w:rPr>
      </w:pPr>
      <w:r w:rsidRPr="00AB0679">
        <w:rPr>
          <w:rFonts w:eastAsiaTheme="minorEastAsia" w:cs="Times New Roman"/>
          <w:b w:val="0"/>
          <w:bCs w:val="0"/>
          <w:iCs/>
          <w:sz w:val="22"/>
          <w:szCs w:val="22"/>
        </w:rPr>
        <w:t xml:space="preserve">Agencies must </w:t>
      </w:r>
      <w:r w:rsidRPr="00732950">
        <w:rPr>
          <w:rFonts w:eastAsiaTheme="minorEastAsia" w:cs="Times New Roman"/>
          <w:b w:val="0"/>
          <w:bCs w:val="0"/>
          <w:iCs/>
          <w:sz w:val="22"/>
          <w:szCs w:val="22"/>
        </w:rPr>
        <w:t>recognise</w:t>
      </w:r>
      <w:r>
        <w:rPr>
          <w:rFonts w:eastAsiaTheme="minorEastAsia" w:cs="Times New Roman"/>
          <w:b w:val="0"/>
          <w:bCs w:val="0"/>
          <w:iCs/>
          <w:sz w:val="22"/>
          <w:szCs w:val="22"/>
        </w:rPr>
        <w:t xml:space="preserve"> an asset acquired significantly below fair value, at fair value on initial recognition in accordance with Australian accounting standards.</w:t>
      </w:r>
    </w:p>
    <w:p w14:paraId="5BA63409" w14:textId="0D0E3E32" w:rsidR="00DC3581" w:rsidRDefault="00456D7A" w:rsidP="00AB0679">
      <w:pPr>
        <w:pStyle w:val="Heading3"/>
        <w:ind w:left="720" w:hanging="720"/>
      </w:pPr>
      <w:r>
        <w:t>Peppercorn or concessionary leases</w:t>
      </w:r>
    </w:p>
    <w:p w14:paraId="1CF6985F" w14:textId="0E707EA7" w:rsidR="00456D7A" w:rsidRDefault="00456D7A" w:rsidP="00AB0679">
      <w:pPr>
        <w:pStyle w:val="ListParagraph"/>
        <w:numPr>
          <w:ilvl w:val="0"/>
          <w:numId w:val="29"/>
        </w:numPr>
        <w:ind w:left="426"/>
      </w:pPr>
      <w:r>
        <w:t xml:space="preserve">Peppercorn or concessionary leases are </w:t>
      </w:r>
      <w:r w:rsidR="009B3FE6">
        <w:t>those</w:t>
      </w:r>
      <w:r>
        <w:t xml:space="preserve"> issued significantly below market terms and conditions</w:t>
      </w:r>
      <w:r w:rsidR="00AE7A46">
        <w:t>,</w:t>
      </w:r>
      <w:r w:rsidR="002474BC">
        <w:t xml:space="preserve"> principally to enable an </w:t>
      </w:r>
      <w:r>
        <w:t>agency</w:t>
      </w:r>
      <w:r w:rsidR="00356366">
        <w:t xml:space="preserve"> to</w:t>
      </w:r>
      <w:r w:rsidR="00AE7A46">
        <w:t xml:space="preserve"> </w:t>
      </w:r>
      <w:r>
        <w:t>further its objectives.</w:t>
      </w:r>
    </w:p>
    <w:p w14:paraId="2F30917D" w14:textId="1C08EE6C" w:rsidR="002474BC" w:rsidRDefault="002474BC" w:rsidP="00AB0679">
      <w:pPr>
        <w:pStyle w:val="ListParagraph"/>
        <w:numPr>
          <w:ilvl w:val="0"/>
          <w:numId w:val="29"/>
        </w:numPr>
        <w:ind w:left="426"/>
      </w:pPr>
      <w:r>
        <w:t>Where an agency is a lessee of a peppercorn or concessionary lease, on initial recognition, it must measure the right-of-use asset at cost, which equates to the value of the lease liability.</w:t>
      </w:r>
    </w:p>
    <w:p w14:paraId="7B90CA22" w14:textId="051F06D2" w:rsidR="001F675E" w:rsidRDefault="001F675E" w:rsidP="00820135">
      <w:pPr>
        <w:pStyle w:val="Heading1"/>
        <w:spacing w:line="276" w:lineRule="auto"/>
        <w:ind w:left="432" w:hanging="432"/>
      </w:pPr>
      <w:r>
        <w:t>T</w:t>
      </w:r>
      <w:r w:rsidR="00106A72">
        <w:t xml:space="preserve">axes </w:t>
      </w:r>
      <w:r>
        <w:t>or fines</w:t>
      </w:r>
    </w:p>
    <w:p w14:paraId="1714206E" w14:textId="1592303E" w:rsidR="00820135" w:rsidRDefault="001028CD" w:rsidP="00AB0679">
      <w:pPr>
        <w:pStyle w:val="ListParagraph"/>
        <w:numPr>
          <w:ilvl w:val="0"/>
          <w:numId w:val="29"/>
        </w:numPr>
        <w:ind w:left="426"/>
      </w:pPr>
      <w:bookmarkStart w:id="8" w:name="_Ref30673492"/>
      <w:r>
        <w:t xml:space="preserve">Agencies must recognise </w:t>
      </w:r>
      <w:r w:rsidR="008F0D94">
        <w:t xml:space="preserve">taxes </w:t>
      </w:r>
      <w:r w:rsidR="006F7CD8">
        <w:t xml:space="preserve">or fines </w:t>
      </w:r>
      <w:r>
        <w:t xml:space="preserve">as income </w:t>
      </w:r>
      <w:r w:rsidR="00B21A21">
        <w:t xml:space="preserve">at the point in time </w:t>
      </w:r>
      <w:r>
        <w:t xml:space="preserve">when the </w:t>
      </w:r>
      <w:r w:rsidRPr="006772B6">
        <w:t>taxable event occurs.</w:t>
      </w:r>
      <w:bookmarkEnd w:id="8"/>
    </w:p>
    <w:p w14:paraId="245181C8" w14:textId="19D26F70" w:rsidR="002E3794" w:rsidRPr="006772B6" w:rsidRDefault="002E3794" w:rsidP="00AB0679">
      <w:pPr>
        <w:pStyle w:val="ListParagraph"/>
        <w:numPr>
          <w:ilvl w:val="0"/>
          <w:numId w:val="29"/>
        </w:numPr>
        <w:ind w:left="426"/>
      </w:pPr>
      <w:r>
        <w:t>Pursuant to paragraph 40, where an asset arising from a taxable event cannot be measured reliably, the asset and corresponding revenue may be recognised in subsequent reporting periods, once the asset can be measured reliably.</w:t>
      </w:r>
    </w:p>
    <w:p w14:paraId="2E06540B" w14:textId="465E0A01" w:rsidR="006E27E6" w:rsidRPr="004D4D16" w:rsidRDefault="006E27E6" w:rsidP="00AB0679">
      <w:pPr>
        <w:pStyle w:val="ListParagraph"/>
        <w:numPr>
          <w:ilvl w:val="0"/>
          <w:numId w:val="29"/>
        </w:numPr>
        <w:ind w:left="426"/>
      </w:pPr>
      <w:r w:rsidRPr="004D4D16">
        <w:t>P</w:t>
      </w:r>
      <w:r w:rsidR="0032193B" w:rsidRPr="004D4D16">
        <w:t xml:space="preserve">ursuant to </w:t>
      </w:r>
      <w:r w:rsidR="0032193B" w:rsidRPr="00AB0679">
        <w:t xml:space="preserve">paragraph </w:t>
      </w:r>
      <w:r w:rsidR="00AB0679" w:rsidRPr="00AB0679">
        <w:fldChar w:fldCharType="begin"/>
      </w:r>
      <w:r w:rsidR="00AB0679" w:rsidRPr="00AB0679">
        <w:instrText xml:space="preserve"> REF _Ref30673492 \r \h </w:instrText>
      </w:r>
      <w:r w:rsidR="00AB0679">
        <w:instrText xml:space="preserve"> \* MERGEFORMAT </w:instrText>
      </w:r>
      <w:r w:rsidR="00AB0679" w:rsidRPr="00AB0679">
        <w:fldChar w:fldCharType="separate"/>
      </w:r>
      <w:r w:rsidR="00BF1CA6">
        <w:t>40</w:t>
      </w:r>
      <w:r w:rsidR="00AB0679" w:rsidRPr="00AB0679">
        <w:fldChar w:fldCharType="end"/>
      </w:r>
      <w:r w:rsidRPr="00AB0679">
        <w:t>,</w:t>
      </w:r>
      <w:r w:rsidRPr="004D4D16">
        <w:t xml:space="preserve"> wh</w:t>
      </w:r>
      <w:r w:rsidRPr="00AB0679">
        <w:t>e</w:t>
      </w:r>
      <w:r w:rsidRPr="004D4D16">
        <w:t xml:space="preserve">re there is significant uncertainty </w:t>
      </w:r>
      <w:r w:rsidR="00FB2041" w:rsidRPr="004D4D16">
        <w:t xml:space="preserve">surrounding the collectability of a fine, </w:t>
      </w:r>
      <w:r w:rsidRPr="004D4D16">
        <w:t xml:space="preserve">revenue associated with the fine </w:t>
      </w:r>
      <w:r w:rsidR="00FB2041" w:rsidRPr="004D4D16">
        <w:t>should only be recognised when cash payment is received.</w:t>
      </w:r>
      <w:r w:rsidRPr="004D4D16">
        <w:t xml:space="preserve">   </w:t>
      </w:r>
    </w:p>
    <w:p w14:paraId="60C25AC9" w14:textId="33DCCCAE" w:rsidR="008F7EDE" w:rsidRDefault="00BC46C6" w:rsidP="004D4D16">
      <w:pPr>
        <w:pStyle w:val="Heading1"/>
        <w:spacing w:line="276" w:lineRule="auto"/>
        <w:ind w:left="432" w:hanging="432"/>
      </w:pPr>
      <w:r>
        <w:t>P</w:t>
      </w:r>
      <w:r w:rsidR="008F7EDE" w:rsidRPr="004D4D16">
        <w:t>ass</w:t>
      </w:r>
      <w:r w:rsidR="00074185">
        <w:t>-</w:t>
      </w:r>
      <w:r>
        <w:t>on</w:t>
      </w:r>
      <w:r w:rsidR="008F7EDE" w:rsidRPr="004D4D16">
        <w:t xml:space="preserve"> arrangement</w:t>
      </w:r>
    </w:p>
    <w:p w14:paraId="7D717352" w14:textId="38A4F6C5" w:rsidR="00144F07" w:rsidRDefault="008F7EDE" w:rsidP="00AB0679">
      <w:pPr>
        <w:pStyle w:val="ListParagraph"/>
        <w:numPr>
          <w:ilvl w:val="0"/>
          <w:numId w:val="29"/>
        </w:numPr>
        <w:ind w:left="426"/>
      </w:pPr>
      <w:r>
        <w:t>A</w:t>
      </w:r>
      <w:r w:rsidR="007C7FA2">
        <w:t xml:space="preserve"> pass</w:t>
      </w:r>
      <w:r w:rsidR="00074185">
        <w:t>-</w:t>
      </w:r>
      <w:r w:rsidR="007C7FA2">
        <w:t xml:space="preserve">on </w:t>
      </w:r>
      <w:r w:rsidR="004C2116">
        <w:t xml:space="preserve">arrangement </w:t>
      </w:r>
      <w:r w:rsidR="00237BF9">
        <w:t xml:space="preserve">is where an agency </w:t>
      </w:r>
      <w:r w:rsidR="00BB10F4">
        <w:t xml:space="preserve">is used as a conduit to </w:t>
      </w:r>
      <w:r w:rsidR="007C7FA2">
        <w:t>pass on</w:t>
      </w:r>
      <w:r w:rsidR="00BB10F4">
        <w:t xml:space="preserve"> funds to other entities</w:t>
      </w:r>
      <w:r w:rsidR="00AB59AA">
        <w:t xml:space="preserve">. This </w:t>
      </w:r>
      <w:r w:rsidR="00144F07">
        <w:t>exc</w:t>
      </w:r>
      <w:r w:rsidR="00AB59AA">
        <w:t>ludes</w:t>
      </w:r>
      <w:r w:rsidR="00144F07">
        <w:t xml:space="preserve"> administered item</w:t>
      </w:r>
      <w:r w:rsidR="003F5F06">
        <w:t>s collected on behalf of the Central Holding Authority</w:t>
      </w:r>
      <w:r w:rsidR="00BA4937">
        <w:t xml:space="preserve"> (CHA)</w:t>
      </w:r>
      <w:r w:rsidR="00BB10F4">
        <w:t>.</w:t>
      </w:r>
    </w:p>
    <w:p w14:paraId="6398B639" w14:textId="40330A84" w:rsidR="00144F07" w:rsidRDefault="009B3FE6" w:rsidP="00AB0679">
      <w:pPr>
        <w:pStyle w:val="ListParagraph"/>
        <w:numPr>
          <w:ilvl w:val="0"/>
          <w:numId w:val="29"/>
        </w:numPr>
        <w:ind w:left="426"/>
      </w:pPr>
      <w:r>
        <w:t xml:space="preserve">When </w:t>
      </w:r>
      <w:r w:rsidR="00F16034">
        <w:t xml:space="preserve">an agency receives funding </w:t>
      </w:r>
      <w:r w:rsidR="001F3A6C">
        <w:t>where</w:t>
      </w:r>
      <w:r w:rsidR="003F5F06">
        <w:t xml:space="preserve"> it merely </w:t>
      </w:r>
      <w:r w:rsidR="001F3A6C">
        <w:t xml:space="preserve">acts </w:t>
      </w:r>
      <w:r w:rsidR="003F5F06">
        <w:t>as a post box to f</w:t>
      </w:r>
      <w:r w:rsidR="00F16034">
        <w:t xml:space="preserve">acilitate the head grantor passing on the grant to </w:t>
      </w:r>
      <w:r w:rsidR="007C7FA2">
        <w:t>a non-controlled Northern Territory Government entity</w:t>
      </w:r>
      <w:r w:rsidR="003F5F06">
        <w:t>, the agency must</w:t>
      </w:r>
      <w:r w:rsidR="007C7FA2">
        <w:t xml:space="preserve"> not account</w:t>
      </w:r>
      <w:r w:rsidR="00F16034">
        <w:t xml:space="preserve"> for</w:t>
      </w:r>
      <w:r w:rsidR="007C7FA2">
        <w:t xml:space="preserve"> funding on the statement of financial performance but recognise the receipt and payment through a clearing account, </w:t>
      </w:r>
      <w:r w:rsidR="00F16034">
        <w:t xml:space="preserve">in accordance with Australian </w:t>
      </w:r>
      <w:r w:rsidR="00144F07">
        <w:t>accounting standards.</w:t>
      </w:r>
    </w:p>
    <w:p w14:paraId="74F2FBBA" w14:textId="6E8E512F" w:rsidR="00BB10F4" w:rsidRDefault="0003362F" w:rsidP="004D4D16">
      <w:pPr>
        <w:pStyle w:val="Heading2"/>
        <w:ind w:left="576" w:hanging="576"/>
      </w:pPr>
      <w:r>
        <w:t>Recognition e</w:t>
      </w:r>
      <w:r w:rsidR="00144F07">
        <w:t>xemptions</w:t>
      </w:r>
      <w:r w:rsidR="00BB10F4">
        <w:t xml:space="preserve"> </w:t>
      </w:r>
    </w:p>
    <w:p w14:paraId="12C0D8F1" w14:textId="64CD61CC" w:rsidR="007C7FA2" w:rsidRDefault="007C7FA2" w:rsidP="00AB0679">
      <w:pPr>
        <w:pStyle w:val="ListParagraph"/>
        <w:numPr>
          <w:ilvl w:val="0"/>
          <w:numId w:val="29"/>
        </w:numPr>
        <w:ind w:left="426"/>
      </w:pPr>
      <w:bookmarkStart w:id="9" w:name="_Ref30673846"/>
      <w:r>
        <w:t>Where funds are passed on between two Northern Territory Government</w:t>
      </w:r>
      <w:r w:rsidR="009B3FE6">
        <w:noBreakHyphen/>
      </w:r>
      <w:r>
        <w:t>controlled entities, regardless of funding source, the paying agency must record an expense on payment and recipient agency must record</w:t>
      </w:r>
      <w:r w:rsidR="0003362F">
        <w:t xml:space="preserve"> the revenue on receipt of cash</w:t>
      </w:r>
      <w:r w:rsidR="009B3FE6">
        <w:t>.</w:t>
      </w:r>
      <w:bookmarkEnd w:id="9"/>
    </w:p>
    <w:p w14:paraId="39893B76" w14:textId="3D4D9225" w:rsidR="00BB10F4" w:rsidRDefault="00BB10F4" w:rsidP="00AB0679">
      <w:pPr>
        <w:pStyle w:val="ListParagraph"/>
        <w:numPr>
          <w:ilvl w:val="0"/>
          <w:numId w:val="29"/>
        </w:numPr>
        <w:ind w:left="426"/>
      </w:pPr>
      <w:r>
        <w:t>GBDs</w:t>
      </w:r>
      <w:r w:rsidRPr="007E619F">
        <w:t xml:space="preserve"> </w:t>
      </w:r>
      <w:r>
        <w:t xml:space="preserve">are not permitted to apply the exemption in paragraph </w:t>
      </w:r>
      <w:r w:rsidR="006A2C99">
        <w:rPr>
          <w:rFonts w:eastAsia="Calibri"/>
        </w:rPr>
        <w:t>45</w:t>
      </w:r>
      <w:r w:rsidR="0003362F">
        <w:t>.</w:t>
      </w:r>
      <w:r>
        <w:t xml:space="preserve"> </w:t>
      </w:r>
    </w:p>
    <w:p w14:paraId="24137801" w14:textId="5846D5DF" w:rsidR="00912776" w:rsidRDefault="00912776" w:rsidP="004D4D16">
      <w:pPr>
        <w:pStyle w:val="Heading1"/>
        <w:spacing w:line="276" w:lineRule="auto"/>
        <w:ind w:left="432" w:hanging="432"/>
      </w:pPr>
      <w:r>
        <w:t xml:space="preserve"> Contract costs </w:t>
      </w:r>
    </w:p>
    <w:p w14:paraId="3087BA62" w14:textId="3F86CE9B" w:rsidR="00912776" w:rsidRDefault="00912776" w:rsidP="00C918C9">
      <w:pPr>
        <w:pStyle w:val="ListParagraph"/>
        <w:numPr>
          <w:ilvl w:val="0"/>
          <w:numId w:val="29"/>
        </w:numPr>
        <w:ind w:left="426"/>
      </w:pPr>
      <w:r>
        <w:t>Contract costs include costs to obtain and fulfil a contract.</w:t>
      </w:r>
    </w:p>
    <w:p w14:paraId="3C2A7708" w14:textId="6F8B7DC5" w:rsidR="00912776" w:rsidRDefault="00912776" w:rsidP="00C918C9">
      <w:pPr>
        <w:pStyle w:val="ListParagraph"/>
        <w:numPr>
          <w:ilvl w:val="0"/>
          <w:numId w:val="29"/>
        </w:numPr>
        <w:ind w:left="426"/>
      </w:pPr>
      <w:r>
        <w:t>Agencies must expense the costs to obtain a contract immediately, where the performance obligation will be satisfied within one year or less.</w:t>
      </w:r>
    </w:p>
    <w:p w14:paraId="5564D1FF" w14:textId="46FC3E28" w:rsidR="00D97CB8" w:rsidRDefault="00A64A26" w:rsidP="00C918C9">
      <w:pPr>
        <w:pStyle w:val="ListParagraph"/>
        <w:numPr>
          <w:ilvl w:val="0"/>
          <w:numId w:val="29"/>
        </w:numPr>
        <w:ind w:left="426"/>
      </w:pPr>
      <w:r>
        <w:t xml:space="preserve">Agencies must not capitalise Territory Government employee costs </w:t>
      </w:r>
      <w:r w:rsidR="009B3FE6">
        <w:t xml:space="preserve">that </w:t>
      </w:r>
      <w:r>
        <w:t xml:space="preserve">satisfy the criteria for recognition as a cost to fulfil a contract. These costs must be expensed immediately.  </w:t>
      </w:r>
    </w:p>
    <w:p w14:paraId="2039E31F" w14:textId="3EB75226" w:rsidR="00912776" w:rsidRPr="00912776" w:rsidRDefault="00912776" w:rsidP="00C918C9">
      <w:pPr>
        <w:pStyle w:val="ListParagraph"/>
        <w:numPr>
          <w:ilvl w:val="0"/>
          <w:numId w:val="29"/>
        </w:numPr>
        <w:ind w:left="426"/>
      </w:pPr>
      <w:r>
        <w:lastRenderedPageBreak/>
        <w:t xml:space="preserve">For all contracts, other than construction contracts, </w:t>
      </w:r>
      <w:r w:rsidR="00D97CB8">
        <w:t>agencies must</w:t>
      </w:r>
      <w:r>
        <w:t xml:space="preserve"> only capitalise the </w:t>
      </w:r>
      <w:r w:rsidR="00F37BA7">
        <w:t xml:space="preserve">other </w:t>
      </w:r>
      <w:r>
        <w:t>costs to fulfil a co</w:t>
      </w:r>
      <w:r w:rsidR="00D97CB8">
        <w:t>ntract as a contract cost asset if it is deemed material.</w:t>
      </w:r>
    </w:p>
    <w:p w14:paraId="4B107030" w14:textId="1DD86AE4" w:rsidR="002C16A0" w:rsidRDefault="002C16A0" w:rsidP="004D4D16">
      <w:pPr>
        <w:pStyle w:val="Heading1"/>
        <w:spacing w:line="276" w:lineRule="auto"/>
        <w:ind w:left="432" w:hanging="432"/>
      </w:pPr>
      <w:r>
        <w:t>Interest on Commonwealth funding</w:t>
      </w:r>
    </w:p>
    <w:p w14:paraId="25D7F4F5" w14:textId="22F3F9A4" w:rsidR="006C04A4" w:rsidRDefault="00964F00" w:rsidP="00C918C9">
      <w:pPr>
        <w:pStyle w:val="ListParagraph"/>
        <w:numPr>
          <w:ilvl w:val="0"/>
          <w:numId w:val="29"/>
        </w:numPr>
        <w:ind w:left="426"/>
      </w:pPr>
      <w:bookmarkStart w:id="10" w:name="_Ref30673908"/>
      <w:r>
        <w:t xml:space="preserve">Where an </w:t>
      </w:r>
      <w:r w:rsidR="000E4D10">
        <w:t>agency is</w:t>
      </w:r>
      <w:r>
        <w:t xml:space="preserve"> a</w:t>
      </w:r>
      <w:r w:rsidR="000E4D10">
        <w:t xml:space="preserve"> party to an agreement with the Commonwealth</w:t>
      </w:r>
      <w:r w:rsidR="009B3FE6">
        <w:t xml:space="preserve"> that</w:t>
      </w:r>
      <w:r w:rsidR="000E4D10">
        <w:t xml:space="preserve"> contains an interest clause, </w:t>
      </w:r>
      <w:r w:rsidR="006C04A4">
        <w:t>interest is payable by the CHA</w:t>
      </w:r>
      <w:r w:rsidR="000E4D10">
        <w:t xml:space="preserve"> to the agency</w:t>
      </w:r>
      <w:r w:rsidR="006C04A4">
        <w:t xml:space="preserve"> and</w:t>
      </w:r>
      <w:r w:rsidR="000E4D10">
        <w:t xml:space="preserve"> is</w:t>
      </w:r>
      <w:r w:rsidR="006C04A4">
        <w:t xml:space="preserve"> administered by the Northern Territory </w:t>
      </w:r>
      <w:r w:rsidR="00995B87">
        <w:t xml:space="preserve">Treasury </w:t>
      </w:r>
      <w:r w:rsidR="006C04A4">
        <w:t>Corporation.</w:t>
      </w:r>
      <w:bookmarkEnd w:id="10"/>
    </w:p>
    <w:p w14:paraId="2BF72749" w14:textId="293F5EF7" w:rsidR="00091C30" w:rsidRDefault="00091C30" w:rsidP="00C918C9">
      <w:pPr>
        <w:pStyle w:val="ListParagraph"/>
        <w:numPr>
          <w:ilvl w:val="0"/>
          <w:numId w:val="29"/>
        </w:numPr>
        <w:ind w:left="426"/>
      </w:pPr>
      <w:r>
        <w:t xml:space="preserve">Pursuant to paragraph </w:t>
      </w:r>
      <w:r w:rsidR="006A2C99">
        <w:t>51</w:t>
      </w:r>
      <w:r>
        <w:t xml:space="preserve">, </w:t>
      </w:r>
      <w:r w:rsidR="00CA391F">
        <w:t xml:space="preserve">the </w:t>
      </w:r>
      <w:r w:rsidR="00630693">
        <w:t>interest rate applicable on</w:t>
      </w:r>
      <w:r>
        <w:t xml:space="preserve"> unspent balances</w:t>
      </w:r>
      <w:r w:rsidR="009E75A6">
        <w:t xml:space="preserve"> of</w:t>
      </w:r>
      <w:r>
        <w:t xml:space="preserve"> funding is the Reserve Bank of Australia ca</w:t>
      </w:r>
      <w:r w:rsidR="003E32EE">
        <w:t>sh rate less a discount of 0.25</w:t>
      </w:r>
      <w:r w:rsidR="009B3FE6">
        <w:t> </w:t>
      </w:r>
      <w:r w:rsidR="003E32EE">
        <w:t>percent</w:t>
      </w:r>
      <w:r w:rsidR="004A1ADF">
        <w:t>age points</w:t>
      </w:r>
      <w:r>
        <w:t xml:space="preserve">. </w:t>
      </w:r>
    </w:p>
    <w:p w14:paraId="20739E2F" w14:textId="08BBEF37" w:rsidR="00091C30" w:rsidRDefault="00091C30" w:rsidP="00C918C9">
      <w:pPr>
        <w:pStyle w:val="ListParagraph"/>
        <w:numPr>
          <w:ilvl w:val="0"/>
          <w:numId w:val="29"/>
        </w:numPr>
        <w:ind w:left="426"/>
      </w:pPr>
      <w:r>
        <w:t xml:space="preserve">Where the balance of Commonwealth funds is in overdraft, the Reserve Bank Australia small business overdraft rate will apply. </w:t>
      </w:r>
    </w:p>
    <w:p w14:paraId="5767EF6E" w14:textId="5B644357" w:rsidR="00995B87" w:rsidRDefault="00995B87" w:rsidP="00C918C9">
      <w:pPr>
        <w:pStyle w:val="ListParagraph"/>
        <w:numPr>
          <w:ilvl w:val="0"/>
          <w:numId w:val="29"/>
        </w:numPr>
        <w:ind w:left="426"/>
      </w:pPr>
      <w:r>
        <w:t xml:space="preserve">Agencies must monitor or separately identify Commonwealth agreements </w:t>
      </w:r>
      <w:r w:rsidR="003E32EE">
        <w:t xml:space="preserve">with an interest clause, by </w:t>
      </w:r>
      <w:r>
        <w:t>establishing a separate</w:t>
      </w:r>
      <w:r w:rsidR="00964BDF">
        <w:t xml:space="preserve"> cost centre for each agreement</w:t>
      </w:r>
      <w:r w:rsidR="008A3B8D">
        <w:t>, to track all receipts and payments (including interest revenue</w:t>
      </w:r>
      <w:r w:rsidR="00E37B17">
        <w:t xml:space="preserve">) associated with the agreement. </w:t>
      </w:r>
    </w:p>
    <w:p w14:paraId="66FD517C" w14:textId="4CE0E179" w:rsidR="006C04A4" w:rsidRDefault="006C04A4" w:rsidP="00C918C9">
      <w:pPr>
        <w:pStyle w:val="ListParagraph"/>
        <w:numPr>
          <w:ilvl w:val="0"/>
          <w:numId w:val="29"/>
        </w:numPr>
        <w:ind w:left="426"/>
      </w:pPr>
      <w:r>
        <w:t>Agencies</w:t>
      </w:r>
      <w:r w:rsidR="00E37B17">
        <w:t xml:space="preserve"> must provide</w:t>
      </w:r>
      <w:r w:rsidR="00EA0C34">
        <w:t xml:space="preserve"> information on funding flows to CHA</w:t>
      </w:r>
      <w:r w:rsidR="00E37B17">
        <w:t>,</w:t>
      </w:r>
      <w:r w:rsidR="00EA0C34">
        <w:t xml:space="preserve"> at a minimum, </w:t>
      </w:r>
      <w:r w:rsidR="00EA0C34" w:rsidRPr="00C918C9">
        <w:t>annually</w:t>
      </w:r>
      <w:r w:rsidR="00EA0C34" w:rsidRPr="008C0B73">
        <w:t>, to</w:t>
      </w:r>
      <w:r w:rsidR="00EA0C34">
        <w:t xml:space="preserve"> assist the Northern Territory Treasury Corporation in calculating interest on funding.</w:t>
      </w:r>
      <w:r w:rsidR="00091C30">
        <w:t xml:space="preserve"> </w:t>
      </w:r>
    </w:p>
    <w:p w14:paraId="148B9FD8" w14:textId="6534FC3F" w:rsidR="00701A32" w:rsidRDefault="00701A32" w:rsidP="00701A32">
      <w:pPr>
        <w:pStyle w:val="Heading1"/>
        <w:ind w:left="432" w:hanging="432"/>
      </w:pPr>
      <w:r>
        <w:t>Record</w:t>
      </w:r>
      <w:r w:rsidR="009B3FE6">
        <w:t xml:space="preserve"> </w:t>
      </w:r>
      <w:r>
        <w:t xml:space="preserve">keeping </w:t>
      </w:r>
    </w:p>
    <w:p w14:paraId="2A007496" w14:textId="3392F48D" w:rsidR="00701A32" w:rsidRDefault="00701A32" w:rsidP="00C918C9">
      <w:pPr>
        <w:pStyle w:val="ListParagraph"/>
        <w:numPr>
          <w:ilvl w:val="0"/>
          <w:numId w:val="29"/>
        </w:numPr>
        <w:ind w:left="426"/>
      </w:pPr>
      <w:bookmarkStart w:id="11" w:name="_Ref30673999"/>
      <w:r>
        <w:t>An accountable officer must keep appropriate documentation for significant</w:t>
      </w:r>
      <w:r w:rsidR="00985775">
        <w:t xml:space="preserve"> judgement</w:t>
      </w:r>
      <w:r w:rsidR="004B2354">
        <w:t>s</w:t>
      </w:r>
      <w:r w:rsidR="00985775">
        <w:t xml:space="preserve"> or assumptions </w:t>
      </w:r>
      <w:r>
        <w:t xml:space="preserve">used to determine </w:t>
      </w:r>
      <w:r w:rsidR="00580CD4">
        <w:t>the timing and amounts of revenue recorded within a reporting period.</w:t>
      </w:r>
      <w:bookmarkEnd w:id="11"/>
    </w:p>
    <w:p w14:paraId="0013D8A2" w14:textId="39CDFC27" w:rsidR="00AD7FC7" w:rsidRPr="00FC68FC" w:rsidRDefault="00D15F36" w:rsidP="00C918C9">
      <w:pPr>
        <w:pStyle w:val="ListParagraph"/>
        <w:numPr>
          <w:ilvl w:val="0"/>
          <w:numId w:val="29"/>
        </w:numPr>
        <w:ind w:left="426"/>
      </w:pPr>
      <w:bookmarkStart w:id="12" w:name="_Ref30674011"/>
      <w:r w:rsidRPr="00FC68FC">
        <w:t>An accountable</w:t>
      </w:r>
      <w:r w:rsidR="00FD4713" w:rsidRPr="00FC68FC">
        <w:t xml:space="preserve"> officer must maintain a register of fees and charges </w:t>
      </w:r>
      <w:r w:rsidR="006A5B98">
        <w:t>that</w:t>
      </w:r>
      <w:r w:rsidR="00190FC5" w:rsidRPr="00FC68FC">
        <w:t xml:space="preserve"> must detail at a </w:t>
      </w:r>
      <w:r w:rsidR="00FD4713" w:rsidRPr="00FC68FC">
        <w:t xml:space="preserve">minimum </w:t>
      </w:r>
      <w:r w:rsidR="00AD7FC7" w:rsidRPr="00FC68FC">
        <w:t>the:</w:t>
      </w:r>
      <w:bookmarkEnd w:id="12"/>
    </w:p>
    <w:p w14:paraId="6D15BB4C" w14:textId="3B4878CC" w:rsidR="00FD4713" w:rsidRPr="00FC68FC" w:rsidRDefault="00FD4713" w:rsidP="00C918C9">
      <w:pPr>
        <w:pStyle w:val="ListParagraph"/>
        <w:numPr>
          <w:ilvl w:val="1"/>
          <w:numId w:val="29"/>
        </w:numPr>
        <w:ind w:left="851"/>
      </w:pPr>
      <w:r w:rsidRPr="00FC68FC">
        <w:t>nature of the fee and charge</w:t>
      </w:r>
    </w:p>
    <w:p w14:paraId="664F05AB" w14:textId="63A1C698" w:rsidR="00FD4713" w:rsidRPr="00FC68FC" w:rsidRDefault="00FD4713" w:rsidP="00C918C9">
      <w:pPr>
        <w:pStyle w:val="ListParagraph"/>
        <w:numPr>
          <w:ilvl w:val="1"/>
          <w:numId w:val="29"/>
        </w:numPr>
        <w:ind w:left="851"/>
      </w:pPr>
      <w:r w:rsidRPr="00FC68FC">
        <w:t>amount of the fee and charge</w:t>
      </w:r>
    </w:p>
    <w:p w14:paraId="504C8F6F" w14:textId="7AD50CDD" w:rsidR="00FD4713" w:rsidRPr="00FC68FC" w:rsidRDefault="00FD4713" w:rsidP="00C918C9">
      <w:pPr>
        <w:pStyle w:val="ListParagraph"/>
        <w:numPr>
          <w:ilvl w:val="1"/>
          <w:numId w:val="29"/>
        </w:numPr>
        <w:ind w:left="851"/>
      </w:pPr>
      <w:proofErr w:type="gramStart"/>
      <w:r w:rsidRPr="00FC68FC">
        <w:t>authority</w:t>
      </w:r>
      <w:proofErr w:type="gramEnd"/>
      <w:r w:rsidRPr="00FC68FC">
        <w:t xml:space="preserve"> for any statutory fees and source of approval for any charges</w:t>
      </w:r>
      <w:r w:rsidR="006A5B98">
        <w:t>.</w:t>
      </w:r>
    </w:p>
    <w:p w14:paraId="705D43B8" w14:textId="19DA11CE" w:rsidR="00AD7FC7" w:rsidRPr="00FC68FC" w:rsidRDefault="00AD7FC7" w:rsidP="00C918C9">
      <w:pPr>
        <w:pStyle w:val="ListParagraph"/>
        <w:numPr>
          <w:ilvl w:val="0"/>
          <w:numId w:val="29"/>
        </w:numPr>
        <w:ind w:left="426"/>
      </w:pPr>
      <w:r w:rsidRPr="00FC68FC">
        <w:t xml:space="preserve">Pursuant to paragraph </w:t>
      </w:r>
      <w:r w:rsidR="006A2C99">
        <w:t>56</w:t>
      </w:r>
      <w:r w:rsidRPr="00FC68FC">
        <w:t xml:space="preserve">, a register of fees and charges is not required where an agency has never had any fees and charges. </w:t>
      </w:r>
    </w:p>
    <w:p w14:paraId="0C768F69" w14:textId="0DAD53C3" w:rsidR="00985775" w:rsidRDefault="004B2354" w:rsidP="00C918C9">
      <w:pPr>
        <w:pStyle w:val="ListParagraph"/>
        <w:numPr>
          <w:ilvl w:val="0"/>
          <w:numId w:val="29"/>
        </w:numPr>
        <w:ind w:left="426"/>
      </w:pPr>
      <w:r>
        <w:t>Pursuant to paragraph</w:t>
      </w:r>
      <w:r w:rsidR="00FD4713">
        <w:t>s</w:t>
      </w:r>
      <w:r>
        <w:t xml:space="preserve"> </w:t>
      </w:r>
      <w:r w:rsidR="006A2C99">
        <w:t>56</w:t>
      </w:r>
      <w:r w:rsidR="00C918C9">
        <w:t xml:space="preserve"> </w:t>
      </w:r>
      <w:r w:rsidR="00FD4713" w:rsidRPr="00C918C9">
        <w:t xml:space="preserve">and </w:t>
      </w:r>
      <w:r w:rsidR="00C918C9">
        <w:rPr>
          <w:highlight w:val="yellow"/>
        </w:rPr>
        <w:fldChar w:fldCharType="begin"/>
      </w:r>
      <w:r w:rsidR="00C918C9">
        <w:instrText xml:space="preserve"> REF _Ref30674011 \r \h </w:instrText>
      </w:r>
      <w:r w:rsidR="00C918C9">
        <w:rPr>
          <w:highlight w:val="yellow"/>
        </w:rPr>
      </w:r>
      <w:r w:rsidR="00C918C9">
        <w:rPr>
          <w:highlight w:val="yellow"/>
        </w:rPr>
        <w:fldChar w:fldCharType="separate"/>
      </w:r>
      <w:r w:rsidR="00BF1CA6">
        <w:t>57</w:t>
      </w:r>
      <w:r w:rsidR="00C918C9">
        <w:rPr>
          <w:highlight w:val="yellow"/>
        </w:rPr>
        <w:fldChar w:fldCharType="end"/>
      </w:r>
      <w:r w:rsidR="00985775" w:rsidRPr="00C918C9">
        <w:t>,</w:t>
      </w:r>
      <w:r w:rsidR="00985775">
        <w:t xml:space="preserve"> an accountable officer must retain such records for the specified minimum period, in accordance with the agency’s records disposal schedule.</w:t>
      </w:r>
    </w:p>
    <w:p w14:paraId="0D950C2B" w14:textId="5F8CF273" w:rsidR="00701A32" w:rsidRPr="00BD0F07" w:rsidRDefault="003354E7" w:rsidP="009808F0">
      <w:pPr>
        <w:pStyle w:val="Heading1"/>
        <w:ind w:left="432" w:hanging="432"/>
      </w:pPr>
      <w:r>
        <w:t>R</w:t>
      </w:r>
      <w:r w:rsidR="009808F0">
        <w:t>eporting</w:t>
      </w:r>
    </w:p>
    <w:p w14:paraId="1072C7D4" w14:textId="31BAB466" w:rsidR="000954D4" w:rsidRDefault="000954D4" w:rsidP="00C918C9">
      <w:pPr>
        <w:pStyle w:val="ListNumber"/>
        <w:numPr>
          <w:ilvl w:val="0"/>
          <w:numId w:val="29"/>
        </w:numPr>
        <w:ind w:left="426"/>
      </w:pPr>
      <w:r>
        <w:t>An accountable officer m</w:t>
      </w:r>
      <w:r w:rsidR="004B2354">
        <w:t xml:space="preserve">ust classify and record income </w:t>
      </w:r>
      <w:r>
        <w:t>in accordance with the Treasurer</w:t>
      </w:r>
      <w:r w:rsidR="00356366">
        <w:t>’</w:t>
      </w:r>
      <w:r>
        <w:t xml:space="preserve">s Direction on agency (or </w:t>
      </w:r>
      <w:r w:rsidR="00EE2F5E">
        <w:t>GBD</w:t>
      </w:r>
      <w:r>
        <w:t>) financial statements.</w:t>
      </w:r>
    </w:p>
    <w:p w14:paraId="0DBC0DF6" w14:textId="10C594C4" w:rsidR="004B2354" w:rsidRDefault="004B2354" w:rsidP="00C918C9">
      <w:pPr>
        <w:pStyle w:val="ListNumber"/>
        <w:numPr>
          <w:ilvl w:val="0"/>
          <w:numId w:val="29"/>
        </w:numPr>
        <w:ind w:left="426"/>
      </w:pPr>
      <w:r>
        <w:t>Upon request, an accountable officer must provide the Department of Treasury and Finance with a copy of</w:t>
      </w:r>
      <w:r w:rsidR="00FD4713">
        <w:t xml:space="preserve"> the register of fees and charges,</w:t>
      </w:r>
      <w:r>
        <w:t xml:space="preserve"> documentation </w:t>
      </w:r>
      <w:r w:rsidR="006A5B98">
        <w:t xml:space="preserve">that </w:t>
      </w:r>
      <w:r>
        <w:t>supports re</w:t>
      </w:r>
      <w:r w:rsidR="00C918C9">
        <w:t>-</w:t>
      </w:r>
      <w:r>
        <w:t xml:space="preserve">measurement of capital grants, significant judgements and assumptions used in determining the timing and amount of revenue recognised and any other relevant information as necessary. </w:t>
      </w:r>
    </w:p>
    <w:p w14:paraId="420F8693" w14:textId="3E233843" w:rsidR="00FD4713" w:rsidRDefault="00FD4713" w:rsidP="00C918C9">
      <w:pPr>
        <w:pStyle w:val="ListNumber"/>
        <w:numPr>
          <w:ilvl w:val="0"/>
          <w:numId w:val="0"/>
        </w:numPr>
        <w:ind w:left="720"/>
      </w:pPr>
    </w:p>
    <w:p w14:paraId="58B0E958" w14:textId="36662599" w:rsidR="00A555DF" w:rsidRDefault="00A555DF" w:rsidP="004D4D16">
      <w:pPr>
        <w:pStyle w:val="Heading1"/>
        <w:spacing w:line="276" w:lineRule="auto"/>
      </w:pPr>
      <w:r>
        <w:lastRenderedPageBreak/>
        <w:t xml:space="preserve">Transitional requirements </w:t>
      </w:r>
    </w:p>
    <w:p w14:paraId="15F4A84B" w14:textId="3E098F80" w:rsidR="00A555DF" w:rsidRPr="00CA477F" w:rsidRDefault="00A555DF" w:rsidP="00C918C9">
      <w:pPr>
        <w:pStyle w:val="ListNumber"/>
        <w:numPr>
          <w:ilvl w:val="0"/>
          <w:numId w:val="29"/>
        </w:numPr>
        <w:ind w:left="426"/>
      </w:pPr>
      <w:r>
        <w:t>The a</w:t>
      </w:r>
      <w:r w:rsidRPr="00CA477F">
        <w:t xml:space="preserve">ccountable officer must ensure compliance with the transitional requirements for the </w:t>
      </w:r>
      <w:r w:rsidR="006A5B98" w:rsidRPr="00CA477F">
        <w:t>first</w:t>
      </w:r>
      <w:r w:rsidR="006A5B98">
        <w:t>-</w:t>
      </w:r>
      <w:r w:rsidRPr="00CA477F">
        <w:t>time adoption of the new</w:t>
      </w:r>
      <w:r>
        <w:t xml:space="preserve"> accounting</w:t>
      </w:r>
      <w:r w:rsidRPr="00CA477F">
        <w:t xml:space="preserve"> standard</w:t>
      </w:r>
      <w:r>
        <w:t>s</w:t>
      </w:r>
      <w:r w:rsidRPr="00CA477F">
        <w:t xml:space="preserve"> AASB</w:t>
      </w:r>
      <w:r>
        <w:t xml:space="preserve"> 15 and AASB 1058</w:t>
      </w:r>
      <w:r w:rsidRPr="00CA477F">
        <w:t xml:space="preserve"> as detailed in Transition Implementation</w:t>
      </w:r>
      <w:r>
        <w:t>: Income</w:t>
      </w:r>
      <w:r w:rsidRPr="00CA477F">
        <w:t xml:space="preserve"> document.</w:t>
      </w:r>
    </w:p>
    <w:p w14:paraId="0AC21CD3" w14:textId="0C8CFEC1" w:rsidR="00C61C42" w:rsidRDefault="00C61C42" w:rsidP="00FE277C">
      <w:pPr>
        <w:pStyle w:val="ListNumber"/>
        <w:numPr>
          <w:ilvl w:val="0"/>
          <w:numId w:val="0"/>
        </w:numPr>
        <w:tabs>
          <w:tab w:val="left" w:pos="5820"/>
        </w:tabs>
        <w:spacing w:line="276" w:lineRule="auto"/>
      </w:pPr>
    </w:p>
    <w:tbl>
      <w:tblPr>
        <w:tblStyle w:val="NTGTable"/>
        <w:tblW w:w="0" w:type="auto"/>
        <w:tblBorders>
          <w:top w:val="single" w:sz="4" w:space="0" w:color="808080" w:themeColor="background1" w:themeShade="80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none" w:sz="0" w:space="0" w:color="auto"/>
        </w:tblBorders>
        <w:tblLook w:val="0620" w:firstRow="1" w:lastRow="0" w:firstColumn="0" w:lastColumn="0" w:noHBand="1" w:noVBand="1"/>
        <w:tblDescription w:val="Document change history showing version, date, author and change details"/>
      </w:tblPr>
      <w:tblGrid>
        <w:gridCol w:w="1023"/>
        <w:gridCol w:w="2238"/>
        <w:gridCol w:w="2268"/>
        <w:gridCol w:w="3202"/>
      </w:tblGrid>
      <w:tr w:rsidR="0099245A" w:rsidRPr="003A2424" w14:paraId="209A6209" w14:textId="77777777" w:rsidTr="004D07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8731" w:type="dxa"/>
            <w:gridSpan w:val="4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0417D030" w14:textId="77777777" w:rsidR="0099245A" w:rsidRPr="003A2424" w:rsidRDefault="0099245A" w:rsidP="00AA376C">
            <w:pPr>
              <w:spacing w:line="276" w:lineRule="auto"/>
              <w:rPr>
                <w:b w:val="0"/>
              </w:rPr>
            </w:pPr>
            <w:bookmarkStart w:id="13" w:name="_GoBack" w:colFirst="0" w:colLast="1"/>
            <w:r w:rsidRPr="003A2424">
              <w:t>Change history</w:t>
            </w:r>
          </w:p>
        </w:tc>
      </w:tr>
      <w:bookmarkEnd w:id="13"/>
      <w:tr w:rsidR="0099245A" w:rsidRPr="003A2424" w14:paraId="16982D38" w14:textId="77777777" w:rsidTr="003941A3">
        <w:tc>
          <w:tcPr>
            <w:tcW w:w="1023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5DAFA745" w14:textId="77777777" w:rsidR="0099245A" w:rsidRPr="0008622A" w:rsidRDefault="0099245A" w:rsidP="00AA376C">
            <w:pPr>
              <w:spacing w:line="276" w:lineRule="auto"/>
              <w:rPr>
                <w:b/>
              </w:rPr>
            </w:pPr>
            <w:r w:rsidRPr="0008622A">
              <w:rPr>
                <w:b/>
              </w:rPr>
              <w:t>Version</w:t>
            </w:r>
          </w:p>
        </w:tc>
        <w:tc>
          <w:tcPr>
            <w:tcW w:w="2238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36B0DE27" w14:textId="77777777" w:rsidR="0099245A" w:rsidRPr="0008622A" w:rsidRDefault="0099245A" w:rsidP="00AA376C">
            <w:pPr>
              <w:spacing w:line="276" w:lineRule="auto"/>
              <w:rPr>
                <w:b/>
              </w:rPr>
            </w:pPr>
            <w:r w:rsidRPr="0008622A">
              <w:rPr>
                <w:b/>
              </w:rPr>
              <w:t>Date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3A476113" w14:textId="77777777" w:rsidR="0099245A" w:rsidRPr="0008622A" w:rsidRDefault="0099245A" w:rsidP="00AA376C">
            <w:pPr>
              <w:spacing w:line="276" w:lineRule="auto"/>
              <w:rPr>
                <w:b/>
              </w:rPr>
            </w:pPr>
            <w:r w:rsidRPr="0008622A">
              <w:rPr>
                <w:b/>
              </w:rPr>
              <w:t>Author</w:t>
            </w:r>
          </w:p>
        </w:tc>
        <w:tc>
          <w:tcPr>
            <w:tcW w:w="320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5F63E6C0" w14:textId="77777777" w:rsidR="0099245A" w:rsidRPr="0008622A" w:rsidRDefault="0099245A" w:rsidP="00AA376C">
            <w:pPr>
              <w:spacing w:line="276" w:lineRule="auto"/>
              <w:rPr>
                <w:b/>
              </w:rPr>
            </w:pPr>
            <w:r w:rsidRPr="0008622A">
              <w:rPr>
                <w:b/>
              </w:rPr>
              <w:t>Change details</w:t>
            </w:r>
          </w:p>
        </w:tc>
      </w:tr>
      <w:tr w:rsidR="0099245A" w:rsidRPr="003A2424" w14:paraId="735BBF43" w14:textId="77777777" w:rsidTr="003941A3">
        <w:tc>
          <w:tcPr>
            <w:tcW w:w="1023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70B6C2C" w14:textId="77777777" w:rsidR="0099245A" w:rsidRPr="003A2424" w:rsidRDefault="0099245A" w:rsidP="00AA376C">
            <w:pPr>
              <w:spacing w:line="276" w:lineRule="auto"/>
            </w:pPr>
            <w:r>
              <w:t>1.0</w:t>
            </w:r>
          </w:p>
        </w:tc>
        <w:tc>
          <w:tcPr>
            <w:tcW w:w="223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3C41C1FB" w14:textId="1ECFCC59" w:rsidR="0099245A" w:rsidRPr="003A2424" w:rsidRDefault="00C918C9" w:rsidP="00C918C9">
            <w:pPr>
              <w:spacing w:line="276" w:lineRule="auto"/>
            </w:pPr>
            <w:r>
              <w:t>February 2020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1BB8689" w14:textId="48D5D84A" w:rsidR="0099245A" w:rsidRPr="003A2424" w:rsidRDefault="005A54B3" w:rsidP="00AA376C">
            <w:pPr>
              <w:spacing w:line="276" w:lineRule="auto"/>
            </w:pPr>
            <w:r>
              <w:t>DTF</w:t>
            </w:r>
          </w:p>
        </w:tc>
        <w:tc>
          <w:tcPr>
            <w:tcW w:w="3202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2251321" w14:textId="58380647" w:rsidR="0099245A" w:rsidRPr="003A2424" w:rsidRDefault="004D3643" w:rsidP="00C20AF7">
            <w:pPr>
              <w:spacing w:line="276" w:lineRule="auto"/>
            </w:pPr>
            <w:r>
              <w:t xml:space="preserve">Initial </w:t>
            </w:r>
            <w:r w:rsidR="0099245A" w:rsidRPr="003A2424">
              <w:t>version</w:t>
            </w:r>
            <w:r w:rsidR="00C20AF7">
              <w:t xml:space="preserve"> </w:t>
            </w:r>
          </w:p>
        </w:tc>
      </w:tr>
    </w:tbl>
    <w:p w14:paraId="315EEE8C" w14:textId="77777777" w:rsidR="0099245A" w:rsidRDefault="0099245A" w:rsidP="00DE620B">
      <w:pPr>
        <w:pStyle w:val="ListNumber"/>
        <w:numPr>
          <w:ilvl w:val="0"/>
          <w:numId w:val="0"/>
        </w:numPr>
        <w:spacing w:line="276" w:lineRule="auto"/>
      </w:pPr>
    </w:p>
    <w:p w14:paraId="0E03D1DC" w14:textId="77777777" w:rsidR="009C743F" w:rsidRDefault="009C743F" w:rsidP="004D4D16">
      <w:pPr>
        <w:pStyle w:val="ListNumber"/>
        <w:numPr>
          <w:ilvl w:val="0"/>
          <w:numId w:val="0"/>
        </w:numPr>
        <w:tabs>
          <w:tab w:val="left" w:pos="1560"/>
        </w:tabs>
        <w:spacing w:line="276" w:lineRule="auto"/>
      </w:pPr>
    </w:p>
    <w:sectPr w:rsidR="009C743F" w:rsidSect="006E584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644" w:bottom="1134" w:left="153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AFF6D2" w14:textId="77777777" w:rsidR="00AC751B" w:rsidRDefault="00AC751B" w:rsidP="007332FF">
      <w:r>
        <w:separator/>
      </w:r>
    </w:p>
  </w:endnote>
  <w:endnote w:type="continuationSeparator" w:id="0">
    <w:p w14:paraId="4F01A2FE" w14:textId="77777777" w:rsidR="00AC751B" w:rsidRDefault="00AC751B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17171C" w14:textId="77777777" w:rsidR="002A71B6" w:rsidRPr="00AE306C" w:rsidRDefault="00AC751B" w:rsidP="002926BC">
    <w:pPr>
      <w:tabs>
        <w:tab w:val="right" w:pos="10206"/>
      </w:tabs>
      <w:spacing w:after="120"/>
      <w:ind w:left="-567" w:right="-568"/>
      <w:rPr>
        <w:sz w:val="16"/>
        <w:szCs w:val="16"/>
      </w:rPr>
    </w:pPr>
    <w:r>
      <w:rPr>
        <w:sz w:val="16"/>
        <w:szCs w:val="16"/>
      </w:rPr>
      <w:pict w14:anchorId="68E892AA">
        <v:rect id="_x0000_i1025" style="width:481.9pt;height:.5pt" o:hralign="center" o:hrstd="t" o:hrnoshade="t" o:hr="t" fillcolor="black [3213]" stroked="f"/>
      </w:pict>
    </w:r>
  </w:p>
  <w:p w14:paraId="77DE5ACB" w14:textId="741F5339" w:rsidR="002A71B6" w:rsidRPr="004D1B76" w:rsidRDefault="002A71B6" w:rsidP="002926BC">
    <w:pPr>
      <w:pStyle w:val="NTGFooter2deptpagenum"/>
      <w:tabs>
        <w:tab w:val="clear" w:pos="9639"/>
        <w:tab w:val="right" w:pos="10206"/>
      </w:tabs>
      <w:ind w:left="-567" w:right="-568"/>
    </w:pPr>
    <w:r w:rsidRPr="007B5DA2">
      <w:rPr>
        <w:rStyle w:val="NTGFooterDepartmentofChar"/>
      </w:rPr>
      <w:fldChar w:fldCharType="begin"/>
    </w:r>
    <w:r w:rsidRPr="007B5DA2">
      <w:rPr>
        <w:rStyle w:val="NTGFooterDepartmentofChar"/>
      </w:rPr>
      <w:instrText xml:space="preserve"> DOCPROPERTY  DepartmentOf  \* MERGEFORMAT </w:instrText>
    </w:r>
    <w:r w:rsidRPr="007B5DA2">
      <w:rPr>
        <w:rStyle w:val="NTGFooterDepartmentofChar"/>
      </w:rPr>
      <w:fldChar w:fldCharType="separate"/>
    </w:r>
    <w:r w:rsidR="00BF1CA6">
      <w:rPr>
        <w:rStyle w:val="NTGFooterDepartmentofChar"/>
      </w:rPr>
      <w:t xml:space="preserve">Department of </w:t>
    </w:r>
    <w:r w:rsidRPr="007B5DA2">
      <w:rPr>
        <w:rStyle w:val="NTGFooterDepartmentofChar"/>
      </w:rPr>
      <w:fldChar w:fldCharType="end"/>
    </w:r>
    <w:r w:rsidRPr="007B5DA2">
      <w:rPr>
        <w:rStyle w:val="NTGFooterDepartmentNameChar"/>
      </w:rPr>
      <w:fldChar w:fldCharType="begin"/>
    </w:r>
    <w:r w:rsidRPr="007B5DA2">
      <w:rPr>
        <w:rStyle w:val="NTGFooterDepartmentNameChar"/>
      </w:rPr>
      <w:instrText xml:space="preserve"> DOCPROPERTY  DepartmentName  \* MERGEFORMAT </w:instrText>
    </w:r>
    <w:r w:rsidRPr="007B5DA2">
      <w:rPr>
        <w:rStyle w:val="NTGFooterDepartmentNameChar"/>
      </w:rPr>
      <w:fldChar w:fldCharType="separate"/>
    </w:r>
    <w:r w:rsidR="00BF1CA6">
      <w:rPr>
        <w:rStyle w:val="NTGFooterDepartmentNameChar"/>
      </w:rPr>
      <w:t>Treasury and Finance</w:t>
    </w:r>
    <w:r w:rsidRPr="007B5DA2">
      <w:rPr>
        <w:rStyle w:val="NTGFooterDepartmentNameChar"/>
      </w:rPr>
      <w:fldChar w:fldCharType="end"/>
    </w:r>
    <w:r w:rsidRPr="004D1B76">
      <w:tab/>
    </w:r>
    <w:r w:rsidRPr="007B5DA2">
      <w:rPr>
        <w:rStyle w:val="NTGFooter2deptpagenumChar"/>
        <w:rFonts w:eastAsia="Calibri"/>
      </w:rPr>
      <w:t xml:space="preserve">Page </w:t>
    </w:r>
    <w:r w:rsidRPr="007B5DA2">
      <w:rPr>
        <w:rStyle w:val="NTGFooter2deptpagenumChar"/>
        <w:rFonts w:eastAsia="Calibri"/>
      </w:rPr>
      <w:fldChar w:fldCharType="begin"/>
    </w:r>
    <w:r w:rsidRPr="007B5DA2">
      <w:rPr>
        <w:rStyle w:val="NTGFooter2deptpagenumChar"/>
        <w:rFonts w:eastAsia="Calibri"/>
      </w:rPr>
      <w:instrText xml:space="preserve"> PAGE  \* Arabic  \* MERGEFORMAT </w:instrText>
    </w:r>
    <w:r w:rsidRPr="007B5DA2">
      <w:rPr>
        <w:rStyle w:val="NTGFooter2deptpagenumChar"/>
        <w:rFonts w:eastAsia="Calibri"/>
      </w:rPr>
      <w:fldChar w:fldCharType="separate"/>
    </w:r>
    <w:r w:rsidR="004D07C1">
      <w:rPr>
        <w:rStyle w:val="NTGFooter2deptpagenumChar"/>
        <w:rFonts w:eastAsia="Calibri"/>
        <w:noProof/>
      </w:rPr>
      <w:t>6</w:t>
    </w:r>
    <w:r w:rsidRPr="007B5DA2">
      <w:rPr>
        <w:rStyle w:val="NTGFooter2deptpagenumChar"/>
        <w:rFonts w:eastAsia="Calibri"/>
      </w:rPr>
      <w:fldChar w:fldCharType="end"/>
    </w:r>
    <w:r w:rsidRPr="007B5DA2">
      <w:rPr>
        <w:rStyle w:val="NTGFooter2deptpagenumChar"/>
        <w:rFonts w:eastAsia="Calibri"/>
      </w:rPr>
      <w:t xml:space="preserve"> of </w:t>
    </w:r>
    <w:r w:rsidRPr="007B5DA2">
      <w:rPr>
        <w:rStyle w:val="NTGFooter2deptpagenumChar"/>
        <w:rFonts w:eastAsia="Calibri"/>
      </w:rPr>
      <w:fldChar w:fldCharType="begin"/>
    </w:r>
    <w:r w:rsidRPr="007B5DA2">
      <w:rPr>
        <w:rStyle w:val="NTGFooter2deptpagenumChar"/>
        <w:rFonts w:eastAsia="Calibri"/>
      </w:rPr>
      <w:instrText xml:space="preserve"> NUMPAGES  \* Arabic  \* MERGEFORMAT </w:instrText>
    </w:r>
    <w:r w:rsidRPr="007B5DA2">
      <w:rPr>
        <w:rStyle w:val="NTGFooter2deptpagenumChar"/>
        <w:rFonts w:eastAsia="Calibri"/>
      </w:rPr>
      <w:fldChar w:fldCharType="separate"/>
    </w:r>
    <w:r w:rsidR="004D07C1">
      <w:rPr>
        <w:rStyle w:val="NTGFooter2deptpagenumChar"/>
        <w:rFonts w:eastAsia="Calibri"/>
        <w:noProof/>
      </w:rPr>
      <w:t>7</w:t>
    </w:r>
    <w:r w:rsidRPr="007B5DA2">
      <w:rPr>
        <w:rStyle w:val="NTGFooter2deptpagenumChar"/>
        <w:rFonts w:eastAsia="Calibri"/>
      </w:rPr>
      <w:fldChar w:fldCharType="end"/>
    </w:r>
  </w:p>
  <w:p w14:paraId="284E24D8" w14:textId="6847339A" w:rsidR="002A71B6" w:rsidRPr="007B5DA2" w:rsidRDefault="00205294" w:rsidP="002926BC">
    <w:pPr>
      <w:pStyle w:val="NTGFooter2DateVersion"/>
      <w:tabs>
        <w:tab w:val="clear" w:pos="9639"/>
        <w:tab w:val="right" w:pos="10206"/>
      </w:tabs>
      <w:ind w:left="-567" w:right="-568"/>
      <w:rPr>
        <w:rStyle w:val="NTGFooter2deptpagenumChar"/>
        <w:rFonts w:eastAsia="Calibri"/>
      </w:rPr>
    </w:pPr>
    <w:fldSimple w:instr=" DOCPROPERTY  DocumentDate  \* MERGEFORMAT ">
      <w:r w:rsidR="00BF1CA6">
        <w:t>1 February 2020</w:t>
      </w:r>
    </w:fldSimple>
    <w:fldSimple w:instr=" DOCPROPERTY  VersionNo  \* MERGEFORMAT ">
      <w:r w:rsidR="00BF1CA6">
        <w:t>, Version 1.0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923" w:type="dxa"/>
      <w:tblInd w:w="-567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655"/>
      <w:gridCol w:w="2268"/>
    </w:tblGrid>
    <w:tr w:rsidR="002A71B6" w:rsidRPr="00132658" w14:paraId="1CCD846C" w14:textId="77777777" w:rsidTr="006A026D">
      <w:trPr>
        <w:cantSplit/>
        <w:trHeight w:hRule="exact" w:val="1400"/>
        <w:tblHeader/>
      </w:trPr>
      <w:tc>
        <w:tcPr>
          <w:tcW w:w="7655" w:type="dxa"/>
          <w:vAlign w:val="center"/>
        </w:tcPr>
        <w:p w14:paraId="5B213D3C" w14:textId="5487A746" w:rsidR="002A71B6" w:rsidRPr="00705C9D" w:rsidRDefault="002A71B6" w:rsidP="007B5DA2">
          <w:pPr>
            <w:pStyle w:val="NTGFooter1items"/>
            <w:rPr>
              <w:rStyle w:val="NTGFooterDepartmentNameChar"/>
            </w:rPr>
          </w:pPr>
          <w:r w:rsidRPr="00705C9D">
            <w:rPr>
              <w:rStyle w:val="NTGFooterDepartmentofChar"/>
            </w:rPr>
            <w:fldChar w:fldCharType="begin"/>
          </w:r>
          <w:r w:rsidRPr="00705C9D">
            <w:rPr>
              <w:rStyle w:val="NTGFooterDepartmentofChar"/>
            </w:rPr>
            <w:instrText xml:space="preserve"> DOCPROPERTY  DepartmentOf  \* MERGEFORMAT </w:instrText>
          </w:r>
          <w:r w:rsidRPr="00705C9D">
            <w:rPr>
              <w:rStyle w:val="NTGFooterDepartmentofChar"/>
            </w:rPr>
            <w:fldChar w:fldCharType="separate"/>
          </w:r>
          <w:r w:rsidR="00BF1CA6">
            <w:rPr>
              <w:rStyle w:val="NTGFooterDepartmentofChar"/>
            </w:rPr>
            <w:t xml:space="preserve">Department of </w:t>
          </w:r>
          <w:r w:rsidRPr="00705C9D">
            <w:rPr>
              <w:rStyle w:val="NTGFooterDepartmentofChar"/>
            </w:rPr>
            <w:fldChar w:fldCharType="end"/>
          </w:r>
          <w:r w:rsidRPr="00705C9D">
            <w:rPr>
              <w:rStyle w:val="NTGFooterDepartmentNameChar"/>
            </w:rPr>
            <w:fldChar w:fldCharType="begin"/>
          </w:r>
          <w:r w:rsidRPr="00705C9D">
            <w:rPr>
              <w:rStyle w:val="NTGFooterDepartmentNameChar"/>
            </w:rPr>
            <w:instrText xml:space="preserve"> DOCPROPERTY  DepartmentName  \* MERGEFORMAT </w:instrText>
          </w:r>
          <w:r w:rsidRPr="00705C9D">
            <w:rPr>
              <w:rStyle w:val="NTGFooterDepartmentNameChar"/>
            </w:rPr>
            <w:fldChar w:fldCharType="separate"/>
          </w:r>
          <w:r w:rsidR="00BF1CA6">
            <w:rPr>
              <w:rStyle w:val="NTGFooterDepartmentNameChar"/>
            </w:rPr>
            <w:t>Treasury and Finance</w:t>
          </w:r>
          <w:r w:rsidRPr="00705C9D">
            <w:rPr>
              <w:rStyle w:val="NTGFooterDepartmentNameChar"/>
            </w:rPr>
            <w:fldChar w:fldCharType="end"/>
          </w:r>
        </w:p>
        <w:p w14:paraId="253705BC" w14:textId="19CDDAD6" w:rsidR="002A71B6" w:rsidRPr="007B5DA2" w:rsidRDefault="002A71B6" w:rsidP="003020B7">
          <w:pPr>
            <w:pStyle w:val="NTGFooter1items"/>
          </w:pPr>
          <w:r w:rsidRPr="007B5DA2">
            <w:t xml:space="preserve">Page </w:t>
          </w:r>
          <w:r w:rsidRPr="007B5DA2">
            <w:fldChar w:fldCharType="begin"/>
          </w:r>
          <w:r w:rsidRPr="007B5DA2">
            <w:instrText xml:space="preserve"> PAGE  \* Arabic  \* MERGEFORMAT </w:instrText>
          </w:r>
          <w:r w:rsidRPr="007B5DA2">
            <w:fldChar w:fldCharType="separate"/>
          </w:r>
          <w:r w:rsidR="004D07C1">
            <w:rPr>
              <w:noProof/>
            </w:rPr>
            <w:t>1</w:t>
          </w:r>
          <w:r w:rsidRPr="007B5DA2">
            <w:fldChar w:fldCharType="end"/>
          </w:r>
          <w:r w:rsidRPr="007B5DA2">
            <w:t xml:space="preserve"> of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\* Arabic  \* MERGEFORMAT </w:instrText>
          </w:r>
          <w:r>
            <w:rPr>
              <w:noProof/>
            </w:rPr>
            <w:fldChar w:fldCharType="separate"/>
          </w:r>
          <w:r w:rsidR="004D07C1">
            <w:rPr>
              <w:noProof/>
            </w:rPr>
            <w:t>7</w:t>
          </w:r>
          <w:r>
            <w:rPr>
              <w:noProof/>
            </w:rPr>
            <w:fldChar w:fldCharType="end"/>
          </w:r>
          <w:r w:rsidRPr="007B5DA2">
            <w:tab/>
          </w:r>
          <w:r w:rsidRPr="007B5DA2">
            <w:rPr>
              <w:rStyle w:val="NTGFooter1itemsChar"/>
            </w:rPr>
            <w:fldChar w:fldCharType="begin"/>
          </w:r>
          <w:r w:rsidRPr="007B5DA2">
            <w:rPr>
              <w:rStyle w:val="NTGFooter1itemsChar"/>
            </w:rPr>
            <w:instrText xml:space="preserve"> DOCPROPERTY  DocumentDate  \* MERGEFORMAT </w:instrText>
          </w:r>
          <w:r w:rsidRPr="007B5DA2">
            <w:rPr>
              <w:rStyle w:val="NTGFooter1itemsChar"/>
            </w:rPr>
            <w:fldChar w:fldCharType="separate"/>
          </w:r>
          <w:r w:rsidR="00BF1CA6">
            <w:rPr>
              <w:rStyle w:val="NTGFooter1itemsChar"/>
            </w:rPr>
            <w:t>1 February 2020</w:t>
          </w:r>
          <w:r w:rsidRPr="007B5DA2">
            <w:rPr>
              <w:rStyle w:val="NTGFooter1itemsChar"/>
            </w:rPr>
            <w:fldChar w:fldCharType="end"/>
          </w:r>
          <w:r w:rsidRPr="007B5DA2">
            <w:rPr>
              <w:rStyle w:val="NTGFooter1itemsChar"/>
            </w:rPr>
            <w:fldChar w:fldCharType="begin"/>
          </w:r>
          <w:r w:rsidRPr="007B5DA2">
            <w:rPr>
              <w:rStyle w:val="NTGFooter1itemsChar"/>
            </w:rPr>
            <w:instrText xml:space="preserve"> DOCPROPERTY  VersionNo  \* MERGEFORMAT </w:instrText>
          </w:r>
          <w:r w:rsidRPr="007B5DA2">
            <w:rPr>
              <w:rStyle w:val="NTGFooter1itemsChar"/>
            </w:rPr>
            <w:fldChar w:fldCharType="separate"/>
          </w:r>
          <w:r w:rsidR="00BF1CA6">
            <w:rPr>
              <w:rStyle w:val="NTGFooter1itemsChar"/>
            </w:rPr>
            <w:t>, Version 1.0</w:t>
          </w:r>
          <w:r w:rsidRPr="007B5DA2">
            <w:rPr>
              <w:rStyle w:val="NTGFooter1itemsChar"/>
            </w:rPr>
            <w:fldChar w:fldCharType="end"/>
          </w:r>
        </w:p>
      </w:tc>
      <w:tc>
        <w:tcPr>
          <w:tcW w:w="2268" w:type="dxa"/>
          <w:vAlign w:val="center"/>
        </w:tcPr>
        <w:p w14:paraId="4AE3B618" w14:textId="77777777" w:rsidR="002A71B6" w:rsidRPr="001E14EB" w:rsidRDefault="002A71B6" w:rsidP="00543BD1">
          <w:pPr>
            <w:spacing w:after="0"/>
            <w:jc w:val="right"/>
          </w:pPr>
          <w:r w:rsidRPr="00132658">
            <w:rPr>
              <w:noProof/>
              <w:lang w:eastAsia="en-AU"/>
            </w:rPr>
            <w:drawing>
              <wp:inline distT="0" distB="0" distL="0" distR="0" wp14:anchorId="3D4F768C" wp14:editId="2C83BD31">
                <wp:extent cx="1347470" cy="481330"/>
                <wp:effectExtent l="0" t="0" r="5080" b="0"/>
                <wp:docPr id="1" name="Picture 1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7470" cy="4813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135DE493" w14:textId="77777777" w:rsidR="002A71B6" w:rsidRPr="00543BD1" w:rsidRDefault="002A71B6" w:rsidP="00543BD1">
    <w:pPr>
      <w:pStyle w:val="NoSpacing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3E50BB" w14:textId="77777777" w:rsidR="00AC751B" w:rsidRDefault="00AC751B" w:rsidP="007332FF">
      <w:r>
        <w:separator/>
      </w:r>
    </w:p>
  </w:footnote>
  <w:footnote w:type="continuationSeparator" w:id="0">
    <w:p w14:paraId="15E692EF" w14:textId="77777777" w:rsidR="00AC751B" w:rsidRDefault="00AC751B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DE3AAA" w14:textId="63323E01" w:rsidR="002A71B6" w:rsidRDefault="008E3CB4" w:rsidP="002926BC">
    <w:pPr>
      <w:pStyle w:val="Header"/>
      <w:tabs>
        <w:tab w:val="clear" w:pos="9026"/>
      </w:tabs>
      <w:ind w:right="-568"/>
    </w:pPr>
    <w:r>
      <w:t>Treasurer</w:t>
    </w:r>
    <w:r w:rsidR="00AE4C39">
      <w:t>’</w:t>
    </w:r>
    <w:r>
      <w:t>s Direction</w:t>
    </w:r>
    <w:r w:rsidR="006C4551">
      <w:t xml:space="preserve"> </w:t>
    </w:r>
    <w:r w:rsidR="009B3FE6">
      <w:t>–</w:t>
    </w:r>
    <w:r w:rsidR="006C4551">
      <w:t xml:space="preserve"> </w:t>
    </w:r>
    <w:r>
      <w:t>Income</w:t>
    </w:r>
    <w:r w:rsidR="002A71B6"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E4657A" w14:textId="6B697044" w:rsidR="002A71B6" w:rsidRDefault="006729F2" w:rsidP="0050530C">
    <w:pPr>
      <w:pStyle w:val="Title"/>
    </w:pPr>
    <w:r>
      <w:t>Treasurer's Direction</w:t>
    </w:r>
    <w:r w:rsidR="00AE4C39">
      <w:t xml:space="preserve"> </w:t>
    </w:r>
    <w:r w:rsidR="00036993">
      <w:rPr>
        <w:rFonts w:ascii="Lato" w:hAnsi="Lato"/>
      </w:rPr>
      <w:t>̶</w:t>
    </w:r>
    <w:r>
      <w:t xml:space="preserve"> Income</w:t>
    </w:r>
    <w:r w:rsidR="002A71B6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F0990"/>
    <w:multiLevelType w:val="multilevel"/>
    <w:tmpl w:val="0C78A7AC"/>
    <w:name w:val="NTG Table Bullet List33222222222222222"/>
    <w:styleLink w:val="NTGTableList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1" w15:restartNumberingAfterBreak="0">
    <w:nsid w:val="05C03AEC"/>
    <w:multiLevelType w:val="multilevel"/>
    <w:tmpl w:val="BD7A8414"/>
    <w:name w:val="NTG Table Bullet List3322222"/>
    <w:numStyleLink w:val="NTGStandardList"/>
  </w:abstractNum>
  <w:abstractNum w:abstractNumId="2" w15:restartNumberingAfterBreak="0">
    <w:nsid w:val="068B22E4"/>
    <w:multiLevelType w:val="multilevel"/>
    <w:tmpl w:val="4E6AC8F6"/>
    <w:name w:val="NTG Table Bullet List33222222"/>
    <w:numStyleLink w:val="NTGStandardNumList"/>
  </w:abstractNum>
  <w:abstractNum w:abstractNumId="3" w15:restartNumberingAfterBreak="0">
    <w:nsid w:val="06DB268B"/>
    <w:multiLevelType w:val="multilevel"/>
    <w:tmpl w:val="BD7A8414"/>
    <w:name w:val="NTG Table Bullet List32223"/>
    <w:numStyleLink w:val="NTGStandardList"/>
  </w:abstractNum>
  <w:abstractNum w:abstractNumId="4" w15:restartNumberingAfterBreak="0">
    <w:nsid w:val="079E58C4"/>
    <w:multiLevelType w:val="hybridMultilevel"/>
    <w:tmpl w:val="2C226AD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95C3F2B"/>
    <w:multiLevelType w:val="hybridMultilevel"/>
    <w:tmpl w:val="315CF9C4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CD3ABE"/>
    <w:multiLevelType w:val="multilevel"/>
    <w:tmpl w:val="0C78A7AC"/>
    <w:name w:val="NTG Table Bullet List332222"/>
    <w:numStyleLink w:val="NTGTableList"/>
  </w:abstractNum>
  <w:abstractNum w:abstractNumId="7" w15:restartNumberingAfterBreak="0">
    <w:nsid w:val="0A6B563A"/>
    <w:multiLevelType w:val="hybridMultilevel"/>
    <w:tmpl w:val="AF364ED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111492"/>
    <w:multiLevelType w:val="multilevel"/>
    <w:tmpl w:val="0C78A7AC"/>
    <w:name w:val="NTG Table Bullet List332"/>
    <w:numStyleLink w:val="NTGTableList"/>
  </w:abstractNum>
  <w:abstractNum w:abstractNumId="9" w15:restartNumberingAfterBreak="0">
    <w:nsid w:val="11272AD6"/>
    <w:multiLevelType w:val="hybridMultilevel"/>
    <w:tmpl w:val="394A5BB6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5C55E97"/>
    <w:multiLevelType w:val="multilevel"/>
    <w:tmpl w:val="BD7A8414"/>
    <w:name w:val="NTG Table Bullet List332222222222222222"/>
    <w:numStyleLink w:val="NTGStandardList"/>
  </w:abstractNum>
  <w:abstractNum w:abstractNumId="11" w15:restartNumberingAfterBreak="0">
    <w:nsid w:val="16336822"/>
    <w:multiLevelType w:val="hybridMultilevel"/>
    <w:tmpl w:val="B0229318"/>
    <w:lvl w:ilvl="0" w:tplc="9AD2F3F0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6B0CE3"/>
    <w:multiLevelType w:val="multilevel"/>
    <w:tmpl w:val="39746A98"/>
    <w:name w:val="NTG Table Bullet List332222222222222"/>
    <w:numStyleLink w:val="NTGTableNumList"/>
  </w:abstractNum>
  <w:abstractNum w:abstractNumId="13" w15:restartNumberingAfterBreak="0">
    <w:nsid w:val="18AE0D72"/>
    <w:multiLevelType w:val="multilevel"/>
    <w:tmpl w:val="0C78A7AC"/>
    <w:name w:val="NTG Table Bullet List322"/>
    <w:numStyleLink w:val="NTGTableList"/>
  </w:abstractNum>
  <w:abstractNum w:abstractNumId="14" w15:restartNumberingAfterBreak="0">
    <w:nsid w:val="19145897"/>
    <w:multiLevelType w:val="hybridMultilevel"/>
    <w:tmpl w:val="BDF014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5050F8"/>
    <w:multiLevelType w:val="hybridMultilevel"/>
    <w:tmpl w:val="15F82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B400DD"/>
    <w:multiLevelType w:val="multilevel"/>
    <w:tmpl w:val="39746A98"/>
    <w:name w:val="NTG Table Bullet List33"/>
    <w:numStyleLink w:val="NTGTableNumList"/>
  </w:abstractNum>
  <w:abstractNum w:abstractNumId="17" w15:restartNumberingAfterBreak="0">
    <w:nsid w:val="1BD03749"/>
    <w:multiLevelType w:val="hybridMultilevel"/>
    <w:tmpl w:val="36FCEB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CFF291F"/>
    <w:multiLevelType w:val="multilevel"/>
    <w:tmpl w:val="39746A98"/>
    <w:name w:val="NTG Table Bullet List3222323"/>
    <w:numStyleLink w:val="NTGTableNumList"/>
  </w:abstractNum>
  <w:abstractNum w:abstractNumId="19" w15:restartNumberingAfterBreak="0">
    <w:nsid w:val="1E2530A3"/>
    <w:multiLevelType w:val="hybridMultilevel"/>
    <w:tmpl w:val="2FD0BB58"/>
    <w:lvl w:ilvl="0" w:tplc="9AD2F3F0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2F2C90"/>
    <w:multiLevelType w:val="hybridMultilevel"/>
    <w:tmpl w:val="B89E3AE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1F02CF"/>
    <w:multiLevelType w:val="hybridMultilevel"/>
    <w:tmpl w:val="CD921904"/>
    <w:lvl w:ilvl="0" w:tplc="0C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2" w15:restartNumberingAfterBreak="0">
    <w:nsid w:val="241D1D87"/>
    <w:multiLevelType w:val="multilevel"/>
    <w:tmpl w:val="0C78A7AC"/>
    <w:name w:val="NTG Table Bullet List32"/>
    <w:numStyleLink w:val="NTGTableList"/>
  </w:abstractNum>
  <w:abstractNum w:abstractNumId="23" w15:restartNumberingAfterBreak="0">
    <w:nsid w:val="24E93944"/>
    <w:multiLevelType w:val="multilevel"/>
    <w:tmpl w:val="BD7A8414"/>
    <w:styleLink w:val="NTGStandard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4" w15:restartNumberingAfterBreak="0">
    <w:nsid w:val="26345893"/>
    <w:multiLevelType w:val="multilevel"/>
    <w:tmpl w:val="4E6AC8F6"/>
    <w:name w:val="NTG Table Bullet List3322222222"/>
    <w:numStyleLink w:val="NTGStandardNumList"/>
  </w:abstractNum>
  <w:abstractNum w:abstractNumId="25" w15:restartNumberingAfterBreak="0">
    <w:nsid w:val="28545CCB"/>
    <w:multiLevelType w:val="multilevel"/>
    <w:tmpl w:val="0C78A7AC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26" w15:restartNumberingAfterBreak="0">
    <w:nsid w:val="2DE97CE8"/>
    <w:multiLevelType w:val="hybridMultilevel"/>
    <w:tmpl w:val="56E638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F077BC"/>
    <w:multiLevelType w:val="multilevel"/>
    <w:tmpl w:val="0C78A7AC"/>
    <w:name w:val="NTG Table Bullet List33222222222222222222"/>
    <w:numStyleLink w:val="NTGTableList"/>
  </w:abstractNum>
  <w:abstractNum w:abstractNumId="28" w15:restartNumberingAfterBreak="0">
    <w:nsid w:val="337F5178"/>
    <w:multiLevelType w:val="hybridMultilevel"/>
    <w:tmpl w:val="585AE4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3AC0BD5"/>
    <w:multiLevelType w:val="multilevel"/>
    <w:tmpl w:val="39746A98"/>
    <w:name w:val="NTG Table Bullet List322232"/>
    <w:styleLink w:val="NTGTableNumList"/>
    <w:lvl w:ilvl="0">
      <w:start w:val="1"/>
      <w:numFmt w:val="decimal"/>
      <w:pStyle w:val="NTGTableNumList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NTGTableNumList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NTGTableNumList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NTGTableNumList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NTGTableNumList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NTGTableNumList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NTGTableNumList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NTGTableNumList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NTGTableNumList9"/>
      <w:lvlText w:val="%9."/>
      <w:lvlJc w:val="left"/>
      <w:pPr>
        <w:ind w:left="2552" w:hanging="284"/>
      </w:pPr>
      <w:rPr>
        <w:rFonts w:hint="default"/>
      </w:rPr>
    </w:lvl>
  </w:abstractNum>
  <w:abstractNum w:abstractNumId="30" w15:restartNumberingAfterBreak="0">
    <w:nsid w:val="35AC4E2C"/>
    <w:multiLevelType w:val="hybridMultilevel"/>
    <w:tmpl w:val="296C5F4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5CD275B"/>
    <w:multiLevelType w:val="hybridMultilevel"/>
    <w:tmpl w:val="2FD0BB58"/>
    <w:lvl w:ilvl="0" w:tplc="9AD2F3F0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96C338A"/>
    <w:multiLevelType w:val="hybridMultilevel"/>
    <w:tmpl w:val="B0229318"/>
    <w:lvl w:ilvl="0" w:tplc="9AD2F3F0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A8F3258"/>
    <w:multiLevelType w:val="hybridMultilevel"/>
    <w:tmpl w:val="AF364ED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C3576EC"/>
    <w:multiLevelType w:val="hybridMultilevel"/>
    <w:tmpl w:val="17F217A6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F4860F8"/>
    <w:multiLevelType w:val="hybridMultilevel"/>
    <w:tmpl w:val="90AA3E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18B29E3"/>
    <w:multiLevelType w:val="multilevel"/>
    <w:tmpl w:val="0C78A7AC"/>
    <w:name w:val="NTG Table Bullet List33222222222222"/>
    <w:numStyleLink w:val="NTGTableList"/>
  </w:abstractNum>
  <w:abstractNum w:abstractNumId="37" w15:restartNumberingAfterBreak="0">
    <w:nsid w:val="418B4474"/>
    <w:multiLevelType w:val="multilevel"/>
    <w:tmpl w:val="4E6AC8F6"/>
    <w:numStyleLink w:val="NTGStandardNumList"/>
  </w:abstractNum>
  <w:abstractNum w:abstractNumId="38" w15:restartNumberingAfterBreak="0">
    <w:nsid w:val="423825AC"/>
    <w:multiLevelType w:val="hybridMultilevel"/>
    <w:tmpl w:val="B0229318"/>
    <w:lvl w:ilvl="0" w:tplc="9AD2F3F0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26F70CC"/>
    <w:multiLevelType w:val="multilevel"/>
    <w:tmpl w:val="39746A98"/>
    <w:name w:val="NTG Table Bullet List33222222222222222"/>
    <w:numStyleLink w:val="NTGTableNumList"/>
  </w:abstractNum>
  <w:abstractNum w:abstractNumId="40" w15:restartNumberingAfterBreak="0">
    <w:nsid w:val="471F3176"/>
    <w:multiLevelType w:val="hybridMultilevel"/>
    <w:tmpl w:val="2FD0BB58"/>
    <w:lvl w:ilvl="0" w:tplc="9AD2F3F0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94777BC"/>
    <w:multiLevelType w:val="hybridMultilevel"/>
    <w:tmpl w:val="AF364ED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B9C702E"/>
    <w:multiLevelType w:val="multilevel"/>
    <w:tmpl w:val="BD7A8414"/>
    <w:name w:val="NTG Table Bullet List3222"/>
    <w:numStyleLink w:val="NTGStandardList"/>
  </w:abstractNum>
  <w:abstractNum w:abstractNumId="43" w15:restartNumberingAfterBreak="0">
    <w:nsid w:val="4C0402B0"/>
    <w:multiLevelType w:val="hybridMultilevel"/>
    <w:tmpl w:val="93627B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D435BB4"/>
    <w:multiLevelType w:val="multilevel"/>
    <w:tmpl w:val="39746A98"/>
    <w:name w:val="NTG Table Bullet List3322"/>
    <w:numStyleLink w:val="NTGTableNumList"/>
  </w:abstractNum>
  <w:abstractNum w:abstractNumId="45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46" w15:restartNumberingAfterBreak="0">
    <w:nsid w:val="4D90555D"/>
    <w:multiLevelType w:val="multilevel"/>
    <w:tmpl w:val="4E6AC8F6"/>
    <w:styleLink w:val="NTGStandardNumList"/>
    <w:lvl w:ilvl="0">
      <w:start w:val="1"/>
      <w:numFmt w:val="decimal"/>
      <w:pStyle w:val="ListNumber"/>
      <w:lvlText w:val="%1."/>
      <w:lvlJc w:val="left"/>
      <w:pPr>
        <w:ind w:left="782" w:hanging="357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925" w:hanging="357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pStyle w:val="ListNumber4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pStyle w:val="ListNumber5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7" w15:restartNumberingAfterBreak="0">
    <w:nsid w:val="4E002A10"/>
    <w:multiLevelType w:val="multilevel"/>
    <w:tmpl w:val="39746A98"/>
    <w:name w:val="NTG Table Bullet List332222222"/>
    <w:numStyleLink w:val="NTGTableNumList"/>
  </w:abstractNum>
  <w:abstractNum w:abstractNumId="48" w15:restartNumberingAfterBreak="0">
    <w:nsid w:val="4E597CFE"/>
    <w:multiLevelType w:val="multilevel"/>
    <w:tmpl w:val="39746A98"/>
    <w:name w:val="NTG Table Bullet List33222222222"/>
    <w:numStyleLink w:val="NTGTableNumList"/>
  </w:abstractNum>
  <w:abstractNum w:abstractNumId="49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50" w15:restartNumberingAfterBreak="0">
    <w:nsid w:val="55EE5AD0"/>
    <w:multiLevelType w:val="multilevel"/>
    <w:tmpl w:val="9CF28452"/>
    <w:lvl w:ilvl="0">
      <w:start w:val="1"/>
      <w:numFmt w:val="bullet"/>
      <w:pStyle w:val="NTGTableBulletList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NTGTableBulletList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NTGTableBulletList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NTGTableBulletList4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  <w:lvl w:ilvl="4">
      <w:start w:val="1"/>
      <w:numFmt w:val="bullet"/>
      <w:pStyle w:val="NTGTableBulletList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NTGTableBulletList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NTGTableBulletList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NTGTableBulletList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NTGTableBulletList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51" w15:restartNumberingAfterBreak="0">
    <w:nsid w:val="573B315C"/>
    <w:multiLevelType w:val="multilevel"/>
    <w:tmpl w:val="39746A98"/>
    <w:name w:val="NTG Table Bullet List3222322"/>
    <w:numStyleLink w:val="NTGTableNumList"/>
  </w:abstractNum>
  <w:abstractNum w:abstractNumId="52" w15:restartNumberingAfterBreak="0">
    <w:nsid w:val="58BA1CA9"/>
    <w:multiLevelType w:val="hybridMultilevel"/>
    <w:tmpl w:val="AF364ED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BCE2A25"/>
    <w:multiLevelType w:val="multilevel"/>
    <w:tmpl w:val="0C78A7AC"/>
    <w:name w:val="NTG Table Bullet List332222222222"/>
    <w:numStyleLink w:val="NTGTableList"/>
  </w:abstractNum>
  <w:abstractNum w:abstractNumId="54" w15:restartNumberingAfterBreak="0">
    <w:nsid w:val="5BF75251"/>
    <w:multiLevelType w:val="hybridMultilevel"/>
    <w:tmpl w:val="5600B6C2"/>
    <w:lvl w:ilvl="0" w:tplc="0C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5" w15:restartNumberingAfterBreak="0">
    <w:nsid w:val="60601F79"/>
    <w:multiLevelType w:val="hybridMultilevel"/>
    <w:tmpl w:val="3934DDB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16B13F1"/>
    <w:multiLevelType w:val="hybridMultilevel"/>
    <w:tmpl w:val="AF364ED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2383A47"/>
    <w:multiLevelType w:val="multilevel"/>
    <w:tmpl w:val="BD7A8414"/>
    <w:numStyleLink w:val="NTGStandardList"/>
  </w:abstractNum>
  <w:abstractNum w:abstractNumId="58" w15:restartNumberingAfterBreak="0">
    <w:nsid w:val="641E23C5"/>
    <w:multiLevelType w:val="hybridMultilevel"/>
    <w:tmpl w:val="B0229318"/>
    <w:lvl w:ilvl="0" w:tplc="9AD2F3F0">
      <w:start w:val="1"/>
      <w:numFmt w:val="decimal"/>
      <w:lvlText w:val="%1."/>
      <w:lvlJc w:val="left"/>
      <w:pPr>
        <w:ind w:left="928" w:hanging="360"/>
      </w:pPr>
      <w:rPr>
        <w:rFonts w:ascii="Arial" w:eastAsia="Calibri" w:hAnsi="Arial"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5D566F7"/>
    <w:multiLevelType w:val="multilevel"/>
    <w:tmpl w:val="39746A98"/>
    <w:name w:val="NTG Table Bullet List3322222222222222"/>
    <w:numStyleLink w:val="NTGTableNumList"/>
  </w:abstractNum>
  <w:abstractNum w:abstractNumId="60" w15:restartNumberingAfterBreak="0">
    <w:nsid w:val="66D67A20"/>
    <w:multiLevelType w:val="hybridMultilevel"/>
    <w:tmpl w:val="AF364ED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84D2BFD"/>
    <w:multiLevelType w:val="hybridMultilevel"/>
    <w:tmpl w:val="48C2D144"/>
    <w:lvl w:ilvl="0" w:tplc="96FA729C">
      <w:start w:val="5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CC62A3C"/>
    <w:multiLevelType w:val="multilevel"/>
    <w:tmpl w:val="39746A98"/>
    <w:name w:val="NTG Table Bullet List33222"/>
    <w:numStyleLink w:val="NTGTableNumList"/>
  </w:abstractNum>
  <w:abstractNum w:abstractNumId="63" w15:restartNumberingAfterBreak="0">
    <w:nsid w:val="6CE85524"/>
    <w:multiLevelType w:val="hybridMultilevel"/>
    <w:tmpl w:val="AF364ED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0105C45"/>
    <w:multiLevelType w:val="multilevel"/>
    <w:tmpl w:val="39746A98"/>
    <w:name w:val="NTG Table Bullet List3322222222222"/>
    <w:numStyleLink w:val="NTGTableNumList"/>
  </w:abstractNum>
  <w:abstractNum w:abstractNumId="65" w15:restartNumberingAfterBreak="0">
    <w:nsid w:val="711921E6"/>
    <w:multiLevelType w:val="hybridMultilevel"/>
    <w:tmpl w:val="B89E3AE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1E35E8A"/>
    <w:multiLevelType w:val="hybridMultilevel"/>
    <w:tmpl w:val="AF364ED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453664D"/>
    <w:multiLevelType w:val="multilevel"/>
    <w:tmpl w:val="0C78A7AC"/>
    <w:name w:val="NTG Table Bullet List3322222222222222222"/>
    <w:numStyleLink w:val="NTGTableList"/>
  </w:abstractNum>
  <w:abstractNum w:abstractNumId="68" w15:restartNumberingAfterBreak="0">
    <w:nsid w:val="75300180"/>
    <w:multiLevelType w:val="hybridMultilevel"/>
    <w:tmpl w:val="B89E3AE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8F769AB"/>
    <w:multiLevelType w:val="hybridMultilevel"/>
    <w:tmpl w:val="AF364ED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>
    <w:abstractNumId w:val="23"/>
  </w:num>
  <w:num w:numId="2">
    <w:abstractNumId w:val="46"/>
  </w:num>
  <w:num w:numId="3">
    <w:abstractNumId w:val="0"/>
  </w:num>
  <w:num w:numId="4">
    <w:abstractNumId w:val="29"/>
  </w:num>
  <w:num w:numId="5">
    <w:abstractNumId w:val="39"/>
  </w:num>
  <w:num w:numId="6">
    <w:abstractNumId w:val="57"/>
  </w:num>
  <w:num w:numId="7">
    <w:abstractNumId w:val="37"/>
  </w:num>
  <w:num w:numId="8">
    <w:abstractNumId w:val="50"/>
  </w:num>
  <w:num w:numId="9">
    <w:abstractNumId w:val="55"/>
  </w:num>
  <w:num w:numId="10">
    <w:abstractNumId w:val="28"/>
  </w:num>
  <w:num w:numId="11">
    <w:abstractNumId w:val="25"/>
  </w:num>
  <w:num w:numId="12">
    <w:abstractNumId w:val="5"/>
  </w:num>
  <w:num w:numId="13">
    <w:abstractNumId w:val="21"/>
  </w:num>
  <w:num w:numId="14">
    <w:abstractNumId w:val="68"/>
  </w:num>
  <w:num w:numId="15">
    <w:abstractNumId w:val="14"/>
  </w:num>
  <w:num w:numId="16">
    <w:abstractNumId w:val="65"/>
  </w:num>
  <w:num w:numId="17">
    <w:abstractNumId w:val="9"/>
  </w:num>
  <w:num w:numId="18">
    <w:abstractNumId w:val="35"/>
  </w:num>
  <w:num w:numId="19">
    <w:abstractNumId w:val="15"/>
  </w:num>
  <w:num w:numId="20">
    <w:abstractNumId w:val="4"/>
  </w:num>
  <w:num w:numId="21">
    <w:abstractNumId w:val="43"/>
  </w:num>
  <w:num w:numId="22">
    <w:abstractNumId w:val="54"/>
  </w:num>
  <w:num w:numId="23">
    <w:abstractNumId w:val="37"/>
  </w:num>
  <w:num w:numId="24">
    <w:abstractNumId w:val="17"/>
  </w:num>
  <w:num w:numId="25">
    <w:abstractNumId w:val="20"/>
  </w:num>
  <w:num w:numId="26">
    <w:abstractNumId w:val="26"/>
  </w:num>
  <w:num w:numId="27">
    <w:abstractNumId w:val="37"/>
  </w:num>
  <w:num w:numId="28">
    <w:abstractNumId w:val="37"/>
  </w:num>
  <w:num w:numId="29">
    <w:abstractNumId w:val="58"/>
  </w:num>
  <w:num w:numId="30">
    <w:abstractNumId w:val="69"/>
  </w:num>
  <w:num w:numId="31">
    <w:abstractNumId w:val="66"/>
  </w:num>
  <w:num w:numId="32">
    <w:abstractNumId w:val="60"/>
  </w:num>
  <w:num w:numId="33">
    <w:abstractNumId w:val="41"/>
  </w:num>
  <w:num w:numId="34">
    <w:abstractNumId w:val="56"/>
  </w:num>
  <w:num w:numId="35">
    <w:abstractNumId w:val="63"/>
  </w:num>
  <w:num w:numId="36">
    <w:abstractNumId w:val="7"/>
  </w:num>
  <w:num w:numId="37">
    <w:abstractNumId w:val="33"/>
  </w:num>
  <w:num w:numId="38">
    <w:abstractNumId w:val="52"/>
  </w:num>
  <w:num w:numId="39">
    <w:abstractNumId w:val="30"/>
  </w:num>
  <w:num w:numId="40">
    <w:abstractNumId w:val="34"/>
  </w:num>
  <w:num w:numId="41">
    <w:abstractNumId w:val="40"/>
  </w:num>
  <w:num w:numId="42">
    <w:abstractNumId w:val="37"/>
  </w:num>
  <w:num w:numId="43">
    <w:abstractNumId w:val="19"/>
  </w:num>
  <w:num w:numId="44">
    <w:abstractNumId w:val="31"/>
  </w:num>
  <w:num w:numId="45">
    <w:abstractNumId w:val="38"/>
  </w:num>
  <w:num w:numId="46">
    <w:abstractNumId w:val="61"/>
  </w:num>
  <w:num w:numId="47">
    <w:abstractNumId w:val="11"/>
  </w:num>
  <w:num w:numId="48">
    <w:abstractNumId w:val="37"/>
  </w:num>
  <w:num w:numId="49">
    <w:abstractNumId w:val="3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stylePaneFormatFilter w:val="D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1"/>
  <w:defaultTabStop w:val="284"/>
  <w:defaultTableStyle w:val="NTGTable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471"/>
    <w:rsid w:val="00001B8B"/>
    <w:rsid w:val="00001DDF"/>
    <w:rsid w:val="0000322D"/>
    <w:rsid w:val="00003272"/>
    <w:rsid w:val="00003F46"/>
    <w:rsid w:val="000043EE"/>
    <w:rsid w:val="00006A72"/>
    <w:rsid w:val="00007BC4"/>
    <w:rsid w:val="00010665"/>
    <w:rsid w:val="00010CBF"/>
    <w:rsid w:val="00014E19"/>
    <w:rsid w:val="000159ED"/>
    <w:rsid w:val="00024987"/>
    <w:rsid w:val="00025FD1"/>
    <w:rsid w:val="00027DB8"/>
    <w:rsid w:val="0003074B"/>
    <w:rsid w:val="00031467"/>
    <w:rsid w:val="000316A6"/>
    <w:rsid w:val="00031951"/>
    <w:rsid w:val="000319B2"/>
    <w:rsid w:val="00031A96"/>
    <w:rsid w:val="00031D28"/>
    <w:rsid w:val="0003362F"/>
    <w:rsid w:val="000344BC"/>
    <w:rsid w:val="00036993"/>
    <w:rsid w:val="00040073"/>
    <w:rsid w:val="00040BF3"/>
    <w:rsid w:val="0004163A"/>
    <w:rsid w:val="00041758"/>
    <w:rsid w:val="00042167"/>
    <w:rsid w:val="00042ABC"/>
    <w:rsid w:val="0004330C"/>
    <w:rsid w:val="00043AC3"/>
    <w:rsid w:val="00043B7C"/>
    <w:rsid w:val="00043F51"/>
    <w:rsid w:val="0004471C"/>
    <w:rsid w:val="000450B8"/>
    <w:rsid w:val="000455A0"/>
    <w:rsid w:val="00046373"/>
    <w:rsid w:val="00046397"/>
    <w:rsid w:val="00046C59"/>
    <w:rsid w:val="0004739E"/>
    <w:rsid w:val="000502B2"/>
    <w:rsid w:val="00051362"/>
    <w:rsid w:val="00051F45"/>
    <w:rsid w:val="0005514A"/>
    <w:rsid w:val="00055994"/>
    <w:rsid w:val="00056DEF"/>
    <w:rsid w:val="0006199E"/>
    <w:rsid w:val="00061A88"/>
    <w:rsid w:val="00063425"/>
    <w:rsid w:val="00064DA5"/>
    <w:rsid w:val="00065003"/>
    <w:rsid w:val="000652A3"/>
    <w:rsid w:val="00066DAE"/>
    <w:rsid w:val="000720BE"/>
    <w:rsid w:val="0007259C"/>
    <w:rsid w:val="00073A7A"/>
    <w:rsid w:val="00074185"/>
    <w:rsid w:val="000763FD"/>
    <w:rsid w:val="000768D1"/>
    <w:rsid w:val="00076B48"/>
    <w:rsid w:val="00080202"/>
    <w:rsid w:val="00080DCD"/>
    <w:rsid w:val="00080E22"/>
    <w:rsid w:val="00080EBC"/>
    <w:rsid w:val="00082C65"/>
    <w:rsid w:val="00084086"/>
    <w:rsid w:val="000840A3"/>
    <w:rsid w:val="00085A78"/>
    <w:rsid w:val="00086A5F"/>
    <w:rsid w:val="00087902"/>
    <w:rsid w:val="000911EF"/>
    <w:rsid w:val="00091C30"/>
    <w:rsid w:val="000943C6"/>
    <w:rsid w:val="000954D4"/>
    <w:rsid w:val="000962C5"/>
    <w:rsid w:val="000A1642"/>
    <w:rsid w:val="000A20C0"/>
    <w:rsid w:val="000A3F66"/>
    <w:rsid w:val="000A559C"/>
    <w:rsid w:val="000A782A"/>
    <w:rsid w:val="000B2B4E"/>
    <w:rsid w:val="000B2CA1"/>
    <w:rsid w:val="000B3A64"/>
    <w:rsid w:val="000B401F"/>
    <w:rsid w:val="000B4739"/>
    <w:rsid w:val="000B549A"/>
    <w:rsid w:val="000B6EC9"/>
    <w:rsid w:val="000B7F14"/>
    <w:rsid w:val="000C1890"/>
    <w:rsid w:val="000C3AFA"/>
    <w:rsid w:val="000C4408"/>
    <w:rsid w:val="000C5C93"/>
    <w:rsid w:val="000C685E"/>
    <w:rsid w:val="000D1F29"/>
    <w:rsid w:val="000E10DD"/>
    <w:rsid w:val="000E4D10"/>
    <w:rsid w:val="000E59EF"/>
    <w:rsid w:val="000F1F9B"/>
    <w:rsid w:val="000F2958"/>
    <w:rsid w:val="000F3448"/>
    <w:rsid w:val="000F4E13"/>
    <w:rsid w:val="000F5501"/>
    <w:rsid w:val="001028CD"/>
    <w:rsid w:val="00102BCD"/>
    <w:rsid w:val="00103F34"/>
    <w:rsid w:val="00104DA6"/>
    <w:rsid w:val="00104E7F"/>
    <w:rsid w:val="00106A72"/>
    <w:rsid w:val="001112F9"/>
    <w:rsid w:val="001137EC"/>
    <w:rsid w:val="001149FB"/>
    <w:rsid w:val="001152F5"/>
    <w:rsid w:val="00115E4B"/>
    <w:rsid w:val="00117743"/>
    <w:rsid w:val="00117F5B"/>
    <w:rsid w:val="0012104E"/>
    <w:rsid w:val="00121B74"/>
    <w:rsid w:val="00131C62"/>
    <w:rsid w:val="00131D55"/>
    <w:rsid w:val="00132658"/>
    <w:rsid w:val="00134C25"/>
    <w:rsid w:val="00140014"/>
    <w:rsid w:val="00144F07"/>
    <w:rsid w:val="00150DC0"/>
    <w:rsid w:val="00153D33"/>
    <w:rsid w:val="001550F8"/>
    <w:rsid w:val="00155B3F"/>
    <w:rsid w:val="00156CD4"/>
    <w:rsid w:val="00157B27"/>
    <w:rsid w:val="00160941"/>
    <w:rsid w:val="00160972"/>
    <w:rsid w:val="0016164E"/>
    <w:rsid w:val="00161A7B"/>
    <w:rsid w:val="00164A3E"/>
    <w:rsid w:val="00164BC9"/>
    <w:rsid w:val="00164ECB"/>
    <w:rsid w:val="00166233"/>
    <w:rsid w:val="00167610"/>
    <w:rsid w:val="00170261"/>
    <w:rsid w:val="001702EF"/>
    <w:rsid w:val="00170928"/>
    <w:rsid w:val="001724BE"/>
    <w:rsid w:val="00172851"/>
    <w:rsid w:val="001779DB"/>
    <w:rsid w:val="001801D8"/>
    <w:rsid w:val="001803D9"/>
    <w:rsid w:val="00180D8F"/>
    <w:rsid w:val="00181620"/>
    <w:rsid w:val="00182059"/>
    <w:rsid w:val="001849C0"/>
    <w:rsid w:val="00190FC5"/>
    <w:rsid w:val="001912EE"/>
    <w:rsid w:val="00192F3A"/>
    <w:rsid w:val="00193EA6"/>
    <w:rsid w:val="001957AD"/>
    <w:rsid w:val="00196F7E"/>
    <w:rsid w:val="001A2B7F"/>
    <w:rsid w:val="001A31E8"/>
    <w:rsid w:val="001A3AFD"/>
    <w:rsid w:val="001A41DD"/>
    <w:rsid w:val="001A496C"/>
    <w:rsid w:val="001B136D"/>
    <w:rsid w:val="001B2B6C"/>
    <w:rsid w:val="001B2F70"/>
    <w:rsid w:val="001B3990"/>
    <w:rsid w:val="001B3C1A"/>
    <w:rsid w:val="001B5B5F"/>
    <w:rsid w:val="001B67EB"/>
    <w:rsid w:val="001C45FA"/>
    <w:rsid w:val="001C5700"/>
    <w:rsid w:val="001C7055"/>
    <w:rsid w:val="001D01C4"/>
    <w:rsid w:val="001D056C"/>
    <w:rsid w:val="001D18AC"/>
    <w:rsid w:val="001D52B0"/>
    <w:rsid w:val="001D711A"/>
    <w:rsid w:val="001D7CA4"/>
    <w:rsid w:val="001E0203"/>
    <w:rsid w:val="001E057F"/>
    <w:rsid w:val="001E14EB"/>
    <w:rsid w:val="001E27D1"/>
    <w:rsid w:val="001E2A44"/>
    <w:rsid w:val="001E2CD6"/>
    <w:rsid w:val="001E7EF5"/>
    <w:rsid w:val="001F22AD"/>
    <w:rsid w:val="001F3A6C"/>
    <w:rsid w:val="001F5084"/>
    <w:rsid w:val="001F59E6"/>
    <w:rsid w:val="001F6134"/>
    <w:rsid w:val="001F675E"/>
    <w:rsid w:val="002019E8"/>
    <w:rsid w:val="002043F6"/>
    <w:rsid w:val="00205294"/>
    <w:rsid w:val="002058C2"/>
    <w:rsid w:val="00206936"/>
    <w:rsid w:val="00206C6F"/>
    <w:rsid w:val="00206FBD"/>
    <w:rsid w:val="00207746"/>
    <w:rsid w:val="00210770"/>
    <w:rsid w:val="00212AF5"/>
    <w:rsid w:val="0021560B"/>
    <w:rsid w:val="00215A79"/>
    <w:rsid w:val="0021684E"/>
    <w:rsid w:val="00217140"/>
    <w:rsid w:val="00222F66"/>
    <w:rsid w:val="00223E19"/>
    <w:rsid w:val="00230031"/>
    <w:rsid w:val="002304D8"/>
    <w:rsid w:val="00230D59"/>
    <w:rsid w:val="002313A5"/>
    <w:rsid w:val="00231F89"/>
    <w:rsid w:val="00234716"/>
    <w:rsid w:val="00234FC9"/>
    <w:rsid w:val="00235296"/>
    <w:rsid w:val="002356FF"/>
    <w:rsid w:val="00235F1A"/>
    <w:rsid w:val="002361B5"/>
    <w:rsid w:val="00237531"/>
    <w:rsid w:val="00237A38"/>
    <w:rsid w:val="00237BF9"/>
    <w:rsid w:val="00240A13"/>
    <w:rsid w:val="002416EE"/>
    <w:rsid w:val="00246643"/>
    <w:rsid w:val="00246948"/>
    <w:rsid w:val="00247343"/>
    <w:rsid w:val="002474BC"/>
    <w:rsid w:val="00247A19"/>
    <w:rsid w:val="00250C42"/>
    <w:rsid w:val="002519E3"/>
    <w:rsid w:val="002528B0"/>
    <w:rsid w:val="00254FAF"/>
    <w:rsid w:val="0025510F"/>
    <w:rsid w:val="00262D2D"/>
    <w:rsid w:val="00264FA1"/>
    <w:rsid w:val="00265C56"/>
    <w:rsid w:val="00267EB2"/>
    <w:rsid w:val="00271521"/>
    <w:rsid w:val="002716CD"/>
    <w:rsid w:val="00274D4B"/>
    <w:rsid w:val="0027718A"/>
    <w:rsid w:val="002806F5"/>
    <w:rsid w:val="00281577"/>
    <w:rsid w:val="00282605"/>
    <w:rsid w:val="0028265C"/>
    <w:rsid w:val="00283370"/>
    <w:rsid w:val="00283FA8"/>
    <w:rsid w:val="00284889"/>
    <w:rsid w:val="00290119"/>
    <w:rsid w:val="00290E32"/>
    <w:rsid w:val="002926BC"/>
    <w:rsid w:val="00292D42"/>
    <w:rsid w:val="00292D7D"/>
    <w:rsid w:val="00293A72"/>
    <w:rsid w:val="00295AC8"/>
    <w:rsid w:val="002960D0"/>
    <w:rsid w:val="002A121B"/>
    <w:rsid w:val="002A1798"/>
    <w:rsid w:val="002A2DC3"/>
    <w:rsid w:val="002A30C3"/>
    <w:rsid w:val="002A6885"/>
    <w:rsid w:val="002A71B6"/>
    <w:rsid w:val="002A7666"/>
    <w:rsid w:val="002A7712"/>
    <w:rsid w:val="002A7FD7"/>
    <w:rsid w:val="002B008E"/>
    <w:rsid w:val="002B1375"/>
    <w:rsid w:val="002B347B"/>
    <w:rsid w:val="002B38F7"/>
    <w:rsid w:val="002B3C57"/>
    <w:rsid w:val="002B4BDB"/>
    <w:rsid w:val="002B5591"/>
    <w:rsid w:val="002C16A0"/>
    <w:rsid w:val="002C1FE9"/>
    <w:rsid w:val="002C5E2C"/>
    <w:rsid w:val="002D05DC"/>
    <w:rsid w:val="002D19C8"/>
    <w:rsid w:val="002D1E60"/>
    <w:rsid w:val="002D3220"/>
    <w:rsid w:val="002D373E"/>
    <w:rsid w:val="002D3A57"/>
    <w:rsid w:val="002D56FB"/>
    <w:rsid w:val="002D5D3E"/>
    <w:rsid w:val="002D77E1"/>
    <w:rsid w:val="002D7D05"/>
    <w:rsid w:val="002E04E5"/>
    <w:rsid w:val="002E1325"/>
    <w:rsid w:val="002E20C8"/>
    <w:rsid w:val="002E3794"/>
    <w:rsid w:val="002E3FCA"/>
    <w:rsid w:val="002E4290"/>
    <w:rsid w:val="002E4A7D"/>
    <w:rsid w:val="002E5BC0"/>
    <w:rsid w:val="002E6265"/>
    <w:rsid w:val="002E66A6"/>
    <w:rsid w:val="002F0C7F"/>
    <w:rsid w:val="002F0DB1"/>
    <w:rsid w:val="002F2885"/>
    <w:rsid w:val="00301B27"/>
    <w:rsid w:val="003020B7"/>
    <w:rsid w:val="003037F9"/>
    <w:rsid w:val="003053DC"/>
    <w:rsid w:val="0030583E"/>
    <w:rsid w:val="00305D6F"/>
    <w:rsid w:val="00306EC1"/>
    <w:rsid w:val="003074F4"/>
    <w:rsid w:val="00307FE1"/>
    <w:rsid w:val="0031040E"/>
    <w:rsid w:val="00310828"/>
    <w:rsid w:val="00312455"/>
    <w:rsid w:val="0031274E"/>
    <w:rsid w:val="00313B78"/>
    <w:rsid w:val="00314194"/>
    <w:rsid w:val="00316E96"/>
    <w:rsid w:val="00317EA0"/>
    <w:rsid w:val="003207D2"/>
    <w:rsid w:val="0032193B"/>
    <w:rsid w:val="00322A92"/>
    <w:rsid w:val="00323DEF"/>
    <w:rsid w:val="00324A38"/>
    <w:rsid w:val="003258E6"/>
    <w:rsid w:val="0032717E"/>
    <w:rsid w:val="003273C5"/>
    <w:rsid w:val="003278D6"/>
    <w:rsid w:val="00333B96"/>
    <w:rsid w:val="00334AD5"/>
    <w:rsid w:val="0033520B"/>
    <w:rsid w:val="003354E7"/>
    <w:rsid w:val="00337618"/>
    <w:rsid w:val="003400B4"/>
    <w:rsid w:val="0034059A"/>
    <w:rsid w:val="00342283"/>
    <w:rsid w:val="00343A87"/>
    <w:rsid w:val="00344E54"/>
    <w:rsid w:val="00345DC0"/>
    <w:rsid w:val="00347FB6"/>
    <w:rsid w:val="003504FD"/>
    <w:rsid w:val="00350881"/>
    <w:rsid w:val="00350AD4"/>
    <w:rsid w:val="003520DF"/>
    <w:rsid w:val="00356366"/>
    <w:rsid w:val="00357D55"/>
    <w:rsid w:val="003612B9"/>
    <w:rsid w:val="00361C09"/>
    <w:rsid w:val="00361FC4"/>
    <w:rsid w:val="003623DE"/>
    <w:rsid w:val="00363513"/>
    <w:rsid w:val="003657E5"/>
    <w:rsid w:val="0036589C"/>
    <w:rsid w:val="00366293"/>
    <w:rsid w:val="00371312"/>
    <w:rsid w:val="00371DC7"/>
    <w:rsid w:val="0037206C"/>
    <w:rsid w:val="00373F06"/>
    <w:rsid w:val="0037688D"/>
    <w:rsid w:val="00377B21"/>
    <w:rsid w:val="0038229E"/>
    <w:rsid w:val="00383A4F"/>
    <w:rsid w:val="00383B30"/>
    <w:rsid w:val="00384947"/>
    <w:rsid w:val="0039193F"/>
    <w:rsid w:val="003931F1"/>
    <w:rsid w:val="00393FB8"/>
    <w:rsid w:val="003941A3"/>
    <w:rsid w:val="00394876"/>
    <w:rsid w:val="00394AAF"/>
    <w:rsid w:val="00394CE5"/>
    <w:rsid w:val="00397CB0"/>
    <w:rsid w:val="003A0140"/>
    <w:rsid w:val="003A07F3"/>
    <w:rsid w:val="003A084A"/>
    <w:rsid w:val="003A1B6B"/>
    <w:rsid w:val="003A30A6"/>
    <w:rsid w:val="003B1303"/>
    <w:rsid w:val="003B2CAD"/>
    <w:rsid w:val="003B4DD0"/>
    <w:rsid w:val="003B67FD"/>
    <w:rsid w:val="003B686F"/>
    <w:rsid w:val="003B6A61"/>
    <w:rsid w:val="003B6E10"/>
    <w:rsid w:val="003C26D9"/>
    <w:rsid w:val="003C55CD"/>
    <w:rsid w:val="003D1846"/>
    <w:rsid w:val="003D278E"/>
    <w:rsid w:val="003D29E3"/>
    <w:rsid w:val="003D42C0"/>
    <w:rsid w:val="003D4C35"/>
    <w:rsid w:val="003D5B29"/>
    <w:rsid w:val="003D6C62"/>
    <w:rsid w:val="003D7818"/>
    <w:rsid w:val="003E16DF"/>
    <w:rsid w:val="003E2445"/>
    <w:rsid w:val="003E308F"/>
    <w:rsid w:val="003E32EE"/>
    <w:rsid w:val="003E3BB2"/>
    <w:rsid w:val="003E3D56"/>
    <w:rsid w:val="003E4BAB"/>
    <w:rsid w:val="003E5FF0"/>
    <w:rsid w:val="003E601D"/>
    <w:rsid w:val="003F0FC1"/>
    <w:rsid w:val="003F21EA"/>
    <w:rsid w:val="003F3329"/>
    <w:rsid w:val="003F33EB"/>
    <w:rsid w:val="003F3412"/>
    <w:rsid w:val="003F3AEF"/>
    <w:rsid w:val="003F5B58"/>
    <w:rsid w:val="003F5F06"/>
    <w:rsid w:val="0040029E"/>
    <w:rsid w:val="0040222A"/>
    <w:rsid w:val="00402E72"/>
    <w:rsid w:val="0040351C"/>
    <w:rsid w:val="004047BC"/>
    <w:rsid w:val="004100F7"/>
    <w:rsid w:val="00413A17"/>
    <w:rsid w:val="00413F9E"/>
    <w:rsid w:val="004143E4"/>
    <w:rsid w:val="00414CB3"/>
    <w:rsid w:val="0041563D"/>
    <w:rsid w:val="0041777F"/>
    <w:rsid w:val="004222AF"/>
    <w:rsid w:val="0042331A"/>
    <w:rsid w:val="004245F3"/>
    <w:rsid w:val="00426E25"/>
    <w:rsid w:val="00427D9C"/>
    <w:rsid w:val="00430F36"/>
    <w:rsid w:val="00431EBE"/>
    <w:rsid w:val="004333A4"/>
    <w:rsid w:val="00433EF9"/>
    <w:rsid w:val="00436732"/>
    <w:rsid w:val="00437C86"/>
    <w:rsid w:val="00443562"/>
    <w:rsid w:val="00443B6E"/>
    <w:rsid w:val="00447D4C"/>
    <w:rsid w:val="00450D1D"/>
    <w:rsid w:val="004521EC"/>
    <w:rsid w:val="0045420A"/>
    <w:rsid w:val="004554D4"/>
    <w:rsid w:val="00456D7A"/>
    <w:rsid w:val="00456FAB"/>
    <w:rsid w:val="00461744"/>
    <w:rsid w:val="00461C16"/>
    <w:rsid w:val="00466D96"/>
    <w:rsid w:val="00467747"/>
    <w:rsid w:val="00472514"/>
    <w:rsid w:val="004725A1"/>
    <w:rsid w:val="004730FB"/>
    <w:rsid w:val="00473C98"/>
    <w:rsid w:val="0047590E"/>
    <w:rsid w:val="004820CF"/>
    <w:rsid w:val="00482DF8"/>
    <w:rsid w:val="00483829"/>
    <w:rsid w:val="00485F7B"/>
    <w:rsid w:val="004864DE"/>
    <w:rsid w:val="00490A7B"/>
    <w:rsid w:val="004913D3"/>
    <w:rsid w:val="00494BE5"/>
    <w:rsid w:val="00494C33"/>
    <w:rsid w:val="00495C2C"/>
    <w:rsid w:val="0049786A"/>
    <w:rsid w:val="004A022B"/>
    <w:rsid w:val="004A023D"/>
    <w:rsid w:val="004A1714"/>
    <w:rsid w:val="004A1ADF"/>
    <w:rsid w:val="004A2538"/>
    <w:rsid w:val="004A31B1"/>
    <w:rsid w:val="004A4BC6"/>
    <w:rsid w:val="004B0C15"/>
    <w:rsid w:val="004B2354"/>
    <w:rsid w:val="004B2932"/>
    <w:rsid w:val="004B35EA"/>
    <w:rsid w:val="004B4E05"/>
    <w:rsid w:val="004B610B"/>
    <w:rsid w:val="004B69E4"/>
    <w:rsid w:val="004C0471"/>
    <w:rsid w:val="004C0E3A"/>
    <w:rsid w:val="004C2116"/>
    <w:rsid w:val="004C275C"/>
    <w:rsid w:val="004C4BBB"/>
    <w:rsid w:val="004C555A"/>
    <w:rsid w:val="004C5B09"/>
    <w:rsid w:val="004C6C39"/>
    <w:rsid w:val="004D039C"/>
    <w:rsid w:val="004D075F"/>
    <w:rsid w:val="004D07C1"/>
    <w:rsid w:val="004D0897"/>
    <w:rsid w:val="004D19CC"/>
    <w:rsid w:val="004D1B76"/>
    <w:rsid w:val="004D344E"/>
    <w:rsid w:val="004D3643"/>
    <w:rsid w:val="004D4802"/>
    <w:rsid w:val="004D4D16"/>
    <w:rsid w:val="004D5D32"/>
    <w:rsid w:val="004E019E"/>
    <w:rsid w:val="004E06EC"/>
    <w:rsid w:val="004E23B7"/>
    <w:rsid w:val="004E2764"/>
    <w:rsid w:val="004E2CB7"/>
    <w:rsid w:val="004E2D1D"/>
    <w:rsid w:val="004E3479"/>
    <w:rsid w:val="004F016A"/>
    <w:rsid w:val="004F1508"/>
    <w:rsid w:val="004F2EDF"/>
    <w:rsid w:val="004F36E0"/>
    <w:rsid w:val="004F506A"/>
    <w:rsid w:val="0050015F"/>
    <w:rsid w:val="00500F94"/>
    <w:rsid w:val="00501946"/>
    <w:rsid w:val="00502871"/>
    <w:rsid w:val="00502FB3"/>
    <w:rsid w:val="00503DE9"/>
    <w:rsid w:val="00504155"/>
    <w:rsid w:val="0050530C"/>
    <w:rsid w:val="00505DEA"/>
    <w:rsid w:val="00505FA1"/>
    <w:rsid w:val="0050686A"/>
    <w:rsid w:val="00507782"/>
    <w:rsid w:val="00510F88"/>
    <w:rsid w:val="00511689"/>
    <w:rsid w:val="00512A04"/>
    <w:rsid w:val="00513CA5"/>
    <w:rsid w:val="00517261"/>
    <w:rsid w:val="005240B3"/>
    <w:rsid w:val="005249F5"/>
    <w:rsid w:val="00524D3C"/>
    <w:rsid w:val="00525D2B"/>
    <w:rsid w:val="005260F7"/>
    <w:rsid w:val="00531DD1"/>
    <w:rsid w:val="00531FCE"/>
    <w:rsid w:val="0053326A"/>
    <w:rsid w:val="0053501E"/>
    <w:rsid w:val="005356D9"/>
    <w:rsid w:val="00541894"/>
    <w:rsid w:val="00541B36"/>
    <w:rsid w:val="00542C62"/>
    <w:rsid w:val="00543BD1"/>
    <w:rsid w:val="00544A96"/>
    <w:rsid w:val="00553733"/>
    <w:rsid w:val="00556113"/>
    <w:rsid w:val="00561CD7"/>
    <w:rsid w:val="0056376C"/>
    <w:rsid w:val="00564C12"/>
    <w:rsid w:val="005654B8"/>
    <w:rsid w:val="005660D4"/>
    <w:rsid w:val="00566360"/>
    <w:rsid w:val="00566E32"/>
    <w:rsid w:val="00570407"/>
    <w:rsid w:val="00570E3C"/>
    <w:rsid w:val="00571CDB"/>
    <w:rsid w:val="00573623"/>
    <w:rsid w:val="00574AF5"/>
    <w:rsid w:val="0057622C"/>
    <w:rsid w:val="005762CC"/>
    <w:rsid w:val="0057744D"/>
    <w:rsid w:val="00580B44"/>
    <w:rsid w:val="00580CD4"/>
    <w:rsid w:val="005819AE"/>
    <w:rsid w:val="0058245F"/>
    <w:rsid w:val="00582D39"/>
    <w:rsid w:val="00582D3D"/>
    <w:rsid w:val="00584C23"/>
    <w:rsid w:val="005878D6"/>
    <w:rsid w:val="00591ADF"/>
    <w:rsid w:val="00592F7E"/>
    <w:rsid w:val="005938F5"/>
    <w:rsid w:val="00595386"/>
    <w:rsid w:val="005A0B94"/>
    <w:rsid w:val="005A1B63"/>
    <w:rsid w:val="005A2C49"/>
    <w:rsid w:val="005A4AC0"/>
    <w:rsid w:val="005A54B3"/>
    <w:rsid w:val="005A5FDF"/>
    <w:rsid w:val="005A6A3D"/>
    <w:rsid w:val="005B03EA"/>
    <w:rsid w:val="005B081D"/>
    <w:rsid w:val="005B0FB7"/>
    <w:rsid w:val="005B122A"/>
    <w:rsid w:val="005B19CF"/>
    <w:rsid w:val="005B2C8F"/>
    <w:rsid w:val="005B38DC"/>
    <w:rsid w:val="005B3A3B"/>
    <w:rsid w:val="005B5AC2"/>
    <w:rsid w:val="005B726C"/>
    <w:rsid w:val="005C032B"/>
    <w:rsid w:val="005C2833"/>
    <w:rsid w:val="005C5DBC"/>
    <w:rsid w:val="005C6FDE"/>
    <w:rsid w:val="005C7659"/>
    <w:rsid w:val="005D4A24"/>
    <w:rsid w:val="005D579C"/>
    <w:rsid w:val="005D729A"/>
    <w:rsid w:val="005D741E"/>
    <w:rsid w:val="005D7FCE"/>
    <w:rsid w:val="005E144D"/>
    <w:rsid w:val="005E1500"/>
    <w:rsid w:val="005E3A43"/>
    <w:rsid w:val="005E7D6E"/>
    <w:rsid w:val="005F00DA"/>
    <w:rsid w:val="005F1CC5"/>
    <w:rsid w:val="005F21BD"/>
    <w:rsid w:val="005F2C95"/>
    <w:rsid w:val="005F45B2"/>
    <w:rsid w:val="005F46E8"/>
    <w:rsid w:val="005F6527"/>
    <w:rsid w:val="005F7AFD"/>
    <w:rsid w:val="006045CA"/>
    <w:rsid w:val="00607768"/>
    <w:rsid w:val="006112E0"/>
    <w:rsid w:val="006116B8"/>
    <w:rsid w:val="00611779"/>
    <w:rsid w:val="00613915"/>
    <w:rsid w:val="00613CBB"/>
    <w:rsid w:val="006171B7"/>
    <w:rsid w:val="00617A15"/>
    <w:rsid w:val="00620675"/>
    <w:rsid w:val="0062147B"/>
    <w:rsid w:val="006225E5"/>
    <w:rsid w:val="0062264D"/>
    <w:rsid w:val="00624E97"/>
    <w:rsid w:val="006268E4"/>
    <w:rsid w:val="00626FA5"/>
    <w:rsid w:val="00630693"/>
    <w:rsid w:val="00634CE9"/>
    <w:rsid w:val="00635C02"/>
    <w:rsid w:val="0064045D"/>
    <w:rsid w:val="0064060C"/>
    <w:rsid w:val="0064191B"/>
    <w:rsid w:val="006420A6"/>
    <w:rsid w:val="006433C3"/>
    <w:rsid w:val="00644B58"/>
    <w:rsid w:val="00645909"/>
    <w:rsid w:val="0064681B"/>
    <w:rsid w:val="00650F5B"/>
    <w:rsid w:val="006528B2"/>
    <w:rsid w:val="006529B8"/>
    <w:rsid w:val="00652B52"/>
    <w:rsid w:val="00655A90"/>
    <w:rsid w:val="00655D28"/>
    <w:rsid w:val="006569C5"/>
    <w:rsid w:val="00660396"/>
    <w:rsid w:val="0066056C"/>
    <w:rsid w:val="00660857"/>
    <w:rsid w:val="00661752"/>
    <w:rsid w:val="006619F0"/>
    <w:rsid w:val="0066259B"/>
    <w:rsid w:val="0066356E"/>
    <w:rsid w:val="00663964"/>
    <w:rsid w:val="006670D7"/>
    <w:rsid w:val="0067054C"/>
    <w:rsid w:val="006710E7"/>
    <w:rsid w:val="006719EA"/>
    <w:rsid w:val="00671BC9"/>
    <w:rsid w:val="00671C1E"/>
    <w:rsid w:val="00671F13"/>
    <w:rsid w:val="006729F2"/>
    <w:rsid w:val="00673767"/>
    <w:rsid w:val="0067400A"/>
    <w:rsid w:val="00675EFE"/>
    <w:rsid w:val="00676275"/>
    <w:rsid w:val="006772B6"/>
    <w:rsid w:val="00680E5C"/>
    <w:rsid w:val="006812C5"/>
    <w:rsid w:val="006815B5"/>
    <w:rsid w:val="006847AD"/>
    <w:rsid w:val="00685903"/>
    <w:rsid w:val="00687272"/>
    <w:rsid w:val="00690092"/>
    <w:rsid w:val="0069114B"/>
    <w:rsid w:val="006917DA"/>
    <w:rsid w:val="00692D24"/>
    <w:rsid w:val="006943B9"/>
    <w:rsid w:val="00695832"/>
    <w:rsid w:val="00695BB6"/>
    <w:rsid w:val="0069711B"/>
    <w:rsid w:val="006A026D"/>
    <w:rsid w:val="006A2C99"/>
    <w:rsid w:val="006A44A8"/>
    <w:rsid w:val="006A5B98"/>
    <w:rsid w:val="006A76BF"/>
    <w:rsid w:val="006A7923"/>
    <w:rsid w:val="006A79DE"/>
    <w:rsid w:val="006A7D5D"/>
    <w:rsid w:val="006B065C"/>
    <w:rsid w:val="006B1771"/>
    <w:rsid w:val="006B303F"/>
    <w:rsid w:val="006B415C"/>
    <w:rsid w:val="006B48FB"/>
    <w:rsid w:val="006B4FF8"/>
    <w:rsid w:val="006B6A09"/>
    <w:rsid w:val="006B7696"/>
    <w:rsid w:val="006C04A4"/>
    <w:rsid w:val="006C16B4"/>
    <w:rsid w:val="006C312C"/>
    <w:rsid w:val="006C4551"/>
    <w:rsid w:val="006C63FA"/>
    <w:rsid w:val="006C641A"/>
    <w:rsid w:val="006C6639"/>
    <w:rsid w:val="006D01BE"/>
    <w:rsid w:val="006D1050"/>
    <w:rsid w:val="006D5612"/>
    <w:rsid w:val="006D66F7"/>
    <w:rsid w:val="006D6EC3"/>
    <w:rsid w:val="006E10B6"/>
    <w:rsid w:val="006E25CD"/>
    <w:rsid w:val="006E27E6"/>
    <w:rsid w:val="006E319B"/>
    <w:rsid w:val="006E3C33"/>
    <w:rsid w:val="006E5844"/>
    <w:rsid w:val="006E5D5B"/>
    <w:rsid w:val="006E6031"/>
    <w:rsid w:val="006E6341"/>
    <w:rsid w:val="006E6C1A"/>
    <w:rsid w:val="006E7DF9"/>
    <w:rsid w:val="006F308B"/>
    <w:rsid w:val="006F397A"/>
    <w:rsid w:val="006F62BF"/>
    <w:rsid w:val="006F7161"/>
    <w:rsid w:val="006F7B6C"/>
    <w:rsid w:val="006F7CD8"/>
    <w:rsid w:val="00701A32"/>
    <w:rsid w:val="00703A15"/>
    <w:rsid w:val="00705022"/>
    <w:rsid w:val="00705BAF"/>
    <w:rsid w:val="00705C9D"/>
    <w:rsid w:val="00705F13"/>
    <w:rsid w:val="0070660A"/>
    <w:rsid w:val="00706D24"/>
    <w:rsid w:val="00712625"/>
    <w:rsid w:val="007140BF"/>
    <w:rsid w:val="00714F1D"/>
    <w:rsid w:val="00715129"/>
    <w:rsid w:val="0071540C"/>
    <w:rsid w:val="00716D5B"/>
    <w:rsid w:val="00720493"/>
    <w:rsid w:val="00721769"/>
    <w:rsid w:val="00722DDB"/>
    <w:rsid w:val="00724728"/>
    <w:rsid w:val="00724F98"/>
    <w:rsid w:val="0072693F"/>
    <w:rsid w:val="007303F6"/>
    <w:rsid w:val="00730B9B"/>
    <w:rsid w:val="00732118"/>
    <w:rsid w:val="007324C8"/>
    <w:rsid w:val="0073293F"/>
    <w:rsid w:val="00732950"/>
    <w:rsid w:val="007332FF"/>
    <w:rsid w:val="0073471F"/>
    <w:rsid w:val="007408F5"/>
    <w:rsid w:val="00741610"/>
    <w:rsid w:val="00741EAE"/>
    <w:rsid w:val="007442C1"/>
    <w:rsid w:val="007463CE"/>
    <w:rsid w:val="00747BB8"/>
    <w:rsid w:val="007501C0"/>
    <w:rsid w:val="007512C5"/>
    <w:rsid w:val="00754CDF"/>
    <w:rsid w:val="0076121A"/>
    <w:rsid w:val="0076190B"/>
    <w:rsid w:val="007623FB"/>
    <w:rsid w:val="00762F66"/>
    <w:rsid w:val="0076355D"/>
    <w:rsid w:val="00763A2D"/>
    <w:rsid w:val="00764287"/>
    <w:rsid w:val="00764623"/>
    <w:rsid w:val="00765ECF"/>
    <w:rsid w:val="0076709D"/>
    <w:rsid w:val="0076775F"/>
    <w:rsid w:val="0077015E"/>
    <w:rsid w:val="00770B0A"/>
    <w:rsid w:val="00771920"/>
    <w:rsid w:val="007742D3"/>
    <w:rsid w:val="00776AE3"/>
    <w:rsid w:val="00777795"/>
    <w:rsid w:val="00777AFC"/>
    <w:rsid w:val="00780C10"/>
    <w:rsid w:val="00781D1C"/>
    <w:rsid w:val="00781E2D"/>
    <w:rsid w:val="007829B9"/>
    <w:rsid w:val="00783A57"/>
    <w:rsid w:val="00784C92"/>
    <w:rsid w:val="007859CD"/>
    <w:rsid w:val="00785D06"/>
    <w:rsid w:val="00786C0B"/>
    <w:rsid w:val="00787161"/>
    <w:rsid w:val="00787D20"/>
    <w:rsid w:val="007907E4"/>
    <w:rsid w:val="00790948"/>
    <w:rsid w:val="00796461"/>
    <w:rsid w:val="007A02CB"/>
    <w:rsid w:val="007A4469"/>
    <w:rsid w:val="007A6A4F"/>
    <w:rsid w:val="007B03F5"/>
    <w:rsid w:val="007B177A"/>
    <w:rsid w:val="007B1DF6"/>
    <w:rsid w:val="007B1FF8"/>
    <w:rsid w:val="007B2211"/>
    <w:rsid w:val="007B3ECE"/>
    <w:rsid w:val="007B47FF"/>
    <w:rsid w:val="007B5882"/>
    <w:rsid w:val="007B5C09"/>
    <w:rsid w:val="007B5DA2"/>
    <w:rsid w:val="007C0966"/>
    <w:rsid w:val="007C19E7"/>
    <w:rsid w:val="007C1BBE"/>
    <w:rsid w:val="007C255B"/>
    <w:rsid w:val="007C35F1"/>
    <w:rsid w:val="007C5CFD"/>
    <w:rsid w:val="007C6184"/>
    <w:rsid w:val="007C682F"/>
    <w:rsid w:val="007C6D9F"/>
    <w:rsid w:val="007C7FA2"/>
    <w:rsid w:val="007D2A78"/>
    <w:rsid w:val="007D40F8"/>
    <w:rsid w:val="007D4893"/>
    <w:rsid w:val="007D57B4"/>
    <w:rsid w:val="007D6113"/>
    <w:rsid w:val="007E131F"/>
    <w:rsid w:val="007E2F6B"/>
    <w:rsid w:val="007E45B3"/>
    <w:rsid w:val="007E70CF"/>
    <w:rsid w:val="007E74A4"/>
    <w:rsid w:val="007F17FB"/>
    <w:rsid w:val="007F263F"/>
    <w:rsid w:val="007F539A"/>
    <w:rsid w:val="007F732E"/>
    <w:rsid w:val="007F7855"/>
    <w:rsid w:val="00800C15"/>
    <w:rsid w:val="008035C9"/>
    <w:rsid w:val="008062F0"/>
    <w:rsid w:val="00807114"/>
    <w:rsid w:val="0080766E"/>
    <w:rsid w:val="008103C1"/>
    <w:rsid w:val="00811169"/>
    <w:rsid w:val="00815297"/>
    <w:rsid w:val="008176DB"/>
    <w:rsid w:val="00817BA1"/>
    <w:rsid w:val="00820135"/>
    <w:rsid w:val="0082077F"/>
    <w:rsid w:val="00820C4A"/>
    <w:rsid w:val="00823022"/>
    <w:rsid w:val="00825786"/>
    <w:rsid w:val="00825948"/>
    <w:rsid w:val="00825ACD"/>
    <w:rsid w:val="00825D9C"/>
    <w:rsid w:val="0082634E"/>
    <w:rsid w:val="00827BBC"/>
    <w:rsid w:val="00831215"/>
    <w:rsid w:val="008313C4"/>
    <w:rsid w:val="008313C6"/>
    <w:rsid w:val="008313CB"/>
    <w:rsid w:val="00835434"/>
    <w:rsid w:val="00835757"/>
    <w:rsid w:val="008358C0"/>
    <w:rsid w:val="00840F0F"/>
    <w:rsid w:val="00842838"/>
    <w:rsid w:val="00842A2F"/>
    <w:rsid w:val="00843109"/>
    <w:rsid w:val="00846E83"/>
    <w:rsid w:val="008523CF"/>
    <w:rsid w:val="00853CA2"/>
    <w:rsid w:val="00854896"/>
    <w:rsid w:val="00854EC1"/>
    <w:rsid w:val="00855610"/>
    <w:rsid w:val="0085786F"/>
    <w:rsid w:val="0085797F"/>
    <w:rsid w:val="00857992"/>
    <w:rsid w:val="00860780"/>
    <w:rsid w:val="00861DC3"/>
    <w:rsid w:val="00862D3C"/>
    <w:rsid w:val="00867019"/>
    <w:rsid w:val="00867A44"/>
    <w:rsid w:val="008735A9"/>
    <w:rsid w:val="00877A5A"/>
    <w:rsid w:val="00877D20"/>
    <w:rsid w:val="00881C48"/>
    <w:rsid w:val="00881FBA"/>
    <w:rsid w:val="00884738"/>
    <w:rsid w:val="0088572B"/>
    <w:rsid w:val="00885B5D"/>
    <w:rsid w:val="00885B80"/>
    <w:rsid w:val="00885C30"/>
    <w:rsid w:val="00885E9B"/>
    <w:rsid w:val="008874C4"/>
    <w:rsid w:val="00887BF6"/>
    <w:rsid w:val="0089219A"/>
    <w:rsid w:val="008936CF"/>
    <w:rsid w:val="00893C96"/>
    <w:rsid w:val="00894981"/>
    <w:rsid w:val="008A0905"/>
    <w:rsid w:val="008A3B8D"/>
    <w:rsid w:val="008A4955"/>
    <w:rsid w:val="008A5966"/>
    <w:rsid w:val="008A6987"/>
    <w:rsid w:val="008A7A69"/>
    <w:rsid w:val="008A7C12"/>
    <w:rsid w:val="008B00F9"/>
    <w:rsid w:val="008B05C2"/>
    <w:rsid w:val="008B09C1"/>
    <w:rsid w:val="008B25ED"/>
    <w:rsid w:val="008B2EFD"/>
    <w:rsid w:val="008B42BF"/>
    <w:rsid w:val="008B47F6"/>
    <w:rsid w:val="008B529E"/>
    <w:rsid w:val="008C0B73"/>
    <w:rsid w:val="008C17EB"/>
    <w:rsid w:val="008C17FB"/>
    <w:rsid w:val="008C5F9E"/>
    <w:rsid w:val="008C6C2D"/>
    <w:rsid w:val="008C6CB2"/>
    <w:rsid w:val="008C7303"/>
    <w:rsid w:val="008D442D"/>
    <w:rsid w:val="008D57B8"/>
    <w:rsid w:val="008D742C"/>
    <w:rsid w:val="008E03FC"/>
    <w:rsid w:val="008E1B93"/>
    <w:rsid w:val="008E1F03"/>
    <w:rsid w:val="008E3CB4"/>
    <w:rsid w:val="008E510B"/>
    <w:rsid w:val="008E7D7A"/>
    <w:rsid w:val="008F0D94"/>
    <w:rsid w:val="008F3A3D"/>
    <w:rsid w:val="008F3A71"/>
    <w:rsid w:val="008F3CD5"/>
    <w:rsid w:val="008F7EDE"/>
    <w:rsid w:val="00900E9C"/>
    <w:rsid w:val="00901B44"/>
    <w:rsid w:val="00902B13"/>
    <w:rsid w:val="00904A12"/>
    <w:rsid w:val="0090796A"/>
    <w:rsid w:val="00910441"/>
    <w:rsid w:val="00910F72"/>
    <w:rsid w:val="009116E5"/>
    <w:rsid w:val="00911941"/>
    <w:rsid w:val="00912776"/>
    <w:rsid w:val="00914F2C"/>
    <w:rsid w:val="009161AC"/>
    <w:rsid w:val="009167D9"/>
    <w:rsid w:val="00920158"/>
    <w:rsid w:val="00923AB6"/>
    <w:rsid w:val="00924AA5"/>
    <w:rsid w:val="00925F0F"/>
    <w:rsid w:val="00932F6B"/>
    <w:rsid w:val="0093372E"/>
    <w:rsid w:val="0093385A"/>
    <w:rsid w:val="00933891"/>
    <w:rsid w:val="00934DBE"/>
    <w:rsid w:val="00935013"/>
    <w:rsid w:val="00935B26"/>
    <w:rsid w:val="009371DF"/>
    <w:rsid w:val="00937C6B"/>
    <w:rsid w:val="00940D7E"/>
    <w:rsid w:val="009430DC"/>
    <w:rsid w:val="00944AD2"/>
    <w:rsid w:val="009468BC"/>
    <w:rsid w:val="009471EA"/>
    <w:rsid w:val="00952461"/>
    <w:rsid w:val="00954BB3"/>
    <w:rsid w:val="00955A58"/>
    <w:rsid w:val="00955CDE"/>
    <w:rsid w:val="009609B4"/>
    <w:rsid w:val="009616DF"/>
    <w:rsid w:val="00961D5F"/>
    <w:rsid w:val="00962030"/>
    <w:rsid w:val="00962955"/>
    <w:rsid w:val="00964106"/>
    <w:rsid w:val="00964BDF"/>
    <w:rsid w:val="00964F00"/>
    <w:rsid w:val="0096542F"/>
    <w:rsid w:val="00967FA7"/>
    <w:rsid w:val="00971645"/>
    <w:rsid w:val="00972602"/>
    <w:rsid w:val="00972F48"/>
    <w:rsid w:val="009754F0"/>
    <w:rsid w:val="00977919"/>
    <w:rsid w:val="0098018B"/>
    <w:rsid w:val="009808F0"/>
    <w:rsid w:val="00981036"/>
    <w:rsid w:val="0098320F"/>
    <w:rsid w:val="00985775"/>
    <w:rsid w:val="00986B71"/>
    <w:rsid w:val="00986D44"/>
    <w:rsid w:val="009870FA"/>
    <w:rsid w:val="0099178F"/>
    <w:rsid w:val="0099245A"/>
    <w:rsid w:val="00992BF9"/>
    <w:rsid w:val="00993543"/>
    <w:rsid w:val="0099386D"/>
    <w:rsid w:val="00994896"/>
    <w:rsid w:val="0099551D"/>
    <w:rsid w:val="00995B87"/>
    <w:rsid w:val="00997E32"/>
    <w:rsid w:val="009A1089"/>
    <w:rsid w:val="009A1439"/>
    <w:rsid w:val="009A2DDA"/>
    <w:rsid w:val="009A3172"/>
    <w:rsid w:val="009A4B59"/>
    <w:rsid w:val="009A5897"/>
    <w:rsid w:val="009A5EB8"/>
    <w:rsid w:val="009A5F24"/>
    <w:rsid w:val="009A6D7D"/>
    <w:rsid w:val="009A7EF0"/>
    <w:rsid w:val="009B0B3E"/>
    <w:rsid w:val="009B1913"/>
    <w:rsid w:val="009B1B9B"/>
    <w:rsid w:val="009B37A6"/>
    <w:rsid w:val="009B387D"/>
    <w:rsid w:val="009B3A57"/>
    <w:rsid w:val="009B3FE6"/>
    <w:rsid w:val="009B4338"/>
    <w:rsid w:val="009B5A59"/>
    <w:rsid w:val="009B6657"/>
    <w:rsid w:val="009C5D69"/>
    <w:rsid w:val="009C743F"/>
    <w:rsid w:val="009D0EB5"/>
    <w:rsid w:val="009D14F9"/>
    <w:rsid w:val="009D219A"/>
    <w:rsid w:val="009D2B74"/>
    <w:rsid w:val="009D31A6"/>
    <w:rsid w:val="009D4561"/>
    <w:rsid w:val="009E175D"/>
    <w:rsid w:val="009E3CC2"/>
    <w:rsid w:val="009E5372"/>
    <w:rsid w:val="009E5773"/>
    <w:rsid w:val="009E725C"/>
    <w:rsid w:val="009E75A6"/>
    <w:rsid w:val="009E76E4"/>
    <w:rsid w:val="009F06BD"/>
    <w:rsid w:val="009F087C"/>
    <w:rsid w:val="009F210D"/>
    <w:rsid w:val="009F2A02"/>
    <w:rsid w:val="009F2A4D"/>
    <w:rsid w:val="009F625E"/>
    <w:rsid w:val="009F721E"/>
    <w:rsid w:val="009F75BB"/>
    <w:rsid w:val="00A007D7"/>
    <w:rsid w:val="00A00828"/>
    <w:rsid w:val="00A01978"/>
    <w:rsid w:val="00A029BD"/>
    <w:rsid w:val="00A03213"/>
    <w:rsid w:val="00A03290"/>
    <w:rsid w:val="00A032CA"/>
    <w:rsid w:val="00A04F50"/>
    <w:rsid w:val="00A0537B"/>
    <w:rsid w:val="00A05882"/>
    <w:rsid w:val="00A07490"/>
    <w:rsid w:val="00A0787A"/>
    <w:rsid w:val="00A10655"/>
    <w:rsid w:val="00A1264D"/>
    <w:rsid w:val="00A2012F"/>
    <w:rsid w:val="00A2171C"/>
    <w:rsid w:val="00A22C38"/>
    <w:rsid w:val="00A23260"/>
    <w:rsid w:val="00A25193"/>
    <w:rsid w:val="00A2566D"/>
    <w:rsid w:val="00A31529"/>
    <w:rsid w:val="00A31AE8"/>
    <w:rsid w:val="00A33351"/>
    <w:rsid w:val="00A33388"/>
    <w:rsid w:val="00A3514D"/>
    <w:rsid w:val="00A355D0"/>
    <w:rsid w:val="00A35E5B"/>
    <w:rsid w:val="00A3739D"/>
    <w:rsid w:val="00A37630"/>
    <w:rsid w:val="00A37DDA"/>
    <w:rsid w:val="00A43AB1"/>
    <w:rsid w:val="00A45D3A"/>
    <w:rsid w:val="00A4661F"/>
    <w:rsid w:val="00A46E95"/>
    <w:rsid w:val="00A477B2"/>
    <w:rsid w:val="00A50DC6"/>
    <w:rsid w:val="00A529D2"/>
    <w:rsid w:val="00A555DF"/>
    <w:rsid w:val="00A55E53"/>
    <w:rsid w:val="00A60555"/>
    <w:rsid w:val="00A60A8B"/>
    <w:rsid w:val="00A61D30"/>
    <w:rsid w:val="00A62162"/>
    <w:rsid w:val="00A64A26"/>
    <w:rsid w:val="00A64C78"/>
    <w:rsid w:val="00A702EA"/>
    <w:rsid w:val="00A70AED"/>
    <w:rsid w:val="00A70D8E"/>
    <w:rsid w:val="00A715F1"/>
    <w:rsid w:val="00A71922"/>
    <w:rsid w:val="00A72346"/>
    <w:rsid w:val="00A73219"/>
    <w:rsid w:val="00A800A0"/>
    <w:rsid w:val="00A8043B"/>
    <w:rsid w:val="00A837DC"/>
    <w:rsid w:val="00A8436B"/>
    <w:rsid w:val="00A8735F"/>
    <w:rsid w:val="00A925EC"/>
    <w:rsid w:val="00A929AA"/>
    <w:rsid w:val="00A92B6B"/>
    <w:rsid w:val="00A940EA"/>
    <w:rsid w:val="00A9417A"/>
    <w:rsid w:val="00A948D5"/>
    <w:rsid w:val="00A94FEB"/>
    <w:rsid w:val="00AA0B46"/>
    <w:rsid w:val="00AA114D"/>
    <w:rsid w:val="00AA133E"/>
    <w:rsid w:val="00AA361E"/>
    <w:rsid w:val="00AA376C"/>
    <w:rsid w:val="00AA4FDC"/>
    <w:rsid w:val="00AA541E"/>
    <w:rsid w:val="00AA675A"/>
    <w:rsid w:val="00AA7F61"/>
    <w:rsid w:val="00AB0679"/>
    <w:rsid w:val="00AB3964"/>
    <w:rsid w:val="00AB4B3E"/>
    <w:rsid w:val="00AB59AA"/>
    <w:rsid w:val="00AC33E7"/>
    <w:rsid w:val="00AC3482"/>
    <w:rsid w:val="00AC53A6"/>
    <w:rsid w:val="00AC7226"/>
    <w:rsid w:val="00AC751B"/>
    <w:rsid w:val="00AD0DA4"/>
    <w:rsid w:val="00AD302D"/>
    <w:rsid w:val="00AD4169"/>
    <w:rsid w:val="00AD439F"/>
    <w:rsid w:val="00AD4FF8"/>
    <w:rsid w:val="00AD7FC7"/>
    <w:rsid w:val="00AE1427"/>
    <w:rsid w:val="00AE1A12"/>
    <w:rsid w:val="00AE25C6"/>
    <w:rsid w:val="00AE2B59"/>
    <w:rsid w:val="00AE306C"/>
    <w:rsid w:val="00AE4C39"/>
    <w:rsid w:val="00AE56B6"/>
    <w:rsid w:val="00AE7A46"/>
    <w:rsid w:val="00AF1F5B"/>
    <w:rsid w:val="00AF6347"/>
    <w:rsid w:val="00B01231"/>
    <w:rsid w:val="00B02EF1"/>
    <w:rsid w:val="00B0662A"/>
    <w:rsid w:val="00B0680B"/>
    <w:rsid w:val="00B07C97"/>
    <w:rsid w:val="00B10EF0"/>
    <w:rsid w:val="00B11ECC"/>
    <w:rsid w:val="00B124CB"/>
    <w:rsid w:val="00B130B3"/>
    <w:rsid w:val="00B13162"/>
    <w:rsid w:val="00B1563B"/>
    <w:rsid w:val="00B15754"/>
    <w:rsid w:val="00B170A0"/>
    <w:rsid w:val="00B17B09"/>
    <w:rsid w:val="00B2046E"/>
    <w:rsid w:val="00B20E8B"/>
    <w:rsid w:val="00B21A21"/>
    <w:rsid w:val="00B22618"/>
    <w:rsid w:val="00B257E1"/>
    <w:rsid w:val="00B27BFA"/>
    <w:rsid w:val="00B3014A"/>
    <w:rsid w:val="00B312F8"/>
    <w:rsid w:val="00B32CFF"/>
    <w:rsid w:val="00B343CC"/>
    <w:rsid w:val="00B34E13"/>
    <w:rsid w:val="00B378E3"/>
    <w:rsid w:val="00B47BE9"/>
    <w:rsid w:val="00B47ED9"/>
    <w:rsid w:val="00B5084A"/>
    <w:rsid w:val="00B536C3"/>
    <w:rsid w:val="00B55154"/>
    <w:rsid w:val="00B614F7"/>
    <w:rsid w:val="00B616F1"/>
    <w:rsid w:val="00B61B26"/>
    <w:rsid w:val="00B62252"/>
    <w:rsid w:val="00B63022"/>
    <w:rsid w:val="00B63787"/>
    <w:rsid w:val="00B65F79"/>
    <w:rsid w:val="00B66B18"/>
    <w:rsid w:val="00B675B2"/>
    <w:rsid w:val="00B744B6"/>
    <w:rsid w:val="00B81261"/>
    <w:rsid w:val="00B81397"/>
    <w:rsid w:val="00B815DF"/>
    <w:rsid w:val="00B8223E"/>
    <w:rsid w:val="00B832AE"/>
    <w:rsid w:val="00B84134"/>
    <w:rsid w:val="00B857E5"/>
    <w:rsid w:val="00B86678"/>
    <w:rsid w:val="00B90EA7"/>
    <w:rsid w:val="00B90FEC"/>
    <w:rsid w:val="00B9127C"/>
    <w:rsid w:val="00B92F9B"/>
    <w:rsid w:val="00B933AF"/>
    <w:rsid w:val="00B93EF1"/>
    <w:rsid w:val="00B941B3"/>
    <w:rsid w:val="00B96513"/>
    <w:rsid w:val="00B96EB2"/>
    <w:rsid w:val="00BA1D47"/>
    <w:rsid w:val="00BA220F"/>
    <w:rsid w:val="00BA3EBA"/>
    <w:rsid w:val="00BA4937"/>
    <w:rsid w:val="00BA593E"/>
    <w:rsid w:val="00BA66F0"/>
    <w:rsid w:val="00BA6CB1"/>
    <w:rsid w:val="00BA7352"/>
    <w:rsid w:val="00BA7502"/>
    <w:rsid w:val="00BA7DC7"/>
    <w:rsid w:val="00BB043F"/>
    <w:rsid w:val="00BB10F4"/>
    <w:rsid w:val="00BB1F33"/>
    <w:rsid w:val="00BB2239"/>
    <w:rsid w:val="00BB299F"/>
    <w:rsid w:val="00BB2AE7"/>
    <w:rsid w:val="00BB6464"/>
    <w:rsid w:val="00BB7258"/>
    <w:rsid w:val="00BC04FC"/>
    <w:rsid w:val="00BC11FE"/>
    <w:rsid w:val="00BC1BB8"/>
    <w:rsid w:val="00BC46C6"/>
    <w:rsid w:val="00BC499B"/>
    <w:rsid w:val="00BC4C28"/>
    <w:rsid w:val="00BD1BE1"/>
    <w:rsid w:val="00BD3826"/>
    <w:rsid w:val="00BD7FE1"/>
    <w:rsid w:val="00BE37CA"/>
    <w:rsid w:val="00BE4E32"/>
    <w:rsid w:val="00BE5A9F"/>
    <w:rsid w:val="00BE6144"/>
    <w:rsid w:val="00BE635A"/>
    <w:rsid w:val="00BF1CA6"/>
    <w:rsid w:val="00BF2ABB"/>
    <w:rsid w:val="00BF2B37"/>
    <w:rsid w:val="00BF5099"/>
    <w:rsid w:val="00BF60ED"/>
    <w:rsid w:val="00BF7766"/>
    <w:rsid w:val="00C02C8C"/>
    <w:rsid w:val="00C02DB8"/>
    <w:rsid w:val="00C10F10"/>
    <w:rsid w:val="00C13C3C"/>
    <w:rsid w:val="00C14BD4"/>
    <w:rsid w:val="00C15D4D"/>
    <w:rsid w:val="00C175DC"/>
    <w:rsid w:val="00C17E75"/>
    <w:rsid w:val="00C200D9"/>
    <w:rsid w:val="00C20AF7"/>
    <w:rsid w:val="00C20D7A"/>
    <w:rsid w:val="00C2258E"/>
    <w:rsid w:val="00C2718A"/>
    <w:rsid w:val="00C30171"/>
    <w:rsid w:val="00C309D8"/>
    <w:rsid w:val="00C31340"/>
    <w:rsid w:val="00C3234A"/>
    <w:rsid w:val="00C3467B"/>
    <w:rsid w:val="00C34AE6"/>
    <w:rsid w:val="00C405BE"/>
    <w:rsid w:val="00C4580A"/>
    <w:rsid w:val="00C4605B"/>
    <w:rsid w:val="00C50073"/>
    <w:rsid w:val="00C50395"/>
    <w:rsid w:val="00C5139E"/>
    <w:rsid w:val="00C5505D"/>
    <w:rsid w:val="00C572E8"/>
    <w:rsid w:val="00C6075A"/>
    <w:rsid w:val="00C6076C"/>
    <w:rsid w:val="00C60CF3"/>
    <w:rsid w:val="00C61AFA"/>
    <w:rsid w:val="00C61C42"/>
    <w:rsid w:val="00C62099"/>
    <w:rsid w:val="00C64EA3"/>
    <w:rsid w:val="00C72867"/>
    <w:rsid w:val="00C75E81"/>
    <w:rsid w:val="00C76558"/>
    <w:rsid w:val="00C77EDF"/>
    <w:rsid w:val="00C82095"/>
    <w:rsid w:val="00C86609"/>
    <w:rsid w:val="00C918C9"/>
    <w:rsid w:val="00C92AFA"/>
    <w:rsid w:val="00C92B4C"/>
    <w:rsid w:val="00C954F6"/>
    <w:rsid w:val="00C967EA"/>
    <w:rsid w:val="00C97BF2"/>
    <w:rsid w:val="00C97E19"/>
    <w:rsid w:val="00CA1E20"/>
    <w:rsid w:val="00CA2901"/>
    <w:rsid w:val="00CA391F"/>
    <w:rsid w:val="00CA6BC5"/>
    <w:rsid w:val="00CA775E"/>
    <w:rsid w:val="00CB05FD"/>
    <w:rsid w:val="00CB085F"/>
    <w:rsid w:val="00CB14D4"/>
    <w:rsid w:val="00CB5040"/>
    <w:rsid w:val="00CB53FA"/>
    <w:rsid w:val="00CB6334"/>
    <w:rsid w:val="00CB7869"/>
    <w:rsid w:val="00CC0843"/>
    <w:rsid w:val="00CC0D13"/>
    <w:rsid w:val="00CC1FFA"/>
    <w:rsid w:val="00CC564F"/>
    <w:rsid w:val="00CC61CD"/>
    <w:rsid w:val="00CC6286"/>
    <w:rsid w:val="00CC73CA"/>
    <w:rsid w:val="00CC76D0"/>
    <w:rsid w:val="00CD2658"/>
    <w:rsid w:val="00CD42CA"/>
    <w:rsid w:val="00CD5011"/>
    <w:rsid w:val="00CD5DC4"/>
    <w:rsid w:val="00CD7E5C"/>
    <w:rsid w:val="00CE15DD"/>
    <w:rsid w:val="00CE5C37"/>
    <w:rsid w:val="00CE5CEC"/>
    <w:rsid w:val="00CE640F"/>
    <w:rsid w:val="00CE69F9"/>
    <w:rsid w:val="00CE78AD"/>
    <w:rsid w:val="00CF0FE5"/>
    <w:rsid w:val="00CF3259"/>
    <w:rsid w:val="00CF540E"/>
    <w:rsid w:val="00CF6A1E"/>
    <w:rsid w:val="00CF7D9C"/>
    <w:rsid w:val="00D00979"/>
    <w:rsid w:val="00D02F07"/>
    <w:rsid w:val="00D056A0"/>
    <w:rsid w:val="00D069CB"/>
    <w:rsid w:val="00D069D3"/>
    <w:rsid w:val="00D106D7"/>
    <w:rsid w:val="00D10DFA"/>
    <w:rsid w:val="00D11AE1"/>
    <w:rsid w:val="00D14035"/>
    <w:rsid w:val="00D15F36"/>
    <w:rsid w:val="00D178B3"/>
    <w:rsid w:val="00D20E2F"/>
    <w:rsid w:val="00D21364"/>
    <w:rsid w:val="00D23F95"/>
    <w:rsid w:val="00D275AC"/>
    <w:rsid w:val="00D27DF7"/>
    <w:rsid w:val="00D3052F"/>
    <w:rsid w:val="00D30E54"/>
    <w:rsid w:val="00D3565C"/>
    <w:rsid w:val="00D36570"/>
    <w:rsid w:val="00D36A49"/>
    <w:rsid w:val="00D43E31"/>
    <w:rsid w:val="00D44DA3"/>
    <w:rsid w:val="00D46A5F"/>
    <w:rsid w:val="00D46EDA"/>
    <w:rsid w:val="00D47444"/>
    <w:rsid w:val="00D47AFB"/>
    <w:rsid w:val="00D505F4"/>
    <w:rsid w:val="00D517C6"/>
    <w:rsid w:val="00D52F3A"/>
    <w:rsid w:val="00D5594B"/>
    <w:rsid w:val="00D55B96"/>
    <w:rsid w:val="00D57EA9"/>
    <w:rsid w:val="00D6043E"/>
    <w:rsid w:val="00D6256B"/>
    <w:rsid w:val="00D62D3D"/>
    <w:rsid w:val="00D643E0"/>
    <w:rsid w:val="00D6610F"/>
    <w:rsid w:val="00D66B5C"/>
    <w:rsid w:val="00D71D84"/>
    <w:rsid w:val="00D72464"/>
    <w:rsid w:val="00D72B83"/>
    <w:rsid w:val="00D746CB"/>
    <w:rsid w:val="00D75B3A"/>
    <w:rsid w:val="00D768EB"/>
    <w:rsid w:val="00D76C63"/>
    <w:rsid w:val="00D77450"/>
    <w:rsid w:val="00D80BF8"/>
    <w:rsid w:val="00D80E2A"/>
    <w:rsid w:val="00D82C40"/>
    <w:rsid w:val="00D82D1E"/>
    <w:rsid w:val="00D832D9"/>
    <w:rsid w:val="00D83C11"/>
    <w:rsid w:val="00D84A5F"/>
    <w:rsid w:val="00D90F00"/>
    <w:rsid w:val="00D927FA"/>
    <w:rsid w:val="00D937F1"/>
    <w:rsid w:val="00D94DDB"/>
    <w:rsid w:val="00D954BF"/>
    <w:rsid w:val="00D9675B"/>
    <w:rsid w:val="00D96D23"/>
    <w:rsid w:val="00D975C0"/>
    <w:rsid w:val="00D97CB8"/>
    <w:rsid w:val="00DA0AFE"/>
    <w:rsid w:val="00DA1695"/>
    <w:rsid w:val="00DA2A10"/>
    <w:rsid w:val="00DA3032"/>
    <w:rsid w:val="00DA3863"/>
    <w:rsid w:val="00DA5285"/>
    <w:rsid w:val="00DA56AF"/>
    <w:rsid w:val="00DA6F8D"/>
    <w:rsid w:val="00DB05F5"/>
    <w:rsid w:val="00DB0C34"/>
    <w:rsid w:val="00DB191D"/>
    <w:rsid w:val="00DB2D58"/>
    <w:rsid w:val="00DB4F91"/>
    <w:rsid w:val="00DB7D77"/>
    <w:rsid w:val="00DB7E16"/>
    <w:rsid w:val="00DC09CF"/>
    <w:rsid w:val="00DC1B16"/>
    <w:rsid w:val="00DC2393"/>
    <w:rsid w:val="00DC3117"/>
    <w:rsid w:val="00DC3581"/>
    <w:rsid w:val="00DC444E"/>
    <w:rsid w:val="00DC4721"/>
    <w:rsid w:val="00DC5471"/>
    <w:rsid w:val="00DC5DD9"/>
    <w:rsid w:val="00DC637A"/>
    <w:rsid w:val="00DC6D2D"/>
    <w:rsid w:val="00DC78A0"/>
    <w:rsid w:val="00DD4B15"/>
    <w:rsid w:val="00DD5BB5"/>
    <w:rsid w:val="00DD72A8"/>
    <w:rsid w:val="00DD75BD"/>
    <w:rsid w:val="00DD7F28"/>
    <w:rsid w:val="00DE0474"/>
    <w:rsid w:val="00DE0EF4"/>
    <w:rsid w:val="00DE2168"/>
    <w:rsid w:val="00DE31FC"/>
    <w:rsid w:val="00DE33B5"/>
    <w:rsid w:val="00DE5214"/>
    <w:rsid w:val="00DE5AE8"/>
    <w:rsid w:val="00DE5E18"/>
    <w:rsid w:val="00DE620B"/>
    <w:rsid w:val="00DE661C"/>
    <w:rsid w:val="00DE69B7"/>
    <w:rsid w:val="00DE71BE"/>
    <w:rsid w:val="00DF0487"/>
    <w:rsid w:val="00DF270A"/>
    <w:rsid w:val="00DF29B8"/>
    <w:rsid w:val="00DF3D2C"/>
    <w:rsid w:val="00DF3F9A"/>
    <w:rsid w:val="00DF5EA4"/>
    <w:rsid w:val="00DF74BF"/>
    <w:rsid w:val="00E02681"/>
    <w:rsid w:val="00E02792"/>
    <w:rsid w:val="00E02912"/>
    <w:rsid w:val="00E02F58"/>
    <w:rsid w:val="00E034D8"/>
    <w:rsid w:val="00E03F08"/>
    <w:rsid w:val="00E04CC0"/>
    <w:rsid w:val="00E07305"/>
    <w:rsid w:val="00E10DE7"/>
    <w:rsid w:val="00E14024"/>
    <w:rsid w:val="00E14CBA"/>
    <w:rsid w:val="00E154F4"/>
    <w:rsid w:val="00E15816"/>
    <w:rsid w:val="00E160D5"/>
    <w:rsid w:val="00E22C25"/>
    <w:rsid w:val="00E2411A"/>
    <w:rsid w:val="00E25166"/>
    <w:rsid w:val="00E25C61"/>
    <w:rsid w:val="00E30556"/>
    <w:rsid w:val="00E307F1"/>
    <w:rsid w:val="00E30981"/>
    <w:rsid w:val="00E311E0"/>
    <w:rsid w:val="00E31A97"/>
    <w:rsid w:val="00E320D3"/>
    <w:rsid w:val="00E32846"/>
    <w:rsid w:val="00E33136"/>
    <w:rsid w:val="00E34D54"/>
    <w:rsid w:val="00E34D7C"/>
    <w:rsid w:val="00E34EE5"/>
    <w:rsid w:val="00E35738"/>
    <w:rsid w:val="00E35A69"/>
    <w:rsid w:val="00E36797"/>
    <w:rsid w:val="00E3723D"/>
    <w:rsid w:val="00E37783"/>
    <w:rsid w:val="00E37B17"/>
    <w:rsid w:val="00E4067A"/>
    <w:rsid w:val="00E42B0A"/>
    <w:rsid w:val="00E44C89"/>
    <w:rsid w:val="00E458D7"/>
    <w:rsid w:val="00E4681D"/>
    <w:rsid w:val="00E47A54"/>
    <w:rsid w:val="00E505F6"/>
    <w:rsid w:val="00E61BA2"/>
    <w:rsid w:val="00E6403F"/>
    <w:rsid w:val="00E65393"/>
    <w:rsid w:val="00E664D2"/>
    <w:rsid w:val="00E70A6D"/>
    <w:rsid w:val="00E70F66"/>
    <w:rsid w:val="00E71434"/>
    <w:rsid w:val="00E71558"/>
    <w:rsid w:val="00E722D0"/>
    <w:rsid w:val="00E733AB"/>
    <w:rsid w:val="00E75355"/>
    <w:rsid w:val="00E7563B"/>
    <w:rsid w:val="00E823DA"/>
    <w:rsid w:val="00E824A9"/>
    <w:rsid w:val="00E82CA2"/>
    <w:rsid w:val="00E83E92"/>
    <w:rsid w:val="00E84C5A"/>
    <w:rsid w:val="00E858CF"/>
    <w:rsid w:val="00E861DB"/>
    <w:rsid w:val="00E9165F"/>
    <w:rsid w:val="00E92611"/>
    <w:rsid w:val="00E93406"/>
    <w:rsid w:val="00E9556A"/>
    <w:rsid w:val="00E956C5"/>
    <w:rsid w:val="00E95C39"/>
    <w:rsid w:val="00E9731C"/>
    <w:rsid w:val="00E975B2"/>
    <w:rsid w:val="00EA0C34"/>
    <w:rsid w:val="00EA0DF4"/>
    <w:rsid w:val="00EA0F68"/>
    <w:rsid w:val="00EA1144"/>
    <w:rsid w:val="00EA2461"/>
    <w:rsid w:val="00EA2C39"/>
    <w:rsid w:val="00EA467E"/>
    <w:rsid w:val="00EA6EED"/>
    <w:rsid w:val="00EB07E8"/>
    <w:rsid w:val="00EB0A96"/>
    <w:rsid w:val="00EB2F70"/>
    <w:rsid w:val="00EB4B45"/>
    <w:rsid w:val="00EB4D38"/>
    <w:rsid w:val="00EB4F2D"/>
    <w:rsid w:val="00EB77F9"/>
    <w:rsid w:val="00EC2F78"/>
    <w:rsid w:val="00EC5769"/>
    <w:rsid w:val="00EC594A"/>
    <w:rsid w:val="00EC599B"/>
    <w:rsid w:val="00EC7D00"/>
    <w:rsid w:val="00EC7FDA"/>
    <w:rsid w:val="00ED0304"/>
    <w:rsid w:val="00ED285C"/>
    <w:rsid w:val="00ED2DEA"/>
    <w:rsid w:val="00ED487B"/>
    <w:rsid w:val="00ED4D16"/>
    <w:rsid w:val="00ED7332"/>
    <w:rsid w:val="00ED769A"/>
    <w:rsid w:val="00EE135A"/>
    <w:rsid w:val="00EE29CD"/>
    <w:rsid w:val="00EE2F5E"/>
    <w:rsid w:val="00EE321F"/>
    <w:rsid w:val="00EE38FA"/>
    <w:rsid w:val="00EE3E2C"/>
    <w:rsid w:val="00EE3EB7"/>
    <w:rsid w:val="00EE5482"/>
    <w:rsid w:val="00EE5D23"/>
    <w:rsid w:val="00EF3581"/>
    <w:rsid w:val="00EF3CA4"/>
    <w:rsid w:val="00EF5FE2"/>
    <w:rsid w:val="00EF6654"/>
    <w:rsid w:val="00EF69BE"/>
    <w:rsid w:val="00EF7720"/>
    <w:rsid w:val="00F01100"/>
    <w:rsid w:val="00F0124F"/>
    <w:rsid w:val="00F014DA"/>
    <w:rsid w:val="00F02C30"/>
    <w:rsid w:val="00F03298"/>
    <w:rsid w:val="00F04D37"/>
    <w:rsid w:val="00F0788E"/>
    <w:rsid w:val="00F10032"/>
    <w:rsid w:val="00F10F0F"/>
    <w:rsid w:val="00F126D7"/>
    <w:rsid w:val="00F12ABD"/>
    <w:rsid w:val="00F13FC2"/>
    <w:rsid w:val="00F15130"/>
    <w:rsid w:val="00F16034"/>
    <w:rsid w:val="00F17DE8"/>
    <w:rsid w:val="00F22175"/>
    <w:rsid w:val="00F24730"/>
    <w:rsid w:val="00F26C51"/>
    <w:rsid w:val="00F31525"/>
    <w:rsid w:val="00F31E13"/>
    <w:rsid w:val="00F31EB9"/>
    <w:rsid w:val="00F324F2"/>
    <w:rsid w:val="00F32F3E"/>
    <w:rsid w:val="00F338D1"/>
    <w:rsid w:val="00F34831"/>
    <w:rsid w:val="00F365DD"/>
    <w:rsid w:val="00F37BA7"/>
    <w:rsid w:val="00F37BEF"/>
    <w:rsid w:val="00F477C2"/>
    <w:rsid w:val="00F511C8"/>
    <w:rsid w:val="00F51DE6"/>
    <w:rsid w:val="00F53AE0"/>
    <w:rsid w:val="00F548F4"/>
    <w:rsid w:val="00F569BD"/>
    <w:rsid w:val="00F60026"/>
    <w:rsid w:val="00F601A8"/>
    <w:rsid w:val="00F60443"/>
    <w:rsid w:val="00F60EFF"/>
    <w:rsid w:val="00F62679"/>
    <w:rsid w:val="00F628A7"/>
    <w:rsid w:val="00F6489C"/>
    <w:rsid w:val="00F64F56"/>
    <w:rsid w:val="00F669A7"/>
    <w:rsid w:val="00F66AE4"/>
    <w:rsid w:val="00F70692"/>
    <w:rsid w:val="00F71854"/>
    <w:rsid w:val="00F7357B"/>
    <w:rsid w:val="00F73CB9"/>
    <w:rsid w:val="00F73E90"/>
    <w:rsid w:val="00F837DF"/>
    <w:rsid w:val="00F84071"/>
    <w:rsid w:val="00F87933"/>
    <w:rsid w:val="00F92B26"/>
    <w:rsid w:val="00F93FA3"/>
    <w:rsid w:val="00F942CE"/>
    <w:rsid w:val="00F94398"/>
    <w:rsid w:val="00F943BD"/>
    <w:rsid w:val="00F94D5B"/>
    <w:rsid w:val="00F94F5F"/>
    <w:rsid w:val="00F95005"/>
    <w:rsid w:val="00F97074"/>
    <w:rsid w:val="00FA0A42"/>
    <w:rsid w:val="00FA0F74"/>
    <w:rsid w:val="00FA1A93"/>
    <w:rsid w:val="00FA1EAB"/>
    <w:rsid w:val="00FA34DD"/>
    <w:rsid w:val="00FA4817"/>
    <w:rsid w:val="00FA6ACA"/>
    <w:rsid w:val="00FA6F45"/>
    <w:rsid w:val="00FA7AE3"/>
    <w:rsid w:val="00FB093F"/>
    <w:rsid w:val="00FB0965"/>
    <w:rsid w:val="00FB2041"/>
    <w:rsid w:val="00FB264E"/>
    <w:rsid w:val="00FB2B56"/>
    <w:rsid w:val="00FB3713"/>
    <w:rsid w:val="00FB3FEF"/>
    <w:rsid w:val="00FB711E"/>
    <w:rsid w:val="00FC12BF"/>
    <w:rsid w:val="00FC13D8"/>
    <w:rsid w:val="00FC349D"/>
    <w:rsid w:val="00FC40DD"/>
    <w:rsid w:val="00FC4984"/>
    <w:rsid w:val="00FC68FC"/>
    <w:rsid w:val="00FC6947"/>
    <w:rsid w:val="00FC6D2E"/>
    <w:rsid w:val="00FC6F3B"/>
    <w:rsid w:val="00FD0554"/>
    <w:rsid w:val="00FD0E8E"/>
    <w:rsid w:val="00FD1410"/>
    <w:rsid w:val="00FD3E6F"/>
    <w:rsid w:val="00FD4713"/>
    <w:rsid w:val="00FD51B9"/>
    <w:rsid w:val="00FD6272"/>
    <w:rsid w:val="00FD6BEA"/>
    <w:rsid w:val="00FE0293"/>
    <w:rsid w:val="00FE277C"/>
    <w:rsid w:val="00FE2A39"/>
    <w:rsid w:val="00FE451D"/>
    <w:rsid w:val="00FE4BE9"/>
    <w:rsid w:val="00FE4E4E"/>
    <w:rsid w:val="00FE51B3"/>
    <w:rsid w:val="00FE6E50"/>
    <w:rsid w:val="00FE6E8C"/>
    <w:rsid w:val="00FF606C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C871E1"/>
  <w15:docId w15:val="{54766142-34CF-435E-A584-E99CE6AC5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5EA4"/>
  </w:style>
  <w:style w:type="paragraph" w:styleId="Heading1">
    <w:name w:val="heading 1"/>
    <w:basedOn w:val="Normal"/>
    <w:next w:val="Normal"/>
    <w:link w:val="Heading1Char"/>
    <w:uiPriority w:val="1"/>
    <w:qFormat/>
    <w:rsid w:val="009A5F24"/>
    <w:pPr>
      <w:keepNext/>
      <w:keepLines/>
      <w:spacing w:before="240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9A5F24"/>
    <w:pPr>
      <w:keepNext/>
      <w:keepLines/>
      <w:spacing w:before="240"/>
      <w:outlineLvl w:val="1"/>
    </w:pPr>
    <w:rPr>
      <w:rFonts w:eastAsiaTheme="majorEastAsia" w:cstheme="majorBidi"/>
      <w:b/>
      <w:bCs/>
      <w:iCs/>
      <w:color w:val="60606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1"/>
    <w:qFormat/>
    <w:rsid w:val="009A5F24"/>
    <w:pPr>
      <w:keepNext/>
      <w:keepLines/>
      <w:spacing w:before="240"/>
      <w:outlineLvl w:val="2"/>
    </w:pPr>
    <w:rPr>
      <w:rFonts w:cs="Arial"/>
      <w:b/>
      <w:bCs/>
      <w:sz w:val="24"/>
      <w:szCs w:val="26"/>
    </w:rPr>
  </w:style>
  <w:style w:type="paragraph" w:styleId="Heading4">
    <w:name w:val="heading 4"/>
    <w:basedOn w:val="Normal"/>
    <w:next w:val="Normal"/>
    <w:link w:val="Heading4Char"/>
    <w:uiPriority w:val="1"/>
    <w:qFormat/>
    <w:rsid w:val="009A5F24"/>
    <w:pPr>
      <w:keepNext/>
      <w:keepLines/>
      <w:spacing w:before="240"/>
      <w:outlineLvl w:val="3"/>
    </w:pPr>
    <w:rPr>
      <w:rFonts w:eastAsiaTheme="majorEastAsia" w:cstheme="majorBidi"/>
      <w:b/>
      <w:bCs/>
      <w:iCs/>
      <w:color w:val="606060"/>
    </w:rPr>
  </w:style>
  <w:style w:type="paragraph" w:styleId="Heading5">
    <w:name w:val="heading 5"/>
    <w:basedOn w:val="Normal"/>
    <w:next w:val="Normal"/>
    <w:link w:val="Heading5Char"/>
    <w:uiPriority w:val="9"/>
    <w:rsid w:val="009A5F24"/>
    <w:pPr>
      <w:keepNext/>
      <w:keepLines/>
      <w:outlineLvl w:val="4"/>
    </w:pPr>
    <w:rPr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rsid w:val="009A5F24"/>
    <w:pPr>
      <w:keepNext/>
      <w:keepLines/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9"/>
    <w:rsid w:val="009A5F24"/>
    <w:pPr>
      <w:keepNext/>
      <w:keepLines/>
      <w:outlineLvl w:val="6"/>
    </w:pPr>
    <w:rPr>
      <w:b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rsid w:val="009A5F24"/>
    <w:pPr>
      <w:keepNext/>
      <w:keepLines/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9"/>
    <w:rsid w:val="009A5F24"/>
    <w:pPr>
      <w:keepNext/>
      <w:keepLines/>
      <w:outlineLvl w:val="8"/>
    </w:pPr>
    <w:rPr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5"/>
    <w:rsid w:val="003504FD"/>
  </w:style>
  <w:style w:type="character" w:customStyle="1" w:styleId="Heading1Char">
    <w:name w:val="Heading 1 Char"/>
    <w:basedOn w:val="DefaultParagraphFont"/>
    <w:link w:val="Heading1"/>
    <w:uiPriority w:val="1"/>
    <w:rsid w:val="009A5F24"/>
    <w:rPr>
      <w:rFonts w:eastAsiaTheme="majorEastAsia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9A5F24"/>
    <w:rPr>
      <w:rFonts w:eastAsiaTheme="majorEastAsia" w:cstheme="majorBidi"/>
      <w:b/>
      <w:bCs/>
      <w:iCs/>
      <w:color w:val="606060"/>
      <w:sz w:val="28"/>
      <w:szCs w:val="28"/>
    </w:rPr>
  </w:style>
  <w:style w:type="paragraph" w:styleId="Title">
    <w:name w:val="Title"/>
    <w:next w:val="Normal"/>
    <w:link w:val="TitleChar"/>
    <w:uiPriority w:val="10"/>
    <w:rsid w:val="00A73219"/>
    <w:pPr>
      <w:spacing w:after="240"/>
    </w:pPr>
    <w:rPr>
      <w:rFonts w:ascii="Arial Black" w:eastAsia="Times New Roman" w:hAnsi="Arial Black" w:cs="Arial"/>
      <w:b/>
      <w:color w:val="BC5915"/>
      <w:sz w:val="36"/>
      <w:szCs w:val="36"/>
      <w:lang w:eastAsia="en-AU"/>
    </w:rPr>
  </w:style>
  <w:style w:type="character" w:customStyle="1" w:styleId="TitleChar">
    <w:name w:val="Title Char"/>
    <w:basedOn w:val="DefaultParagraphFont"/>
    <w:link w:val="Title"/>
    <w:uiPriority w:val="10"/>
    <w:rsid w:val="00A73219"/>
    <w:rPr>
      <w:rFonts w:ascii="Arial Black" w:eastAsia="Times New Roman" w:hAnsi="Arial Black" w:cs="Arial"/>
      <w:b/>
      <w:color w:val="BC5915"/>
      <w:sz w:val="36"/>
      <w:szCs w:val="36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1"/>
    <w:rsid w:val="009A5F24"/>
    <w:rPr>
      <w:rFonts w:cs="Arial"/>
      <w:b/>
      <w:bCs/>
      <w:sz w:val="24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Header">
    <w:name w:val="header"/>
    <w:aliases w:val="NTG Page Header"/>
    <w:basedOn w:val="Normal"/>
    <w:next w:val="Normal"/>
    <w:link w:val="HeaderChar"/>
    <w:uiPriority w:val="11"/>
    <w:rsid w:val="005A4AC0"/>
    <w:pPr>
      <w:tabs>
        <w:tab w:val="center" w:pos="4513"/>
        <w:tab w:val="right" w:pos="9026"/>
      </w:tabs>
      <w:jc w:val="right"/>
    </w:pPr>
    <w:rPr>
      <w:b/>
    </w:rPr>
  </w:style>
  <w:style w:type="character" w:customStyle="1" w:styleId="HeaderChar">
    <w:name w:val="Header Char"/>
    <w:aliases w:val="NTG Page Header Char"/>
    <w:basedOn w:val="DefaultParagraphFont"/>
    <w:link w:val="Header"/>
    <w:uiPriority w:val="11"/>
    <w:rsid w:val="00595386"/>
    <w:rPr>
      <w:rFonts w:ascii="Arial" w:eastAsia="Times New Roman" w:hAnsi="Arial"/>
      <w:b/>
      <w:sz w:val="22"/>
      <w:lang w:eastAsia="en-AU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rsid w:val="004864DE"/>
    <w:pPr>
      <w:spacing w:after="0"/>
    </w:pPr>
    <w:rPr>
      <w:b/>
      <w:sz w:val="32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1"/>
    <w:rsid w:val="009A5F24"/>
    <w:rPr>
      <w:rFonts w:eastAsiaTheme="majorEastAsia" w:cstheme="majorBidi"/>
      <w:b/>
      <w:bCs/>
      <w:iCs/>
      <w:color w:val="606060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qFormat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TGFooter1items">
    <w:name w:val="NTG Footer 1 items"/>
    <w:basedOn w:val="Normal"/>
    <w:link w:val="NTGFooter1itemsChar"/>
    <w:uiPriority w:val="7"/>
    <w:rsid w:val="00705C9D"/>
    <w:pPr>
      <w:widowControl w:val="0"/>
      <w:tabs>
        <w:tab w:val="left" w:pos="1778"/>
        <w:tab w:val="right" w:pos="9026"/>
      </w:tabs>
      <w:spacing w:after="0"/>
    </w:pPr>
    <w:rPr>
      <w:rFonts w:cs="Arial"/>
      <w:sz w:val="20"/>
      <w:szCs w:val="16"/>
    </w:rPr>
  </w:style>
  <w:style w:type="paragraph" w:customStyle="1" w:styleId="NTGFooterDepartmentof">
    <w:name w:val="NTG Footer Department of"/>
    <w:link w:val="NTGFooterDepartmentofChar"/>
    <w:uiPriority w:val="7"/>
    <w:rsid w:val="00705C9D"/>
    <w:pPr>
      <w:widowControl w:val="0"/>
      <w:tabs>
        <w:tab w:val="right" w:pos="9026"/>
      </w:tabs>
    </w:pPr>
    <w:rPr>
      <w:rFonts w:cs="Arial"/>
      <w:caps/>
      <w:szCs w:val="16"/>
    </w:rPr>
  </w:style>
  <w:style w:type="paragraph" w:customStyle="1" w:styleId="NTGFooterDepartmentName">
    <w:name w:val="NTG Footer Department Name"/>
    <w:link w:val="NTGFooterDepartmentNameChar"/>
    <w:uiPriority w:val="1"/>
    <w:rsid w:val="00705C9D"/>
    <w:pPr>
      <w:widowControl w:val="0"/>
      <w:tabs>
        <w:tab w:val="right" w:pos="9026"/>
      </w:tabs>
    </w:pPr>
    <w:rPr>
      <w:rFonts w:ascii="Arial Black" w:hAnsi="Arial Black" w:cs="Arial"/>
      <w:caps/>
      <w:szCs w:val="16"/>
    </w:rPr>
  </w:style>
  <w:style w:type="character" w:customStyle="1" w:styleId="NTGFooter1itemsChar">
    <w:name w:val="NTG Footer 1 items Char"/>
    <w:basedOn w:val="DefaultParagraphFont"/>
    <w:link w:val="NTGFooter1items"/>
    <w:uiPriority w:val="7"/>
    <w:rsid w:val="00705C9D"/>
    <w:rPr>
      <w:rFonts w:ascii="Arial" w:hAnsi="Arial" w:cs="Arial"/>
      <w:szCs w:val="16"/>
    </w:rPr>
  </w:style>
  <w:style w:type="character" w:customStyle="1" w:styleId="NTGFooterDepartmentofChar">
    <w:name w:val="NTG Footer Department of Char"/>
    <w:basedOn w:val="DefaultParagraphFont"/>
    <w:link w:val="NTGFooterDepartmentof"/>
    <w:uiPriority w:val="7"/>
    <w:rsid w:val="00705C9D"/>
    <w:rPr>
      <w:rFonts w:ascii="Arial" w:hAnsi="Arial" w:cs="Arial"/>
      <w:caps/>
      <w:szCs w:val="16"/>
    </w:rPr>
  </w:style>
  <w:style w:type="character" w:customStyle="1" w:styleId="NTGFooterDepartmentNameChar">
    <w:name w:val="NTG Footer Department Name Char"/>
    <w:basedOn w:val="NTGFooterDepartmentofChar"/>
    <w:link w:val="NTGFooterDepartmentName"/>
    <w:uiPriority w:val="1"/>
    <w:rsid w:val="00595386"/>
    <w:rPr>
      <w:rFonts w:ascii="Arial Black" w:hAnsi="Arial Black" w:cs="Arial"/>
      <w:caps/>
      <w:szCs w:val="16"/>
    </w:rPr>
  </w:style>
  <w:style w:type="paragraph" w:customStyle="1" w:styleId="Appendix">
    <w:name w:val="Appendix"/>
    <w:basedOn w:val="Heading1"/>
    <w:next w:val="Normal"/>
    <w:uiPriority w:val="11"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paragraph" w:customStyle="1" w:styleId="NTGFooter2DateVersion">
    <w:name w:val="NTG Footer 2 Date &amp; Version"/>
    <w:basedOn w:val="NTGFooter2deptpagenum"/>
    <w:link w:val="NTGFooter2DateVersionChar"/>
    <w:uiPriority w:val="7"/>
    <w:rsid w:val="002926BC"/>
    <w:pPr>
      <w:spacing w:after="480"/>
    </w:pPr>
  </w:style>
  <w:style w:type="numbering" w:customStyle="1" w:styleId="NTGStandardList">
    <w:name w:val="NTG Standard List"/>
    <w:basedOn w:val="NoList"/>
    <w:rsid w:val="009F2A4D"/>
    <w:pPr>
      <w:numPr>
        <w:numId w:val="1"/>
      </w:numPr>
    </w:p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rsid w:val="009A5F24"/>
    <w:rPr>
      <w:b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rsid w:val="009A5F24"/>
    <w:rPr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9"/>
    <w:rsid w:val="009A5F24"/>
    <w:rPr>
      <w:b/>
      <w:color w:val="000000" w:themeColor="text1"/>
    </w:rPr>
  </w:style>
  <w:style w:type="character" w:customStyle="1" w:styleId="Heading8Char">
    <w:name w:val="Heading 8 Char"/>
    <w:basedOn w:val="DefaultParagraphFont"/>
    <w:link w:val="Heading8"/>
    <w:uiPriority w:val="9"/>
    <w:rsid w:val="009A5F24"/>
    <w:rPr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9"/>
    <w:rsid w:val="009A5F24"/>
    <w:rPr>
      <w:b/>
      <w:color w:val="000000" w:themeColor="text1"/>
    </w:rPr>
  </w:style>
  <w:style w:type="paragraph" w:customStyle="1" w:styleId="NTGFooter2deptpagenum">
    <w:name w:val="NTG Footer 2 dept &amp; page num"/>
    <w:basedOn w:val="Normal"/>
    <w:link w:val="NTGFooter2deptpagenumChar"/>
    <w:uiPriority w:val="7"/>
    <w:rsid w:val="002926BC"/>
    <w:pPr>
      <w:tabs>
        <w:tab w:val="right" w:pos="9639"/>
      </w:tabs>
      <w:spacing w:after="0"/>
    </w:pPr>
    <w:rPr>
      <w:sz w:val="20"/>
    </w:rPr>
  </w:style>
  <w:style w:type="character" w:customStyle="1" w:styleId="NTGFooter2deptpagenumChar">
    <w:name w:val="NTG Footer 2 dept &amp; page num Char"/>
    <w:basedOn w:val="DefaultParagraphFont"/>
    <w:link w:val="NTGFooter2deptpagenum"/>
    <w:uiPriority w:val="7"/>
    <w:rsid w:val="002926BC"/>
    <w:rPr>
      <w:rFonts w:ascii="Arial" w:eastAsia="Times New Roman" w:hAnsi="Arial"/>
      <w:lang w:eastAsia="en-AU"/>
    </w:rPr>
  </w:style>
  <w:style w:type="character" w:customStyle="1" w:styleId="NTGFooter2DateVersionChar">
    <w:name w:val="NTG Footer 2 Date &amp; Version Char"/>
    <w:basedOn w:val="NTGFooter2deptpagenumChar"/>
    <w:link w:val="NTGFooter2DateVersion"/>
    <w:uiPriority w:val="7"/>
    <w:rsid w:val="002926BC"/>
    <w:rPr>
      <w:rFonts w:ascii="Arial" w:eastAsia="Times New Roman" w:hAnsi="Arial"/>
      <w:lang w:eastAsia="en-AU"/>
    </w:rPr>
  </w:style>
  <w:style w:type="numbering" w:customStyle="1" w:styleId="NTGStandardNumList">
    <w:name w:val="NTG Standard Num List"/>
    <w:uiPriority w:val="99"/>
    <w:rsid w:val="007C6D9F"/>
    <w:pPr>
      <w:numPr>
        <w:numId w:val="2"/>
      </w:numPr>
    </w:pPr>
  </w:style>
  <w:style w:type="paragraph" w:styleId="ListNumber">
    <w:name w:val="List Number"/>
    <w:basedOn w:val="Normal"/>
    <w:uiPriority w:val="99"/>
    <w:qFormat/>
    <w:rsid w:val="00A22C38"/>
    <w:pPr>
      <w:numPr>
        <w:numId w:val="7"/>
      </w:numPr>
      <w:spacing w:after="120"/>
    </w:pPr>
  </w:style>
  <w:style w:type="paragraph" w:styleId="ListNumber2">
    <w:name w:val="List Number 2"/>
    <w:basedOn w:val="Normal"/>
    <w:uiPriority w:val="99"/>
    <w:rsid w:val="00A22C38"/>
    <w:pPr>
      <w:numPr>
        <w:ilvl w:val="1"/>
        <w:numId w:val="7"/>
      </w:numPr>
      <w:spacing w:after="120"/>
    </w:pPr>
  </w:style>
  <w:style w:type="paragraph" w:styleId="ListNumber3">
    <w:name w:val="List Number 3"/>
    <w:basedOn w:val="Normal"/>
    <w:uiPriority w:val="99"/>
    <w:rsid w:val="00A22C38"/>
    <w:pPr>
      <w:numPr>
        <w:ilvl w:val="2"/>
        <w:numId w:val="7"/>
      </w:numPr>
      <w:spacing w:after="120"/>
    </w:pPr>
  </w:style>
  <w:style w:type="paragraph" w:styleId="ListNumber4">
    <w:name w:val="List Number 4"/>
    <w:basedOn w:val="Normal"/>
    <w:uiPriority w:val="99"/>
    <w:rsid w:val="00A22C38"/>
    <w:pPr>
      <w:numPr>
        <w:ilvl w:val="3"/>
        <w:numId w:val="7"/>
      </w:numPr>
      <w:spacing w:after="120"/>
    </w:pPr>
  </w:style>
  <w:style w:type="paragraph" w:styleId="ListNumber5">
    <w:name w:val="List Number 5"/>
    <w:basedOn w:val="Normal"/>
    <w:uiPriority w:val="99"/>
    <w:rsid w:val="00A22C38"/>
    <w:pPr>
      <w:numPr>
        <w:ilvl w:val="4"/>
        <w:numId w:val="7"/>
      </w:numPr>
      <w:spacing w:after="120"/>
    </w:pPr>
  </w:style>
  <w:style w:type="paragraph" w:styleId="ListBullet">
    <w:name w:val="List Bullet"/>
    <w:basedOn w:val="Normal"/>
    <w:uiPriority w:val="99"/>
    <w:rsid w:val="003B6A61"/>
    <w:pPr>
      <w:numPr>
        <w:numId w:val="6"/>
      </w:numPr>
      <w:spacing w:after="120"/>
    </w:pPr>
  </w:style>
  <w:style w:type="paragraph" w:styleId="ListBullet2">
    <w:name w:val="List Bullet 2"/>
    <w:basedOn w:val="Normal"/>
    <w:uiPriority w:val="99"/>
    <w:rsid w:val="006847AD"/>
    <w:pPr>
      <w:numPr>
        <w:ilvl w:val="1"/>
        <w:numId w:val="6"/>
      </w:numPr>
      <w:spacing w:after="120"/>
    </w:pPr>
  </w:style>
  <w:style w:type="paragraph" w:styleId="ListBullet3">
    <w:name w:val="List Bullet 3"/>
    <w:basedOn w:val="Normal"/>
    <w:uiPriority w:val="99"/>
    <w:rsid w:val="006847AD"/>
    <w:pPr>
      <w:numPr>
        <w:ilvl w:val="2"/>
        <w:numId w:val="6"/>
      </w:numPr>
      <w:spacing w:after="120"/>
    </w:pPr>
  </w:style>
  <w:style w:type="paragraph" w:styleId="ListBullet4">
    <w:name w:val="List Bullet 4"/>
    <w:basedOn w:val="Normal"/>
    <w:uiPriority w:val="99"/>
    <w:rsid w:val="006847AD"/>
    <w:pPr>
      <w:numPr>
        <w:ilvl w:val="3"/>
        <w:numId w:val="6"/>
      </w:numPr>
      <w:spacing w:after="120"/>
    </w:pPr>
  </w:style>
  <w:style w:type="paragraph" w:styleId="ListBullet5">
    <w:name w:val="List Bullet 5"/>
    <w:basedOn w:val="Normal"/>
    <w:uiPriority w:val="99"/>
    <w:rsid w:val="004E2CB7"/>
    <w:pPr>
      <w:numPr>
        <w:ilvl w:val="4"/>
        <w:numId w:val="6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C02DB8"/>
    <w:pPr>
      <w:tabs>
        <w:tab w:val="right" w:leader="dot" w:pos="8721"/>
      </w:tabs>
      <w:spacing w:after="10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7859CD"/>
    <w:pPr>
      <w:spacing w:after="100"/>
      <w:ind w:left="440"/>
    </w:pPr>
  </w:style>
  <w:style w:type="paragraph" w:customStyle="1" w:styleId="NTGTableBulletList1">
    <w:name w:val="NTG Table Bullet List 1"/>
    <w:semiHidden/>
    <w:qFormat/>
    <w:rsid w:val="002716CD"/>
    <w:pPr>
      <w:numPr>
        <w:numId w:val="8"/>
      </w:numPr>
      <w:spacing w:after="20"/>
    </w:pPr>
  </w:style>
  <w:style w:type="paragraph" w:customStyle="1" w:styleId="NTGTableBulletList2">
    <w:name w:val="NTG Table Bullet List 2"/>
    <w:basedOn w:val="NTGTableBulletList1"/>
    <w:semiHidden/>
    <w:qFormat/>
    <w:rsid w:val="002716CD"/>
    <w:pPr>
      <w:numPr>
        <w:ilvl w:val="1"/>
      </w:numPr>
    </w:pPr>
  </w:style>
  <w:style w:type="paragraph" w:customStyle="1" w:styleId="NTGTableBulletList3">
    <w:name w:val="NTG Table Bullet List 3"/>
    <w:basedOn w:val="NTGTableBulletList2"/>
    <w:semiHidden/>
    <w:qFormat/>
    <w:rsid w:val="002716CD"/>
    <w:pPr>
      <w:numPr>
        <w:ilvl w:val="2"/>
      </w:numPr>
    </w:pPr>
  </w:style>
  <w:style w:type="paragraph" w:customStyle="1" w:styleId="NTGTableBulletList4">
    <w:name w:val="NTG Table Bullet List 4"/>
    <w:basedOn w:val="NTGTableBulletList3"/>
    <w:semiHidden/>
    <w:qFormat/>
    <w:rsid w:val="002716CD"/>
    <w:pPr>
      <w:numPr>
        <w:ilvl w:val="3"/>
      </w:numPr>
    </w:pPr>
  </w:style>
  <w:style w:type="paragraph" w:customStyle="1" w:styleId="NTGTableBulletList5">
    <w:name w:val="NTG Table Bullet List 5"/>
    <w:basedOn w:val="NTGTableBulletList4"/>
    <w:semiHidden/>
    <w:qFormat/>
    <w:rsid w:val="002716CD"/>
    <w:pPr>
      <w:numPr>
        <w:ilvl w:val="4"/>
      </w:numPr>
    </w:pPr>
  </w:style>
  <w:style w:type="paragraph" w:customStyle="1" w:styleId="NTGTableBulletList6">
    <w:name w:val="NTG Table Bullet List 6"/>
    <w:basedOn w:val="NTGTableBulletList5"/>
    <w:semiHidden/>
    <w:qFormat/>
    <w:rsid w:val="001D7CA4"/>
    <w:pPr>
      <w:numPr>
        <w:ilvl w:val="5"/>
      </w:numPr>
    </w:pPr>
  </w:style>
  <w:style w:type="paragraph" w:customStyle="1" w:styleId="NTGTableBulletList7">
    <w:name w:val="NTG Table Bullet List 7"/>
    <w:basedOn w:val="NTGTableBulletList6"/>
    <w:semiHidden/>
    <w:qFormat/>
    <w:rsid w:val="002716CD"/>
    <w:pPr>
      <w:numPr>
        <w:ilvl w:val="6"/>
      </w:numPr>
    </w:pPr>
  </w:style>
  <w:style w:type="paragraph" w:customStyle="1" w:styleId="NTGTableBulletList8">
    <w:name w:val="NTG Table Bullet List 8"/>
    <w:basedOn w:val="NTGTableBulletList7"/>
    <w:semiHidden/>
    <w:qFormat/>
    <w:rsid w:val="002716CD"/>
    <w:pPr>
      <w:numPr>
        <w:ilvl w:val="7"/>
      </w:numPr>
    </w:pPr>
  </w:style>
  <w:style w:type="paragraph" w:customStyle="1" w:styleId="NTGTableBulletList9">
    <w:name w:val="NTG Table Bullet List 9"/>
    <w:basedOn w:val="NTGTableBulletList8"/>
    <w:semiHidden/>
    <w:qFormat/>
    <w:rsid w:val="002716CD"/>
    <w:pPr>
      <w:numPr>
        <w:ilvl w:val="8"/>
      </w:numPr>
    </w:pPr>
  </w:style>
  <w:style w:type="numbering" w:customStyle="1" w:styleId="NTGTableList">
    <w:name w:val="NTG Table List"/>
    <w:uiPriority w:val="99"/>
    <w:rsid w:val="002716CD"/>
    <w:pPr>
      <w:numPr>
        <w:numId w:val="3"/>
      </w:numPr>
    </w:pPr>
  </w:style>
  <w:style w:type="paragraph" w:customStyle="1" w:styleId="NTGTableNumList1">
    <w:name w:val="NTG Table Num List 1"/>
    <w:semiHidden/>
    <w:qFormat/>
    <w:rsid w:val="002716CD"/>
    <w:pPr>
      <w:numPr>
        <w:numId w:val="5"/>
      </w:numPr>
      <w:spacing w:after="20"/>
    </w:pPr>
  </w:style>
  <w:style w:type="paragraph" w:customStyle="1" w:styleId="NTGTableNumList2">
    <w:name w:val="NTG Table Num List 2"/>
    <w:basedOn w:val="NTGTableNumList1"/>
    <w:semiHidden/>
    <w:qFormat/>
    <w:rsid w:val="002716CD"/>
    <w:pPr>
      <w:numPr>
        <w:ilvl w:val="1"/>
      </w:numPr>
    </w:pPr>
  </w:style>
  <w:style w:type="paragraph" w:customStyle="1" w:styleId="NTGTableNumList3">
    <w:name w:val="NTG Table Num List 3"/>
    <w:basedOn w:val="NTGTableNumList2"/>
    <w:semiHidden/>
    <w:qFormat/>
    <w:rsid w:val="002716CD"/>
    <w:pPr>
      <w:numPr>
        <w:ilvl w:val="2"/>
      </w:numPr>
    </w:pPr>
  </w:style>
  <w:style w:type="paragraph" w:customStyle="1" w:styleId="NTGTableNumList4">
    <w:name w:val="NTG Table Num List 4"/>
    <w:basedOn w:val="NTGTableNumList3"/>
    <w:semiHidden/>
    <w:qFormat/>
    <w:rsid w:val="002716CD"/>
    <w:pPr>
      <w:numPr>
        <w:ilvl w:val="3"/>
      </w:numPr>
    </w:pPr>
  </w:style>
  <w:style w:type="paragraph" w:customStyle="1" w:styleId="NTGTableNumList5">
    <w:name w:val="NTG Table Num List 5"/>
    <w:basedOn w:val="NTGTableNumList4"/>
    <w:semiHidden/>
    <w:qFormat/>
    <w:rsid w:val="002716CD"/>
    <w:pPr>
      <w:numPr>
        <w:ilvl w:val="4"/>
      </w:numPr>
    </w:pPr>
  </w:style>
  <w:style w:type="paragraph" w:customStyle="1" w:styleId="NTGTableNumList6">
    <w:name w:val="NTG Table Num List 6"/>
    <w:basedOn w:val="NTGTableNumList5"/>
    <w:semiHidden/>
    <w:qFormat/>
    <w:rsid w:val="002716CD"/>
    <w:pPr>
      <w:numPr>
        <w:ilvl w:val="5"/>
      </w:numPr>
    </w:pPr>
  </w:style>
  <w:style w:type="paragraph" w:customStyle="1" w:styleId="NTGTableNumList7">
    <w:name w:val="NTG Table Num List 7"/>
    <w:basedOn w:val="NTGTableNumList6"/>
    <w:semiHidden/>
    <w:qFormat/>
    <w:rsid w:val="002716CD"/>
    <w:pPr>
      <w:numPr>
        <w:ilvl w:val="6"/>
      </w:numPr>
    </w:pPr>
  </w:style>
  <w:style w:type="paragraph" w:customStyle="1" w:styleId="NTGTableNumList8">
    <w:name w:val="NTG Table Num List 8"/>
    <w:basedOn w:val="NTGTableNumList7"/>
    <w:semiHidden/>
    <w:qFormat/>
    <w:rsid w:val="002716CD"/>
    <w:pPr>
      <w:numPr>
        <w:ilvl w:val="7"/>
      </w:numPr>
    </w:pPr>
  </w:style>
  <w:style w:type="paragraph" w:customStyle="1" w:styleId="NTGTableNumList9">
    <w:name w:val="NTG Table Num List 9"/>
    <w:basedOn w:val="NTGTableNumList8"/>
    <w:semiHidden/>
    <w:qFormat/>
    <w:rsid w:val="002716CD"/>
    <w:pPr>
      <w:numPr>
        <w:ilvl w:val="8"/>
      </w:numPr>
    </w:pPr>
  </w:style>
  <w:style w:type="numbering" w:customStyle="1" w:styleId="NTGTableNumList">
    <w:name w:val="NTG Table Num List"/>
    <w:uiPriority w:val="99"/>
    <w:rsid w:val="002716CD"/>
    <w:pPr>
      <w:numPr>
        <w:numId w:val="4"/>
      </w:numPr>
    </w:pPr>
  </w:style>
  <w:style w:type="table" w:customStyle="1" w:styleId="NTGTable">
    <w:name w:val="NTG Table"/>
    <w:basedOn w:val="TableGrid"/>
    <w:uiPriority w:val="99"/>
    <w:rsid w:val="00720493"/>
    <w:pPr>
      <w:spacing w:after="40"/>
    </w:p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keepNext w:val="0"/>
        <w:keepLines w:val="0"/>
        <w:pageBreakBefore w:val="0"/>
        <w:widowControl/>
        <w:suppressLineNumbers w:val="0"/>
        <w:suppressAutoHyphens w:val="0"/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left"/>
        <w:outlineLvl w:val="9"/>
      </w:pPr>
      <w:rPr>
        <w:rFonts w:ascii="Arial" w:hAnsi="Arial"/>
        <w:b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BFBFBF" w:themeFill="background1" w:themeFillShade="BF"/>
        <w:vAlign w:val="center"/>
      </w:tcPr>
    </w:tblStylePr>
    <w:tblStylePr w:type="lastRow">
      <w:rPr>
        <w:rFonts w:ascii="Arial" w:hAnsi="Arial"/>
        <w:sz w:val="22"/>
      </w:rPr>
    </w:tblStylePr>
    <w:tblStylePr w:type="firstCol">
      <w:rPr>
        <w:rFonts w:ascii="Arial" w:hAnsi="Arial"/>
        <w:sz w:val="22"/>
      </w:rPr>
      <w:tblPr/>
      <w:tcPr>
        <w:shd w:val="clear" w:color="auto" w:fill="BFBFBF" w:themeFill="background1" w:themeFillShade="BF"/>
      </w:tc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Arial" w:hAnsi="Arial"/>
        <w:sz w:val="22"/>
      </w:rPr>
      <w:tblPr/>
      <w:tcPr>
        <w:shd w:val="clear" w:color="auto" w:fill="F2F2F2" w:themeFill="background1" w:themeFillShade="F2"/>
      </w:tc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F2F2F2" w:themeFill="background1" w:themeFillShade="F2"/>
      </w:tc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6761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61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112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12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12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12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12E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63964"/>
    <w:pPr>
      <w:spacing w:after="0"/>
    </w:pPr>
  </w:style>
  <w:style w:type="character" w:styleId="Emphasis">
    <w:name w:val="Emphasis"/>
    <w:basedOn w:val="DefaultParagraphFont"/>
    <w:uiPriority w:val="20"/>
    <w:semiHidden/>
    <w:qFormat/>
    <w:rsid w:val="005B726C"/>
    <w:rPr>
      <w:i/>
      <w:iCs/>
    </w:rPr>
  </w:style>
  <w:style w:type="paragraph" w:customStyle="1" w:styleId="Default">
    <w:name w:val="Default"/>
    <w:rsid w:val="009F087C"/>
    <w:pPr>
      <w:autoSpaceDE w:val="0"/>
      <w:autoSpaceDN w:val="0"/>
      <w:adjustRightInd w:val="0"/>
      <w:spacing w:after="0"/>
    </w:pPr>
    <w:rPr>
      <w:rFonts w:ascii="Arial Narrow" w:hAnsi="Arial Narrow" w:cs="Arial Narro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4\AppData\Local\Temp\Temp2_blank-word-portrait-template_15.zip\blank-word-portrait-templat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F8647-D405-473E-A2A4-4AA9B9E94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blank-word-portrait-template.dotm</Template>
  <TotalTime>140</TotalTime>
  <Pages>7</Pages>
  <Words>2120</Words>
  <Characters>12085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Treasurer's Direction- Northern Territory tax equivalent regime and dividend policy</vt:lpstr>
    </vt:vector>
  </TitlesOfParts>
  <Company>Northern Territory Government</Company>
  <LinksUpToDate>false</LinksUpToDate>
  <CharactersWithSpaces>14177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Treasurer's Direction- Northern Territory tax equivalent regime and dividend policy</dc:title>
  <dc:subject/>
  <dc:creator>Adwoa Tetteh</dc:creator>
  <cp:keywords/>
  <dc:description/>
  <cp:lastModifiedBy>Lynda Hale</cp:lastModifiedBy>
  <cp:revision>24</cp:revision>
  <cp:lastPrinted>2020-01-28T01:46:00Z</cp:lastPrinted>
  <dcterms:created xsi:type="dcterms:W3CDTF">2020-01-23T02:19:00Z</dcterms:created>
  <dcterms:modified xsi:type="dcterms:W3CDTF">2020-02-04T05:48:00Z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artmentOf">
    <vt:lpwstr>Department of </vt:lpwstr>
  </property>
  <property fmtid="{D5CDD505-2E9C-101B-9397-08002B2CF9AE}" pid="3" name="DepartmentName">
    <vt:lpwstr>Treasury and Finance</vt:lpwstr>
  </property>
  <property fmtid="{D5CDD505-2E9C-101B-9397-08002B2CF9AE}" pid="4" name="DocumentAuthor">
    <vt:lpwstr>DTF Financial Policy</vt:lpwstr>
  </property>
  <property fmtid="{D5CDD505-2E9C-101B-9397-08002B2CF9AE}" pid="5" name="VersionNo">
    <vt:lpwstr>, Version 1.0</vt:lpwstr>
  </property>
  <property fmtid="{D5CDD505-2E9C-101B-9397-08002B2CF9AE}" pid="6" name="DocumentDate">
    <vt:lpwstr>1 February 2020</vt:lpwstr>
  </property>
  <property fmtid="{D5CDD505-2E9C-101B-9397-08002B2CF9AE}" pid="7" name="_DocHome">
    <vt:i4>526659675</vt:i4>
  </property>
</Properties>
</file>