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Style w:val="SubtitleChar"/>
        </w:rPr>
        <w:alias w:val="Title"/>
        <w:tag w:val=""/>
        <w:id w:val="-297068607"/>
        <w:placeholder>
          <w:docPart w:val="AFF37471F57747B2AEF99EF89DCCCAE8"/>
        </w:placeholder>
        <w:dataBinding w:prefixMappings="xmlns:ns0='http://purl.org/dc/elements/1.1/' xmlns:ns1='http://schemas.openxmlformats.org/package/2006/metadata/core-properties' " w:xpath="/ns1:coreProperties[1]/ns0:title[1]" w:storeItemID="{6C3C8BC8-F283-45AE-878A-BAB7291924A1}"/>
        <w:text/>
      </w:sdtPr>
      <w:sdtEndPr>
        <w:rPr>
          <w:rStyle w:val="SubtitleChar"/>
        </w:rPr>
      </w:sdtEndPr>
      <w:sdtContent>
        <w:p w14:paraId="60FC0690" w14:textId="77777777" w:rsidR="006752B5" w:rsidRPr="00113964" w:rsidRDefault="00C94821" w:rsidP="006752B5">
          <w:pPr>
            <w:pStyle w:val="SubTitle0"/>
            <w:rPr>
              <w:rFonts w:cs="Arial"/>
            </w:rPr>
          </w:pPr>
          <w:r>
            <w:rPr>
              <w:rStyle w:val="SubtitleChar"/>
              <w:lang w:val="en-AU"/>
            </w:rPr>
            <w:t xml:space="preserve">Accounting – expenses </w:t>
          </w:r>
          <w:r w:rsidR="00453111">
            <w:rPr>
              <w:rStyle w:val="SubtitleChar"/>
              <w:lang w:val="en-AU"/>
            </w:rPr>
            <w:t>(</w:t>
          </w:r>
          <w:r w:rsidR="00BD4BCC">
            <w:rPr>
              <w:rStyle w:val="SubtitleChar"/>
              <w:lang w:val="en-AU"/>
            </w:rPr>
            <w:t xml:space="preserve">Section </w:t>
          </w:r>
          <w:r w:rsidR="00453111">
            <w:rPr>
              <w:rStyle w:val="SubtitleChar"/>
              <w:lang w:val="en-AU"/>
            </w:rPr>
            <w:t>A6.2: E</w:t>
          </w:r>
          <w:r>
            <w:rPr>
              <w:rStyle w:val="SubtitleChar"/>
              <w:lang w:val="en-AU"/>
            </w:rPr>
            <w:t>mployee b</w:t>
          </w:r>
          <w:r w:rsidR="00A0556E">
            <w:rPr>
              <w:rStyle w:val="SubtitleChar"/>
              <w:lang w:val="en-AU"/>
            </w:rPr>
            <w:t>enefits</w:t>
          </w:r>
          <w:r w:rsidR="00453111">
            <w:rPr>
              <w:rStyle w:val="SubtitleChar"/>
              <w:lang w:val="en-AU"/>
            </w:rPr>
            <w:t>)</w:t>
          </w:r>
        </w:p>
      </w:sdtContent>
    </w:sdt>
    <w:p w14:paraId="60FC0691" w14:textId="77777777" w:rsidR="008444B2" w:rsidRPr="00113964" w:rsidRDefault="00D5385D" w:rsidP="007E6170">
      <w:pPr>
        <w:pStyle w:val="Heading1"/>
      </w:pPr>
      <w:bookmarkStart w:id="0" w:name="_Toc468805522"/>
      <w:bookmarkStart w:id="1" w:name="_Toc472663471"/>
      <w:r>
        <w:t>Statement of i</w:t>
      </w:r>
      <w:r w:rsidR="008444B2" w:rsidRPr="00113964">
        <w:t>ntent</w:t>
      </w:r>
      <w:bookmarkEnd w:id="0"/>
      <w:bookmarkEnd w:id="1"/>
    </w:p>
    <w:p w14:paraId="60FC0692" w14:textId="77777777" w:rsidR="00A0556E" w:rsidRDefault="00A0556E" w:rsidP="00A0556E">
      <w:pPr>
        <w:pStyle w:val="DTFBodyText"/>
      </w:pPr>
      <w:r>
        <w:t>Employee benefit expenses typically represent a large component of Agency expenses and as such it is important that accurate financial information about these expenses is available.</w:t>
      </w:r>
      <w:r w:rsidR="00627D18">
        <w:t xml:space="preserve"> </w:t>
      </w:r>
      <w:r>
        <w:t>This Section provides the requirements relating to the identification, recognition and measurement of employee benefit expenses.</w:t>
      </w:r>
    </w:p>
    <w:p w14:paraId="60FC0693" w14:textId="77777777" w:rsidR="00A0556E" w:rsidRDefault="003F6B26" w:rsidP="00A0556E">
      <w:pPr>
        <w:pStyle w:val="DTFHeading1-Lineabove"/>
      </w:pPr>
      <w:r>
        <w:t>Main f</w:t>
      </w:r>
      <w:r w:rsidR="00A0556E" w:rsidRPr="00A0556E">
        <w:t xml:space="preserve">eatures </w:t>
      </w:r>
    </w:p>
    <w:p w14:paraId="60FC0694" w14:textId="77777777" w:rsidR="008444B2" w:rsidRPr="00113964" w:rsidRDefault="008444B2" w:rsidP="008444B2">
      <w:pPr>
        <w:pStyle w:val="DTFBodyText"/>
      </w:pPr>
      <w:r w:rsidRPr="00113964">
        <w:t xml:space="preserve">Section 38 of the </w:t>
      </w:r>
      <w:r w:rsidRPr="00113964">
        <w:rPr>
          <w:rStyle w:val="DTFItalic"/>
        </w:rPr>
        <w:t>Financial Management Act</w:t>
      </w:r>
      <w:r w:rsidRPr="00113964">
        <w:t xml:space="preserve"> requires e</w:t>
      </w:r>
      <w:r w:rsidR="009C5E22">
        <w:t>ach Accountable Officer and every</w:t>
      </w:r>
      <w:r w:rsidRPr="00113964">
        <w:t xml:space="preserve"> employee of an Agency to comply with the Treasurer’s Directions. </w:t>
      </w:r>
    </w:p>
    <w:p w14:paraId="60FC0695" w14:textId="77777777" w:rsidR="008444B2" w:rsidRPr="007E6170" w:rsidRDefault="003F6B26" w:rsidP="00CF77E0">
      <w:pPr>
        <w:pStyle w:val="Heading2"/>
      </w:pPr>
      <w:r>
        <w:t>Employee b</w:t>
      </w:r>
      <w:r w:rsidR="00A0556E">
        <w:t xml:space="preserve">enefit </w:t>
      </w:r>
      <w:r>
        <w:t>e</w:t>
      </w:r>
      <w:r w:rsidR="00A0556E">
        <w:t>xpenses</w:t>
      </w:r>
    </w:p>
    <w:p w14:paraId="60FC0696" w14:textId="77777777" w:rsidR="00A0556E" w:rsidRPr="00A0556E" w:rsidRDefault="00A0556E" w:rsidP="00A0556E">
      <w:pPr>
        <w:pStyle w:val="DTFListBullet1-Orange"/>
      </w:pPr>
      <w:r w:rsidRPr="00A0556E">
        <w:t xml:space="preserve">Employee benefit expenses include all forms of consideration given by an Agency in exchange for services rendered by employees. </w:t>
      </w:r>
    </w:p>
    <w:p w14:paraId="60FC0697" w14:textId="77777777" w:rsidR="00A0556E" w:rsidRPr="00A0556E" w:rsidRDefault="003F6B26" w:rsidP="00A0556E">
      <w:pPr>
        <w:pStyle w:val="Heading2"/>
        <w:rPr>
          <w:sz w:val="22"/>
          <w:szCs w:val="20"/>
        </w:rPr>
      </w:pPr>
      <w:r>
        <w:t>Recognition of employee benefit e</w:t>
      </w:r>
      <w:r w:rsidR="00A0556E" w:rsidRPr="00A0556E">
        <w:t xml:space="preserve">xpenses </w:t>
      </w:r>
    </w:p>
    <w:p w14:paraId="60FC0698" w14:textId="77777777" w:rsidR="00A0556E" w:rsidRDefault="00A0556E" w:rsidP="00A0556E">
      <w:pPr>
        <w:pStyle w:val="DTFListBullet1-Orange"/>
      </w:pPr>
      <w:r>
        <w:t>Employee benefit expenses are to be recognised in the reporting period in which the employee’s services are provided.</w:t>
      </w:r>
    </w:p>
    <w:p w14:paraId="60FC0699" w14:textId="77777777" w:rsidR="00A0556E" w:rsidRDefault="00A0556E" w:rsidP="00A0556E">
      <w:pPr>
        <w:pStyle w:val="DTFListBullet1-Orange"/>
      </w:pPr>
      <w:r>
        <w:t>Employee benefit expenses will be measured at their nominal amounts where payments are expected to fall due with</w:t>
      </w:r>
      <w:r w:rsidR="009C5E22">
        <w:t>in</w:t>
      </w:r>
      <w:r>
        <w:t xml:space="preserve"> 12 months of the end of the reporting period, and at present value for other amounts.</w:t>
      </w:r>
    </w:p>
    <w:p w14:paraId="60FC069A" w14:textId="77777777" w:rsidR="00A0556E" w:rsidRDefault="00A0556E" w:rsidP="00A0556E">
      <w:pPr>
        <w:pStyle w:val="Heading2"/>
      </w:pPr>
      <w:r w:rsidRPr="00A0556E">
        <w:t xml:space="preserve">Employee </w:t>
      </w:r>
      <w:r w:rsidR="003F6B26">
        <w:t>t</w:t>
      </w:r>
      <w:r w:rsidRPr="00A0556E">
        <w:t>ransfers</w:t>
      </w:r>
    </w:p>
    <w:p w14:paraId="60FC069B" w14:textId="77777777" w:rsidR="00A0556E" w:rsidRDefault="00A0556E" w:rsidP="00A0556E">
      <w:pPr>
        <w:pStyle w:val="DTFListBullet1-Orange"/>
      </w:pPr>
      <w:r>
        <w:t>An employee transfer may result in the recognition of employee benefit expenses equivalent to employee benefit liabilities transferred (other than long service leave and superannuation liabilities) by the receiving Agency.</w:t>
      </w:r>
    </w:p>
    <w:p w14:paraId="60FC069C" w14:textId="77777777" w:rsidR="008444B2" w:rsidRDefault="00A0556E" w:rsidP="00A0556E">
      <w:pPr>
        <w:pStyle w:val="DTFListBullet1-Orange"/>
      </w:pPr>
      <w:r>
        <w:t>Where an employee ceases employment with an Agency, the Agency is to recognise a reduction in employee benefits expenses where related employee benefit liabilities are not required to be paid out on cessation.</w:t>
      </w:r>
    </w:p>
    <w:p w14:paraId="60FC069D" w14:textId="77777777" w:rsidR="00A0556E" w:rsidRDefault="00A0556E" w:rsidP="00A0556E">
      <w:pPr>
        <w:pStyle w:val="DTFBodyText"/>
      </w:pPr>
      <w:r>
        <w:t xml:space="preserve">For authoritative instruction and guidance, reference should be made to related Treasurer's Directions and associated commentary, relevant Australian </w:t>
      </w:r>
      <w:r w:rsidR="009C5E22">
        <w:t>A</w:t>
      </w:r>
      <w:r>
        <w:t xml:space="preserve">ccounting </w:t>
      </w:r>
      <w:r w:rsidR="009C5E22">
        <w:t>S</w:t>
      </w:r>
      <w:r>
        <w:t>tandards and other authoritative interpretations.</w:t>
      </w:r>
    </w:p>
    <w:p w14:paraId="60FC069E" w14:textId="77777777" w:rsidR="00A0556E" w:rsidRPr="00113964" w:rsidRDefault="00A0556E" w:rsidP="00A0556E">
      <w:pPr>
        <w:pStyle w:val="DTFSpacer-Lineabove"/>
      </w:pPr>
    </w:p>
    <w:p w14:paraId="60FC069F" w14:textId="77777777" w:rsidR="008444B2" w:rsidRPr="00113964" w:rsidRDefault="008444B2" w:rsidP="008D797F">
      <w:pPr>
        <w:pStyle w:val="DTFBodyText"/>
      </w:pPr>
      <w:r w:rsidRPr="00113964">
        <w:br w:type="page"/>
      </w:r>
    </w:p>
    <w:p w14:paraId="60FC06A0" w14:textId="77777777" w:rsidR="008444B2" w:rsidRPr="007E6170" w:rsidRDefault="008444B2" w:rsidP="00CF77E0">
      <w:pPr>
        <w:pStyle w:val="Heading2"/>
      </w:pPr>
      <w:r w:rsidRPr="007E6170">
        <w:lastRenderedPageBreak/>
        <w:t>Contents</w:t>
      </w:r>
    </w:p>
    <w:p w14:paraId="60FC06A1" w14:textId="77777777" w:rsidR="0070160F" w:rsidRDefault="00F473A5">
      <w:pPr>
        <w:pStyle w:val="TOC1"/>
        <w:tabs>
          <w:tab w:val="right" w:pos="9628"/>
        </w:tabs>
        <w:rPr>
          <w:rFonts w:asciiTheme="minorHAnsi" w:eastAsiaTheme="minorEastAsia" w:hAnsiTheme="minorHAnsi" w:cstheme="minorBidi"/>
          <w:noProof/>
          <w:szCs w:val="22"/>
        </w:rPr>
      </w:pPr>
      <w:r w:rsidRPr="007F7A8A">
        <w:fldChar w:fldCharType="begin"/>
      </w:r>
      <w:r w:rsidRPr="007F7A8A">
        <w:instrText xml:space="preserve"> TOC \h \z \t "Heading 1,1" </w:instrText>
      </w:r>
      <w:r w:rsidRPr="007F7A8A">
        <w:fldChar w:fldCharType="separate"/>
      </w:r>
      <w:hyperlink w:anchor="_Toc472663471" w:history="1">
        <w:r w:rsidR="0070160F" w:rsidRPr="009700EF">
          <w:rPr>
            <w:rStyle w:val="Hyperlink"/>
            <w:noProof/>
          </w:rPr>
          <w:t>Statement of intent</w:t>
        </w:r>
        <w:r w:rsidR="0070160F">
          <w:rPr>
            <w:noProof/>
            <w:webHidden/>
          </w:rPr>
          <w:tab/>
        </w:r>
        <w:r w:rsidR="0070160F">
          <w:rPr>
            <w:noProof/>
            <w:webHidden/>
          </w:rPr>
          <w:fldChar w:fldCharType="begin"/>
        </w:r>
        <w:r w:rsidR="0070160F">
          <w:rPr>
            <w:noProof/>
            <w:webHidden/>
          </w:rPr>
          <w:instrText xml:space="preserve"> PAGEREF _Toc472663471 \h </w:instrText>
        </w:r>
        <w:r w:rsidR="0070160F">
          <w:rPr>
            <w:noProof/>
            <w:webHidden/>
          </w:rPr>
        </w:r>
        <w:r w:rsidR="0070160F">
          <w:rPr>
            <w:noProof/>
            <w:webHidden/>
          </w:rPr>
          <w:fldChar w:fldCharType="separate"/>
        </w:r>
        <w:r w:rsidR="0070160F">
          <w:rPr>
            <w:noProof/>
            <w:webHidden/>
          </w:rPr>
          <w:t>1</w:t>
        </w:r>
        <w:r w:rsidR="0070160F">
          <w:rPr>
            <w:noProof/>
            <w:webHidden/>
          </w:rPr>
          <w:fldChar w:fldCharType="end"/>
        </w:r>
      </w:hyperlink>
    </w:p>
    <w:p w14:paraId="60FC06A2" w14:textId="77777777" w:rsidR="0070160F" w:rsidRDefault="00BB01F7">
      <w:pPr>
        <w:pStyle w:val="TOC1"/>
        <w:tabs>
          <w:tab w:val="right" w:pos="9628"/>
        </w:tabs>
        <w:rPr>
          <w:rFonts w:asciiTheme="minorHAnsi" w:eastAsiaTheme="minorEastAsia" w:hAnsiTheme="minorHAnsi" w:cstheme="minorBidi"/>
          <w:noProof/>
          <w:szCs w:val="22"/>
        </w:rPr>
      </w:pPr>
      <w:hyperlink w:anchor="_Toc472663472" w:history="1">
        <w:r w:rsidR="0070160F" w:rsidRPr="009700EF">
          <w:rPr>
            <w:rStyle w:val="Hyperlink"/>
            <w:noProof/>
          </w:rPr>
          <w:t>What are employee benefit expenses?</w:t>
        </w:r>
        <w:r w:rsidR="0070160F">
          <w:rPr>
            <w:noProof/>
            <w:webHidden/>
          </w:rPr>
          <w:tab/>
        </w:r>
        <w:r w:rsidR="0070160F">
          <w:rPr>
            <w:noProof/>
            <w:webHidden/>
          </w:rPr>
          <w:fldChar w:fldCharType="begin"/>
        </w:r>
        <w:r w:rsidR="0070160F">
          <w:rPr>
            <w:noProof/>
            <w:webHidden/>
          </w:rPr>
          <w:instrText xml:space="preserve"> PAGEREF _Toc472663472 \h </w:instrText>
        </w:r>
        <w:r w:rsidR="0070160F">
          <w:rPr>
            <w:noProof/>
            <w:webHidden/>
          </w:rPr>
        </w:r>
        <w:r w:rsidR="0070160F">
          <w:rPr>
            <w:noProof/>
            <w:webHidden/>
          </w:rPr>
          <w:fldChar w:fldCharType="separate"/>
        </w:r>
        <w:r w:rsidR="0070160F">
          <w:rPr>
            <w:noProof/>
            <w:webHidden/>
          </w:rPr>
          <w:t>3</w:t>
        </w:r>
        <w:r w:rsidR="0070160F">
          <w:rPr>
            <w:noProof/>
            <w:webHidden/>
          </w:rPr>
          <w:fldChar w:fldCharType="end"/>
        </w:r>
      </w:hyperlink>
    </w:p>
    <w:p w14:paraId="60FC06A3" w14:textId="77777777" w:rsidR="0070160F" w:rsidRDefault="00BB01F7">
      <w:pPr>
        <w:pStyle w:val="TOC1"/>
        <w:tabs>
          <w:tab w:val="right" w:pos="9628"/>
        </w:tabs>
        <w:rPr>
          <w:rFonts w:asciiTheme="minorHAnsi" w:eastAsiaTheme="minorEastAsia" w:hAnsiTheme="minorHAnsi" w:cstheme="minorBidi"/>
          <w:noProof/>
          <w:szCs w:val="22"/>
        </w:rPr>
      </w:pPr>
      <w:hyperlink w:anchor="_Toc472663473" w:history="1">
        <w:r w:rsidR="0070160F" w:rsidRPr="009700EF">
          <w:rPr>
            <w:rStyle w:val="Hyperlink"/>
            <w:noProof/>
          </w:rPr>
          <w:t>Salaries and wages</w:t>
        </w:r>
        <w:r w:rsidR="0070160F">
          <w:rPr>
            <w:noProof/>
            <w:webHidden/>
          </w:rPr>
          <w:tab/>
        </w:r>
        <w:r w:rsidR="0070160F">
          <w:rPr>
            <w:noProof/>
            <w:webHidden/>
          </w:rPr>
          <w:fldChar w:fldCharType="begin"/>
        </w:r>
        <w:r w:rsidR="0070160F">
          <w:rPr>
            <w:noProof/>
            <w:webHidden/>
          </w:rPr>
          <w:instrText xml:space="preserve"> PAGEREF _Toc472663473 \h </w:instrText>
        </w:r>
        <w:r w:rsidR="0070160F">
          <w:rPr>
            <w:noProof/>
            <w:webHidden/>
          </w:rPr>
        </w:r>
        <w:r w:rsidR="0070160F">
          <w:rPr>
            <w:noProof/>
            <w:webHidden/>
          </w:rPr>
          <w:fldChar w:fldCharType="separate"/>
        </w:r>
        <w:r w:rsidR="0070160F">
          <w:rPr>
            <w:noProof/>
            <w:webHidden/>
          </w:rPr>
          <w:t>4</w:t>
        </w:r>
        <w:r w:rsidR="0070160F">
          <w:rPr>
            <w:noProof/>
            <w:webHidden/>
          </w:rPr>
          <w:fldChar w:fldCharType="end"/>
        </w:r>
      </w:hyperlink>
    </w:p>
    <w:p w14:paraId="60FC06A4" w14:textId="77777777" w:rsidR="0070160F" w:rsidRDefault="00BB01F7">
      <w:pPr>
        <w:pStyle w:val="TOC1"/>
        <w:tabs>
          <w:tab w:val="right" w:pos="9628"/>
        </w:tabs>
        <w:rPr>
          <w:rFonts w:asciiTheme="minorHAnsi" w:eastAsiaTheme="minorEastAsia" w:hAnsiTheme="minorHAnsi" w:cstheme="minorBidi"/>
          <w:noProof/>
          <w:szCs w:val="22"/>
        </w:rPr>
      </w:pPr>
      <w:hyperlink w:anchor="_Toc472663474" w:history="1">
        <w:r w:rsidR="0070160F" w:rsidRPr="009700EF">
          <w:rPr>
            <w:rStyle w:val="Hyperlink"/>
            <w:noProof/>
          </w:rPr>
          <w:t>Recreation leave</w:t>
        </w:r>
        <w:r w:rsidR="0070160F">
          <w:rPr>
            <w:noProof/>
            <w:webHidden/>
          </w:rPr>
          <w:tab/>
        </w:r>
        <w:r w:rsidR="0070160F">
          <w:rPr>
            <w:noProof/>
            <w:webHidden/>
          </w:rPr>
          <w:fldChar w:fldCharType="begin"/>
        </w:r>
        <w:r w:rsidR="0070160F">
          <w:rPr>
            <w:noProof/>
            <w:webHidden/>
          </w:rPr>
          <w:instrText xml:space="preserve"> PAGEREF _Toc472663474 \h </w:instrText>
        </w:r>
        <w:r w:rsidR="0070160F">
          <w:rPr>
            <w:noProof/>
            <w:webHidden/>
          </w:rPr>
        </w:r>
        <w:r w:rsidR="0070160F">
          <w:rPr>
            <w:noProof/>
            <w:webHidden/>
          </w:rPr>
          <w:fldChar w:fldCharType="separate"/>
        </w:r>
        <w:r w:rsidR="0070160F">
          <w:rPr>
            <w:noProof/>
            <w:webHidden/>
          </w:rPr>
          <w:t>5</w:t>
        </w:r>
        <w:r w:rsidR="0070160F">
          <w:rPr>
            <w:noProof/>
            <w:webHidden/>
          </w:rPr>
          <w:fldChar w:fldCharType="end"/>
        </w:r>
      </w:hyperlink>
    </w:p>
    <w:p w14:paraId="60FC06A5" w14:textId="77777777" w:rsidR="0070160F" w:rsidRDefault="00BB01F7">
      <w:pPr>
        <w:pStyle w:val="TOC1"/>
        <w:tabs>
          <w:tab w:val="right" w:pos="9628"/>
        </w:tabs>
        <w:rPr>
          <w:rFonts w:asciiTheme="minorHAnsi" w:eastAsiaTheme="minorEastAsia" w:hAnsiTheme="minorHAnsi" w:cstheme="minorBidi"/>
          <w:noProof/>
          <w:szCs w:val="22"/>
        </w:rPr>
      </w:pPr>
      <w:hyperlink w:anchor="_Toc472663475" w:history="1">
        <w:r w:rsidR="0070160F" w:rsidRPr="009700EF">
          <w:rPr>
            <w:rStyle w:val="Hyperlink"/>
            <w:noProof/>
          </w:rPr>
          <w:t>Sick leave</w:t>
        </w:r>
        <w:r w:rsidR="0070160F">
          <w:rPr>
            <w:noProof/>
            <w:webHidden/>
          </w:rPr>
          <w:tab/>
        </w:r>
        <w:r w:rsidR="0070160F">
          <w:rPr>
            <w:noProof/>
            <w:webHidden/>
          </w:rPr>
          <w:fldChar w:fldCharType="begin"/>
        </w:r>
        <w:r w:rsidR="0070160F">
          <w:rPr>
            <w:noProof/>
            <w:webHidden/>
          </w:rPr>
          <w:instrText xml:space="preserve"> PAGEREF _Toc472663475 \h </w:instrText>
        </w:r>
        <w:r w:rsidR="0070160F">
          <w:rPr>
            <w:noProof/>
            <w:webHidden/>
          </w:rPr>
        </w:r>
        <w:r w:rsidR="0070160F">
          <w:rPr>
            <w:noProof/>
            <w:webHidden/>
          </w:rPr>
          <w:fldChar w:fldCharType="separate"/>
        </w:r>
        <w:r w:rsidR="0070160F">
          <w:rPr>
            <w:noProof/>
            <w:webHidden/>
          </w:rPr>
          <w:t>5</w:t>
        </w:r>
        <w:r w:rsidR="0070160F">
          <w:rPr>
            <w:noProof/>
            <w:webHidden/>
          </w:rPr>
          <w:fldChar w:fldCharType="end"/>
        </w:r>
      </w:hyperlink>
    </w:p>
    <w:p w14:paraId="60FC06A6" w14:textId="77777777" w:rsidR="0070160F" w:rsidRDefault="00BB01F7">
      <w:pPr>
        <w:pStyle w:val="TOC1"/>
        <w:tabs>
          <w:tab w:val="right" w:pos="9628"/>
        </w:tabs>
        <w:rPr>
          <w:rFonts w:asciiTheme="minorHAnsi" w:eastAsiaTheme="minorEastAsia" w:hAnsiTheme="minorHAnsi" w:cstheme="minorBidi"/>
          <w:noProof/>
          <w:szCs w:val="22"/>
        </w:rPr>
      </w:pPr>
      <w:hyperlink w:anchor="_Toc472663476" w:history="1">
        <w:r w:rsidR="0070160F" w:rsidRPr="009700EF">
          <w:rPr>
            <w:rStyle w:val="Hyperlink"/>
            <w:noProof/>
          </w:rPr>
          <w:t>Long service leave</w:t>
        </w:r>
        <w:r w:rsidR="0070160F">
          <w:rPr>
            <w:noProof/>
            <w:webHidden/>
          </w:rPr>
          <w:tab/>
        </w:r>
        <w:r w:rsidR="0070160F">
          <w:rPr>
            <w:noProof/>
            <w:webHidden/>
          </w:rPr>
          <w:fldChar w:fldCharType="begin"/>
        </w:r>
        <w:r w:rsidR="0070160F">
          <w:rPr>
            <w:noProof/>
            <w:webHidden/>
          </w:rPr>
          <w:instrText xml:space="preserve"> PAGEREF _Toc472663476 \h </w:instrText>
        </w:r>
        <w:r w:rsidR="0070160F">
          <w:rPr>
            <w:noProof/>
            <w:webHidden/>
          </w:rPr>
        </w:r>
        <w:r w:rsidR="0070160F">
          <w:rPr>
            <w:noProof/>
            <w:webHidden/>
          </w:rPr>
          <w:fldChar w:fldCharType="separate"/>
        </w:r>
        <w:r w:rsidR="0070160F">
          <w:rPr>
            <w:noProof/>
            <w:webHidden/>
          </w:rPr>
          <w:t>6</w:t>
        </w:r>
        <w:r w:rsidR="0070160F">
          <w:rPr>
            <w:noProof/>
            <w:webHidden/>
          </w:rPr>
          <w:fldChar w:fldCharType="end"/>
        </w:r>
      </w:hyperlink>
    </w:p>
    <w:p w14:paraId="60FC06A7" w14:textId="77777777" w:rsidR="0070160F" w:rsidRDefault="00BB01F7">
      <w:pPr>
        <w:pStyle w:val="TOC1"/>
        <w:tabs>
          <w:tab w:val="right" w:pos="9628"/>
        </w:tabs>
        <w:rPr>
          <w:rFonts w:asciiTheme="minorHAnsi" w:eastAsiaTheme="minorEastAsia" w:hAnsiTheme="minorHAnsi" w:cstheme="minorBidi"/>
          <w:noProof/>
          <w:szCs w:val="22"/>
        </w:rPr>
      </w:pPr>
      <w:hyperlink w:anchor="_Toc472663477" w:history="1">
        <w:r w:rsidR="0070160F" w:rsidRPr="009700EF">
          <w:rPr>
            <w:rStyle w:val="Hyperlink"/>
            <w:noProof/>
          </w:rPr>
          <w:t>Superannuation</w:t>
        </w:r>
        <w:r w:rsidR="0070160F">
          <w:rPr>
            <w:noProof/>
            <w:webHidden/>
          </w:rPr>
          <w:tab/>
        </w:r>
        <w:r w:rsidR="0070160F">
          <w:rPr>
            <w:noProof/>
            <w:webHidden/>
          </w:rPr>
          <w:fldChar w:fldCharType="begin"/>
        </w:r>
        <w:r w:rsidR="0070160F">
          <w:rPr>
            <w:noProof/>
            <w:webHidden/>
          </w:rPr>
          <w:instrText xml:space="preserve"> PAGEREF _Toc472663477 \h </w:instrText>
        </w:r>
        <w:r w:rsidR="0070160F">
          <w:rPr>
            <w:noProof/>
            <w:webHidden/>
          </w:rPr>
        </w:r>
        <w:r w:rsidR="0070160F">
          <w:rPr>
            <w:noProof/>
            <w:webHidden/>
          </w:rPr>
          <w:fldChar w:fldCharType="separate"/>
        </w:r>
        <w:r w:rsidR="0070160F">
          <w:rPr>
            <w:noProof/>
            <w:webHidden/>
          </w:rPr>
          <w:t>6</w:t>
        </w:r>
        <w:r w:rsidR="0070160F">
          <w:rPr>
            <w:noProof/>
            <w:webHidden/>
          </w:rPr>
          <w:fldChar w:fldCharType="end"/>
        </w:r>
      </w:hyperlink>
    </w:p>
    <w:p w14:paraId="60FC06A8" w14:textId="77777777" w:rsidR="0070160F" w:rsidRDefault="00BB01F7">
      <w:pPr>
        <w:pStyle w:val="TOC1"/>
        <w:tabs>
          <w:tab w:val="right" w:pos="9628"/>
        </w:tabs>
        <w:rPr>
          <w:rFonts w:asciiTheme="minorHAnsi" w:eastAsiaTheme="minorEastAsia" w:hAnsiTheme="minorHAnsi" w:cstheme="minorBidi"/>
          <w:noProof/>
          <w:szCs w:val="22"/>
        </w:rPr>
      </w:pPr>
      <w:hyperlink w:anchor="_Toc472663478" w:history="1">
        <w:r w:rsidR="0070160F" w:rsidRPr="009700EF">
          <w:rPr>
            <w:rStyle w:val="Hyperlink"/>
            <w:noProof/>
          </w:rPr>
          <w:t>Other employee benefit</w:t>
        </w:r>
        <w:r w:rsidR="0070160F">
          <w:rPr>
            <w:noProof/>
            <w:webHidden/>
          </w:rPr>
          <w:tab/>
        </w:r>
        <w:r w:rsidR="0070160F">
          <w:rPr>
            <w:noProof/>
            <w:webHidden/>
          </w:rPr>
          <w:fldChar w:fldCharType="begin"/>
        </w:r>
        <w:r w:rsidR="0070160F">
          <w:rPr>
            <w:noProof/>
            <w:webHidden/>
          </w:rPr>
          <w:instrText xml:space="preserve"> PAGEREF _Toc472663478 \h </w:instrText>
        </w:r>
        <w:r w:rsidR="0070160F">
          <w:rPr>
            <w:noProof/>
            <w:webHidden/>
          </w:rPr>
        </w:r>
        <w:r w:rsidR="0070160F">
          <w:rPr>
            <w:noProof/>
            <w:webHidden/>
          </w:rPr>
          <w:fldChar w:fldCharType="separate"/>
        </w:r>
        <w:r w:rsidR="0070160F">
          <w:rPr>
            <w:noProof/>
            <w:webHidden/>
          </w:rPr>
          <w:t>7</w:t>
        </w:r>
        <w:r w:rsidR="0070160F">
          <w:rPr>
            <w:noProof/>
            <w:webHidden/>
          </w:rPr>
          <w:fldChar w:fldCharType="end"/>
        </w:r>
      </w:hyperlink>
    </w:p>
    <w:p w14:paraId="60FC06A9" w14:textId="77777777" w:rsidR="0070160F" w:rsidRDefault="00BB01F7">
      <w:pPr>
        <w:pStyle w:val="TOC1"/>
        <w:tabs>
          <w:tab w:val="right" w:pos="9628"/>
        </w:tabs>
        <w:rPr>
          <w:rFonts w:asciiTheme="minorHAnsi" w:eastAsiaTheme="minorEastAsia" w:hAnsiTheme="minorHAnsi" w:cstheme="minorBidi"/>
          <w:noProof/>
          <w:szCs w:val="22"/>
        </w:rPr>
      </w:pPr>
      <w:hyperlink w:anchor="_Toc472663479" w:history="1">
        <w:r w:rsidR="0070160F" w:rsidRPr="009700EF">
          <w:rPr>
            <w:rStyle w:val="Hyperlink"/>
            <w:noProof/>
          </w:rPr>
          <w:t>Employee benefit on-cost</w:t>
        </w:r>
        <w:r w:rsidR="0070160F">
          <w:rPr>
            <w:noProof/>
            <w:webHidden/>
          </w:rPr>
          <w:tab/>
        </w:r>
        <w:r w:rsidR="0070160F">
          <w:rPr>
            <w:noProof/>
            <w:webHidden/>
          </w:rPr>
          <w:fldChar w:fldCharType="begin"/>
        </w:r>
        <w:r w:rsidR="0070160F">
          <w:rPr>
            <w:noProof/>
            <w:webHidden/>
          </w:rPr>
          <w:instrText xml:space="preserve"> PAGEREF _Toc472663479 \h </w:instrText>
        </w:r>
        <w:r w:rsidR="0070160F">
          <w:rPr>
            <w:noProof/>
            <w:webHidden/>
          </w:rPr>
        </w:r>
        <w:r w:rsidR="0070160F">
          <w:rPr>
            <w:noProof/>
            <w:webHidden/>
          </w:rPr>
          <w:fldChar w:fldCharType="separate"/>
        </w:r>
        <w:r w:rsidR="0070160F">
          <w:rPr>
            <w:noProof/>
            <w:webHidden/>
          </w:rPr>
          <w:t>8</w:t>
        </w:r>
        <w:r w:rsidR="0070160F">
          <w:rPr>
            <w:noProof/>
            <w:webHidden/>
          </w:rPr>
          <w:fldChar w:fldCharType="end"/>
        </w:r>
      </w:hyperlink>
    </w:p>
    <w:p w14:paraId="60FC06AA" w14:textId="77777777" w:rsidR="0070160F" w:rsidRDefault="00BB01F7">
      <w:pPr>
        <w:pStyle w:val="TOC1"/>
        <w:tabs>
          <w:tab w:val="right" w:pos="9628"/>
        </w:tabs>
        <w:rPr>
          <w:rFonts w:asciiTheme="minorHAnsi" w:eastAsiaTheme="minorEastAsia" w:hAnsiTheme="minorHAnsi" w:cstheme="minorBidi"/>
          <w:noProof/>
          <w:szCs w:val="22"/>
        </w:rPr>
      </w:pPr>
      <w:hyperlink w:anchor="_Toc472663480" w:history="1">
        <w:r w:rsidR="0070160F" w:rsidRPr="009700EF">
          <w:rPr>
            <w:rStyle w:val="Hyperlink"/>
            <w:noProof/>
          </w:rPr>
          <w:t>Employee transfers</w:t>
        </w:r>
        <w:r w:rsidR="0070160F">
          <w:rPr>
            <w:noProof/>
            <w:webHidden/>
          </w:rPr>
          <w:tab/>
        </w:r>
        <w:r w:rsidR="0070160F">
          <w:rPr>
            <w:noProof/>
            <w:webHidden/>
          </w:rPr>
          <w:fldChar w:fldCharType="begin"/>
        </w:r>
        <w:r w:rsidR="0070160F">
          <w:rPr>
            <w:noProof/>
            <w:webHidden/>
          </w:rPr>
          <w:instrText xml:space="preserve"> PAGEREF _Toc472663480 \h </w:instrText>
        </w:r>
        <w:r w:rsidR="0070160F">
          <w:rPr>
            <w:noProof/>
            <w:webHidden/>
          </w:rPr>
        </w:r>
        <w:r w:rsidR="0070160F">
          <w:rPr>
            <w:noProof/>
            <w:webHidden/>
          </w:rPr>
          <w:fldChar w:fldCharType="separate"/>
        </w:r>
        <w:r w:rsidR="0070160F">
          <w:rPr>
            <w:noProof/>
            <w:webHidden/>
          </w:rPr>
          <w:t>8</w:t>
        </w:r>
        <w:r w:rsidR="0070160F">
          <w:rPr>
            <w:noProof/>
            <w:webHidden/>
          </w:rPr>
          <w:fldChar w:fldCharType="end"/>
        </w:r>
      </w:hyperlink>
    </w:p>
    <w:p w14:paraId="60FC06AB" w14:textId="77777777" w:rsidR="0021287C" w:rsidRPr="00F473A5" w:rsidRDefault="00F473A5" w:rsidP="00CE5C46">
      <w:pPr>
        <w:pStyle w:val="Heading2"/>
      </w:pPr>
      <w:r w:rsidRPr="007F7A8A">
        <w:fldChar w:fldCharType="end"/>
      </w:r>
      <w:r w:rsidR="0021287C" w:rsidRPr="00F473A5">
        <w:t xml:space="preserve">Authorities </w:t>
      </w:r>
    </w:p>
    <w:p w14:paraId="60FC06AC" w14:textId="77777777" w:rsidR="00CE5C46" w:rsidRDefault="00CE5C46" w:rsidP="00CE5C46">
      <w:pPr>
        <w:pStyle w:val="DTFBodyText"/>
        <w:rPr>
          <w:rStyle w:val="DTFItalic"/>
        </w:rPr>
      </w:pPr>
      <w:r w:rsidRPr="00BB19CC">
        <w:rPr>
          <w:rStyle w:val="DTFItalic"/>
        </w:rPr>
        <w:t>Financial Management Act</w:t>
      </w:r>
    </w:p>
    <w:p w14:paraId="60FC06AD" w14:textId="77777777" w:rsidR="00CE5C46" w:rsidRPr="00CE5C46" w:rsidRDefault="00CE5C46" w:rsidP="00CE5C46">
      <w:pPr>
        <w:pStyle w:val="DTFBodyText"/>
        <w:rPr>
          <w:rStyle w:val="DTFItalic"/>
          <w:i w:val="0"/>
        </w:rPr>
      </w:pPr>
      <w:r w:rsidRPr="00CE5C46">
        <w:rPr>
          <w:rStyle w:val="DTFItalic"/>
          <w:i w:val="0"/>
        </w:rPr>
        <w:t>Financial Management Regulations</w:t>
      </w:r>
    </w:p>
    <w:p w14:paraId="60FC06AE" w14:textId="77777777" w:rsidR="00CE5C46" w:rsidRPr="002830E8" w:rsidRDefault="00CE5C46" w:rsidP="00CE5C46">
      <w:pPr>
        <w:pStyle w:val="DTFBodyText"/>
        <w:rPr>
          <w:i/>
          <w:lang w:val="en-US"/>
        </w:rPr>
      </w:pPr>
      <w:r w:rsidRPr="002830E8">
        <w:rPr>
          <w:i/>
          <w:lang w:val="en-US"/>
        </w:rPr>
        <w:t>Public Employment (Mobility) Act</w:t>
      </w:r>
    </w:p>
    <w:p w14:paraId="60FC06AF" w14:textId="77777777" w:rsidR="00CE5C46" w:rsidRPr="002830E8" w:rsidRDefault="00CE5C46" w:rsidP="00CE5C46">
      <w:pPr>
        <w:pStyle w:val="DTFBodyText"/>
        <w:rPr>
          <w:i/>
        </w:rPr>
      </w:pPr>
      <w:r w:rsidRPr="002830E8">
        <w:rPr>
          <w:i/>
        </w:rPr>
        <w:t>Public Sector Employment and Management Act</w:t>
      </w:r>
    </w:p>
    <w:p w14:paraId="60FC06B0" w14:textId="77777777" w:rsidR="00CE5C46" w:rsidRPr="002830E8" w:rsidRDefault="00CE5C46" w:rsidP="00CE5C46">
      <w:pPr>
        <w:pStyle w:val="DTFBodyText"/>
        <w:rPr>
          <w:rStyle w:val="DTFItalic"/>
        </w:rPr>
      </w:pPr>
      <w:r w:rsidRPr="002830E8">
        <w:t>Public Sector Emp</w:t>
      </w:r>
      <w:r w:rsidR="009D0D15">
        <w:t>loyment and Management by Laws</w:t>
      </w:r>
    </w:p>
    <w:p w14:paraId="60FC06B1" w14:textId="77777777" w:rsidR="00E3681E" w:rsidRPr="007E6170" w:rsidRDefault="005149D5" w:rsidP="00CF77E0">
      <w:pPr>
        <w:pStyle w:val="Heading2"/>
      </w:pPr>
      <w:r w:rsidRPr="007E6170">
        <w:t xml:space="preserve">References </w:t>
      </w:r>
    </w:p>
    <w:p w14:paraId="60FC06B2" w14:textId="77777777" w:rsidR="00CE5C46" w:rsidRDefault="00CE5C46" w:rsidP="00CE5C46">
      <w:pPr>
        <w:pStyle w:val="DTFBodyText"/>
      </w:pPr>
      <w:r>
        <w:t>AASB 1049 Whole of Government and General Government Sector Financial Reporting</w:t>
      </w:r>
    </w:p>
    <w:p w14:paraId="60FC06B3" w14:textId="77777777" w:rsidR="00CE5C46" w:rsidRDefault="00CE5C46" w:rsidP="00CE5C46">
      <w:pPr>
        <w:pStyle w:val="DTFBodyText"/>
      </w:pPr>
      <w:r>
        <w:t xml:space="preserve">AASB 119 Employee Benefits </w:t>
      </w:r>
    </w:p>
    <w:p w14:paraId="60FC06B4" w14:textId="77777777" w:rsidR="00CE5C46" w:rsidRPr="005255AD" w:rsidRDefault="00CE5C46" w:rsidP="00CE5C46">
      <w:pPr>
        <w:pStyle w:val="DTFBodyText"/>
      </w:pPr>
      <w:r w:rsidRPr="005255AD">
        <w:t>AASB 101 Presentation of Financial Statements</w:t>
      </w:r>
    </w:p>
    <w:p w14:paraId="60FC06B5" w14:textId="77777777" w:rsidR="00CE5C46" w:rsidRPr="00616960" w:rsidRDefault="00CE5C46" w:rsidP="00CE5C46">
      <w:pPr>
        <w:pStyle w:val="DTFBodyText"/>
        <w:rPr>
          <w:i/>
        </w:rPr>
      </w:pPr>
      <w:r w:rsidRPr="00616960">
        <w:rPr>
          <w:i/>
        </w:rPr>
        <w:t xml:space="preserve">Related Treasurer’s Directions: </w:t>
      </w:r>
    </w:p>
    <w:p w14:paraId="60FC06B6" w14:textId="77777777" w:rsidR="00CE5C46" w:rsidRPr="00FD13C1" w:rsidRDefault="00CE5C46" w:rsidP="00CE5C46">
      <w:pPr>
        <w:pStyle w:val="DTFBodyText"/>
      </w:pPr>
      <w:r w:rsidRPr="00FD13C1">
        <w:t>F2.2</w:t>
      </w:r>
      <w:r w:rsidRPr="00FD13C1">
        <w:tab/>
        <w:t>Framework – Working for Outcomes: Central Holding Authority</w:t>
      </w:r>
    </w:p>
    <w:p w14:paraId="60FC06B7" w14:textId="77777777" w:rsidR="00CE5C46" w:rsidRDefault="00CE5C46" w:rsidP="00CE5C46">
      <w:pPr>
        <w:pStyle w:val="DTFBodyText"/>
      </w:pPr>
      <w:r>
        <w:t>A3.1</w:t>
      </w:r>
      <w:r w:rsidRPr="00FD13C1">
        <w:tab/>
      </w:r>
      <w:r>
        <w:t>Accounting – Liabilities: Overview</w:t>
      </w:r>
    </w:p>
    <w:p w14:paraId="60FC06B8" w14:textId="77777777" w:rsidR="00CE5C46" w:rsidRPr="00FD13C1" w:rsidRDefault="00D67ED1" w:rsidP="00CE5C46">
      <w:pPr>
        <w:pStyle w:val="DTFBodyText"/>
      </w:pPr>
      <w:r>
        <w:t>A3.4</w:t>
      </w:r>
      <w:r>
        <w:tab/>
      </w:r>
      <w:r w:rsidR="00CE5C46">
        <w:t>Accounting – Liabilities: Employee Benefits</w:t>
      </w:r>
    </w:p>
    <w:p w14:paraId="60FC06B9" w14:textId="77777777" w:rsidR="00CE5C46" w:rsidRPr="00FD13C1" w:rsidRDefault="00CE5C46" w:rsidP="00CE5C46">
      <w:pPr>
        <w:pStyle w:val="DTFBodyText"/>
      </w:pPr>
      <w:r>
        <w:t>A6.1</w:t>
      </w:r>
      <w:r w:rsidRPr="00FD13C1">
        <w:tab/>
      </w:r>
      <w:r>
        <w:t>Accounting – Expenses: Overview</w:t>
      </w:r>
    </w:p>
    <w:p w14:paraId="60FC06BA" w14:textId="77777777" w:rsidR="00AE4CC7" w:rsidRPr="007E6170" w:rsidRDefault="00AE4CC7" w:rsidP="00CF77E0">
      <w:pPr>
        <w:pStyle w:val="Heading2"/>
      </w:pPr>
      <w:r w:rsidRPr="007E6170">
        <w:br w:type="page"/>
      </w:r>
    </w:p>
    <w:p w14:paraId="60FC06BB" w14:textId="77777777" w:rsidR="00B6008C" w:rsidRDefault="00CE5C46" w:rsidP="00CE5C46">
      <w:pPr>
        <w:pStyle w:val="Heading1"/>
      </w:pPr>
      <w:bookmarkStart w:id="2" w:name="_Toc447202260"/>
      <w:bookmarkStart w:id="3" w:name="_Toc472663472"/>
      <w:r w:rsidRPr="00FD13C1">
        <w:lastRenderedPageBreak/>
        <w:t xml:space="preserve">What </w:t>
      </w:r>
      <w:r>
        <w:t>are employee benefit expenses</w:t>
      </w:r>
      <w:r w:rsidRPr="00FD13C1">
        <w:t>?</w:t>
      </w:r>
      <w:bookmarkEnd w:id="2"/>
      <w:bookmarkEnd w:id="3"/>
    </w:p>
    <w:p w14:paraId="60FC06BC" w14:textId="77777777" w:rsidR="00B6008C" w:rsidRPr="007E6170" w:rsidRDefault="00E723F4" w:rsidP="00CE5C46">
      <w:pPr>
        <w:pStyle w:val="DTFHeading2-Lineabove"/>
      </w:pPr>
      <w:r>
        <w:t>A</w:t>
      </w:r>
      <w:r w:rsidR="00CE5C46">
        <w:t>6.2.1</w:t>
      </w:r>
    </w:p>
    <w:p w14:paraId="60FC06BD" w14:textId="77777777" w:rsidR="008444B2" w:rsidRPr="004D6BA6" w:rsidRDefault="00CE5C46" w:rsidP="004D6BA6">
      <w:pPr>
        <w:pStyle w:val="DTFBodyText"/>
        <w:rPr>
          <w:rStyle w:val="DTFStrong"/>
        </w:rPr>
      </w:pPr>
      <w:r w:rsidRPr="00CE5C46">
        <w:rPr>
          <w:rStyle w:val="DTFStrong"/>
        </w:rPr>
        <w:t>Employee benefit expenses include all forms of consideration given by an Agency in exchange for services rendered by employees.</w:t>
      </w:r>
    </w:p>
    <w:p w14:paraId="60FC06BE" w14:textId="77777777" w:rsidR="00B6008C" w:rsidRPr="00B6008C" w:rsidRDefault="00B6008C" w:rsidP="00B6008C">
      <w:pPr>
        <w:pStyle w:val="DTFSpacer-Lineabove"/>
      </w:pPr>
    </w:p>
    <w:p w14:paraId="60FC06BF" w14:textId="77777777" w:rsidR="00CE5C46" w:rsidRPr="00CC4D0D" w:rsidRDefault="00CE5C46" w:rsidP="00472F33">
      <w:pPr>
        <w:pStyle w:val="DTFListNumber1-Roman"/>
        <w:numPr>
          <w:ilvl w:val="0"/>
          <w:numId w:val="20"/>
        </w:numPr>
      </w:pPr>
      <w:bookmarkStart w:id="4" w:name="_Toc468805524"/>
      <w:r w:rsidRPr="00CC4D0D">
        <w:t>Employee benefit expenses are the entitlements which employees accumulate as a result of providing their services to an Agency.</w:t>
      </w:r>
      <w:r w:rsidR="00627D18">
        <w:t xml:space="preserve"> </w:t>
      </w:r>
      <w:r w:rsidRPr="00CC4D0D">
        <w:t>They include benefits that are settled by payment or the provision of goods or services, either directly to the employee or to their spouse, children or other dependants, and to others, such as insurance companies and superannuation funds.</w:t>
      </w:r>
    </w:p>
    <w:p w14:paraId="60FC06C0" w14:textId="77777777" w:rsidR="00CE5C46" w:rsidRPr="00CC4D0D" w:rsidRDefault="00CE5C46" w:rsidP="00472F33">
      <w:pPr>
        <w:pStyle w:val="DTFListNumber1-Roman"/>
        <w:numPr>
          <w:ilvl w:val="0"/>
          <w:numId w:val="20"/>
        </w:numPr>
      </w:pPr>
      <w:r w:rsidRPr="00CC4D0D">
        <w:t>Examples of employee benefit expenses include:</w:t>
      </w:r>
    </w:p>
    <w:p w14:paraId="60FC06C1" w14:textId="77777777" w:rsidR="00CE5C46" w:rsidRPr="00CC4D0D" w:rsidRDefault="00CE5C46" w:rsidP="00472F33">
      <w:pPr>
        <w:pStyle w:val="DTFListBullet2-Black"/>
        <w:numPr>
          <w:ilvl w:val="1"/>
          <w:numId w:val="20"/>
        </w:numPr>
      </w:pPr>
      <w:r w:rsidRPr="00CC4D0D">
        <w:t>salaries and wages – employee remuneration for the performance of work including bonuses and allowances;</w:t>
      </w:r>
    </w:p>
    <w:p w14:paraId="60FC06C2" w14:textId="77777777" w:rsidR="00CE5C46" w:rsidRPr="00CC4D0D" w:rsidRDefault="00CE5C46" w:rsidP="00472F33">
      <w:pPr>
        <w:pStyle w:val="DTFListBullet2-Black"/>
        <w:numPr>
          <w:ilvl w:val="1"/>
          <w:numId w:val="20"/>
        </w:numPr>
      </w:pPr>
      <w:r w:rsidRPr="00CC4D0D">
        <w:t>recreation leave and recreation leave loading – leave to which an employee is entitled under Public Sector Employment and Management By-Laws 4 to 6;</w:t>
      </w:r>
    </w:p>
    <w:p w14:paraId="60FC06C3" w14:textId="77777777" w:rsidR="00CE5C46" w:rsidRPr="00CC4D0D" w:rsidRDefault="00CE5C46" w:rsidP="00472F33">
      <w:pPr>
        <w:pStyle w:val="DTFListBullet2-Black"/>
        <w:numPr>
          <w:ilvl w:val="1"/>
          <w:numId w:val="20"/>
        </w:numPr>
      </w:pPr>
      <w:r w:rsidRPr="00CC4D0D">
        <w:t>sick leave – leave to which an employee is entitled under Public Sector Employment and Management By-Law 7;</w:t>
      </w:r>
    </w:p>
    <w:p w14:paraId="60FC06C4" w14:textId="77777777" w:rsidR="00CE5C46" w:rsidRPr="00CC4D0D" w:rsidRDefault="00CE5C46" w:rsidP="00472F33">
      <w:pPr>
        <w:pStyle w:val="DTFListBullet2-Black"/>
        <w:numPr>
          <w:ilvl w:val="1"/>
          <w:numId w:val="20"/>
        </w:numPr>
      </w:pPr>
      <w:r w:rsidRPr="00CC4D0D">
        <w:t>long service leave – leave to which an employee is entitled after completing 10 years of continuous service under Public Sector Employment and Management By-Law 8;</w:t>
      </w:r>
    </w:p>
    <w:p w14:paraId="60FC06C5" w14:textId="77777777" w:rsidR="00CE5C46" w:rsidRPr="00CC4D0D" w:rsidRDefault="00CE5C46" w:rsidP="00472F33">
      <w:pPr>
        <w:pStyle w:val="DTFListBullet2-Black"/>
        <w:numPr>
          <w:ilvl w:val="1"/>
          <w:numId w:val="20"/>
        </w:numPr>
      </w:pPr>
      <w:r w:rsidRPr="00CC4D0D">
        <w:t>superannuation – a Commonwealth regulated system under which an Agency contributes to an employee’s retirement savings fund; and</w:t>
      </w:r>
    </w:p>
    <w:p w14:paraId="60FC06C6" w14:textId="77777777" w:rsidR="00CE5C46" w:rsidRPr="00CC4D0D" w:rsidRDefault="00CE5C46" w:rsidP="00472F33">
      <w:pPr>
        <w:pStyle w:val="DTFListBullet2-Black"/>
        <w:numPr>
          <w:ilvl w:val="1"/>
          <w:numId w:val="20"/>
        </w:numPr>
      </w:pPr>
      <w:r w:rsidRPr="00CC4D0D">
        <w:t>other employe</w:t>
      </w:r>
      <w:r w:rsidR="00453111">
        <w:t>e benefits – may include study</w:t>
      </w:r>
      <w:r w:rsidRPr="00CC4D0D">
        <w:t xml:space="preserve"> assistance, air fares, motor vehicles, telephones, termination and compensation payments.</w:t>
      </w:r>
    </w:p>
    <w:p w14:paraId="60FC06C7" w14:textId="77777777" w:rsidR="00CE5C46" w:rsidRPr="00CC4D0D" w:rsidRDefault="00CE5C46" w:rsidP="00472F33">
      <w:pPr>
        <w:pStyle w:val="DTFListNumber1-Roman"/>
        <w:numPr>
          <w:ilvl w:val="0"/>
          <w:numId w:val="20"/>
        </w:numPr>
      </w:pPr>
      <w:r w:rsidRPr="00CC4D0D">
        <w:t>Although not employee benefit expenses, employee benefit on-costs are other costs incurred as a consequence of employing employees and include payroll tax and fringe benefits tax. These costs will be recognised as expenses when the services to which they relate have been provided.</w:t>
      </w:r>
    </w:p>
    <w:p w14:paraId="60FC06C8" w14:textId="77777777" w:rsidR="00CE5C46" w:rsidRPr="00CC4D0D" w:rsidRDefault="00CE5C46" w:rsidP="00472F33">
      <w:pPr>
        <w:pStyle w:val="DTFListNumber1-Roman"/>
        <w:numPr>
          <w:ilvl w:val="0"/>
          <w:numId w:val="20"/>
        </w:numPr>
      </w:pPr>
      <w:r w:rsidRPr="00CC4D0D">
        <w:t>While it is important that the full cost of employees is known, some employee benefit expense information will not be administratively effective to collect.</w:t>
      </w:r>
      <w:r w:rsidR="00627D18">
        <w:t xml:space="preserve"> </w:t>
      </w:r>
      <w:r w:rsidRPr="00CC4D0D">
        <w:t>For example, some non-monetary benefits or on-costs associated with employee benefits may be of a minor or insignificant nature. Agencies should remain aware of the administrative cost and materiality of employee benefit information collected.</w:t>
      </w:r>
      <w:r w:rsidR="00627D18">
        <w:t xml:space="preserve"> </w:t>
      </w:r>
    </w:p>
    <w:p w14:paraId="60FC06C9" w14:textId="77777777" w:rsidR="00CE5C46" w:rsidRPr="00CC4D0D" w:rsidRDefault="00CE5C46" w:rsidP="00472F33">
      <w:pPr>
        <w:pStyle w:val="DTFListNumber1-Roman"/>
        <w:numPr>
          <w:ilvl w:val="0"/>
          <w:numId w:val="20"/>
        </w:numPr>
      </w:pPr>
      <w:r w:rsidRPr="00CC4D0D">
        <w:t xml:space="preserve">The </w:t>
      </w:r>
      <w:r w:rsidRPr="005255AD">
        <w:rPr>
          <w:i/>
        </w:rPr>
        <w:t>Financial Management Act</w:t>
      </w:r>
      <w:r w:rsidRPr="00CC4D0D">
        <w:t xml:space="preserve"> defines an employee, in relation to an Agency, as a person employed by or in the business of the Agency, and includes the Accountable Officer.</w:t>
      </w:r>
      <w:r w:rsidR="00627D18">
        <w:t xml:space="preserve"> </w:t>
      </w:r>
      <w:r w:rsidRPr="00CC4D0D">
        <w:t>Employees may be full-time, part time, permanent, casual or employed on a temporary basis.</w:t>
      </w:r>
    </w:p>
    <w:p w14:paraId="60FC06CA" w14:textId="77777777" w:rsidR="00CE5C46" w:rsidRDefault="00CE5C46" w:rsidP="00472F33">
      <w:pPr>
        <w:pStyle w:val="DTFListNumber1-Roman"/>
        <w:numPr>
          <w:ilvl w:val="0"/>
          <w:numId w:val="20"/>
        </w:numPr>
      </w:pPr>
      <w:r w:rsidRPr="00CC4D0D">
        <w:t>Generally, an employee is any person who is appointed or engaged under an Act, Award or contract of service for salary or wages, to perform duties subject to the direction of the employer.</w:t>
      </w:r>
      <w:r w:rsidR="00627D18">
        <w:t xml:space="preserve"> </w:t>
      </w:r>
      <w:r w:rsidRPr="00CC4D0D">
        <w:t>Independent contractors or other entities that are not natural persons, such as companies or partnerships, are not considered employees.</w:t>
      </w:r>
    </w:p>
    <w:p w14:paraId="60FC06CB" w14:textId="77777777" w:rsidR="00CE5C46" w:rsidRPr="008F4426" w:rsidRDefault="00CE5C46" w:rsidP="00472F33">
      <w:pPr>
        <w:pStyle w:val="DTFListNumber1-Roman"/>
        <w:numPr>
          <w:ilvl w:val="0"/>
          <w:numId w:val="20"/>
        </w:numPr>
      </w:pPr>
      <w:r w:rsidRPr="00CC4D0D">
        <w:br w:type="page"/>
      </w:r>
      <w:r w:rsidRPr="008F4426">
        <w:lastRenderedPageBreak/>
        <w:t>Certain employee benefit expenses may be recognised on a net basis for financial reporting purposes. For example, where an Agency recovers an overpayment of recreation leave from an employee it may be credited back to the recreation leave expense account. In addition, reimbursements received relating to seconded staff may also be offset where the Agency receiving the payment continues to pay the employee’s salary and related costs.</w:t>
      </w:r>
    </w:p>
    <w:p w14:paraId="60FC06CC" w14:textId="77777777" w:rsidR="00CE5C46" w:rsidRPr="00CC4D0D" w:rsidRDefault="00CE5C46" w:rsidP="00472F33">
      <w:pPr>
        <w:pStyle w:val="DTFListNumber1-Roman"/>
        <w:numPr>
          <w:ilvl w:val="0"/>
          <w:numId w:val="20"/>
        </w:numPr>
      </w:pPr>
      <w:r w:rsidRPr="00CC4D0D">
        <w:t>Overpayments of moneys to employees, including salaries and wages and other employee benefit payments, are required to be recovered in accordance with requirements contained in the Financial Management Regulations. For the purpose of the Financial Management Regulations, employee includes former employees and the recovery of any associated employee benefit overpayments.</w:t>
      </w:r>
    </w:p>
    <w:p w14:paraId="60FC06CD" w14:textId="77777777" w:rsidR="00CE5C46" w:rsidRDefault="00CE5C46" w:rsidP="00472F33">
      <w:pPr>
        <w:pStyle w:val="DTFListNumber1-Roman"/>
        <w:numPr>
          <w:ilvl w:val="0"/>
          <w:numId w:val="20"/>
        </w:numPr>
      </w:pPr>
      <w:r w:rsidRPr="00CC4D0D">
        <w:t>Treasurer’s Direction Section A6.1 provides additional instruction and guidance in relation to the recognition and classification of expenses. Detailed instruction and guidance in relation to liabilities and employee benefit liabilities can be found in Treasurer’s Directions Sections A3.1 and A3.4 respectively.</w:t>
      </w:r>
    </w:p>
    <w:p w14:paraId="60FC06CE" w14:textId="77777777" w:rsidR="00E723F4" w:rsidRDefault="00E723F4" w:rsidP="00E723F4">
      <w:pPr>
        <w:pStyle w:val="Heading1"/>
      </w:pPr>
      <w:bookmarkStart w:id="5" w:name="_Toc472663473"/>
      <w:r>
        <w:t>Salaries and wages</w:t>
      </w:r>
      <w:bookmarkEnd w:id="5"/>
    </w:p>
    <w:bookmarkEnd w:id="4"/>
    <w:p w14:paraId="60FC06CF" w14:textId="77777777" w:rsidR="009C636E" w:rsidRDefault="00E723F4" w:rsidP="005149D5">
      <w:pPr>
        <w:pStyle w:val="DTFHeading3-Lineabove"/>
      </w:pPr>
      <w:r>
        <w:t>A6</w:t>
      </w:r>
      <w:r w:rsidR="009C636E">
        <w:t>.2.2</w:t>
      </w:r>
    </w:p>
    <w:p w14:paraId="60FC06D0" w14:textId="77777777" w:rsidR="009C636E" w:rsidRPr="004D6BA6" w:rsidRDefault="00E723F4" w:rsidP="004D6BA6">
      <w:pPr>
        <w:pStyle w:val="DTFBodyText"/>
        <w:rPr>
          <w:rStyle w:val="DTFStrong"/>
        </w:rPr>
      </w:pPr>
      <w:r w:rsidRPr="00E723F4">
        <w:rPr>
          <w:rStyle w:val="DTFStrong"/>
        </w:rPr>
        <w:t>An Agency is to recognise and record salaries and wages as an expense in the reporting period in which the employee’s services are pro</w:t>
      </w:r>
      <w:r>
        <w:rPr>
          <w:rStyle w:val="DTFStrong"/>
        </w:rPr>
        <w:t>vided, at their nominal amounts</w:t>
      </w:r>
      <w:r w:rsidR="005008AD" w:rsidRPr="004D6BA6">
        <w:rPr>
          <w:rStyle w:val="DTFStrong"/>
        </w:rPr>
        <w:t>.</w:t>
      </w:r>
      <w:r w:rsidR="009C636E" w:rsidRPr="004D6BA6">
        <w:rPr>
          <w:rStyle w:val="DTFStrong"/>
        </w:rPr>
        <w:t xml:space="preserve"> </w:t>
      </w:r>
    </w:p>
    <w:p w14:paraId="60FC06D1" w14:textId="77777777" w:rsidR="009C636E" w:rsidRDefault="009C636E" w:rsidP="009C636E">
      <w:pPr>
        <w:pStyle w:val="DTFSpacer-Lineabove"/>
      </w:pPr>
    </w:p>
    <w:p w14:paraId="60FC06D2" w14:textId="77777777" w:rsidR="00E723F4" w:rsidRPr="008F4426" w:rsidRDefault="00E723F4" w:rsidP="00472F33">
      <w:pPr>
        <w:pStyle w:val="DTFListNumber1-Roman"/>
        <w:numPr>
          <w:ilvl w:val="0"/>
          <w:numId w:val="21"/>
        </w:numPr>
      </w:pPr>
      <w:r w:rsidRPr="008F4426">
        <w:t>Employee benefits satisfy the recognition criteria for expenses because as an Agency consumes employees’ services, an obligation to compensate employees for that service arises, which is capable of being measured reliably.</w:t>
      </w:r>
    </w:p>
    <w:p w14:paraId="60FC06D3" w14:textId="77777777" w:rsidR="00E723F4" w:rsidRPr="008F4426" w:rsidRDefault="00E723F4" w:rsidP="00472F33">
      <w:pPr>
        <w:pStyle w:val="DTFListNumber1-Roman"/>
        <w:numPr>
          <w:ilvl w:val="0"/>
          <w:numId w:val="21"/>
        </w:numPr>
      </w:pPr>
      <w:r w:rsidRPr="008F4426">
        <w:t>Employee benefit expenses, such as salaries and wages, will be measured using the nominal basis of measurement. This basis uses remuneration rates that an Agency expects to pay at each reporting date. For example, for an employee who works 20 days and is entitled to $100 a day, the salaries and wages expense recognised for that period would be $2,000.</w:t>
      </w:r>
    </w:p>
    <w:p w14:paraId="60FC06D4" w14:textId="77777777" w:rsidR="00E723F4" w:rsidRPr="008F4426" w:rsidRDefault="00E723F4" w:rsidP="00472F33">
      <w:pPr>
        <w:pStyle w:val="DTFListNumber1-Roman"/>
        <w:numPr>
          <w:ilvl w:val="0"/>
          <w:numId w:val="21"/>
        </w:numPr>
      </w:pPr>
      <w:r w:rsidRPr="008F4426">
        <w:t xml:space="preserve">Where an employee is currently being paid an ongoing allowance (for example, NT Allowance), this allowance will form part of salaries and wages expenses. In practice, most expenses for salaries and wages are calculated by the Personnel Information and Payroll System (PIPS) and charged automatically to Agency ledgers. </w:t>
      </w:r>
    </w:p>
    <w:p w14:paraId="60FC06D5" w14:textId="77777777" w:rsidR="00E723F4" w:rsidRPr="008F4426" w:rsidRDefault="00E723F4" w:rsidP="00472F33">
      <w:pPr>
        <w:pStyle w:val="DTFListNumber1-Roman"/>
        <w:numPr>
          <w:ilvl w:val="0"/>
          <w:numId w:val="21"/>
        </w:numPr>
      </w:pPr>
      <w:r w:rsidRPr="008F4426">
        <w:t>The amount of expense incurred for the period will include:</w:t>
      </w:r>
    </w:p>
    <w:p w14:paraId="60FC06D6" w14:textId="77777777" w:rsidR="00E723F4" w:rsidRPr="008F4426" w:rsidRDefault="00E723F4" w:rsidP="00472F33">
      <w:pPr>
        <w:pStyle w:val="DTFListBullet2-Black"/>
        <w:numPr>
          <w:ilvl w:val="1"/>
          <w:numId w:val="21"/>
        </w:numPr>
      </w:pPr>
      <w:r w:rsidRPr="008F4426">
        <w:t>actual salaries and wages paid during the period;</w:t>
      </w:r>
    </w:p>
    <w:p w14:paraId="60FC06D7" w14:textId="77777777" w:rsidR="00E723F4" w:rsidRPr="008F4426" w:rsidRDefault="00E723F4" w:rsidP="00472F33">
      <w:pPr>
        <w:pStyle w:val="DTFListBullet2-Black"/>
        <w:numPr>
          <w:ilvl w:val="1"/>
          <w:numId w:val="21"/>
        </w:numPr>
      </w:pPr>
      <w:r w:rsidRPr="008F4426">
        <w:t>an increase in expenses related to adjustments for amounts earned or owing but not yet paid at the end of the period; and</w:t>
      </w:r>
    </w:p>
    <w:p w14:paraId="60FC06D8" w14:textId="77777777" w:rsidR="00E723F4" w:rsidRPr="008F4426" w:rsidRDefault="00E723F4" w:rsidP="00472F33">
      <w:pPr>
        <w:pStyle w:val="DTFListBullet2-Black"/>
        <w:numPr>
          <w:ilvl w:val="1"/>
          <w:numId w:val="21"/>
        </w:numPr>
      </w:pPr>
      <w:r w:rsidRPr="008F4426">
        <w:t>a decrease in expenses related to adjustments for amounts paid during the period that relate to prior periods.</w:t>
      </w:r>
    </w:p>
    <w:p w14:paraId="60FC06D9" w14:textId="77777777" w:rsidR="003522AD" w:rsidRDefault="003522AD" w:rsidP="00967AF6">
      <w:pPr>
        <w:pStyle w:val="DTFBodyText"/>
      </w:pPr>
      <w:r>
        <w:br w:type="page"/>
      </w:r>
    </w:p>
    <w:p w14:paraId="60FC06DA" w14:textId="77777777" w:rsidR="00E723F4" w:rsidRDefault="00E723F4" w:rsidP="00E723F4">
      <w:pPr>
        <w:pStyle w:val="Heading1"/>
      </w:pPr>
      <w:bookmarkStart w:id="6" w:name="_Toc472663474"/>
      <w:r>
        <w:lastRenderedPageBreak/>
        <w:t xml:space="preserve">Recreation </w:t>
      </w:r>
      <w:r w:rsidR="003F6B26">
        <w:t>l</w:t>
      </w:r>
      <w:r>
        <w:t>eave</w:t>
      </w:r>
      <w:bookmarkEnd w:id="6"/>
    </w:p>
    <w:p w14:paraId="60FC06DB" w14:textId="77777777" w:rsidR="009C636E" w:rsidRDefault="00E723F4" w:rsidP="005149D5">
      <w:pPr>
        <w:pStyle w:val="DTFHeading3-Lineabove"/>
      </w:pPr>
      <w:r>
        <w:t>A6</w:t>
      </w:r>
      <w:r w:rsidR="009C636E">
        <w:t>.2.</w:t>
      </w:r>
      <w:r w:rsidR="00C851C6">
        <w:t>3</w:t>
      </w:r>
    </w:p>
    <w:p w14:paraId="60FC06DC" w14:textId="77777777" w:rsidR="009C636E" w:rsidRDefault="00A21C22" w:rsidP="004D6BA6">
      <w:pPr>
        <w:pStyle w:val="DTFBodyText"/>
        <w:rPr>
          <w:rStyle w:val="DTFStrong"/>
        </w:rPr>
      </w:pPr>
      <w:r w:rsidRPr="00A21C22">
        <w:rPr>
          <w:rStyle w:val="DTFStrong"/>
        </w:rPr>
        <w:t>An Agency is to recognise and record an expense for recreation leave and recreation leave loading in the reporting period in which the employee’s services are provided</w:t>
      </w:r>
      <w:r w:rsidR="009C636E" w:rsidRPr="004D6BA6">
        <w:rPr>
          <w:rStyle w:val="DTFStrong"/>
        </w:rPr>
        <w:t xml:space="preserve">. </w:t>
      </w:r>
    </w:p>
    <w:p w14:paraId="60FC06DD" w14:textId="77777777" w:rsidR="00A21C22" w:rsidRPr="004D6BA6" w:rsidRDefault="00A21C22" w:rsidP="00A21C22">
      <w:pPr>
        <w:pStyle w:val="DTFSpacer-Lineabove"/>
        <w:rPr>
          <w:rStyle w:val="DTFStrong"/>
        </w:rPr>
      </w:pPr>
    </w:p>
    <w:p w14:paraId="60FC06DE" w14:textId="77777777" w:rsidR="00A21C22" w:rsidRPr="009C5E22" w:rsidRDefault="00A21C22" w:rsidP="00083324">
      <w:pPr>
        <w:pStyle w:val="DTFListNumber1-Roman"/>
      </w:pPr>
      <w:r w:rsidRPr="009C5E22">
        <w:t>An Agency will recognise an expense for recreation leave and recreation leave loading, as an employee becomes entitled to the benefit (that is, as services are rendered). For Agencies subject to the Public Sector Employment and Management Act, these entitlements are contained in the Public Sector Employment and Management By-Laws.</w:t>
      </w:r>
    </w:p>
    <w:p w14:paraId="60FC06DF" w14:textId="77777777" w:rsidR="00A21C22" w:rsidRPr="009C5E22" w:rsidRDefault="00A21C22" w:rsidP="00083324">
      <w:pPr>
        <w:pStyle w:val="DTFListNumber1-Roman"/>
      </w:pPr>
      <w:r w:rsidRPr="009C5E22">
        <w:t xml:space="preserve">Agency recreation leave and recreation leave loading expenses (and associated liabilities) will be measured at nominal amounts. </w:t>
      </w:r>
    </w:p>
    <w:p w14:paraId="60FC06E0" w14:textId="77777777" w:rsidR="00A21C22" w:rsidRPr="009C5E22" w:rsidRDefault="00A21C22" w:rsidP="00083324">
      <w:pPr>
        <w:pStyle w:val="DTFListNumber1-Roman"/>
      </w:pPr>
      <w:r w:rsidRPr="009C5E22">
        <w:t xml:space="preserve">The nominal basis of measurement uses remuneration rates that an Agency expects to pay at each reporting date. </w:t>
      </w:r>
    </w:p>
    <w:p w14:paraId="60FC06E1" w14:textId="77777777" w:rsidR="00A21C22" w:rsidRPr="009C5E22" w:rsidRDefault="00A21C22" w:rsidP="00083324">
      <w:pPr>
        <w:pStyle w:val="DTFListNumber1-Roman"/>
      </w:pPr>
      <w:r w:rsidRPr="009C5E22">
        <w:t>In effect, the recognition of recreation leave expenses occurs simultaneously with the recognition of an increase in recreation leave liabilities. The amount of expense incurred for the period may therefore include:</w:t>
      </w:r>
    </w:p>
    <w:p w14:paraId="60FC06E2" w14:textId="77777777" w:rsidR="00A21C22" w:rsidRPr="009C5E22" w:rsidRDefault="00A21C22" w:rsidP="00083324">
      <w:pPr>
        <w:pStyle w:val="DTFListBullet2-Black"/>
      </w:pPr>
      <w:r w:rsidRPr="009C5E22">
        <w:t>actual recreation leave and leave loading paid during the period;</w:t>
      </w:r>
    </w:p>
    <w:p w14:paraId="60FC06E3" w14:textId="77777777" w:rsidR="00A21C22" w:rsidRPr="009C5E22" w:rsidRDefault="00A21C22" w:rsidP="00083324">
      <w:pPr>
        <w:pStyle w:val="DTFListBullet2-Black"/>
      </w:pPr>
      <w:r w:rsidRPr="009C5E22">
        <w:t>an increase in expenses related to adjustments for amounts earned or owing but not yet paid at the end of the period; and</w:t>
      </w:r>
    </w:p>
    <w:p w14:paraId="60FC06E4" w14:textId="77777777" w:rsidR="00A21C22" w:rsidRPr="009C5E22" w:rsidRDefault="00A21C22" w:rsidP="00083324">
      <w:pPr>
        <w:pStyle w:val="DTFListBullet2-Black"/>
      </w:pPr>
      <w:r w:rsidRPr="009C5E22">
        <w:t>a decrease in expenses due to adjustments relating to transfers out of the Agency during the period that were accrued in prior periods.</w:t>
      </w:r>
    </w:p>
    <w:p w14:paraId="60FC06E5" w14:textId="77777777" w:rsidR="00A21C22" w:rsidRDefault="00A21C22" w:rsidP="00083324">
      <w:pPr>
        <w:pStyle w:val="DTFListNumber1-Roman"/>
      </w:pPr>
      <w:r w:rsidRPr="009C5E22">
        <w:t>In certain situations Agencies will be required to recognise and derecognise employee benefit expenses (and liabilities) that arise as a result of employee transfers. Employee transfers are</w:t>
      </w:r>
      <w:r w:rsidRPr="008F4426">
        <w:t xml:space="preserve"> explained later in this Section and in more detail in Treasurer’s Direction Section A3.4.</w:t>
      </w:r>
    </w:p>
    <w:p w14:paraId="60FC06E6" w14:textId="77777777" w:rsidR="00A21C22" w:rsidRPr="008F4426" w:rsidRDefault="003F6B26" w:rsidP="00A21C22">
      <w:pPr>
        <w:pStyle w:val="Heading1"/>
      </w:pPr>
      <w:bookmarkStart w:id="7" w:name="_Toc472663475"/>
      <w:r>
        <w:t>Sick l</w:t>
      </w:r>
      <w:r w:rsidR="00A21C22" w:rsidRPr="00CD1314">
        <w:t>eave</w:t>
      </w:r>
      <w:bookmarkEnd w:id="7"/>
    </w:p>
    <w:p w14:paraId="60FC06E7" w14:textId="77777777" w:rsidR="009C636E" w:rsidRPr="003A7B18" w:rsidRDefault="00A21C22" w:rsidP="005149D5">
      <w:pPr>
        <w:pStyle w:val="DTFHeading3-Lineabove"/>
      </w:pPr>
      <w:r>
        <w:t>A6</w:t>
      </w:r>
      <w:r w:rsidR="009C636E" w:rsidRPr="003A7B18">
        <w:t>.2.</w:t>
      </w:r>
      <w:r w:rsidR="00C851C6">
        <w:t>4</w:t>
      </w:r>
    </w:p>
    <w:p w14:paraId="60FC06E8" w14:textId="77777777" w:rsidR="009C636E" w:rsidRDefault="00A21C22" w:rsidP="003522AD">
      <w:pPr>
        <w:pStyle w:val="DTFBodyText"/>
        <w:rPr>
          <w:rStyle w:val="DTFStrong"/>
        </w:rPr>
      </w:pPr>
      <w:r w:rsidRPr="00A21C22">
        <w:rPr>
          <w:rStyle w:val="DTFStrong"/>
        </w:rPr>
        <w:t>An Agency is to recognise an expense for sick leave in the reporting period in which the leave is taken, at nominal amounts.</w:t>
      </w:r>
    </w:p>
    <w:p w14:paraId="60FC06E9" w14:textId="77777777" w:rsidR="003522AD" w:rsidRPr="00CE5C46" w:rsidRDefault="003522AD" w:rsidP="000E7DAF">
      <w:pPr>
        <w:pStyle w:val="DTFSpacer-Lineabove"/>
      </w:pPr>
    </w:p>
    <w:p w14:paraId="60FC06EA" w14:textId="77777777" w:rsidR="00A21C22" w:rsidRPr="0007143F" w:rsidRDefault="00A21C22" w:rsidP="00472F33">
      <w:pPr>
        <w:pStyle w:val="DTFListNumber1-Roman"/>
        <w:numPr>
          <w:ilvl w:val="0"/>
          <w:numId w:val="24"/>
        </w:numPr>
      </w:pPr>
      <w:r w:rsidRPr="0007143F">
        <w:t xml:space="preserve">Sick leave in the Northern Territory Public Sector is of a non-vesting nature. This means that although sick leave entitlements accumulate to an employee, they will only receive a payment in the event of a valid claim (not for example on resignation). </w:t>
      </w:r>
    </w:p>
    <w:p w14:paraId="60FC06EB" w14:textId="77777777" w:rsidR="00A21C22" w:rsidRPr="0007143F" w:rsidRDefault="00A21C22" w:rsidP="00472F33">
      <w:pPr>
        <w:pStyle w:val="DTFListNumber1-Roman"/>
        <w:numPr>
          <w:ilvl w:val="0"/>
          <w:numId w:val="24"/>
        </w:numPr>
      </w:pPr>
      <w:r w:rsidRPr="0007143F">
        <w:t>An expense for sick leave is only to be recognised therefore, when an employee makes a valid claim and the amount can be measured reliably. Current processes result in the recognition of sick leave expense as part of salaries in the Standard Classifications.</w:t>
      </w:r>
    </w:p>
    <w:p w14:paraId="60FC06EC" w14:textId="77777777" w:rsidR="003522AD" w:rsidRDefault="003522AD" w:rsidP="00967AF6">
      <w:pPr>
        <w:pStyle w:val="DTFBodyText"/>
        <w:rPr>
          <w:rFonts w:eastAsiaTheme="majorEastAsia"/>
        </w:rPr>
      </w:pPr>
      <w:r>
        <w:br w:type="page"/>
      </w:r>
    </w:p>
    <w:p w14:paraId="60FC06ED" w14:textId="77777777" w:rsidR="00A21C22" w:rsidRPr="00CD1314" w:rsidRDefault="003F6B26" w:rsidP="00A21C22">
      <w:pPr>
        <w:pStyle w:val="Heading1"/>
      </w:pPr>
      <w:bookmarkStart w:id="8" w:name="_Toc472663476"/>
      <w:r>
        <w:lastRenderedPageBreak/>
        <w:t>Long service l</w:t>
      </w:r>
      <w:r w:rsidR="00A21C22">
        <w:t>eave</w:t>
      </w:r>
      <w:bookmarkEnd w:id="8"/>
    </w:p>
    <w:p w14:paraId="60FC06EE" w14:textId="77777777" w:rsidR="00B52CAA" w:rsidRDefault="00A21C22" w:rsidP="005149D5">
      <w:pPr>
        <w:pStyle w:val="DTFHeading3-Lineabove"/>
      </w:pPr>
      <w:r>
        <w:t>A6</w:t>
      </w:r>
      <w:r w:rsidR="00B52CAA">
        <w:t>.2.</w:t>
      </w:r>
      <w:r w:rsidR="00C851C6">
        <w:t>5</w:t>
      </w:r>
    </w:p>
    <w:p w14:paraId="60FC06EF" w14:textId="77777777" w:rsidR="00CE6481" w:rsidRPr="003522AD" w:rsidRDefault="00A21C22" w:rsidP="003522AD">
      <w:pPr>
        <w:pStyle w:val="DTFBodyText"/>
        <w:rPr>
          <w:rStyle w:val="DTFStrong"/>
        </w:rPr>
      </w:pPr>
      <w:r w:rsidRPr="00A21C22">
        <w:rPr>
          <w:rStyle w:val="DTFStrong"/>
        </w:rPr>
        <w:t>An Agency is not to recognise an expense for long service leave where the long service leave liabilities and expenses are recognised and recorded in the Central Holding Authority</w:t>
      </w:r>
      <w:r w:rsidR="00CE6481" w:rsidRPr="009C596F">
        <w:rPr>
          <w:rStyle w:val="DTFStrong"/>
        </w:rPr>
        <w:t>.</w:t>
      </w:r>
      <w:r w:rsidR="00CE6481" w:rsidRPr="003522AD">
        <w:rPr>
          <w:rStyle w:val="DTFStrong"/>
        </w:rPr>
        <w:t xml:space="preserve"> </w:t>
      </w:r>
    </w:p>
    <w:p w14:paraId="60FC06F0" w14:textId="77777777" w:rsidR="00CE6481" w:rsidRPr="00CE6481" w:rsidRDefault="00CE6481" w:rsidP="00CE6481">
      <w:pPr>
        <w:pStyle w:val="DTFSpacer-Lineabove"/>
      </w:pPr>
    </w:p>
    <w:p w14:paraId="60FC06F1" w14:textId="77777777" w:rsidR="00A21C22" w:rsidRPr="008F4426" w:rsidRDefault="00A21C22" w:rsidP="00472F33">
      <w:pPr>
        <w:pStyle w:val="DTFListNumber1-Roman"/>
        <w:numPr>
          <w:ilvl w:val="0"/>
          <w:numId w:val="23"/>
        </w:numPr>
      </w:pPr>
      <w:bookmarkStart w:id="9" w:name="_Toc468805526"/>
      <w:r w:rsidRPr="008F4426">
        <w:t xml:space="preserve">The Central Holding Authority (CHA) holds the long service leave liabilities of Agency employees and as such, long service leave expenses are also recognised and recorded by the CHA rather than in Agency financial statements. </w:t>
      </w:r>
    </w:p>
    <w:p w14:paraId="60FC06F2" w14:textId="77777777" w:rsidR="00A21C22" w:rsidRPr="008F4426" w:rsidRDefault="00A21C22" w:rsidP="00472F33">
      <w:pPr>
        <w:pStyle w:val="DTFListNumber1-Roman"/>
        <w:numPr>
          <w:ilvl w:val="0"/>
          <w:numId w:val="23"/>
        </w:numPr>
      </w:pPr>
      <w:r w:rsidRPr="008F4426">
        <w:t xml:space="preserve">Where an employee has prior service recognised for long service leave purposes in accordance with the </w:t>
      </w:r>
      <w:r w:rsidRPr="003F6B26">
        <w:rPr>
          <w:i/>
        </w:rPr>
        <w:t>Public Employment (Mobility) Act</w:t>
      </w:r>
      <w:r w:rsidRPr="008F4426">
        <w:t>, the calculation of the long service leave expense (and associated liability) in the CHA will take account of this prior service. Agencies should remain aware that the recognition of employee benefit liabilities (and expenses) related to prior service will depend on relevant employment determinations and may be subject to a period of minimum service.</w:t>
      </w:r>
      <w:r>
        <w:t xml:space="preserve"> </w:t>
      </w:r>
    </w:p>
    <w:p w14:paraId="60FC06F3" w14:textId="77777777" w:rsidR="00A21C22" w:rsidRPr="008F4426" w:rsidRDefault="00A21C22" w:rsidP="00472F33">
      <w:pPr>
        <w:pStyle w:val="DTFListNumber1-Roman"/>
        <w:numPr>
          <w:ilvl w:val="0"/>
          <w:numId w:val="23"/>
        </w:numPr>
      </w:pPr>
      <w:r w:rsidRPr="008F4426">
        <w:t>The recording of Agency long service leave expenses and liabilities in the CHA does not remove or diminish an Agency’s responsibility in relation to the management and use of long service leave by Agency employees.</w:t>
      </w:r>
    </w:p>
    <w:p w14:paraId="60FC06F4" w14:textId="77777777" w:rsidR="00A21C22" w:rsidRPr="008F4426" w:rsidRDefault="00A21C22" w:rsidP="00472F33">
      <w:pPr>
        <w:pStyle w:val="DTFListNumber1-Roman"/>
        <w:numPr>
          <w:ilvl w:val="0"/>
          <w:numId w:val="23"/>
        </w:numPr>
      </w:pPr>
      <w:r w:rsidRPr="008F4426">
        <w:t>Additional instruction and guidance in relation to long service leave liabilities may be found in Treasurer’s Direction Section A3.4, while Treasurer’s Direction Section F2.2 elaborates on the concept of the Central Holding Authority and the items recorded by it.</w:t>
      </w:r>
    </w:p>
    <w:p w14:paraId="60FC06F5" w14:textId="77777777" w:rsidR="00A21C22" w:rsidRDefault="00A21C22" w:rsidP="00A21C22">
      <w:pPr>
        <w:pStyle w:val="Heading1"/>
      </w:pPr>
      <w:bookmarkStart w:id="10" w:name="_Toc472663477"/>
      <w:bookmarkEnd w:id="9"/>
      <w:r>
        <w:t>Superannuation</w:t>
      </w:r>
      <w:bookmarkEnd w:id="10"/>
    </w:p>
    <w:p w14:paraId="60FC06F6" w14:textId="77777777" w:rsidR="003A7B18" w:rsidRDefault="00A21C22" w:rsidP="005149D5">
      <w:pPr>
        <w:pStyle w:val="DTFHeading3-Lineabove"/>
      </w:pPr>
      <w:r>
        <w:t>A6</w:t>
      </w:r>
      <w:r w:rsidR="00C533E6">
        <w:t>.2.6</w:t>
      </w:r>
    </w:p>
    <w:p w14:paraId="60FC06F7" w14:textId="77777777" w:rsidR="00C533E6" w:rsidRPr="003522AD" w:rsidRDefault="00A21C22" w:rsidP="003522AD">
      <w:pPr>
        <w:pStyle w:val="DTFBodyText"/>
        <w:rPr>
          <w:rStyle w:val="DTFStrong"/>
        </w:rPr>
      </w:pPr>
      <w:r w:rsidRPr="00A21C22">
        <w:rPr>
          <w:rStyle w:val="DTFStrong"/>
        </w:rPr>
        <w:t>Agencies are to recognise superannuation expenses related to superannuation schemes managed by the Northern Territory Government when superannuation amounts for Agency employees are due to be paid to the Central Holding Authority.</w:t>
      </w:r>
      <w:r w:rsidR="003522AD" w:rsidRPr="003522AD">
        <w:rPr>
          <w:rStyle w:val="DTFStrong"/>
        </w:rPr>
        <w:t xml:space="preserve"> </w:t>
      </w:r>
    </w:p>
    <w:p w14:paraId="60FC06F8" w14:textId="77777777" w:rsidR="003A7B18" w:rsidRDefault="003A7B18" w:rsidP="00286B08">
      <w:pPr>
        <w:pStyle w:val="DTFSpacer-Lineabove"/>
      </w:pPr>
    </w:p>
    <w:p w14:paraId="60FC06F9" w14:textId="77777777" w:rsidR="00A21C22" w:rsidRDefault="00A21C22" w:rsidP="00472F33">
      <w:pPr>
        <w:pStyle w:val="DTFListNumber1-Roman"/>
        <w:numPr>
          <w:ilvl w:val="0"/>
          <w:numId w:val="22"/>
        </w:numPr>
      </w:pPr>
      <w:r>
        <w:t>The CHA also holds superannuation liabilities for those superannuation schemes that are managed by the Northern Territory Government. An example of a superannuation scheme managed by the Northern Territory Government is the Northern Territory Government and Public Authorities Superannuation Scheme (NTGPASS). Additional instruction and guidance in relation to liabilities for superannuation may be found in Treasurer’s Direction Section A3.4.</w:t>
      </w:r>
    </w:p>
    <w:p w14:paraId="60FC06FA" w14:textId="77777777" w:rsidR="00A21C22" w:rsidRDefault="00A21C22" w:rsidP="00472F33">
      <w:pPr>
        <w:pStyle w:val="DTFListNumber1-Roman"/>
        <w:numPr>
          <w:ilvl w:val="0"/>
          <w:numId w:val="22"/>
        </w:numPr>
      </w:pPr>
      <w:r>
        <w:t>Superannuation expenses associated with superannuation schemes managed by the Northern Territory Government will be recognised when superannuation payments are due to be paid to the CHA. The basis for this superannuation expense will be an average percentage rate (actuarially determined) of salary plus standard allowances and may differ for each superannuation scheme. In practice, amounts payable to the CHA will be system generated and automatically charged to Agency ledgers.</w:t>
      </w:r>
      <w:r w:rsidR="00627D18">
        <w:t xml:space="preserve"> </w:t>
      </w:r>
    </w:p>
    <w:p w14:paraId="60FC06FB" w14:textId="77777777" w:rsidR="00A21C22" w:rsidRDefault="00A21C22" w:rsidP="00472F33">
      <w:pPr>
        <w:pStyle w:val="DTFListNumber1-Roman"/>
        <w:numPr>
          <w:ilvl w:val="0"/>
          <w:numId w:val="22"/>
        </w:numPr>
      </w:pPr>
      <w:r>
        <w:t>Payments to superannuation schemes that are fully funded, such as the Legislative Assembly Members Superannuation Scheme (LAMS) will be based on actuarially determined rates made in accordance with the relevant scheme legislation. The payment will be recognised as an expense when due to be paid.</w:t>
      </w:r>
    </w:p>
    <w:p w14:paraId="60FC06FC" w14:textId="77777777" w:rsidR="003F6B26" w:rsidRDefault="003F6B26" w:rsidP="003F6B26">
      <w:pPr>
        <w:pStyle w:val="DTFHeading3-Lineabove"/>
      </w:pPr>
      <w:r>
        <w:lastRenderedPageBreak/>
        <w:t>A6.2.7</w:t>
      </w:r>
    </w:p>
    <w:p w14:paraId="60FC06FD" w14:textId="77777777" w:rsidR="003F6B26" w:rsidRPr="003522AD" w:rsidRDefault="003F6B26" w:rsidP="003F6B26">
      <w:pPr>
        <w:pStyle w:val="DTFBodyText"/>
        <w:rPr>
          <w:rStyle w:val="DTFStrong"/>
        </w:rPr>
      </w:pPr>
      <w:r w:rsidRPr="003F6B26">
        <w:rPr>
          <w:rStyle w:val="DTFStrong"/>
        </w:rPr>
        <w:t>Superannuation expenses payable to employee nominated funds or funds external to Government are to be measured using the rate prescribed by Commonwealth Superannuation Guarantee Levy Legislation and are to be recognised by the Agency when due to be paid to the employee’s nominated superannuation fund.</w:t>
      </w:r>
      <w:r w:rsidRPr="003522AD">
        <w:rPr>
          <w:rStyle w:val="DTFStrong"/>
        </w:rPr>
        <w:t xml:space="preserve"> </w:t>
      </w:r>
    </w:p>
    <w:p w14:paraId="60FC06FE" w14:textId="77777777" w:rsidR="003F6B26" w:rsidRDefault="003F6B26" w:rsidP="003F6B26">
      <w:pPr>
        <w:pStyle w:val="DTFSpacer-Lineabove"/>
      </w:pPr>
    </w:p>
    <w:p w14:paraId="60FC06FF" w14:textId="77777777" w:rsidR="003F6B26" w:rsidRDefault="003F6B26" w:rsidP="00472F33">
      <w:pPr>
        <w:pStyle w:val="DTFListNumber1-Roman"/>
        <w:numPr>
          <w:ilvl w:val="0"/>
          <w:numId w:val="27"/>
        </w:numPr>
      </w:pPr>
      <w:r>
        <w:t xml:space="preserve">Payment of the Superannuation Guarantee Levy for employees who commenced employment after 9 August 1999 is calculated using percentage rates prescribed in the </w:t>
      </w:r>
      <w:r w:rsidRPr="00D70763">
        <w:rPr>
          <w:rStyle w:val="DTFItalic"/>
        </w:rPr>
        <w:t>Superannuation Guarantee (Administration) Act</w:t>
      </w:r>
      <w:r>
        <w:t>. As at the date of this Treasurer’s Direction Section, the percentage rate is 9.5%. These amounts will continue to be paid directly to the fund nominated by the employee, for example the AustralianSuper.</w:t>
      </w:r>
    </w:p>
    <w:p w14:paraId="60FC0700" w14:textId="77777777" w:rsidR="003F6B26" w:rsidRDefault="003F6B26" w:rsidP="00472F33">
      <w:pPr>
        <w:pStyle w:val="DTFListNumber1-Roman"/>
        <w:numPr>
          <w:ilvl w:val="0"/>
          <w:numId w:val="27"/>
        </w:numPr>
      </w:pPr>
      <w:r>
        <w:t>Agencies may also be required to pay additional employee superannuation contributions where an employee has requested the Agency to pay a certain amount of his or her salary to their superannuation fund. Such salary sacrifice arrangements are not treated as Agency superannuation expenses.</w:t>
      </w:r>
    </w:p>
    <w:p w14:paraId="60FC0701" w14:textId="77777777" w:rsidR="00E77239" w:rsidRDefault="003F6B26" w:rsidP="00472F33">
      <w:pPr>
        <w:pStyle w:val="DTFListNumber1-Roman"/>
        <w:numPr>
          <w:ilvl w:val="0"/>
          <w:numId w:val="27"/>
        </w:numPr>
      </w:pPr>
      <w:r>
        <w:t>In practice, Agency superannuation and salary sacrifice into superannuation amounts will be calculated by PIPS and automatically charged to Agency ledgers.</w:t>
      </w:r>
    </w:p>
    <w:p w14:paraId="60FC0702" w14:textId="77777777" w:rsidR="003F6B26" w:rsidRDefault="003F6B26" w:rsidP="003F6B26">
      <w:pPr>
        <w:pStyle w:val="Heading1"/>
      </w:pPr>
      <w:bookmarkStart w:id="11" w:name="_Toc472663478"/>
      <w:r>
        <w:t>Other employee benefit</w:t>
      </w:r>
      <w:bookmarkEnd w:id="11"/>
      <w:r w:rsidR="00083324">
        <w:t>s</w:t>
      </w:r>
      <w:r>
        <w:t xml:space="preserve"> </w:t>
      </w:r>
    </w:p>
    <w:p w14:paraId="60FC0703" w14:textId="77777777" w:rsidR="003F6B26" w:rsidRDefault="003F6B26" w:rsidP="003F6B26">
      <w:pPr>
        <w:pStyle w:val="DTFHeading2-Lineabove"/>
      </w:pPr>
      <w:r>
        <w:t>A6.2.8</w:t>
      </w:r>
    </w:p>
    <w:p w14:paraId="60FC0704" w14:textId="77777777" w:rsidR="003F6B26" w:rsidRDefault="003F6B26" w:rsidP="003F6B26">
      <w:pPr>
        <w:pStyle w:val="DTFBodyText"/>
        <w:rPr>
          <w:rStyle w:val="DTFStrong"/>
        </w:rPr>
      </w:pPr>
      <w:r w:rsidRPr="003F6B26">
        <w:rPr>
          <w:rStyle w:val="DTFStrong"/>
        </w:rPr>
        <w:t>An Agency is to recognise an expense in the reporting period when other employee benefits are earned or incurred.</w:t>
      </w:r>
    </w:p>
    <w:p w14:paraId="60FC0705" w14:textId="77777777" w:rsidR="003F6B26" w:rsidRDefault="003F6B26" w:rsidP="003F6B26">
      <w:pPr>
        <w:pStyle w:val="DTFSpacer-Lineabove"/>
        <w:rPr>
          <w:rStyle w:val="DTFStrong"/>
        </w:rPr>
      </w:pPr>
    </w:p>
    <w:p w14:paraId="60FC0706" w14:textId="77777777" w:rsidR="003F6B26" w:rsidRPr="003F6B26" w:rsidRDefault="003F6B26" w:rsidP="00472F33">
      <w:pPr>
        <w:pStyle w:val="DTFListNumber1-Roman"/>
        <w:numPr>
          <w:ilvl w:val="0"/>
          <w:numId w:val="28"/>
        </w:numPr>
      </w:pPr>
      <w:r w:rsidRPr="003F6B26">
        <w:t>Expenses are recognised when it is probable that there will be a consumption or loss of future economic benefits that can be reliably measured. Where non-accumulative benefits are provided to employees, for instance housing or a vehicle, the expense is recognised in the reporting period during which the benefits are taken.</w:t>
      </w:r>
    </w:p>
    <w:p w14:paraId="60FC0707" w14:textId="77777777" w:rsidR="003F6B26" w:rsidRPr="003F6B26" w:rsidRDefault="003F6B26" w:rsidP="00472F33">
      <w:pPr>
        <w:pStyle w:val="DTFListNumber1-Roman"/>
        <w:numPr>
          <w:ilvl w:val="0"/>
          <w:numId w:val="28"/>
        </w:numPr>
      </w:pPr>
      <w:r w:rsidRPr="003F6B26">
        <w:t>However, should the situation arise where benefits provided to an employee do accrue, a liability and corresponding expense will be recognised in the reporting period that the benefit is accumulated.</w:t>
      </w:r>
    </w:p>
    <w:p w14:paraId="60FC0708" w14:textId="77777777" w:rsidR="003F6B26" w:rsidRPr="003F6B26" w:rsidRDefault="003F6B26" w:rsidP="00472F33">
      <w:pPr>
        <w:pStyle w:val="DTFListNumber1-Roman"/>
        <w:numPr>
          <w:ilvl w:val="0"/>
          <w:numId w:val="28"/>
        </w:numPr>
      </w:pPr>
      <w:r w:rsidRPr="003F6B26">
        <w:t xml:space="preserve">Other employee benefit expenses (and associated liabilities) will be measured at nominal amounts for amounts that are expected to fall due within 12 months of the end of the reporting period or where the Agency does not have an unconditional right to defer the settlement of a liability for at least 12 months after the reporting period, and at present value for other amounts. Measuring other employee benefits expenses at present value includes adjusting the liability (and associated expense) for expected future salary increases and discounting the adjusted liability using the long term bond rate that will be advised by Treasury after 30 June each year. Treasurer’s Direction Section A3.4 provides instruction and guidance in relation to the measurement of employee benefits. </w:t>
      </w:r>
    </w:p>
    <w:p w14:paraId="60FC0709" w14:textId="77777777" w:rsidR="00D67ED1" w:rsidRDefault="00D67ED1">
      <w:pPr>
        <w:spacing w:after="0"/>
        <w:rPr>
          <w:rFonts w:eastAsiaTheme="majorEastAsia" w:cs="Arial"/>
          <w:b/>
          <w:bCs/>
          <w:iCs/>
          <w:color w:val="606060"/>
          <w:sz w:val="28"/>
          <w:szCs w:val="28"/>
        </w:rPr>
      </w:pPr>
      <w:r>
        <w:br w:type="page"/>
      </w:r>
    </w:p>
    <w:p w14:paraId="60FC070A" w14:textId="77777777" w:rsidR="004E36AB" w:rsidRDefault="004E36AB" w:rsidP="004E36AB">
      <w:pPr>
        <w:pStyle w:val="Heading1"/>
      </w:pPr>
      <w:bookmarkStart w:id="12" w:name="_Toc472663479"/>
      <w:r>
        <w:lastRenderedPageBreak/>
        <w:t>Employee benefit on-cost</w:t>
      </w:r>
      <w:bookmarkEnd w:id="12"/>
    </w:p>
    <w:p w14:paraId="60FC070B" w14:textId="77777777" w:rsidR="004E36AB" w:rsidRDefault="004E36AB" w:rsidP="004E36AB">
      <w:pPr>
        <w:pStyle w:val="DTFHeading2-Lineabove"/>
      </w:pPr>
      <w:r>
        <w:t>A6.2.9</w:t>
      </w:r>
    </w:p>
    <w:p w14:paraId="60FC070C" w14:textId="77777777" w:rsidR="004E36AB" w:rsidRDefault="004E36AB" w:rsidP="004E36AB">
      <w:pPr>
        <w:pStyle w:val="DTFBodyText"/>
        <w:rPr>
          <w:rStyle w:val="DTFStrong"/>
        </w:rPr>
      </w:pPr>
      <w:r w:rsidRPr="004E36AB">
        <w:rPr>
          <w:rStyle w:val="DTFStrong"/>
        </w:rPr>
        <w:t>Costs that are a consequence of employees providing employment, but which are not employee benefits, are to be recognised as Agency expenses when the employee benefits to which they relate are recognised as expenses</w:t>
      </w:r>
      <w:r>
        <w:rPr>
          <w:rStyle w:val="DTFStrong"/>
        </w:rPr>
        <w:t>.</w:t>
      </w:r>
    </w:p>
    <w:p w14:paraId="60FC070D" w14:textId="77777777" w:rsidR="004E36AB" w:rsidRPr="004E36AB" w:rsidRDefault="004E36AB" w:rsidP="004E36AB">
      <w:pPr>
        <w:pStyle w:val="DTFSpacer-Lineabove"/>
        <w:rPr>
          <w:rStyle w:val="DTFStrong"/>
        </w:rPr>
      </w:pPr>
    </w:p>
    <w:p w14:paraId="60FC070E" w14:textId="77777777" w:rsidR="00D67ED1" w:rsidRPr="005B1EBD" w:rsidRDefault="00D67ED1" w:rsidP="00472F33">
      <w:pPr>
        <w:pStyle w:val="DTFListNumber1-Roman"/>
        <w:numPr>
          <w:ilvl w:val="0"/>
          <w:numId w:val="29"/>
        </w:numPr>
        <w:spacing w:after="120"/>
        <w:ind w:left="681" w:hanging="397"/>
      </w:pPr>
      <w:r w:rsidRPr="005B1EBD">
        <w:t>Where the settlement of Agency employee benefit expenses gives rise to the payment of employment on-costs, an Agency expense shall be recognised for those on-costs at the time the expense for the related employee benefits is recognised.</w:t>
      </w:r>
      <w:r>
        <w:t xml:space="preserve"> </w:t>
      </w:r>
      <w:r w:rsidRPr="005B1EBD">
        <w:t>For example, an expense raised for the payment of wages will also give rise to an expense for payroll tax.</w:t>
      </w:r>
      <w:r>
        <w:t xml:space="preserve"> Payroll tax rates can be sourced from the relevant Treasury Payroll Tax Revenue Circulars.</w:t>
      </w:r>
    </w:p>
    <w:p w14:paraId="60FC070F" w14:textId="77777777" w:rsidR="00D67ED1" w:rsidRDefault="00D67ED1" w:rsidP="00472F33">
      <w:pPr>
        <w:pStyle w:val="DTFListNumber1-Roman"/>
        <w:numPr>
          <w:ilvl w:val="0"/>
          <w:numId w:val="29"/>
        </w:numPr>
        <w:spacing w:after="120"/>
        <w:ind w:left="681" w:hanging="397"/>
      </w:pPr>
      <w:r w:rsidRPr="005B1EBD">
        <w:t>In practice, some employee benefit on-cost information may not be administratively effective to collect at the time the employee benefit expense to which it relates is recognised.</w:t>
      </w:r>
      <w:r>
        <w:t xml:space="preserve"> </w:t>
      </w:r>
      <w:r w:rsidRPr="005B1EBD">
        <w:t>Agencies should therefore remain aware of the costs and the materiality of collecting and recognising this information.</w:t>
      </w:r>
    </w:p>
    <w:p w14:paraId="60FC0710" w14:textId="77777777" w:rsidR="00D67ED1" w:rsidRDefault="00D67ED1" w:rsidP="00D67ED1">
      <w:pPr>
        <w:pStyle w:val="Heading1"/>
      </w:pPr>
      <w:bookmarkStart w:id="13" w:name="_Toc472663480"/>
      <w:r>
        <w:t>Employee transfers</w:t>
      </w:r>
      <w:bookmarkEnd w:id="13"/>
    </w:p>
    <w:p w14:paraId="60FC0711" w14:textId="77777777" w:rsidR="00D67ED1" w:rsidRPr="003046C8" w:rsidRDefault="00D67ED1" w:rsidP="00D67ED1">
      <w:pPr>
        <w:pStyle w:val="DTFHeading2-Lineabove"/>
        <w:rPr>
          <w:bCs/>
        </w:rPr>
      </w:pPr>
      <w:r>
        <w:t>A6.2.10</w:t>
      </w:r>
    </w:p>
    <w:p w14:paraId="60FC0712" w14:textId="77777777" w:rsidR="00D67ED1" w:rsidRPr="00D67ED1" w:rsidRDefault="00D67ED1" w:rsidP="00D67ED1">
      <w:pPr>
        <w:pStyle w:val="DTFBodyText"/>
        <w:rPr>
          <w:rStyle w:val="DTFStrong"/>
        </w:rPr>
      </w:pPr>
      <w:r w:rsidRPr="00D67ED1">
        <w:rPr>
          <w:rStyle w:val="DTFStrong"/>
        </w:rPr>
        <w:t xml:space="preserve">Where an employee commences employment with an Agency and the employee has transferred from another Agency or from a public employer as defined in the </w:t>
      </w:r>
      <w:r w:rsidRPr="00D70763">
        <w:rPr>
          <w:rStyle w:val="DTFItalic"/>
          <w:b/>
        </w:rPr>
        <w:t>Public Employment (Mobility) Act</w:t>
      </w:r>
      <w:r w:rsidRPr="00D67ED1">
        <w:rPr>
          <w:rStyle w:val="DTFStrong"/>
        </w:rPr>
        <w:t xml:space="preserve">, the Agency is to recognise an employee benefit expense equivalent to the employee benefit liabilities (other than long service leave and superannuation liabilities) that have accrued to the employee and remain unpaid at commencement date. </w:t>
      </w:r>
    </w:p>
    <w:p w14:paraId="60FC0713" w14:textId="77777777" w:rsidR="00D67ED1" w:rsidRDefault="00D67ED1" w:rsidP="00D67ED1">
      <w:pPr>
        <w:pStyle w:val="Heading2"/>
      </w:pPr>
      <w:r>
        <w:t>A6.2.11</w:t>
      </w:r>
    </w:p>
    <w:p w14:paraId="60FC0714" w14:textId="77777777" w:rsidR="00D67ED1" w:rsidRPr="00D67ED1" w:rsidRDefault="00D67ED1" w:rsidP="00D67ED1">
      <w:pPr>
        <w:pStyle w:val="DTFBodyText"/>
        <w:rPr>
          <w:rStyle w:val="DTFStrong"/>
        </w:rPr>
      </w:pPr>
      <w:r w:rsidRPr="00D67ED1">
        <w:rPr>
          <w:rStyle w:val="DTFStrong"/>
        </w:rPr>
        <w:t>Where an employee ceases employment with an Agency, the Agency is to recognise a reduction in employee benefits expenses where related employee benefit liabilities are not required to be paid out on cessation.</w:t>
      </w:r>
    </w:p>
    <w:p w14:paraId="60FC0715" w14:textId="77777777" w:rsidR="00D67ED1" w:rsidRPr="005B1EBD" w:rsidRDefault="00D67ED1" w:rsidP="00D67ED1">
      <w:pPr>
        <w:pStyle w:val="DTFSpacer-Lineabove"/>
      </w:pPr>
    </w:p>
    <w:p w14:paraId="60FC0716" w14:textId="77777777" w:rsidR="00D67ED1" w:rsidRPr="005B1EBD" w:rsidRDefault="00D67ED1" w:rsidP="00472F33">
      <w:pPr>
        <w:pStyle w:val="DTFListNumber1-Roman"/>
        <w:numPr>
          <w:ilvl w:val="0"/>
          <w:numId w:val="25"/>
        </w:numPr>
        <w:spacing w:after="120"/>
      </w:pPr>
      <w:r w:rsidRPr="005B1EBD">
        <w:t xml:space="preserve">Employee transfers will occur for a variety of reasons and may include employee movements between Agencies resulting from promotion, temporary transfers that become permanent and other transfers. The </w:t>
      </w:r>
      <w:r w:rsidRPr="00D67ED1">
        <w:rPr>
          <w:i/>
        </w:rPr>
        <w:t>Public Employment (Mobility) Act</w:t>
      </w:r>
      <w:r w:rsidRPr="005B1EBD">
        <w:t xml:space="preserve"> facilitates mobility in employment and allows employees to retain accrued employee benefits when transferring to or from certain areas of public employment, including Agencies. </w:t>
      </w:r>
    </w:p>
    <w:p w14:paraId="60FC0717" w14:textId="77777777" w:rsidR="00D67ED1" w:rsidRPr="005B1EBD" w:rsidRDefault="00D67ED1" w:rsidP="00472F33">
      <w:pPr>
        <w:pStyle w:val="DTFListNumber1-Roman"/>
        <w:numPr>
          <w:ilvl w:val="0"/>
          <w:numId w:val="25"/>
        </w:numPr>
        <w:spacing w:after="120"/>
      </w:pPr>
      <w:r w:rsidRPr="005B1EBD">
        <w:t>Where employees transfer between Agencies, the receiving Agency will recognise an expense and a liability equivalent to the employee benefit entitlements transferred.</w:t>
      </w:r>
      <w:r>
        <w:t xml:space="preserve"> </w:t>
      </w:r>
      <w:r w:rsidRPr="005B1EBD">
        <w:t>The transferring Agency will recognise a reduction in liabilities and a corresponding reduction in either:</w:t>
      </w:r>
    </w:p>
    <w:p w14:paraId="60FC0718" w14:textId="77777777" w:rsidR="00D67ED1" w:rsidRPr="005B1EBD" w:rsidRDefault="00D67ED1" w:rsidP="00472F33">
      <w:pPr>
        <w:pStyle w:val="DTFListBullet2-Black"/>
        <w:numPr>
          <w:ilvl w:val="1"/>
          <w:numId w:val="25"/>
        </w:numPr>
        <w:spacing w:after="120"/>
      </w:pPr>
      <w:r w:rsidRPr="005B1EBD">
        <w:t>cash, where leave is paid out on cessation; or</w:t>
      </w:r>
    </w:p>
    <w:p w14:paraId="60FC0719" w14:textId="77777777" w:rsidR="00D67ED1" w:rsidRPr="005B1EBD" w:rsidRDefault="00D67ED1" w:rsidP="00472F33">
      <w:pPr>
        <w:pStyle w:val="DTFListBullet2-Black"/>
        <w:numPr>
          <w:ilvl w:val="1"/>
          <w:numId w:val="25"/>
        </w:numPr>
        <w:spacing w:after="120"/>
      </w:pPr>
      <w:r w:rsidRPr="005B1EBD">
        <w:t xml:space="preserve">expenses, where leave is not paid out on cessation. </w:t>
      </w:r>
    </w:p>
    <w:p w14:paraId="60FC071A" w14:textId="77777777" w:rsidR="003F6B26" w:rsidRPr="00EA02F8" w:rsidRDefault="00D67ED1" w:rsidP="00472F33">
      <w:pPr>
        <w:pStyle w:val="DTFListNumber1-Roman"/>
        <w:numPr>
          <w:ilvl w:val="0"/>
          <w:numId w:val="25"/>
        </w:numPr>
        <w:spacing w:after="0"/>
      </w:pPr>
      <w:r w:rsidRPr="005B1EBD">
        <w:t>Further instruction and guidance in relation to employee transfers is pr</w:t>
      </w:r>
      <w:r w:rsidR="00DC0948">
        <w:t>ovided in Treasurer’s Direction</w:t>
      </w:r>
      <w:r w:rsidRPr="005B1EBD">
        <w:t xml:space="preserve"> Section A3.4 – Employee Benefit Liabilities.</w:t>
      </w:r>
    </w:p>
    <w:sectPr w:rsidR="003F6B26" w:rsidRPr="00EA02F8" w:rsidSect="009D0813">
      <w:headerReference w:type="even" r:id="rId11"/>
      <w:headerReference w:type="default" r:id="rId12"/>
      <w:footerReference w:type="even" r:id="rId13"/>
      <w:footerReference w:type="default" r:id="rId14"/>
      <w:headerReference w:type="first" r:id="rId15"/>
      <w:footerReference w:type="first" r:id="rId16"/>
      <w:pgSz w:w="11906" w:h="16838" w:code="9"/>
      <w:pgMar w:top="851" w:right="1134" w:bottom="851" w:left="1134"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FC071D" w14:textId="77777777" w:rsidR="00FA6932" w:rsidRDefault="00FA6932" w:rsidP="007332FF">
      <w:r>
        <w:separator/>
      </w:r>
    </w:p>
  </w:endnote>
  <w:endnote w:type="continuationSeparator" w:id="0">
    <w:p w14:paraId="60FC071E" w14:textId="77777777" w:rsidR="00FA6932" w:rsidRDefault="00FA6932"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Arial MT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CB64D" w14:textId="77777777" w:rsidR="00FB662B" w:rsidRDefault="00FB66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0720" w14:textId="77777777" w:rsidR="004F016A" w:rsidRPr="00AE306C" w:rsidRDefault="00BB01F7" w:rsidP="002926BC">
    <w:pPr>
      <w:tabs>
        <w:tab w:val="right" w:pos="10206"/>
      </w:tabs>
      <w:spacing w:after="120"/>
      <w:ind w:left="-567" w:right="-568"/>
      <w:rPr>
        <w:sz w:val="16"/>
        <w:szCs w:val="16"/>
      </w:rPr>
    </w:pPr>
    <w:r>
      <w:rPr>
        <w:sz w:val="16"/>
        <w:szCs w:val="16"/>
      </w:rPr>
      <w:pict w14:anchorId="60FC0729">
        <v:rect id="_x0000_i1025" style="width:481.9pt;height:.5pt;mso-position-vertical:absolute" o:hralign="center" o:hrstd="t" o:hrnoshade="t" o:hr="t" fillcolor="black [3213]" stroked="f"/>
      </w:pict>
    </w:r>
  </w:p>
  <w:p w14:paraId="60FC0721" w14:textId="77777777" w:rsidR="004F016A" w:rsidRPr="004D1B76" w:rsidRDefault="004F016A" w:rsidP="002926BC">
    <w:pPr>
      <w:pStyle w:val="NTGFooter2deptpagenum"/>
      <w:tabs>
        <w:tab w:val="clear" w:pos="9639"/>
        <w:tab w:val="right" w:pos="10206"/>
      </w:tabs>
      <w:ind w:left="-567" w:right="-568"/>
    </w:pPr>
    <w:r w:rsidRPr="007B5DA2">
      <w:rPr>
        <w:rStyle w:val="NTGFooterDepartmentofChar"/>
      </w:rPr>
      <w:fldChar w:fldCharType="begin"/>
    </w:r>
    <w:r w:rsidRPr="007B5DA2">
      <w:rPr>
        <w:rStyle w:val="NTGFooterDepartmentofChar"/>
      </w:rPr>
      <w:instrText xml:space="preserve"> DOCPROPERTY  DepartmentOf  \* MERGEFORMAT </w:instrText>
    </w:r>
    <w:r w:rsidRPr="007B5DA2">
      <w:rPr>
        <w:rStyle w:val="NTGFooterDepartmentofChar"/>
      </w:rPr>
      <w:fldChar w:fldCharType="separate"/>
    </w:r>
    <w:r w:rsidR="00A75CA7">
      <w:rPr>
        <w:rStyle w:val="NTGFooterDepartmentofChar"/>
      </w:rPr>
      <w:t xml:space="preserve">Department of </w:t>
    </w:r>
    <w:r w:rsidRPr="007B5DA2">
      <w:rPr>
        <w:rStyle w:val="NTGFooterDepartmentofChar"/>
      </w:rPr>
      <w:fldChar w:fldCharType="end"/>
    </w:r>
    <w:r w:rsidRPr="007B5DA2">
      <w:rPr>
        <w:rStyle w:val="NTGFooterDepartmentNameChar"/>
      </w:rPr>
      <w:fldChar w:fldCharType="begin"/>
    </w:r>
    <w:r w:rsidRPr="007B5DA2">
      <w:rPr>
        <w:rStyle w:val="NTGFooterDepartmentNameChar"/>
      </w:rPr>
      <w:instrText xml:space="preserve"> DOCPROPERTY  DepartmentName  \* MERGEFORMAT </w:instrText>
    </w:r>
    <w:r w:rsidRPr="007B5DA2">
      <w:rPr>
        <w:rStyle w:val="NTGFooterDepartmentNameChar"/>
      </w:rPr>
      <w:fldChar w:fldCharType="separate"/>
    </w:r>
    <w:r w:rsidR="00A75CA7">
      <w:rPr>
        <w:rStyle w:val="NTGFooterDepartmentNameChar"/>
      </w:rPr>
      <w:t>Treasury and Finance</w:t>
    </w:r>
    <w:r w:rsidRPr="007B5DA2">
      <w:rPr>
        <w:rStyle w:val="NTGFooterDepartmentNameChar"/>
      </w:rPr>
      <w:fldChar w:fldCharType="end"/>
    </w:r>
    <w:r w:rsidRPr="004D1B76">
      <w:tab/>
    </w:r>
    <w:r w:rsidRPr="007B5DA2">
      <w:rPr>
        <w:rStyle w:val="NTGFooter2deptpagenumChar"/>
        <w:rFonts w:eastAsia="Calibri"/>
      </w:rPr>
      <w:t xml:space="preserve">Page </w:t>
    </w:r>
    <w:r w:rsidRPr="007B5DA2">
      <w:rPr>
        <w:rStyle w:val="NTGFooter2deptpagenumChar"/>
        <w:rFonts w:eastAsia="Calibri"/>
      </w:rPr>
      <w:fldChar w:fldCharType="begin"/>
    </w:r>
    <w:r w:rsidRPr="007B5DA2">
      <w:rPr>
        <w:rStyle w:val="NTGFooter2deptpagenumChar"/>
        <w:rFonts w:eastAsia="Calibri"/>
      </w:rPr>
      <w:instrText xml:space="preserve"> PAGE  \* Arabic  \* MERGEFORMAT </w:instrText>
    </w:r>
    <w:r w:rsidRPr="007B5DA2">
      <w:rPr>
        <w:rStyle w:val="NTGFooter2deptpagenumChar"/>
        <w:rFonts w:eastAsia="Calibri"/>
      </w:rPr>
      <w:fldChar w:fldCharType="separate"/>
    </w:r>
    <w:r w:rsidR="00BB01F7">
      <w:rPr>
        <w:rStyle w:val="NTGFooter2deptpagenumChar"/>
        <w:rFonts w:eastAsia="Calibri"/>
        <w:noProof/>
      </w:rPr>
      <w:t>2</w:t>
    </w:r>
    <w:r w:rsidRPr="007B5DA2">
      <w:rPr>
        <w:rStyle w:val="NTGFooter2deptpagenumChar"/>
        <w:rFonts w:eastAsia="Calibri"/>
      </w:rPr>
      <w:fldChar w:fldCharType="end"/>
    </w:r>
    <w:r w:rsidRPr="007B5DA2">
      <w:rPr>
        <w:rStyle w:val="NTGFooter2deptpagenumChar"/>
        <w:rFonts w:eastAsia="Calibri"/>
      </w:rPr>
      <w:t xml:space="preserve"> of </w:t>
    </w:r>
    <w:r w:rsidRPr="007B5DA2">
      <w:rPr>
        <w:rStyle w:val="NTGFooter2deptpagenumChar"/>
        <w:rFonts w:eastAsia="Calibri"/>
      </w:rPr>
      <w:fldChar w:fldCharType="begin"/>
    </w:r>
    <w:r w:rsidRPr="007B5DA2">
      <w:rPr>
        <w:rStyle w:val="NTGFooter2deptpagenumChar"/>
        <w:rFonts w:eastAsia="Calibri"/>
      </w:rPr>
      <w:instrText xml:space="preserve"> NUMPAGES  \* Arabic  \* MERGEFORMAT </w:instrText>
    </w:r>
    <w:r w:rsidRPr="007B5DA2">
      <w:rPr>
        <w:rStyle w:val="NTGFooter2deptpagenumChar"/>
        <w:rFonts w:eastAsia="Calibri"/>
      </w:rPr>
      <w:fldChar w:fldCharType="separate"/>
    </w:r>
    <w:r w:rsidR="00BB01F7">
      <w:rPr>
        <w:rStyle w:val="NTGFooter2deptpagenumChar"/>
        <w:rFonts w:eastAsia="Calibri"/>
        <w:noProof/>
      </w:rPr>
      <w:t>8</w:t>
    </w:r>
    <w:r w:rsidRPr="007B5DA2">
      <w:rPr>
        <w:rStyle w:val="NTGFooter2deptpagenumChar"/>
        <w:rFonts w:eastAsia="Calibri"/>
      </w:rPr>
      <w:fldChar w:fldCharType="end"/>
    </w:r>
  </w:p>
  <w:p w14:paraId="60FC0722" w14:textId="7DE16712" w:rsidR="004F016A" w:rsidRPr="007B5DA2" w:rsidRDefault="000476EE" w:rsidP="000476EE">
    <w:pPr>
      <w:pStyle w:val="NTGFooter2DateVersion"/>
      <w:tabs>
        <w:tab w:val="clear" w:pos="9639"/>
        <w:tab w:val="right" w:pos="10206"/>
      </w:tabs>
      <w:ind w:left="-567" w:right="-568"/>
      <w:rPr>
        <w:rStyle w:val="NTGFooter2deptpagenumChar"/>
        <w:rFonts w:eastAsia="Calibri"/>
      </w:rPr>
    </w:pPr>
    <w:r>
      <w:t>18</w:t>
    </w:r>
    <w:bookmarkStart w:id="14" w:name="_GoBack"/>
    <w:bookmarkEnd w:id="14"/>
    <w:r>
      <w:t xml:space="preserve"> January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73"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Footer area"/>
    </w:tblPr>
    <w:tblGrid>
      <w:gridCol w:w="8505"/>
      <w:gridCol w:w="2268"/>
    </w:tblGrid>
    <w:tr w:rsidR="004F016A" w:rsidRPr="00132658" w14:paraId="60FC0727" w14:textId="77777777" w:rsidTr="002B5591">
      <w:trPr>
        <w:cantSplit/>
        <w:trHeight w:hRule="exact" w:val="1400"/>
        <w:tblHeader/>
      </w:trPr>
      <w:tc>
        <w:tcPr>
          <w:tcW w:w="8505" w:type="dxa"/>
          <w:vAlign w:val="center"/>
        </w:tcPr>
        <w:p w14:paraId="60FC0724" w14:textId="77777777" w:rsidR="004F016A" w:rsidRPr="00705C9D" w:rsidRDefault="004F016A" w:rsidP="007B5DA2">
          <w:pPr>
            <w:pStyle w:val="NTGFooter1items"/>
            <w:rPr>
              <w:rStyle w:val="NTGFooterDepartmentNameChar"/>
            </w:rPr>
          </w:pPr>
          <w:r w:rsidRPr="00705C9D">
            <w:rPr>
              <w:rStyle w:val="NTGFooterDepartmentofChar"/>
            </w:rPr>
            <w:fldChar w:fldCharType="begin"/>
          </w:r>
          <w:r w:rsidRPr="00705C9D">
            <w:rPr>
              <w:rStyle w:val="NTGFooterDepartmentofChar"/>
            </w:rPr>
            <w:instrText xml:space="preserve"> DOCPROPERTY  DepartmentOf  \* MERGEFORMAT </w:instrText>
          </w:r>
          <w:r w:rsidRPr="00705C9D">
            <w:rPr>
              <w:rStyle w:val="NTGFooterDepartmentofChar"/>
            </w:rPr>
            <w:fldChar w:fldCharType="separate"/>
          </w:r>
          <w:r w:rsidR="00A75CA7">
            <w:rPr>
              <w:rStyle w:val="NTGFooterDepartmentofChar"/>
            </w:rPr>
            <w:t xml:space="preserve">Department of </w:t>
          </w:r>
          <w:r w:rsidRPr="00705C9D">
            <w:rPr>
              <w:rStyle w:val="NTGFooterDepartmentofChar"/>
            </w:rPr>
            <w:fldChar w:fldCharType="end"/>
          </w:r>
          <w:r w:rsidRPr="00705C9D">
            <w:rPr>
              <w:rStyle w:val="NTGFooterDepartmentNameChar"/>
            </w:rPr>
            <w:fldChar w:fldCharType="begin"/>
          </w:r>
          <w:r w:rsidRPr="00705C9D">
            <w:rPr>
              <w:rStyle w:val="NTGFooterDepartmentNameChar"/>
            </w:rPr>
            <w:instrText xml:space="preserve"> DOCPROPERTY  DepartmentName  \* MERGEFORMAT </w:instrText>
          </w:r>
          <w:r w:rsidRPr="00705C9D">
            <w:rPr>
              <w:rStyle w:val="NTGFooterDepartmentNameChar"/>
            </w:rPr>
            <w:fldChar w:fldCharType="separate"/>
          </w:r>
          <w:r w:rsidR="00A75CA7">
            <w:rPr>
              <w:rStyle w:val="NTGFooterDepartmentNameChar"/>
            </w:rPr>
            <w:t>Treasury and Finance</w:t>
          </w:r>
          <w:r w:rsidRPr="00705C9D">
            <w:rPr>
              <w:rStyle w:val="NTGFooterDepartmentNameChar"/>
            </w:rPr>
            <w:fldChar w:fldCharType="end"/>
          </w:r>
        </w:p>
        <w:p w14:paraId="60FC0725" w14:textId="75C89D2B" w:rsidR="004F016A" w:rsidRPr="007B5DA2" w:rsidRDefault="004F016A" w:rsidP="009D34E0">
          <w:pPr>
            <w:pStyle w:val="NTGFooter1items"/>
          </w:pPr>
          <w:r w:rsidRPr="007B5DA2">
            <w:t xml:space="preserve">Page </w:t>
          </w:r>
          <w:r w:rsidRPr="007B5DA2">
            <w:fldChar w:fldCharType="begin"/>
          </w:r>
          <w:r w:rsidRPr="007B5DA2">
            <w:instrText xml:space="preserve"> PAGE  \* Arabic  \* MERGEFORMAT </w:instrText>
          </w:r>
          <w:r w:rsidRPr="007B5DA2">
            <w:fldChar w:fldCharType="separate"/>
          </w:r>
          <w:r w:rsidR="001E1422">
            <w:rPr>
              <w:noProof/>
            </w:rPr>
            <w:t>1</w:t>
          </w:r>
          <w:r w:rsidRPr="007B5DA2">
            <w:fldChar w:fldCharType="end"/>
          </w:r>
          <w:r w:rsidRPr="007B5DA2">
            <w:t xml:space="preserve"> of </w:t>
          </w:r>
          <w:r w:rsidR="00BB01F7">
            <w:fldChar w:fldCharType="begin"/>
          </w:r>
          <w:r w:rsidR="00BB01F7">
            <w:instrText xml:space="preserve"> NUMPAGES  \* Arabic  \* MERGEFORMAT </w:instrText>
          </w:r>
          <w:r w:rsidR="00BB01F7">
            <w:fldChar w:fldCharType="separate"/>
          </w:r>
          <w:r w:rsidR="001E1422">
            <w:rPr>
              <w:noProof/>
            </w:rPr>
            <w:t>8</w:t>
          </w:r>
          <w:r w:rsidR="00BB01F7">
            <w:rPr>
              <w:noProof/>
            </w:rPr>
            <w:fldChar w:fldCharType="end"/>
          </w:r>
          <w:r w:rsidRPr="007B5DA2">
            <w:tab/>
          </w:r>
          <w:r w:rsidR="00FB662B">
            <w:t>18</w:t>
          </w:r>
          <w:r w:rsidR="001965F6">
            <w:t xml:space="preserve"> </w:t>
          </w:r>
          <w:r w:rsidR="00FB662B">
            <w:t>January 2017</w:t>
          </w:r>
        </w:p>
      </w:tc>
      <w:tc>
        <w:tcPr>
          <w:tcW w:w="2268" w:type="dxa"/>
          <w:vAlign w:val="center"/>
        </w:tcPr>
        <w:p w14:paraId="60FC0726" w14:textId="77777777" w:rsidR="004F016A" w:rsidRPr="001E14EB" w:rsidRDefault="004F016A" w:rsidP="00543BD1">
          <w:pPr>
            <w:spacing w:after="0"/>
            <w:jc w:val="right"/>
          </w:pPr>
          <w:r w:rsidRPr="00132658">
            <w:rPr>
              <w:noProof/>
            </w:rPr>
            <w:drawing>
              <wp:inline distT="0" distB="0" distL="0" distR="0" wp14:anchorId="60FC072A" wp14:editId="60FC072B">
                <wp:extent cx="1347470" cy="481330"/>
                <wp:effectExtent l="0" t="0" r="5080" b="0"/>
                <wp:docPr id="1" name="Picture 1"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81330"/>
                        </a:xfrm>
                        <a:prstGeom prst="rect">
                          <a:avLst/>
                        </a:prstGeom>
                        <a:noFill/>
                      </pic:spPr>
                    </pic:pic>
                  </a:graphicData>
                </a:graphic>
              </wp:inline>
            </w:drawing>
          </w:r>
        </w:p>
      </w:tc>
    </w:tr>
  </w:tbl>
  <w:p w14:paraId="60FC0728" w14:textId="77777777" w:rsidR="004F016A" w:rsidRPr="00543BD1" w:rsidRDefault="004F016A" w:rsidP="00543BD1">
    <w:pPr>
      <w:pStyle w:val="NoSpacing"/>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C071B" w14:textId="77777777" w:rsidR="00FA6932" w:rsidRDefault="00FA6932" w:rsidP="007332FF">
      <w:r>
        <w:separator/>
      </w:r>
    </w:p>
  </w:footnote>
  <w:footnote w:type="continuationSeparator" w:id="0">
    <w:p w14:paraId="60FC071C" w14:textId="77777777" w:rsidR="00FA6932" w:rsidRDefault="00FA6932" w:rsidP="007332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E84DB" w14:textId="77777777" w:rsidR="00FB662B" w:rsidRDefault="00FB66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071F" w14:textId="77777777" w:rsidR="004F016A" w:rsidRDefault="00BB01F7" w:rsidP="002926BC">
    <w:pPr>
      <w:pStyle w:val="Header"/>
      <w:tabs>
        <w:tab w:val="clear" w:pos="9026"/>
      </w:tabs>
      <w:ind w:right="-568"/>
    </w:pPr>
    <w:r>
      <w:fldChar w:fldCharType="begin"/>
    </w:r>
    <w:r>
      <w:instrText xml:space="preserve"> TITLE   \* MERGEFORMAT </w:instrText>
    </w:r>
    <w:r>
      <w:fldChar w:fldCharType="separate"/>
    </w:r>
    <w:r w:rsidR="00A21C22" w:rsidRPr="00A21C22">
      <w:t xml:space="preserve"> Accounting – </w:t>
    </w:r>
    <w:r w:rsidR="00C94821">
      <w:t>expenses A6.2: employee b</w:t>
    </w:r>
    <w:r w:rsidR="00A21C22" w:rsidRPr="00A21C22">
      <w:t>enefits</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C0723" w14:textId="77777777" w:rsidR="004F016A" w:rsidRPr="00AE0EFF" w:rsidRDefault="006752B5" w:rsidP="00AE0EFF">
    <w:pPr>
      <w:pStyle w:val="Title"/>
    </w:pPr>
    <w:r w:rsidRPr="00AE0EFF">
      <w:t>Treasurer’s Directions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9708F0"/>
    <w:multiLevelType w:val="multilevel"/>
    <w:tmpl w:val="4D565A9C"/>
    <w:numStyleLink w:val="DTFList-roman"/>
  </w:abstractNum>
  <w:abstractNum w:abstractNumId="2" w15:restartNumberingAfterBreak="0">
    <w:nsid w:val="12305E5F"/>
    <w:multiLevelType w:val="hybridMultilevel"/>
    <w:tmpl w:val="699022B0"/>
    <w:lvl w:ilvl="0" w:tplc="3D3C7374">
      <w:start w:val="1"/>
      <w:numFmt w:val="bullet"/>
      <w:pStyle w:val="ListBullet4"/>
      <w:lvlText w:val="−"/>
      <w:lvlJc w:val="left"/>
      <w:pPr>
        <w:ind w:left="785"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34E74"/>
    <w:multiLevelType w:val="hybridMultilevel"/>
    <w:tmpl w:val="943EB11C"/>
    <w:lvl w:ilvl="0" w:tplc="32E85392">
      <w:start w:val="1"/>
      <w:numFmt w:val="decimal"/>
      <w:pStyle w:val="DTFHeading2-numbered"/>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 w15:restartNumberingAfterBreak="0">
    <w:nsid w:val="149A1C10"/>
    <w:multiLevelType w:val="multilevel"/>
    <w:tmpl w:val="E8801806"/>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71C3D8A"/>
    <w:multiLevelType w:val="multilevel"/>
    <w:tmpl w:val="F3BC187E"/>
    <w:lvl w:ilvl="0">
      <w:start w:val="1"/>
      <w:numFmt w:val="bullet"/>
      <w:pStyle w:val="DTFListBullet1-Black"/>
      <w:lvlText w:val=""/>
      <w:lvlJc w:val="left"/>
      <w:pPr>
        <w:ind w:left="680" w:hanging="396"/>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6" w15:restartNumberingAfterBreak="0">
    <w:nsid w:val="1A073069"/>
    <w:multiLevelType w:val="hybridMultilevel"/>
    <w:tmpl w:val="3EE65A0E"/>
    <w:lvl w:ilvl="0" w:tplc="4D66BBC6">
      <w:start w:val="1"/>
      <w:numFmt w:val="bullet"/>
      <w:pStyle w:val="DTFTableDash-delete"/>
      <w:lvlText w:val="−"/>
      <w:lvlJc w:val="left"/>
      <w:pPr>
        <w:ind w:left="785" w:hanging="360"/>
      </w:pPr>
      <w:rPr>
        <w:rFonts w:ascii="Lato" w:hAnsi="Lato"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E93944"/>
    <w:multiLevelType w:val="multilevel"/>
    <w:tmpl w:val="BD7A8414"/>
    <w:styleLink w:val="NTGStandardList"/>
    <w:lvl w:ilvl="0">
      <w:start w:val="1"/>
      <w:numFmt w:val="bullet"/>
      <w:lvlText w:val=""/>
      <w:lvlJc w:val="left"/>
      <w:pPr>
        <w:ind w:left="357" w:hanging="357"/>
      </w:pPr>
      <w:rPr>
        <w:rFonts w:ascii="Symbol" w:hAnsi="Symbol" w:hint="default"/>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8" w15:restartNumberingAfterBreak="0">
    <w:nsid w:val="294C0422"/>
    <w:multiLevelType w:val="multilevel"/>
    <w:tmpl w:val="E8801806"/>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A59584B"/>
    <w:multiLevelType w:val="multilevel"/>
    <w:tmpl w:val="8D8CCF9A"/>
    <w:styleLink w:val="NTGTableList"/>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10" w15:restartNumberingAfterBreak="0">
    <w:nsid w:val="30804A0B"/>
    <w:multiLevelType w:val="hybridMultilevel"/>
    <w:tmpl w:val="42DC4E6A"/>
    <w:lvl w:ilvl="0" w:tplc="8A0ECD94">
      <w:start w:val="1"/>
      <w:numFmt w:val="bullet"/>
      <w:pStyle w:val="DTFTableDashold"/>
      <w:lvlText w:val="−"/>
      <w:lvlJc w:val="left"/>
      <w:pPr>
        <w:ind w:left="785" w:hanging="360"/>
      </w:pPr>
      <w:rPr>
        <w:rFonts w:ascii="Lato" w:hAnsi="Lato"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1A6781"/>
    <w:multiLevelType w:val="multilevel"/>
    <w:tmpl w:val="A45AB330"/>
    <w:lvl w:ilvl="0">
      <w:start w:val="1"/>
      <w:numFmt w:val="decimal"/>
      <w:pStyle w:val="DTFListNumber1"/>
      <w:lvlText w:val="%1."/>
      <w:lvlJc w:val="left"/>
      <w:pPr>
        <w:ind w:left="680" w:hanging="39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32151D29"/>
    <w:multiLevelType w:val="multilevel"/>
    <w:tmpl w:val="4D565A9C"/>
    <w:styleLink w:val="DTFList-roman"/>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0302BA"/>
    <w:multiLevelType w:val="multilevel"/>
    <w:tmpl w:val="D3422800"/>
    <w:lvl w:ilvl="0">
      <w:start w:val="1"/>
      <w:numFmt w:val="bullet"/>
      <w:lvlText w:val=""/>
      <w:lvlJc w:val="left"/>
      <w:pPr>
        <w:ind w:left="1077" w:hanging="680"/>
      </w:pPr>
      <w:rPr>
        <w:rFonts w:ascii="Symbol" w:hAnsi="Symbol"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440" w:hanging="360"/>
      </w:pPr>
      <w:rPr>
        <w:rFonts w:ascii="Courier New" w:hAnsi="Courier New" w:cs="Courier New" w:hint="default"/>
      </w:rPr>
    </w:lvl>
    <w:lvl w:ilvl="2">
      <w:start w:val="1"/>
      <w:numFmt w:val="bullet"/>
      <w:pStyle w:val="DTFListBullet3-Dash"/>
      <w:lvlText w:val=""/>
      <w:lvlJc w:val="left"/>
      <w:pPr>
        <w:ind w:left="1474" w:hanging="397"/>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EF737C4"/>
    <w:multiLevelType w:val="multilevel"/>
    <w:tmpl w:val="4D565A9C"/>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1E36164"/>
    <w:multiLevelType w:val="hybridMultilevel"/>
    <w:tmpl w:val="C29A37E8"/>
    <w:lvl w:ilvl="0" w:tplc="3F46C1E0">
      <w:numFmt w:val="bullet"/>
      <w:pStyle w:val="DTFListBullet1-Orange"/>
      <w:lvlText w:val="●"/>
      <w:lvlJc w:val="left"/>
      <w:pPr>
        <w:ind w:left="1004" w:hanging="360"/>
      </w:pPr>
      <w:rPr>
        <w:rFonts w:ascii="Arial" w:eastAsia="Times New Roman" w:hAnsi="Arial" w:hint="default"/>
        <w:b w:val="0"/>
        <w:bCs w:val="0"/>
        <w:i w:val="0"/>
        <w:iCs w:val="0"/>
        <w:caps w:val="0"/>
        <w:smallCaps w:val="0"/>
        <w:strike w:val="0"/>
        <w:dstrike w:val="0"/>
        <w:vanish w:val="0"/>
        <w:color w:val="CB6015"/>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7E08E4"/>
    <w:multiLevelType w:val="multilevel"/>
    <w:tmpl w:val="4D565A9C"/>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6335E44"/>
    <w:multiLevelType w:val="multilevel"/>
    <w:tmpl w:val="53204A44"/>
    <w:styleLink w:val="NTGTableNum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2365E1"/>
    <w:multiLevelType w:val="multilevel"/>
    <w:tmpl w:val="4D565A9C"/>
    <w:numStyleLink w:val="DTFList-roman"/>
  </w:abstractNum>
  <w:abstractNum w:abstractNumId="19" w15:restartNumberingAfterBreak="0">
    <w:nsid w:val="4BE5445F"/>
    <w:multiLevelType w:val="multilevel"/>
    <w:tmpl w:val="5156D342"/>
    <w:name w:val="DTF List Main Features"/>
    <w:lvl w:ilvl="0">
      <w:start w:val="1"/>
      <w:numFmt w:val="bullet"/>
      <w:pStyle w:val="DTFListlevel1-Orange"/>
      <w:lvlText w:val="●"/>
      <w:lvlJc w:val="left"/>
      <w:pPr>
        <w:ind w:left="680" w:hanging="396"/>
      </w:pPr>
      <w:rPr>
        <w:rFonts w:ascii="Arial" w:hAnsi="Arial" w:hint="default"/>
        <w:b w:val="0"/>
        <w:bCs w:val="0"/>
        <w:i w:val="0"/>
        <w:iCs w:val="0"/>
        <w:caps w:val="0"/>
        <w:smallCaps w:val="0"/>
        <w:strike w:val="0"/>
        <w:dstrike w:val="0"/>
        <w:noProof w:val="0"/>
        <w:vanish w:val="0"/>
        <w:color w:val="CB6015"/>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4D90555D"/>
    <w:multiLevelType w:val="multilevel"/>
    <w:tmpl w:val="6F860756"/>
    <w:styleLink w:val="NTGStandardNumList"/>
    <w:lvl w:ilvl="0">
      <w:start w:val="1"/>
      <w:numFmt w:val="decimal"/>
      <w:lvlText w:val="%1."/>
      <w:lvlJc w:val="left"/>
      <w:pPr>
        <w:ind w:left="357" w:hanging="357"/>
      </w:pPr>
      <w:rPr>
        <w:rFonts w:hint="default"/>
      </w:rPr>
    </w:lvl>
    <w:lvl w:ilvl="1">
      <w:start w:val="1"/>
      <w:numFmt w:val="lowerLetter"/>
      <w:pStyle w:val="ListNumber2"/>
      <w:lvlText w:val="%2."/>
      <w:lvlJc w:val="left"/>
      <w:pPr>
        <w:ind w:left="714" w:hanging="357"/>
      </w:pPr>
      <w:rPr>
        <w:rFonts w:hint="default"/>
      </w:rPr>
    </w:lvl>
    <w:lvl w:ilvl="2">
      <w:start w:val="1"/>
      <w:numFmt w:val="lowerRoman"/>
      <w:pStyle w:val="ListNumber3"/>
      <w:lvlText w:val="%3."/>
      <w:lvlJc w:val="left"/>
      <w:pPr>
        <w:tabs>
          <w:tab w:val="num" w:pos="714"/>
        </w:tabs>
        <w:ind w:left="1071" w:hanging="357"/>
      </w:pPr>
      <w:rPr>
        <w:rFonts w:hint="default"/>
      </w:rPr>
    </w:lvl>
    <w:lvl w:ilvl="3">
      <w:start w:val="1"/>
      <w:numFmt w:val="decimal"/>
      <w:pStyle w:val="ListNumber4"/>
      <w:lvlText w:val="(%4)"/>
      <w:lvlJc w:val="left"/>
      <w:pPr>
        <w:tabs>
          <w:tab w:val="num" w:pos="1072"/>
        </w:tabs>
        <w:ind w:left="1428" w:hanging="357"/>
      </w:pPr>
      <w:rPr>
        <w:rFonts w:hint="default"/>
      </w:rPr>
    </w:lvl>
    <w:lvl w:ilvl="4">
      <w:start w:val="1"/>
      <w:numFmt w:val="lowerLetter"/>
      <w:pStyle w:val="ListNumber5"/>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1" w15:restartNumberingAfterBreak="0">
    <w:nsid w:val="530D5528"/>
    <w:multiLevelType w:val="multilevel"/>
    <w:tmpl w:val="C8C0FAE2"/>
    <w:lvl w:ilvl="0">
      <w:start w:val="1"/>
      <w:numFmt w:val="lowerRoman"/>
      <w:pStyle w:val="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077" w:hanging="397"/>
      </w:pPr>
      <w:rPr>
        <w:rFonts w:ascii="Courier New" w:hAnsi="Courier New" w:hint="default"/>
      </w:rPr>
    </w:lvl>
    <w:lvl w:ilvl="2">
      <w:start w:val="1"/>
      <w:numFmt w:val="bullet"/>
      <w:lvlText w:val=""/>
      <w:lvlJc w:val="left"/>
      <w:pPr>
        <w:ind w:left="2366" w:hanging="360"/>
      </w:pPr>
      <w:rPr>
        <w:rFonts w:ascii="Wingdings" w:hAnsi="Wingdings" w:hint="default"/>
      </w:rPr>
    </w:lvl>
    <w:lvl w:ilvl="3">
      <w:start w:val="1"/>
      <w:numFmt w:val="bullet"/>
      <w:lvlText w:val=""/>
      <w:lvlJc w:val="left"/>
      <w:pPr>
        <w:ind w:left="3086" w:hanging="360"/>
      </w:pPr>
      <w:rPr>
        <w:rFonts w:ascii="Symbol" w:hAnsi="Symbol" w:hint="default"/>
      </w:rPr>
    </w:lvl>
    <w:lvl w:ilvl="4">
      <w:start w:val="1"/>
      <w:numFmt w:val="bullet"/>
      <w:lvlText w:val="o"/>
      <w:lvlJc w:val="left"/>
      <w:pPr>
        <w:ind w:left="3806" w:hanging="360"/>
      </w:pPr>
      <w:rPr>
        <w:rFonts w:ascii="Courier New" w:hAnsi="Courier New" w:cs="Courier New" w:hint="default"/>
      </w:rPr>
    </w:lvl>
    <w:lvl w:ilvl="5">
      <w:start w:val="1"/>
      <w:numFmt w:val="bullet"/>
      <w:lvlText w:val=""/>
      <w:lvlJc w:val="left"/>
      <w:pPr>
        <w:ind w:left="4526" w:hanging="360"/>
      </w:pPr>
      <w:rPr>
        <w:rFonts w:ascii="Wingdings" w:hAnsi="Wingdings" w:hint="default"/>
      </w:rPr>
    </w:lvl>
    <w:lvl w:ilvl="6">
      <w:start w:val="1"/>
      <w:numFmt w:val="bullet"/>
      <w:lvlText w:val=""/>
      <w:lvlJc w:val="left"/>
      <w:pPr>
        <w:ind w:left="5246" w:hanging="360"/>
      </w:pPr>
      <w:rPr>
        <w:rFonts w:ascii="Symbol" w:hAnsi="Symbol" w:hint="default"/>
      </w:rPr>
    </w:lvl>
    <w:lvl w:ilvl="7">
      <w:start w:val="1"/>
      <w:numFmt w:val="bullet"/>
      <w:lvlText w:val="o"/>
      <w:lvlJc w:val="left"/>
      <w:pPr>
        <w:ind w:left="5966" w:hanging="360"/>
      </w:pPr>
      <w:rPr>
        <w:rFonts w:ascii="Courier New" w:hAnsi="Courier New" w:cs="Courier New" w:hint="default"/>
      </w:rPr>
    </w:lvl>
    <w:lvl w:ilvl="8">
      <w:start w:val="1"/>
      <w:numFmt w:val="bullet"/>
      <w:lvlText w:val=""/>
      <w:lvlJc w:val="left"/>
      <w:pPr>
        <w:ind w:left="6686" w:hanging="360"/>
      </w:pPr>
      <w:rPr>
        <w:rFonts w:ascii="Wingdings" w:hAnsi="Wingdings" w:hint="default"/>
      </w:rPr>
    </w:lvl>
  </w:abstractNum>
  <w:abstractNum w:abstractNumId="22" w15:restartNumberingAfterBreak="0">
    <w:nsid w:val="55304DAD"/>
    <w:multiLevelType w:val="multilevel"/>
    <w:tmpl w:val="1BB08130"/>
    <w:lvl w:ilvl="0">
      <w:start w:val="1"/>
      <w:numFmt w:val="bullet"/>
      <w:lvlText w:val="•"/>
      <w:lvlJc w:val="left"/>
      <w:pPr>
        <w:ind w:left="1040" w:hanging="360"/>
      </w:pPr>
      <w:rPr>
        <w:rFonts w:ascii="Arial MT Std Light" w:hAnsi="Arial MT Std Light" w:hint="default"/>
      </w:rPr>
    </w:lvl>
    <w:lvl w:ilvl="1">
      <w:start w:val="1"/>
      <w:numFmt w:val="bullet"/>
      <w:pStyle w:val="DTFListBullet2-Black"/>
      <w:lvlText w:val=""/>
      <w:lvlJc w:val="left"/>
      <w:pPr>
        <w:ind w:left="1107" w:hanging="397"/>
      </w:pPr>
      <w:rPr>
        <w:rFonts w:ascii="Symbol" w:hAnsi="Symbol"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cs="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cs="Courier New" w:hint="default"/>
      </w:rPr>
    </w:lvl>
    <w:lvl w:ilvl="8">
      <w:start w:val="1"/>
      <w:numFmt w:val="bullet"/>
      <w:lvlText w:val=""/>
      <w:lvlJc w:val="left"/>
      <w:pPr>
        <w:ind w:left="6800" w:hanging="360"/>
      </w:pPr>
      <w:rPr>
        <w:rFonts w:ascii="Wingdings" w:hAnsi="Wingdings" w:hint="default"/>
      </w:rPr>
    </w:lvl>
  </w:abstractNum>
  <w:abstractNum w:abstractNumId="23" w15:restartNumberingAfterBreak="0">
    <w:nsid w:val="57341EB8"/>
    <w:multiLevelType w:val="multilevel"/>
    <w:tmpl w:val="1CF43FEE"/>
    <w:lvl w:ilvl="0">
      <w:start w:val="1"/>
      <w:numFmt w:val="lowerRoman"/>
      <w:pStyle w:val="DTFListNumber1-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6017495"/>
    <w:multiLevelType w:val="multilevel"/>
    <w:tmpl w:val="CAAA51AC"/>
    <w:lvl w:ilvl="0">
      <w:start w:val="1"/>
      <w:numFmt w:val="lowerRoman"/>
      <w:pStyle w:val="ListNumber2-Roman"/>
      <w:lvlText w:val="(%1)"/>
      <w:lvlJc w:val="left"/>
      <w:pPr>
        <w:ind w:left="539" w:hanging="39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6ED2B98"/>
    <w:multiLevelType w:val="multilevel"/>
    <w:tmpl w:val="E8801806"/>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7886DFC"/>
    <w:multiLevelType w:val="multilevel"/>
    <w:tmpl w:val="E8801806"/>
    <w:lvl w:ilvl="0">
      <w:start w:val="1"/>
      <w:numFmt w:val="lowerRoman"/>
      <w:lvlText w:val="(%1)"/>
      <w:lvlJc w:val="left"/>
      <w:pPr>
        <w:ind w:left="680" w:hanging="396"/>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ind w:left="1077" w:hanging="397"/>
      </w:pPr>
      <w:rPr>
        <w:rFonts w:ascii="Symbol" w:hAnsi="Symbol" w:hint="default"/>
      </w:rPr>
    </w:lvl>
    <w:lvl w:ilvl="2">
      <w:start w:val="1"/>
      <w:numFmt w:val="bullet"/>
      <w:lvlText w:val=""/>
      <w:lvlJc w:val="left"/>
      <w:pPr>
        <w:ind w:left="1474" w:hanging="397"/>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8B507A1"/>
    <w:multiLevelType w:val="multilevel"/>
    <w:tmpl w:val="BB5EAEBE"/>
    <w:lvl w:ilvl="0">
      <w:start w:val="1"/>
      <w:numFmt w:val="bullet"/>
      <w:pStyle w:val="DTFListBullet2-Dash"/>
      <w:lvlText w:val=""/>
      <w:lvlJc w:val="left"/>
      <w:pPr>
        <w:ind w:left="1080" w:hanging="400"/>
      </w:pPr>
      <w:rPr>
        <w:rFonts w:ascii="Symbol" w:hAnsi="Symbol"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7BB76362"/>
    <w:multiLevelType w:val="multilevel"/>
    <w:tmpl w:val="4D565A9C"/>
    <w:numStyleLink w:val="DTFList-roman"/>
  </w:abstractNum>
  <w:num w:numId="1">
    <w:abstractNumId w:val="3"/>
  </w:num>
  <w:num w:numId="2">
    <w:abstractNumId w:val="5"/>
  </w:num>
  <w:num w:numId="3">
    <w:abstractNumId w:val="15"/>
  </w:num>
  <w:num w:numId="4">
    <w:abstractNumId w:val="22"/>
  </w:num>
  <w:num w:numId="5">
    <w:abstractNumId w:val="27"/>
  </w:num>
  <w:num w:numId="6">
    <w:abstractNumId w:val="13"/>
  </w:num>
  <w:num w:numId="7">
    <w:abstractNumId w:val="6"/>
  </w:num>
  <w:num w:numId="8">
    <w:abstractNumId w:val="12"/>
  </w:num>
  <w:num w:numId="9">
    <w:abstractNumId w:val="19"/>
  </w:num>
  <w:num w:numId="10">
    <w:abstractNumId w:val="11"/>
  </w:num>
  <w:num w:numId="11">
    <w:abstractNumId w:val="10"/>
  </w:num>
  <w:num w:numId="12">
    <w:abstractNumId w:val="21"/>
  </w:num>
  <w:num w:numId="13">
    <w:abstractNumId w:val="24"/>
  </w:num>
  <w:num w:numId="14">
    <w:abstractNumId w:val="7"/>
  </w:num>
  <w:num w:numId="15">
    <w:abstractNumId w:val="20"/>
  </w:num>
  <w:num w:numId="16">
    <w:abstractNumId w:val="9"/>
  </w:num>
  <w:num w:numId="17">
    <w:abstractNumId w:val="17"/>
  </w:num>
  <w:num w:numId="18">
    <w:abstractNumId w:val="2"/>
  </w:num>
  <w:num w:numId="19">
    <w:abstractNumId w:val="0"/>
  </w:num>
  <w:num w:numId="20">
    <w:abstractNumId w:val="28"/>
  </w:num>
  <w:num w:numId="21">
    <w:abstractNumId w:val="16"/>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8"/>
  </w:num>
  <w:num w:numId="26">
    <w:abstractNumId w:val="2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eBHnG6dpNJRs9hrlUcRCg6dd9h8LQSGSK3T/832Okhf+kOfqrl+Yoq40Fe/PaJb/ujHXGQmsHsvZD+L0Kph8sw==" w:salt="N0tA+peduuwWuQzTpsuUlg=="/>
  <w:defaultTabStop w:val="720"/>
  <w:drawingGridHorizontalSpacing w:val="110"/>
  <w:displayHorizontalDrawingGridEvery w:val="2"/>
  <w:displayVerticalDrawingGridEvery w:val="2"/>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14E"/>
    <w:rsid w:val="00001DDF"/>
    <w:rsid w:val="00001E38"/>
    <w:rsid w:val="00006161"/>
    <w:rsid w:val="00011815"/>
    <w:rsid w:val="0001192E"/>
    <w:rsid w:val="00012735"/>
    <w:rsid w:val="000131E6"/>
    <w:rsid w:val="00015854"/>
    <w:rsid w:val="0001722F"/>
    <w:rsid w:val="000176EB"/>
    <w:rsid w:val="00027DB8"/>
    <w:rsid w:val="00031A96"/>
    <w:rsid w:val="000320BA"/>
    <w:rsid w:val="00032202"/>
    <w:rsid w:val="00036B72"/>
    <w:rsid w:val="000400CA"/>
    <w:rsid w:val="00040BF3"/>
    <w:rsid w:val="00041532"/>
    <w:rsid w:val="0004220C"/>
    <w:rsid w:val="0004431F"/>
    <w:rsid w:val="00046016"/>
    <w:rsid w:val="000471F3"/>
    <w:rsid w:val="000476EE"/>
    <w:rsid w:val="000514A8"/>
    <w:rsid w:val="00051F45"/>
    <w:rsid w:val="00053417"/>
    <w:rsid w:val="00053848"/>
    <w:rsid w:val="00062035"/>
    <w:rsid w:val="00063A03"/>
    <w:rsid w:val="00066165"/>
    <w:rsid w:val="0007143F"/>
    <w:rsid w:val="000720A7"/>
    <w:rsid w:val="000720BE"/>
    <w:rsid w:val="00072361"/>
    <w:rsid w:val="0007259C"/>
    <w:rsid w:val="00073423"/>
    <w:rsid w:val="00074245"/>
    <w:rsid w:val="000758FA"/>
    <w:rsid w:val="00076DEC"/>
    <w:rsid w:val="00077F63"/>
    <w:rsid w:val="00080202"/>
    <w:rsid w:val="000807FB"/>
    <w:rsid w:val="00080DCD"/>
    <w:rsid w:val="00081C35"/>
    <w:rsid w:val="00081D61"/>
    <w:rsid w:val="00083324"/>
    <w:rsid w:val="0008378F"/>
    <w:rsid w:val="000840A3"/>
    <w:rsid w:val="00085B86"/>
    <w:rsid w:val="00085E5A"/>
    <w:rsid w:val="00086A5F"/>
    <w:rsid w:val="000910D1"/>
    <w:rsid w:val="000911EF"/>
    <w:rsid w:val="000960E2"/>
    <w:rsid w:val="000962C5"/>
    <w:rsid w:val="000975A8"/>
    <w:rsid w:val="000A087B"/>
    <w:rsid w:val="000A15E5"/>
    <w:rsid w:val="000A2BF9"/>
    <w:rsid w:val="000A559C"/>
    <w:rsid w:val="000A7FC4"/>
    <w:rsid w:val="000B07B0"/>
    <w:rsid w:val="000B21F7"/>
    <w:rsid w:val="000B270B"/>
    <w:rsid w:val="000B3C9A"/>
    <w:rsid w:val="000B5173"/>
    <w:rsid w:val="000B5AC4"/>
    <w:rsid w:val="000C120E"/>
    <w:rsid w:val="000C1280"/>
    <w:rsid w:val="000C216E"/>
    <w:rsid w:val="000C3775"/>
    <w:rsid w:val="000C6949"/>
    <w:rsid w:val="000D1F29"/>
    <w:rsid w:val="000D28D8"/>
    <w:rsid w:val="000E7DAF"/>
    <w:rsid w:val="000F13CD"/>
    <w:rsid w:val="000F440F"/>
    <w:rsid w:val="000F4EAB"/>
    <w:rsid w:val="00104E7F"/>
    <w:rsid w:val="00107952"/>
    <w:rsid w:val="001114BC"/>
    <w:rsid w:val="00112601"/>
    <w:rsid w:val="001137EC"/>
    <w:rsid w:val="00113964"/>
    <w:rsid w:val="001152F5"/>
    <w:rsid w:val="00117743"/>
    <w:rsid w:val="00117F5B"/>
    <w:rsid w:val="001212F0"/>
    <w:rsid w:val="00122F2F"/>
    <w:rsid w:val="00124AC0"/>
    <w:rsid w:val="0013008B"/>
    <w:rsid w:val="00130793"/>
    <w:rsid w:val="00131E2F"/>
    <w:rsid w:val="00132658"/>
    <w:rsid w:val="00132F3E"/>
    <w:rsid w:val="00132FC9"/>
    <w:rsid w:val="00135920"/>
    <w:rsid w:val="00136B04"/>
    <w:rsid w:val="001372B8"/>
    <w:rsid w:val="00150DC0"/>
    <w:rsid w:val="00153138"/>
    <w:rsid w:val="00153140"/>
    <w:rsid w:val="001552A9"/>
    <w:rsid w:val="00156CD4"/>
    <w:rsid w:val="00162870"/>
    <w:rsid w:val="00163A0C"/>
    <w:rsid w:val="00164A3E"/>
    <w:rsid w:val="001718A6"/>
    <w:rsid w:val="00175D00"/>
    <w:rsid w:val="00175E4D"/>
    <w:rsid w:val="00177EF3"/>
    <w:rsid w:val="00181620"/>
    <w:rsid w:val="001826BF"/>
    <w:rsid w:val="00182AF6"/>
    <w:rsid w:val="001934DB"/>
    <w:rsid w:val="00193A16"/>
    <w:rsid w:val="00194AE6"/>
    <w:rsid w:val="001950EF"/>
    <w:rsid w:val="001957AD"/>
    <w:rsid w:val="001965F6"/>
    <w:rsid w:val="001A06AE"/>
    <w:rsid w:val="001A2B7F"/>
    <w:rsid w:val="001A2E90"/>
    <w:rsid w:val="001A3A44"/>
    <w:rsid w:val="001A6DB1"/>
    <w:rsid w:val="001B19D7"/>
    <w:rsid w:val="001B1B27"/>
    <w:rsid w:val="001B229D"/>
    <w:rsid w:val="001B2B6C"/>
    <w:rsid w:val="001B4D05"/>
    <w:rsid w:val="001B6E19"/>
    <w:rsid w:val="001C0E86"/>
    <w:rsid w:val="001C2859"/>
    <w:rsid w:val="001C3285"/>
    <w:rsid w:val="001C4E2F"/>
    <w:rsid w:val="001C6148"/>
    <w:rsid w:val="001C7E74"/>
    <w:rsid w:val="001D01C4"/>
    <w:rsid w:val="001D0812"/>
    <w:rsid w:val="001D52B0"/>
    <w:rsid w:val="001E1422"/>
    <w:rsid w:val="001E14EB"/>
    <w:rsid w:val="001E23E1"/>
    <w:rsid w:val="001F5131"/>
    <w:rsid w:val="001F5443"/>
    <w:rsid w:val="001F59E6"/>
    <w:rsid w:val="001F7322"/>
    <w:rsid w:val="001F7700"/>
    <w:rsid w:val="002043B6"/>
    <w:rsid w:val="00204A49"/>
    <w:rsid w:val="00205CCB"/>
    <w:rsid w:val="00206936"/>
    <w:rsid w:val="00206C6F"/>
    <w:rsid w:val="00206FBD"/>
    <w:rsid w:val="0020725C"/>
    <w:rsid w:val="00207746"/>
    <w:rsid w:val="002119AC"/>
    <w:rsid w:val="0021287C"/>
    <w:rsid w:val="00212919"/>
    <w:rsid w:val="00213C51"/>
    <w:rsid w:val="00214594"/>
    <w:rsid w:val="00222301"/>
    <w:rsid w:val="0022479A"/>
    <w:rsid w:val="00224A6C"/>
    <w:rsid w:val="002250B6"/>
    <w:rsid w:val="00226474"/>
    <w:rsid w:val="00227D12"/>
    <w:rsid w:val="00230031"/>
    <w:rsid w:val="002307DD"/>
    <w:rsid w:val="00240DF2"/>
    <w:rsid w:val="00240F8C"/>
    <w:rsid w:val="002433C2"/>
    <w:rsid w:val="00245F24"/>
    <w:rsid w:val="00247343"/>
    <w:rsid w:val="0025227D"/>
    <w:rsid w:val="0025240D"/>
    <w:rsid w:val="00257BED"/>
    <w:rsid w:val="00260C9E"/>
    <w:rsid w:val="002660BE"/>
    <w:rsid w:val="00274D4B"/>
    <w:rsid w:val="00275659"/>
    <w:rsid w:val="00275888"/>
    <w:rsid w:val="0027727E"/>
    <w:rsid w:val="002806F5"/>
    <w:rsid w:val="00281577"/>
    <w:rsid w:val="00286554"/>
    <w:rsid w:val="00286B08"/>
    <w:rsid w:val="00287C5F"/>
    <w:rsid w:val="002926BC"/>
    <w:rsid w:val="00293A72"/>
    <w:rsid w:val="002A0C47"/>
    <w:rsid w:val="002A30C3"/>
    <w:rsid w:val="002A6B6D"/>
    <w:rsid w:val="002B01C7"/>
    <w:rsid w:val="002B0CD5"/>
    <w:rsid w:val="002B30C5"/>
    <w:rsid w:val="002B388A"/>
    <w:rsid w:val="002B38F7"/>
    <w:rsid w:val="002B5591"/>
    <w:rsid w:val="002B6774"/>
    <w:rsid w:val="002B6C6D"/>
    <w:rsid w:val="002C1FE9"/>
    <w:rsid w:val="002C489F"/>
    <w:rsid w:val="002C61A7"/>
    <w:rsid w:val="002C6289"/>
    <w:rsid w:val="002C7143"/>
    <w:rsid w:val="002D0FA9"/>
    <w:rsid w:val="002D1985"/>
    <w:rsid w:val="002D1B54"/>
    <w:rsid w:val="002D293F"/>
    <w:rsid w:val="002D2A47"/>
    <w:rsid w:val="002D3A57"/>
    <w:rsid w:val="002D6132"/>
    <w:rsid w:val="002D7D05"/>
    <w:rsid w:val="002E20C8"/>
    <w:rsid w:val="002E339D"/>
    <w:rsid w:val="002E64D4"/>
    <w:rsid w:val="002E6A44"/>
    <w:rsid w:val="002F0657"/>
    <w:rsid w:val="002F0DB1"/>
    <w:rsid w:val="002F281F"/>
    <w:rsid w:val="002F2885"/>
    <w:rsid w:val="002F408D"/>
    <w:rsid w:val="0030126A"/>
    <w:rsid w:val="00303783"/>
    <w:rsid w:val="003037F9"/>
    <w:rsid w:val="00303FF3"/>
    <w:rsid w:val="003041CB"/>
    <w:rsid w:val="003064AF"/>
    <w:rsid w:val="00307A5E"/>
    <w:rsid w:val="00312C79"/>
    <w:rsid w:val="00315060"/>
    <w:rsid w:val="003246A5"/>
    <w:rsid w:val="003258E6"/>
    <w:rsid w:val="00332E0E"/>
    <w:rsid w:val="00340EFC"/>
    <w:rsid w:val="00341084"/>
    <w:rsid w:val="00341398"/>
    <w:rsid w:val="00342283"/>
    <w:rsid w:val="00343A87"/>
    <w:rsid w:val="00344E4A"/>
    <w:rsid w:val="00346802"/>
    <w:rsid w:val="00347FB6"/>
    <w:rsid w:val="003504FD"/>
    <w:rsid w:val="00350881"/>
    <w:rsid w:val="003522AD"/>
    <w:rsid w:val="003543B4"/>
    <w:rsid w:val="00357D55"/>
    <w:rsid w:val="00363513"/>
    <w:rsid w:val="00365154"/>
    <w:rsid w:val="003657E5"/>
    <w:rsid w:val="00365DAD"/>
    <w:rsid w:val="00366EAB"/>
    <w:rsid w:val="00371DC7"/>
    <w:rsid w:val="0037295D"/>
    <w:rsid w:val="003746D2"/>
    <w:rsid w:val="0037717C"/>
    <w:rsid w:val="00377B21"/>
    <w:rsid w:val="00382AD1"/>
    <w:rsid w:val="00382F45"/>
    <w:rsid w:val="003836A3"/>
    <w:rsid w:val="00387039"/>
    <w:rsid w:val="0038723C"/>
    <w:rsid w:val="00391084"/>
    <w:rsid w:val="00394876"/>
    <w:rsid w:val="00394AAF"/>
    <w:rsid w:val="003A05F4"/>
    <w:rsid w:val="003A32D2"/>
    <w:rsid w:val="003A6664"/>
    <w:rsid w:val="003A6CE6"/>
    <w:rsid w:val="003A7B18"/>
    <w:rsid w:val="003B1282"/>
    <w:rsid w:val="003B2AC4"/>
    <w:rsid w:val="003B603C"/>
    <w:rsid w:val="003B67FD"/>
    <w:rsid w:val="003B6B56"/>
    <w:rsid w:val="003C0FC5"/>
    <w:rsid w:val="003C37CA"/>
    <w:rsid w:val="003C710E"/>
    <w:rsid w:val="003C748A"/>
    <w:rsid w:val="003C7BA7"/>
    <w:rsid w:val="003C7F7B"/>
    <w:rsid w:val="003D088A"/>
    <w:rsid w:val="003D42C0"/>
    <w:rsid w:val="003D7818"/>
    <w:rsid w:val="003E2445"/>
    <w:rsid w:val="003E3BB2"/>
    <w:rsid w:val="003E7799"/>
    <w:rsid w:val="003E7CDB"/>
    <w:rsid w:val="003F1296"/>
    <w:rsid w:val="003F5B0E"/>
    <w:rsid w:val="003F64E0"/>
    <w:rsid w:val="003F6B26"/>
    <w:rsid w:val="0040222A"/>
    <w:rsid w:val="004033A1"/>
    <w:rsid w:val="004047BC"/>
    <w:rsid w:val="004074A1"/>
    <w:rsid w:val="00414688"/>
    <w:rsid w:val="00414CB3"/>
    <w:rsid w:val="0041563D"/>
    <w:rsid w:val="00424AC9"/>
    <w:rsid w:val="004252EA"/>
    <w:rsid w:val="00425641"/>
    <w:rsid w:val="00425F94"/>
    <w:rsid w:val="0042613B"/>
    <w:rsid w:val="004264A9"/>
    <w:rsid w:val="004268BD"/>
    <w:rsid w:val="00426E25"/>
    <w:rsid w:val="0044288B"/>
    <w:rsid w:val="004429C7"/>
    <w:rsid w:val="004432BD"/>
    <w:rsid w:val="00443B6E"/>
    <w:rsid w:val="00444D13"/>
    <w:rsid w:val="00445DD5"/>
    <w:rsid w:val="004507F1"/>
    <w:rsid w:val="004512A5"/>
    <w:rsid w:val="00451830"/>
    <w:rsid w:val="00453111"/>
    <w:rsid w:val="0045420A"/>
    <w:rsid w:val="004554D4"/>
    <w:rsid w:val="00461744"/>
    <w:rsid w:val="00463056"/>
    <w:rsid w:val="0046514E"/>
    <w:rsid w:val="004655A6"/>
    <w:rsid w:val="00465DF7"/>
    <w:rsid w:val="00466D96"/>
    <w:rsid w:val="00466E0B"/>
    <w:rsid w:val="00467163"/>
    <w:rsid w:val="00470109"/>
    <w:rsid w:val="0047026F"/>
    <w:rsid w:val="00472F33"/>
    <w:rsid w:val="00473C98"/>
    <w:rsid w:val="00476CC9"/>
    <w:rsid w:val="004809C1"/>
    <w:rsid w:val="00480E74"/>
    <w:rsid w:val="00482DF8"/>
    <w:rsid w:val="0048439C"/>
    <w:rsid w:val="00485C6F"/>
    <w:rsid w:val="00485E17"/>
    <w:rsid w:val="004864DE"/>
    <w:rsid w:val="004904E7"/>
    <w:rsid w:val="0049075E"/>
    <w:rsid w:val="00494BE5"/>
    <w:rsid w:val="004955D6"/>
    <w:rsid w:val="004A2538"/>
    <w:rsid w:val="004A45D5"/>
    <w:rsid w:val="004B0C15"/>
    <w:rsid w:val="004B0C3D"/>
    <w:rsid w:val="004B216D"/>
    <w:rsid w:val="004B35EA"/>
    <w:rsid w:val="004B3834"/>
    <w:rsid w:val="004B54E3"/>
    <w:rsid w:val="004B6EDE"/>
    <w:rsid w:val="004C01BA"/>
    <w:rsid w:val="004C2F25"/>
    <w:rsid w:val="004D075F"/>
    <w:rsid w:val="004D1B76"/>
    <w:rsid w:val="004D424D"/>
    <w:rsid w:val="004D604C"/>
    <w:rsid w:val="004D6570"/>
    <w:rsid w:val="004D6BA6"/>
    <w:rsid w:val="004D6BDF"/>
    <w:rsid w:val="004E019E"/>
    <w:rsid w:val="004E06EC"/>
    <w:rsid w:val="004E2CB7"/>
    <w:rsid w:val="004E36AB"/>
    <w:rsid w:val="004E578E"/>
    <w:rsid w:val="004E5A0A"/>
    <w:rsid w:val="004E5C80"/>
    <w:rsid w:val="004F016A"/>
    <w:rsid w:val="004F6AD4"/>
    <w:rsid w:val="005007A2"/>
    <w:rsid w:val="005008AD"/>
    <w:rsid w:val="00501870"/>
    <w:rsid w:val="00502FB3"/>
    <w:rsid w:val="00503DE5"/>
    <w:rsid w:val="00503DE9"/>
    <w:rsid w:val="0050530C"/>
    <w:rsid w:val="00507782"/>
    <w:rsid w:val="00512A04"/>
    <w:rsid w:val="005149D5"/>
    <w:rsid w:val="00515D08"/>
    <w:rsid w:val="0051627B"/>
    <w:rsid w:val="00517ABB"/>
    <w:rsid w:val="00523ED6"/>
    <w:rsid w:val="00532EE9"/>
    <w:rsid w:val="005335FE"/>
    <w:rsid w:val="00540C01"/>
    <w:rsid w:val="00543BD1"/>
    <w:rsid w:val="0054746E"/>
    <w:rsid w:val="005566D5"/>
    <w:rsid w:val="005572FA"/>
    <w:rsid w:val="00557B42"/>
    <w:rsid w:val="00560348"/>
    <w:rsid w:val="005641CD"/>
    <w:rsid w:val="00564C12"/>
    <w:rsid w:val="005654B8"/>
    <w:rsid w:val="00566089"/>
    <w:rsid w:val="0056795E"/>
    <w:rsid w:val="00567B2C"/>
    <w:rsid w:val="00570034"/>
    <w:rsid w:val="00575EDA"/>
    <w:rsid w:val="005762CC"/>
    <w:rsid w:val="005778F0"/>
    <w:rsid w:val="00580A88"/>
    <w:rsid w:val="00582D3D"/>
    <w:rsid w:val="005848E0"/>
    <w:rsid w:val="00585E43"/>
    <w:rsid w:val="005903E1"/>
    <w:rsid w:val="00592310"/>
    <w:rsid w:val="00593646"/>
    <w:rsid w:val="005943CE"/>
    <w:rsid w:val="00595386"/>
    <w:rsid w:val="005958FF"/>
    <w:rsid w:val="005A324A"/>
    <w:rsid w:val="005A4AC0"/>
    <w:rsid w:val="005A5FDF"/>
    <w:rsid w:val="005A72BB"/>
    <w:rsid w:val="005B0FB7"/>
    <w:rsid w:val="005B122A"/>
    <w:rsid w:val="005B485E"/>
    <w:rsid w:val="005B5AC2"/>
    <w:rsid w:val="005B6C62"/>
    <w:rsid w:val="005C25D0"/>
    <w:rsid w:val="005C2833"/>
    <w:rsid w:val="005C2F5B"/>
    <w:rsid w:val="005C465B"/>
    <w:rsid w:val="005E144D"/>
    <w:rsid w:val="005E28A1"/>
    <w:rsid w:val="005E3A43"/>
    <w:rsid w:val="005E52CA"/>
    <w:rsid w:val="005E78B3"/>
    <w:rsid w:val="005F7847"/>
    <w:rsid w:val="00600ECF"/>
    <w:rsid w:val="0060101B"/>
    <w:rsid w:val="00601A1A"/>
    <w:rsid w:val="00605EB5"/>
    <w:rsid w:val="00607F42"/>
    <w:rsid w:val="0061035C"/>
    <w:rsid w:val="006170D9"/>
    <w:rsid w:val="006202BE"/>
    <w:rsid w:val="00620675"/>
    <w:rsid w:val="0062081A"/>
    <w:rsid w:val="00621857"/>
    <w:rsid w:val="00626134"/>
    <w:rsid w:val="00627D18"/>
    <w:rsid w:val="00641C33"/>
    <w:rsid w:val="00642029"/>
    <w:rsid w:val="006433C3"/>
    <w:rsid w:val="0065066E"/>
    <w:rsid w:val="00650BD4"/>
    <w:rsid w:val="00650F5B"/>
    <w:rsid w:val="00652D18"/>
    <w:rsid w:val="00653BF3"/>
    <w:rsid w:val="0065674D"/>
    <w:rsid w:val="00665B21"/>
    <w:rsid w:val="00665FC5"/>
    <w:rsid w:val="006665E9"/>
    <w:rsid w:val="006670D7"/>
    <w:rsid w:val="00667B6C"/>
    <w:rsid w:val="00670213"/>
    <w:rsid w:val="006719EA"/>
    <w:rsid w:val="00671A50"/>
    <w:rsid w:val="00671F13"/>
    <w:rsid w:val="0067400A"/>
    <w:rsid w:val="006752B5"/>
    <w:rsid w:val="00676967"/>
    <w:rsid w:val="00680C23"/>
    <w:rsid w:val="00683698"/>
    <w:rsid w:val="0068510F"/>
    <w:rsid w:val="006863B4"/>
    <w:rsid w:val="0069344C"/>
    <w:rsid w:val="00693E26"/>
    <w:rsid w:val="00695513"/>
    <w:rsid w:val="00697328"/>
    <w:rsid w:val="0069738E"/>
    <w:rsid w:val="006A0007"/>
    <w:rsid w:val="006A33C5"/>
    <w:rsid w:val="006A3B5C"/>
    <w:rsid w:val="006A572F"/>
    <w:rsid w:val="006B4D9A"/>
    <w:rsid w:val="006B657D"/>
    <w:rsid w:val="006D0EB6"/>
    <w:rsid w:val="006D162B"/>
    <w:rsid w:val="006D668C"/>
    <w:rsid w:val="006D66F7"/>
    <w:rsid w:val="006E01B5"/>
    <w:rsid w:val="006E1D84"/>
    <w:rsid w:val="006E2BE6"/>
    <w:rsid w:val="006E3E5F"/>
    <w:rsid w:val="006E7747"/>
    <w:rsid w:val="006F1403"/>
    <w:rsid w:val="006F3C18"/>
    <w:rsid w:val="006F45F2"/>
    <w:rsid w:val="006F54EB"/>
    <w:rsid w:val="0070014A"/>
    <w:rsid w:val="0070160F"/>
    <w:rsid w:val="007027C6"/>
    <w:rsid w:val="00705C9D"/>
    <w:rsid w:val="00711668"/>
    <w:rsid w:val="00713BEE"/>
    <w:rsid w:val="007145CD"/>
    <w:rsid w:val="00714F1D"/>
    <w:rsid w:val="007178C7"/>
    <w:rsid w:val="00721BAB"/>
    <w:rsid w:val="00722DDB"/>
    <w:rsid w:val="00724728"/>
    <w:rsid w:val="00724BA6"/>
    <w:rsid w:val="00724F98"/>
    <w:rsid w:val="007271FF"/>
    <w:rsid w:val="00730446"/>
    <w:rsid w:val="00730B9B"/>
    <w:rsid w:val="007332FF"/>
    <w:rsid w:val="007359EB"/>
    <w:rsid w:val="007408F5"/>
    <w:rsid w:val="00741EAE"/>
    <w:rsid w:val="007457CE"/>
    <w:rsid w:val="00750ED4"/>
    <w:rsid w:val="00754324"/>
    <w:rsid w:val="00754F9E"/>
    <w:rsid w:val="007553D5"/>
    <w:rsid w:val="00755CAC"/>
    <w:rsid w:val="00757B67"/>
    <w:rsid w:val="00760308"/>
    <w:rsid w:val="0076190B"/>
    <w:rsid w:val="00762CFF"/>
    <w:rsid w:val="00762DBD"/>
    <w:rsid w:val="00763A2D"/>
    <w:rsid w:val="00766236"/>
    <w:rsid w:val="00767521"/>
    <w:rsid w:val="0077190F"/>
    <w:rsid w:val="0077364B"/>
    <w:rsid w:val="00774134"/>
    <w:rsid w:val="00777795"/>
    <w:rsid w:val="00783A57"/>
    <w:rsid w:val="00784C92"/>
    <w:rsid w:val="00785BEC"/>
    <w:rsid w:val="0078785F"/>
    <w:rsid w:val="007937BC"/>
    <w:rsid w:val="00795618"/>
    <w:rsid w:val="00796350"/>
    <w:rsid w:val="00796461"/>
    <w:rsid w:val="007A5D43"/>
    <w:rsid w:val="007A66AD"/>
    <w:rsid w:val="007A6A4F"/>
    <w:rsid w:val="007A6DA3"/>
    <w:rsid w:val="007B03F5"/>
    <w:rsid w:val="007B0B3A"/>
    <w:rsid w:val="007B0EA7"/>
    <w:rsid w:val="007B325B"/>
    <w:rsid w:val="007B46F0"/>
    <w:rsid w:val="007B5DA2"/>
    <w:rsid w:val="007C0AF5"/>
    <w:rsid w:val="007C0E0B"/>
    <w:rsid w:val="007C1862"/>
    <w:rsid w:val="007C59AB"/>
    <w:rsid w:val="007C5CFD"/>
    <w:rsid w:val="007C6D9F"/>
    <w:rsid w:val="007D0ADB"/>
    <w:rsid w:val="007D2118"/>
    <w:rsid w:val="007D40C5"/>
    <w:rsid w:val="007E2799"/>
    <w:rsid w:val="007E4D7B"/>
    <w:rsid w:val="007E6170"/>
    <w:rsid w:val="007E6FC1"/>
    <w:rsid w:val="007E7C54"/>
    <w:rsid w:val="007F2DBF"/>
    <w:rsid w:val="007F7A8A"/>
    <w:rsid w:val="00802462"/>
    <w:rsid w:val="00806244"/>
    <w:rsid w:val="008101E2"/>
    <w:rsid w:val="00811B73"/>
    <w:rsid w:val="00815297"/>
    <w:rsid w:val="00817BA1"/>
    <w:rsid w:val="00821D75"/>
    <w:rsid w:val="00823022"/>
    <w:rsid w:val="00825BFE"/>
    <w:rsid w:val="00826B86"/>
    <w:rsid w:val="00827FC8"/>
    <w:rsid w:val="00830426"/>
    <w:rsid w:val="008313C4"/>
    <w:rsid w:val="00841A5A"/>
    <w:rsid w:val="00842838"/>
    <w:rsid w:val="008444B2"/>
    <w:rsid w:val="00847564"/>
    <w:rsid w:val="00853EB9"/>
    <w:rsid w:val="0085460E"/>
    <w:rsid w:val="0085634D"/>
    <w:rsid w:val="0085797F"/>
    <w:rsid w:val="00861997"/>
    <w:rsid w:val="00861DC3"/>
    <w:rsid w:val="00862AD6"/>
    <w:rsid w:val="00867019"/>
    <w:rsid w:val="00871876"/>
    <w:rsid w:val="008735A9"/>
    <w:rsid w:val="008761A7"/>
    <w:rsid w:val="008772A0"/>
    <w:rsid w:val="00877D20"/>
    <w:rsid w:val="00881C48"/>
    <w:rsid w:val="0088486D"/>
    <w:rsid w:val="00885B80"/>
    <w:rsid w:val="00885E9B"/>
    <w:rsid w:val="008877F6"/>
    <w:rsid w:val="008965D7"/>
    <w:rsid w:val="008A0C65"/>
    <w:rsid w:val="008A4BBA"/>
    <w:rsid w:val="008A6D65"/>
    <w:rsid w:val="008A7C12"/>
    <w:rsid w:val="008B1B85"/>
    <w:rsid w:val="008B529E"/>
    <w:rsid w:val="008B6E5B"/>
    <w:rsid w:val="008C17FB"/>
    <w:rsid w:val="008C3AFE"/>
    <w:rsid w:val="008C702C"/>
    <w:rsid w:val="008D20D0"/>
    <w:rsid w:val="008D2A9A"/>
    <w:rsid w:val="008D3F13"/>
    <w:rsid w:val="008D57B8"/>
    <w:rsid w:val="008D797F"/>
    <w:rsid w:val="008E03FC"/>
    <w:rsid w:val="008E09C1"/>
    <w:rsid w:val="008E355A"/>
    <w:rsid w:val="008E3B4C"/>
    <w:rsid w:val="008E470A"/>
    <w:rsid w:val="008E510B"/>
    <w:rsid w:val="008F15C3"/>
    <w:rsid w:val="008F56DC"/>
    <w:rsid w:val="0090170A"/>
    <w:rsid w:val="00902B13"/>
    <w:rsid w:val="00911941"/>
    <w:rsid w:val="00917A50"/>
    <w:rsid w:val="00920079"/>
    <w:rsid w:val="00920447"/>
    <w:rsid w:val="00925ED0"/>
    <w:rsid w:val="00925F0F"/>
    <w:rsid w:val="00932889"/>
    <w:rsid w:val="00932F6B"/>
    <w:rsid w:val="00933DE9"/>
    <w:rsid w:val="00941385"/>
    <w:rsid w:val="009434D3"/>
    <w:rsid w:val="009439FC"/>
    <w:rsid w:val="009468BC"/>
    <w:rsid w:val="0095655B"/>
    <w:rsid w:val="0095672A"/>
    <w:rsid w:val="009616DF"/>
    <w:rsid w:val="00961A90"/>
    <w:rsid w:val="00964DE0"/>
    <w:rsid w:val="0096542F"/>
    <w:rsid w:val="00967AF6"/>
    <w:rsid w:val="00967FA7"/>
    <w:rsid w:val="009714B8"/>
    <w:rsid w:val="00971645"/>
    <w:rsid w:val="00971F46"/>
    <w:rsid w:val="00972388"/>
    <w:rsid w:val="00972485"/>
    <w:rsid w:val="00977919"/>
    <w:rsid w:val="0098022B"/>
    <w:rsid w:val="00980294"/>
    <w:rsid w:val="00982168"/>
    <w:rsid w:val="00983335"/>
    <w:rsid w:val="00986D03"/>
    <w:rsid w:val="009870FA"/>
    <w:rsid w:val="009972E5"/>
    <w:rsid w:val="009A289A"/>
    <w:rsid w:val="009A5897"/>
    <w:rsid w:val="009A6C3D"/>
    <w:rsid w:val="009A6FDC"/>
    <w:rsid w:val="009B1913"/>
    <w:rsid w:val="009B1EED"/>
    <w:rsid w:val="009B4D65"/>
    <w:rsid w:val="009B6657"/>
    <w:rsid w:val="009B75A7"/>
    <w:rsid w:val="009C16B4"/>
    <w:rsid w:val="009C2875"/>
    <w:rsid w:val="009C2CE7"/>
    <w:rsid w:val="009C596F"/>
    <w:rsid w:val="009C5E22"/>
    <w:rsid w:val="009C636E"/>
    <w:rsid w:val="009D0813"/>
    <w:rsid w:val="009D0D15"/>
    <w:rsid w:val="009D14F9"/>
    <w:rsid w:val="009D2B74"/>
    <w:rsid w:val="009D34E0"/>
    <w:rsid w:val="009D4CD9"/>
    <w:rsid w:val="009D67FB"/>
    <w:rsid w:val="009D7F5A"/>
    <w:rsid w:val="009E0064"/>
    <w:rsid w:val="009E175D"/>
    <w:rsid w:val="009E3CC2"/>
    <w:rsid w:val="009E678D"/>
    <w:rsid w:val="009E7E75"/>
    <w:rsid w:val="009F20BE"/>
    <w:rsid w:val="009F2A4D"/>
    <w:rsid w:val="009F5B95"/>
    <w:rsid w:val="00A02612"/>
    <w:rsid w:val="00A046A2"/>
    <w:rsid w:val="00A0556E"/>
    <w:rsid w:val="00A05911"/>
    <w:rsid w:val="00A05E26"/>
    <w:rsid w:val="00A05F8B"/>
    <w:rsid w:val="00A0727F"/>
    <w:rsid w:val="00A07D9E"/>
    <w:rsid w:val="00A10655"/>
    <w:rsid w:val="00A2060B"/>
    <w:rsid w:val="00A21C22"/>
    <w:rsid w:val="00A21C38"/>
    <w:rsid w:val="00A25193"/>
    <w:rsid w:val="00A26F6A"/>
    <w:rsid w:val="00A31AE8"/>
    <w:rsid w:val="00A35A55"/>
    <w:rsid w:val="00A3739D"/>
    <w:rsid w:val="00A37DDA"/>
    <w:rsid w:val="00A426A9"/>
    <w:rsid w:val="00A431FE"/>
    <w:rsid w:val="00A435AA"/>
    <w:rsid w:val="00A44F37"/>
    <w:rsid w:val="00A45C3B"/>
    <w:rsid w:val="00A54E06"/>
    <w:rsid w:val="00A57864"/>
    <w:rsid w:val="00A61D77"/>
    <w:rsid w:val="00A75CA7"/>
    <w:rsid w:val="00A777A0"/>
    <w:rsid w:val="00A80807"/>
    <w:rsid w:val="00A84A12"/>
    <w:rsid w:val="00A8646E"/>
    <w:rsid w:val="00A925EC"/>
    <w:rsid w:val="00A9415B"/>
    <w:rsid w:val="00A95163"/>
    <w:rsid w:val="00A9673A"/>
    <w:rsid w:val="00AA0587"/>
    <w:rsid w:val="00AA541E"/>
    <w:rsid w:val="00AA782D"/>
    <w:rsid w:val="00AA7A0B"/>
    <w:rsid w:val="00AB0631"/>
    <w:rsid w:val="00AB1D59"/>
    <w:rsid w:val="00AC40ED"/>
    <w:rsid w:val="00AC5073"/>
    <w:rsid w:val="00AD0DA4"/>
    <w:rsid w:val="00AD4169"/>
    <w:rsid w:val="00AD695E"/>
    <w:rsid w:val="00AE07E0"/>
    <w:rsid w:val="00AE0EFF"/>
    <w:rsid w:val="00AE25C6"/>
    <w:rsid w:val="00AE306C"/>
    <w:rsid w:val="00AE4CC7"/>
    <w:rsid w:val="00AF0CAB"/>
    <w:rsid w:val="00AF4F30"/>
    <w:rsid w:val="00AF5823"/>
    <w:rsid w:val="00B02EF1"/>
    <w:rsid w:val="00B04B2A"/>
    <w:rsid w:val="00B0688B"/>
    <w:rsid w:val="00B07C97"/>
    <w:rsid w:val="00B07E47"/>
    <w:rsid w:val="00B15754"/>
    <w:rsid w:val="00B20317"/>
    <w:rsid w:val="00B2046E"/>
    <w:rsid w:val="00B20E8B"/>
    <w:rsid w:val="00B212E0"/>
    <w:rsid w:val="00B219D4"/>
    <w:rsid w:val="00B22CBE"/>
    <w:rsid w:val="00B24665"/>
    <w:rsid w:val="00B26106"/>
    <w:rsid w:val="00B26844"/>
    <w:rsid w:val="00B27423"/>
    <w:rsid w:val="00B323D9"/>
    <w:rsid w:val="00B32B75"/>
    <w:rsid w:val="00B343CC"/>
    <w:rsid w:val="00B351DD"/>
    <w:rsid w:val="00B3606B"/>
    <w:rsid w:val="00B4118D"/>
    <w:rsid w:val="00B43709"/>
    <w:rsid w:val="00B4421B"/>
    <w:rsid w:val="00B460E7"/>
    <w:rsid w:val="00B47826"/>
    <w:rsid w:val="00B47EE0"/>
    <w:rsid w:val="00B51B6D"/>
    <w:rsid w:val="00B52CAA"/>
    <w:rsid w:val="00B532F4"/>
    <w:rsid w:val="00B54915"/>
    <w:rsid w:val="00B560B2"/>
    <w:rsid w:val="00B56F41"/>
    <w:rsid w:val="00B6008C"/>
    <w:rsid w:val="00B6033E"/>
    <w:rsid w:val="00B614F7"/>
    <w:rsid w:val="00B61B26"/>
    <w:rsid w:val="00B624A6"/>
    <w:rsid w:val="00B677D6"/>
    <w:rsid w:val="00B708E9"/>
    <w:rsid w:val="00B716BF"/>
    <w:rsid w:val="00B71CD3"/>
    <w:rsid w:val="00B77DFD"/>
    <w:rsid w:val="00B803FA"/>
    <w:rsid w:val="00B811B2"/>
    <w:rsid w:val="00B81261"/>
    <w:rsid w:val="00B81D26"/>
    <w:rsid w:val="00B8223E"/>
    <w:rsid w:val="00B832AE"/>
    <w:rsid w:val="00B83463"/>
    <w:rsid w:val="00B84042"/>
    <w:rsid w:val="00B86678"/>
    <w:rsid w:val="00B96513"/>
    <w:rsid w:val="00B96A24"/>
    <w:rsid w:val="00BA0DDA"/>
    <w:rsid w:val="00BA1D47"/>
    <w:rsid w:val="00BA66F0"/>
    <w:rsid w:val="00BA7301"/>
    <w:rsid w:val="00BA7743"/>
    <w:rsid w:val="00BB01F7"/>
    <w:rsid w:val="00BB14B3"/>
    <w:rsid w:val="00BB2AE7"/>
    <w:rsid w:val="00BB2F26"/>
    <w:rsid w:val="00BB6464"/>
    <w:rsid w:val="00BC0145"/>
    <w:rsid w:val="00BC151D"/>
    <w:rsid w:val="00BC1BB8"/>
    <w:rsid w:val="00BC4905"/>
    <w:rsid w:val="00BC50DB"/>
    <w:rsid w:val="00BC5101"/>
    <w:rsid w:val="00BC6534"/>
    <w:rsid w:val="00BD033B"/>
    <w:rsid w:val="00BD0FA5"/>
    <w:rsid w:val="00BD4BCC"/>
    <w:rsid w:val="00BD4CD6"/>
    <w:rsid w:val="00BD54AC"/>
    <w:rsid w:val="00BD609B"/>
    <w:rsid w:val="00BD7B29"/>
    <w:rsid w:val="00BE0163"/>
    <w:rsid w:val="00BE6144"/>
    <w:rsid w:val="00BE635A"/>
    <w:rsid w:val="00BF02D1"/>
    <w:rsid w:val="00BF2ABB"/>
    <w:rsid w:val="00BF378C"/>
    <w:rsid w:val="00BF3C4C"/>
    <w:rsid w:val="00BF4029"/>
    <w:rsid w:val="00BF4FC5"/>
    <w:rsid w:val="00BF613E"/>
    <w:rsid w:val="00C04EB3"/>
    <w:rsid w:val="00C10F10"/>
    <w:rsid w:val="00C147F8"/>
    <w:rsid w:val="00C14CC4"/>
    <w:rsid w:val="00C21E5B"/>
    <w:rsid w:val="00C24115"/>
    <w:rsid w:val="00C258BD"/>
    <w:rsid w:val="00C26715"/>
    <w:rsid w:val="00C309D8"/>
    <w:rsid w:val="00C3369F"/>
    <w:rsid w:val="00C372A4"/>
    <w:rsid w:val="00C40521"/>
    <w:rsid w:val="00C42862"/>
    <w:rsid w:val="00C42B79"/>
    <w:rsid w:val="00C4611A"/>
    <w:rsid w:val="00C533E6"/>
    <w:rsid w:val="00C565FE"/>
    <w:rsid w:val="00C61AEC"/>
    <w:rsid w:val="00C61AFA"/>
    <w:rsid w:val="00C62099"/>
    <w:rsid w:val="00C62BA6"/>
    <w:rsid w:val="00C63FEE"/>
    <w:rsid w:val="00C65CE3"/>
    <w:rsid w:val="00C67FA7"/>
    <w:rsid w:val="00C70191"/>
    <w:rsid w:val="00C712A3"/>
    <w:rsid w:val="00C72867"/>
    <w:rsid w:val="00C75407"/>
    <w:rsid w:val="00C75E81"/>
    <w:rsid w:val="00C82093"/>
    <w:rsid w:val="00C83070"/>
    <w:rsid w:val="00C851C6"/>
    <w:rsid w:val="00C92B4C"/>
    <w:rsid w:val="00C94034"/>
    <w:rsid w:val="00C94821"/>
    <w:rsid w:val="00C94C4C"/>
    <w:rsid w:val="00C94C6B"/>
    <w:rsid w:val="00C954F6"/>
    <w:rsid w:val="00CA1ABB"/>
    <w:rsid w:val="00CA2C7C"/>
    <w:rsid w:val="00CA4B60"/>
    <w:rsid w:val="00CA65E7"/>
    <w:rsid w:val="00CA67CF"/>
    <w:rsid w:val="00CA6BC5"/>
    <w:rsid w:val="00CA6C51"/>
    <w:rsid w:val="00CA751C"/>
    <w:rsid w:val="00CB02D2"/>
    <w:rsid w:val="00CB254C"/>
    <w:rsid w:val="00CB5CBB"/>
    <w:rsid w:val="00CB6333"/>
    <w:rsid w:val="00CB72B3"/>
    <w:rsid w:val="00CC09C0"/>
    <w:rsid w:val="00CC1DD7"/>
    <w:rsid w:val="00CC2438"/>
    <w:rsid w:val="00CC2627"/>
    <w:rsid w:val="00CC452F"/>
    <w:rsid w:val="00CC5C8E"/>
    <w:rsid w:val="00CC6806"/>
    <w:rsid w:val="00CD63B2"/>
    <w:rsid w:val="00CE42A6"/>
    <w:rsid w:val="00CE5C46"/>
    <w:rsid w:val="00CE640F"/>
    <w:rsid w:val="00CE6481"/>
    <w:rsid w:val="00CF540E"/>
    <w:rsid w:val="00CF77E0"/>
    <w:rsid w:val="00D007E4"/>
    <w:rsid w:val="00D009B1"/>
    <w:rsid w:val="00D02F07"/>
    <w:rsid w:val="00D11E93"/>
    <w:rsid w:val="00D15A04"/>
    <w:rsid w:val="00D16C9F"/>
    <w:rsid w:val="00D17F1A"/>
    <w:rsid w:val="00D212DE"/>
    <w:rsid w:val="00D219C5"/>
    <w:rsid w:val="00D22495"/>
    <w:rsid w:val="00D2461B"/>
    <w:rsid w:val="00D256D8"/>
    <w:rsid w:val="00D268E6"/>
    <w:rsid w:val="00D26F2E"/>
    <w:rsid w:val="00D3146C"/>
    <w:rsid w:val="00D342DD"/>
    <w:rsid w:val="00D34CD7"/>
    <w:rsid w:val="00D362B1"/>
    <w:rsid w:val="00D36A49"/>
    <w:rsid w:val="00D41A41"/>
    <w:rsid w:val="00D4261F"/>
    <w:rsid w:val="00D43283"/>
    <w:rsid w:val="00D455A1"/>
    <w:rsid w:val="00D45F04"/>
    <w:rsid w:val="00D517C6"/>
    <w:rsid w:val="00D52F9D"/>
    <w:rsid w:val="00D5385D"/>
    <w:rsid w:val="00D53F74"/>
    <w:rsid w:val="00D615B6"/>
    <w:rsid w:val="00D61F18"/>
    <w:rsid w:val="00D635CF"/>
    <w:rsid w:val="00D636B1"/>
    <w:rsid w:val="00D66868"/>
    <w:rsid w:val="00D67ED1"/>
    <w:rsid w:val="00D70763"/>
    <w:rsid w:val="00D71B0A"/>
    <w:rsid w:val="00D71D84"/>
    <w:rsid w:val="00D72464"/>
    <w:rsid w:val="00D74A41"/>
    <w:rsid w:val="00D76555"/>
    <w:rsid w:val="00D768EB"/>
    <w:rsid w:val="00D778B3"/>
    <w:rsid w:val="00D80DFA"/>
    <w:rsid w:val="00D832D9"/>
    <w:rsid w:val="00D86C6E"/>
    <w:rsid w:val="00D87863"/>
    <w:rsid w:val="00D91D22"/>
    <w:rsid w:val="00D975C0"/>
    <w:rsid w:val="00DA4769"/>
    <w:rsid w:val="00DA4FA8"/>
    <w:rsid w:val="00DA5285"/>
    <w:rsid w:val="00DA6952"/>
    <w:rsid w:val="00DB1CF6"/>
    <w:rsid w:val="00DB240B"/>
    <w:rsid w:val="00DB4F91"/>
    <w:rsid w:val="00DC0948"/>
    <w:rsid w:val="00DC3117"/>
    <w:rsid w:val="00DC5DD9"/>
    <w:rsid w:val="00DC617C"/>
    <w:rsid w:val="00DD3044"/>
    <w:rsid w:val="00DD3799"/>
    <w:rsid w:val="00DD7FBC"/>
    <w:rsid w:val="00DE0B3C"/>
    <w:rsid w:val="00DE2199"/>
    <w:rsid w:val="00DE33B5"/>
    <w:rsid w:val="00DE4D8D"/>
    <w:rsid w:val="00DE5E18"/>
    <w:rsid w:val="00DE61D4"/>
    <w:rsid w:val="00DE6814"/>
    <w:rsid w:val="00DF0487"/>
    <w:rsid w:val="00DF25F7"/>
    <w:rsid w:val="00DF2C5E"/>
    <w:rsid w:val="00DF32B7"/>
    <w:rsid w:val="00E02681"/>
    <w:rsid w:val="00E02792"/>
    <w:rsid w:val="00E034D8"/>
    <w:rsid w:val="00E0395F"/>
    <w:rsid w:val="00E04C35"/>
    <w:rsid w:val="00E04CC0"/>
    <w:rsid w:val="00E070F1"/>
    <w:rsid w:val="00E11CF1"/>
    <w:rsid w:val="00E15816"/>
    <w:rsid w:val="00E160D5"/>
    <w:rsid w:val="00E16F5C"/>
    <w:rsid w:val="00E20A25"/>
    <w:rsid w:val="00E24897"/>
    <w:rsid w:val="00E25866"/>
    <w:rsid w:val="00E2652C"/>
    <w:rsid w:val="00E30556"/>
    <w:rsid w:val="00E30981"/>
    <w:rsid w:val="00E31375"/>
    <w:rsid w:val="00E33136"/>
    <w:rsid w:val="00E3434C"/>
    <w:rsid w:val="00E3456E"/>
    <w:rsid w:val="00E3681E"/>
    <w:rsid w:val="00E3723D"/>
    <w:rsid w:val="00E37F92"/>
    <w:rsid w:val="00E4200A"/>
    <w:rsid w:val="00E4398E"/>
    <w:rsid w:val="00E442D5"/>
    <w:rsid w:val="00E51BBF"/>
    <w:rsid w:val="00E520D4"/>
    <w:rsid w:val="00E56AC1"/>
    <w:rsid w:val="00E574EB"/>
    <w:rsid w:val="00E61513"/>
    <w:rsid w:val="00E649C4"/>
    <w:rsid w:val="00E71A0F"/>
    <w:rsid w:val="00E72127"/>
    <w:rsid w:val="00E723F4"/>
    <w:rsid w:val="00E7262B"/>
    <w:rsid w:val="00E73B46"/>
    <w:rsid w:val="00E75E50"/>
    <w:rsid w:val="00E77239"/>
    <w:rsid w:val="00E80FCE"/>
    <w:rsid w:val="00E8514A"/>
    <w:rsid w:val="00E85BE2"/>
    <w:rsid w:val="00E85C1F"/>
    <w:rsid w:val="00E861DB"/>
    <w:rsid w:val="00E93406"/>
    <w:rsid w:val="00E95583"/>
    <w:rsid w:val="00E956C5"/>
    <w:rsid w:val="00E95C39"/>
    <w:rsid w:val="00E964A8"/>
    <w:rsid w:val="00EA02F8"/>
    <w:rsid w:val="00EA2113"/>
    <w:rsid w:val="00EA2C39"/>
    <w:rsid w:val="00EA3470"/>
    <w:rsid w:val="00EA6C48"/>
    <w:rsid w:val="00EA7122"/>
    <w:rsid w:val="00EA783B"/>
    <w:rsid w:val="00EB0A96"/>
    <w:rsid w:val="00EB1412"/>
    <w:rsid w:val="00EB2BD5"/>
    <w:rsid w:val="00EB5304"/>
    <w:rsid w:val="00EB77F9"/>
    <w:rsid w:val="00EC12E2"/>
    <w:rsid w:val="00EC1B86"/>
    <w:rsid w:val="00EC46B5"/>
    <w:rsid w:val="00EC5150"/>
    <w:rsid w:val="00EC5769"/>
    <w:rsid w:val="00ED27D5"/>
    <w:rsid w:val="00ED320A"/>
    <w:rsid w:val="00ED4357"/>
    <w:rsid w:val="00ED5A2D"/>
    <w:rsid w:val="00EE11A0"/>
    <w:rsid w:val="00EE2560"/>
    <w:rsid w:val="00EE38FA"/>
    <w:rsid w:val="00EE3E2C"/>
    <w:rsid w:val="00EE3FDC"/>
    <w:rsid w:val="00EE5D23"/>
    <w:rsid w:val="00EE6048"/>
    <w:rsid w:val="00EE75B5"/>
    <w:rsid w:val="00EF3CA4"/>
    <w:rsid w:val="00EF5680"/>
    <w:rsid w:val="00F01226"/>
    <w:rsid w:val="00F014DA"/>
    <w:rsid w:val="00F13E09"/>
    <w:rsid w:val="00F1784B"/>
    <w:rsid w:val="00F2174F"/>
    <w:rsid w:val="00F21E50"/>
    <w:rsid w:val="00F220CA"/>
    <w:rsid w:val="00F2656E"/>
    <w:rsid w:val="00F269F7"/>
    <w:rsid w:val="00F27268"/>
    <w:rsid w:val="00F277C6"/>
    <w:rsid w:val="00F27A52"/>
    <w:rsid w:val="00F36CD0"/>
    <w:rsid w:val="00F45468"/>
    <w:rsid w:val="00F473A5"/>
    <w:rsid w:val="00F51215"/>
    <w:rsid w:val="00F547F1"/>
    <w:rsid w:val="00F5533C"/>
    <w:rsid w:val="00F567AA"/>
    <w:rsid w:val="00F56E43"/>
    <w:rsid w:val="00F61A6D"/>
    <w:rsid w:val="00F62185"/>
    <w:rsid w:val="00F638DC"/>
    <w:rsid w:val="00F66450"/>
    <w:rsid w:val="00F66923"/>
    <w:rsid w:val="00F66BEB"/>
    <w:rsid w:val="00F726D6"/>
    <w:rsid w:val="00F75213"/>
    <w:rsid w:val="00F80175"/>
    <w:rsid w:val="00F8086F"/>
    <w:rsid w:val="00F8508D"/>
    <w:rsid w:val="00F8661D"/>
    <w:rsid w:val="00F9225E"/>
    <w:rsid w:val="00F94398"/>
    <w:rsid w:val="00F9499F"/>
    <w:rsid w:val="00F95F89"/>
    <w:rsid w:val="00FA6932"/>
    <w:rsid w:val="00FA7A64"/>
    <w:rsid w:val="00FB2B56"/>
    <w:rsid w:val="00FB3321"/>
    <w:rsid w:val="00FB3506"/>
    <w:rsid w:val="00FB3585"/>
    <w:rsid w:val="00FB3675"/>
    <w:rsid w:val="00FB3F36"/>
    <w:rsid w:val="00FB5F19"/>
    <w:rsid w:val="00FB662B"/>
    <w:rsid w:val="00FB66EE"/>
    <w:rsid w:val="00FC100D"/>
    <w:rsid w:val="00FC12BF"/>
    <w:rsid w:val="00FC14DC"/>
    <w:rsid w:val="00FC5E22"/>
    <w:rsid w:val="00FC6639"/>
    <w:rsid w:val="00FD3E6F"/>
    <w:rsid w:val="00FD51B9"/>
    <w:rsid w:val="00FD62ED"/>
    <w:rsid w:val="00FD6494"/>
    <w:rsid w:val="00FE0D73"/>
    <w:rsid w:val="00FE2A39"/>
    <w:rsid w:val="00FE2E84"/>
    <w:rsid w:val="00FE3110"/>
    <w:rsid w:val="00FF5281"/>
    <w:rsid w:val="00FF6B17"/>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60FC0690"/>
  <w15:docId w15:val="{58D0027A-510F-4F6E-9B15-AD0BF0F01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170"/>
    <w:pPr>
      <w:spacing w:after="200"/>
    </w:pPr>
    <w:rPr>
      <w:rFonts w:ascii="Arial" w:eastAsia="Times New Roman" w:hAnsi="Arial"/>
      <w:sz w:val="22"/>
      <w:lang w:eastAsia="en-AU"/>
    </w:rPr>
  </w:style>
  <w:style w:type="paragraph" w:styleId="Heading1">
    <w:name w:val="heading 1"/>
    <w:aliases w:val="DTF Heading 1"/>
    <w:next w:val="Normal"/>
    <w:link w:val="Heading1Char"/>
    <w:uiPriority w:val="2"/>
    <w:qFormat/>
    <w:rsid w:val="007E6170"/>
    <w:pPr>
      <w:spacing w:before="360" w:after="240"/>
      <w:outlineLvl w:val="0"/>
    </w:pPr>
    <w:rPr>
      <w:rFonts w:ascii="Arial" w:eastAsiaTheme="majorEastAsia" w:hAnsi="Arial" w:cs="Arial"/>
      <w:b/>
      <w:bCs/>
      <w:iCs/>
      <w:color w:val="606060"/>
      <w:sz w:val="28"/>
      <w:szCs w:val="28"/>
      <w:lang w:eastAsia="en-AU"/>
    </w:rPr>
  </w:style>
  <w:style w:type="paragraph" w:styleId="Heading2">
    <w:name w:val="heading 2"/>
    <w:aliases w:val="DTF Heading 2"/>
    <w:next w:val="Normal"/>
    <w:link w:val="Heading2Char"/>
    <w:autoRedefine/>
    <w:qFormat/>
    <w:rsid w:val="00CF77E0"/>
    <w:pPr>
      <w:spacing w:before="360" w:after="240"/>
      <w:outlineLvl w:val="1"/>
    </w:pPr>
    <w:rPr>
      <w:rFonts w:ascii="Arial" w:eastAsia="Times New Roman" w:hAnsi="Arial" w:cs="Arial"/>
      <w:b/>
      <w:bCs/>
      <w:sz w:val="24"/>
      <w:szCs w:val="26"/>
      <w:lang w:eastAsia="en-AU"/>
    </w:rPr>
  </w:style>
  <w:style w:type="paragraph" w:styleId="Heading3">
    <w:name w:val="heading 3"/>
    <w:aliases w:val="DTF Heading 3"/>
    <w:next w:val="Normal"/>
    <w:link w:val="Heading3Char"/>
    <w:uiPriority w:val="2"/>
    <w:qFormat/>
    <w:rsid w:val="007E6170"/>
    <w:pPr>
      <w:spacing w:before="360" w:after="240"/>
      <w:outlineLvl w:val="2"/>
    </w:pPr>
    <w:rPr>
      <w:rFonts w:ascii="Arial" w:eastAsia="Times New Roman" w:hAnsi="Arial" w:cs="Arial"/>
      <w:b/>
      <w:bCs/>
      <w:sz w:val="24"/>
      <w:szCs w:val="26"/>
      <w:lang w:eastAsia="en-AU"/>
    </w:rPr>
  </w:style>
  <w:style w:type="paragraph" w:styleId="Heading4">
    <w:name w:val="heading 4"/>
    <w:next w:val="Normal"/>
    <w:link w:val="Heading4Char"/>
    <w:uiPriority w:val="2"/>
    <w:qFormat/>
    <w:rsid w:val="007E6170"/>
    <w:pPr>
      <w:keepNext/>
      <w:keepLines/>
      <w:spacing w:before="360" w:after="240"/>
      <w:outlineLvl w:val="3"/>
    </w:pPr>
    <w:rPr>
      <w:rFonts w:ascii="Arial" w:eastAsiaTheme="majorEastAsia" w:hAnsi="Arial" w:cstheme="majorBidi"/>
      <w:b/>
      <w:bCs/>
      <w:iCs/>
      <w:color w:val="606060"/>
      <w:sz w:val="22"/>
      <w:lang w:eastAsia="en-AU"/>
    </w:rPr>
  </w:style>
  <w:style w:type="paragraph" w:styleId="Heading5">
    <w:name w:val="heading 5"/>
    <w:basedOn w:val="Normal"/>
    <w:next w:val="Normal"/>
    <w:link w:val="Heading5Char"/>
    <w:uiPriority w:val="9"/>
    <w:rsid w:val="007E6170"/>
    <w:pPr>
      <w:keepNext/>
      <w:keepLines/>
      <w:spacing w:before="240" w:after="240"/>
      <w:outlineLvl w:val="4"/>
    </w:pPr>
    <w:rPr>
      <w:rFonts w:eastAsiaTheme="majorEastAsia" w:cstheme="majorBidi"/>
      <w:b/>
      <w:color w:val="000000" w:themeColor="text1"/>
    </w:rPr>
  </w:style>
  <w:style w:type="paragraph" w:styleId="Heading6">
    <w:name w:val="heading 6"/>
    <w:basedOn w:val="Normal"/>
    <w:next w:val="Normal"/>
    <w:link w:val="Heading6Char"/>
    <w:uiPriority w:val="9"/>
    <w:rsid w:val="007E6170"/>
    <w:pPr>
      <w:keepNext/>
      <w:keepLines/>
      <w:spacing w:before="240" w:after="240"/>
      <w:outlineLvl w:val="5"/>
    </w:pPr>
    <w:rPr>
      <w:rFonts w:eastAsiaTheme="majorEastAsia" w:cstheme="majorBidi"/>
      <w:b/>
      <w:iCs/>
      <w:color w:val="606060"/>
    </w:rPr>
  </w:style>
  <w:style w:type="paragraph" w:styleId="Heading7">
    <w:name w:val="heading 7"/>
    <w:basedOn w:val="Normal"/>
    <w:next w:val="Normal"/>
    <w:link w:val="Heading7Char"/>
    <w:uiPriority w:val="9"/>
    <w:rsid w:val="007E6170"/>
    <w:pPr>
      <w:keepNext/>
      <w:keepLines/>
      <w:spacing w:before="240" w:after="240"/>
      <w:outlineLvl w:val="6"/>
    </w:pPr>
    <w:rPr>
      <w:rFonts w:eastAsiaTheme="majorEastAsia" w:cstheme="majorBidi"/>
      <w:b/>
      <w:iCs/>
      <w:color w:val="000000" w:themeColor="text1"/>
    </w:rPr>
  </w:style>
  <w:style w:type="paragraph" w:styleId="Heading8">
    <w:name w:val="heading 8"/>
    <w:basedOn w:val="Normal"/>
    <w:next w:val="Normal"/>
    <w:link w:val="Heading8Char"/>
    <w:uiPriority w:val="9"/>
    <w:rsid w:val="007E6170"/>
    <w:pPr>
      <w:keepNext/>
      <w:keepLines/>
      <w:spacing w:before="240" w:after="240"/>
      <w:outlineLvl w:val="7"/>
    </w:pPr>
    <w:rPr>
      <w:rFonts w:eastAsiaTheme="majorEastAsia" w:cstheme="majorBidi"/>
      <w:b/>
      <w:color w:val="606060"/>
    </w:rPr>
  </w:style>
  <w:style w:type="paragraph" w:styleId="Heading9">
    <w:name w:val="heading 9"/>
    <w:basedOn w:val="Normal"/>
    <w:next w:val="Normal"/>
    <w:link w:val="Heading9Char"/>
    <w:uiPriority w:val="9"/>
    <w:rsid w:val="007E6170"/>
    <w:pPr>
      <w:keepNext/>
      <w:keepLines/>
      <w:spacing w:before="240" w:after="240"/>
      <w:outlineLvl w:val="8"/>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5"/>
    <w:rsid w:val="007E6170"/>
    <w:rPr>
      <w:rFonts w:ascii="Arial" w:hAnsi="Arial"/>
      <w:sz w:val="22"/>
    </w:rPr>
  </w:style>
  <w:style w:type="character" w:customStyle="1" w:styleId="Heading1Char">
    <w:name w:val="Heading 1 Char"/>
    <w:aliases w:val="DTF Heading 1 Char"/>
    <w:basedOn w:val="DefaultParagraphFont"/>
    <w:link w:val="Heading1"/>
    <w:uiPriority w:val="2"/>
    <w:rsid w:val="007E6170"/>
    <w:rPr>
      <w:rFonts w:ascii="Arial" w:eastAsiaTheme="majorEastAsia" w:hAnsi="Arial" w:cs="Arial"/>
      <w:b/>
      <w:bCs/>
      <w:iCs/>
      <w:color w:val="606060"/>
      <w:sz w:val="28"/>
      <w:szCs w:val="28"/>
      <w:lang w:eastAsia="en-AU"/>
    </w:rPr>
  </w:style>
  <w:style w:type="character" w:customStyle="1" w:styleId="Heading2Char">
    <w:name w:val="Heading 2 Char"/>
    <w:aliases w:val="DTF Heading 2 Char"/>
    <w:basedOn w:val="DefaultParagraphFont"/>
    <w:link w:val="Heading2"/>
    <w:uiPriority w:val="2"/>
    <w:rsid w:val="00CF77E0"/>
    <w:rPr>
      <w:rFonts w:ascii="Arial" w:eastAsia="Times New Roman" w:hAnsi="Arial" w:cs="Arial"/>
      <w:b/>
      <w:bCs/>
      <w:sz w:val="24"/>
      <w:szCs w:val="26"/>
      <w:lang w:eastAsia="en-AU"/>
    </w:rPr>
  </w:style>
  <w:style w:type="paragraph" w:styleId="Title">
    <w:name w:val="Title"/>
    <w:aliases w:val="DTF Title"/>
    <w:next w:val="Normal"/>
    <w:link w:val="TitleChar"/>
    <w:uiPriority w:val="10"/>
    <w:rsid w:val="00AE0EFF"/>
    <w:pPr>
      <w:spacing w:after="240"/>
    </w:pPr>
    <w:rPr>
      <w:rFonts w:ascii="Arial Black" w:eastAsia="Times New Roman" w:hAnsi="Arial Black" w:cs="Arial"/>
      <w:b/>
      <w:color w:val="CB6015"/>
      <w:sz w:val="36"/>
      <w:szCs w:val="36"/>
      <w:lang w:eastAsia="en-AU"/>
    </w:rPr>
  </w:style>
  <w:style w:type="character" w:customStyle="1" w:styleId="TitleChar">
    <w:name w:val="Title Char"/>
    <w:aliases w:val="DTF Title Char"/>
    <w:basedOn w:val="DefaultParagraphFont"/>
    <w:link w:val="Title"/>
    <w:uiPriority w:val="10"/>
    <w:rsid w:val="00AE0EFF"/>
    <w:rPr>
      <w:rFonts w:ascii="Arial Black" w:eastAsia="Times New Roman" w:hAnsi="Arial Black" w:cs="Arial"/>
      <w:b/>
      <w:color w:val="CB6015"/>
      <w:sz w:val="36"/>
      <w:szCs w:val="36"/>
      <w:lang w:eastAsia="en-AU"/>
    </w:rPr>
  </w:style>
  <w:style w:type="paragraph" w:styleId="Subtitle">
    <w:name w:val="Subtitle"/>
    <w:aliases w:val="DTF Subtitle"/>
    <w:next w:val="Normal"/>
    <w:link w:val="SubtitleChar"/>
    <w:autoRedefine/>
    <w:uiPriority w:val="11"/>
    <w:semiHidden/>
    <w:rsid w:val="007E6170"/>
    <w:rPr>
      <w:rFonts w:ascii="Arial" w:eastAsia="Times New Roman" w:hAnsi="Arial"/>
      <w:sz w:val="32"/>
      <w:szCs w:val="24"/>
      <w:lang w:val="en-US" w:eastAsia="en-AU"/>
    </w:rPr>
  </w:style>
  <w:style w:type="character" w:customStyle="1" w:styleId="SubtitleChar">
    <w:name w:val="Subtitle Char"/>
    <w:aliases w:val="DTF Subtitle Char"/>
    <w:basedOn w:val="DefaultParagraphFont"/>
    <w:link w:val="Subtitle"/>
    <w:uiPriority w:val="11"/>
    <w:semiHidden/>
    <w:rsid w:val="007E6170"/>
    <w:rPr>
      <w:rFonts w:ascii="Arial" w:eastAsia="Times New Roman" w:hAnsi="Arial"/>
      <w:sz w:val="32"/>
      <w:szCs w:val="24"/>
      <w:lang w:val="en-US" w:eastAsia="en-AU"/>
    </w:rPr>
  </w:style>
  <w:style w:type="character" w:customStyle="1" w:styleId="Heading3Char">
    <w:name w:val="Heading 3 Char"/>
    <w:aliases w:val="DTF Heading 3 Char"/>
    <w:basedOn w:val="DefaultParagraphFont"/>
    <w:link w:val="Heading3"/>
    <w:uiPriority w:val="2"/>
    <w:rsid w:val="007E6170"/>
    <w:rPr>
      <w:rFonts w:ascii="Arial" w:eastAsia="Times New Roman" w:hAnsi="Arial" w:cs="Arial"/>
      <w:b/>
      <w:bCs/>
      <w:sz w:val="24"/>
      <w:szCs w:val="26"/>
      <w:lang w:eastAsia="en-AU"/>
    </w:rPr>
  </w:style>
  <w:style w:type="paragraph" w:styleId="BlockText">
    <w:name w:val="Block Text"/>
    <w:basedOn w:val="Normal"/>
    <w:semiHidden/>
    <w:rsid w:val="007E6170"/>
    <w:rPr>
      <w:rFonts w:eastAsiaTheme="minorEastAsia"/>
      <w:iCs/>
      <w:szCs w:val="22"/>
      <w:lang w:eastAsia="en-US"/>
    </w:rPr>
  </w:style>
  <w:style w:type="paragraph" w:styleId="Header">
    <w:name w:val="header"/>
    <w:aliases w:val="NTG Page Header"/>
    <w:basedOn w:val="Normal"/>
    <w:next w:val="Normal"/>
    <w:link w:val="HeaderChar"/>
    <w:uiPriority w:val="11"/>
    <w:rsid w:val="007E6170"/>
    <w:pPr>
      <w:tabs>
        <w:tab w:val="center" w:pos="4513"/>
        <w:tab w:val="right" w:pos="9026"/>
      </w:tabs>
      <w:jc w:val="right"/>
    </w:pPr>
    <w:rPr>
      <w:b/>
    </w:rPr>
  </w:style>
  <w:style w:type="character" w:customStyle="1" w:styleId="HeaderChar">
    <w:name w:val="Header Char"/>
    <w:aliases w:val="NTG Page Header Char"/>
    <w:basedOn w:val="DefaultParagraphFont"/>
    <w:link w:val="Header"/>
    <w:uiPriority w:val="11"/>
    <w:rsid w:val="007E6170"/>
    <w:rPr>
      <w:rFonts w:ascii="Arial" w:eastAsia="Times New Roman" w:hAnsi="Arial"/>
      <w:b/>
      <w:sz w:val="22"/>
      <w:lang w:eastAsia="en-AU"/>
    </w:rPr>
  </w:style>
  <w:style w:type="paragraph" w:styleId="Footer">
    <w:name w:val="footer"/>
    <w:basedOn w:val="Normal"/>
    <w:link w:val="FooterChar"/>
    <w:uiPriority w:val="99"/>
    <w:semiHidden/>
    <w:rsid w:val="007E6170"/>
    <w:pPr>
      <w:tabs>
        <w:tab w:val="center" w:pos="4513"/>
        <w:tab w:val="right" w:pos="9026"/>
      </w:tabs>
      <w:spacing w:after="0"/>
    </w:pPr>
  </w:style>
  <w:style w:type="character" w:customStyle="1" w:styleId="FooterChar">
    <w:name w:val="Footer Char"/>
    <w:basedOn w:val="DefaultParagraphFont"/>
    <w:link w:val="Footer"/>
    <w:uiPriority w:val="99"/>
    <w:semiHidden/>
    <w:rsid w:val="007E6170"/>
    <w:rPr>
      <w:rFonts w:ascii="Arial" w:eastAsia="Times New Roman" w:hAnsi="Arial"/>
      <w:sz w:val="22"/>
      <w:lang w:eastAsia="en-AU"/>
    </w:rPr>
  </w:style>
  <w:style w:type="paragraph" w:customStyle="1" w:styleId="SubTitle0">
    <w:name w:val="Sub Title"/>
    <w:basedOn w:val="Normal"/>
    <w:rsid w:val="006752B5"/>
    <w:pPr>
      <w:spacing w:after="240"/>
    </w:pPr>
    <w:rPr>
      <w:b/>
      <w:sz w:val="32"/>
      <w:szCs w:val="24"/>
      <w:lang w:val="en-US"/>
    </w:rPr>
  </w:style>
  <w:style w:type="paragraph" w:styleId="BalloonText">
    <w:name w:val="Balloon Text"/>
    <w:basedOn w:val="Normal"/>
    <w:link w:val="BalloonTextChar"/>
    <w:uiPriority w:val="99"/>
    <w:semiHidden/>
    <w:unhideWhenUsed/>
    <w:rsid w:val="007E6170"/>
    <w:rPr>
      <w:rFonts w:ascii="Tahoma" w:hAnsi="Tahoma" w:cs="Tahoma"/>
      <w:sz w:val="16"/>
      <w:szCs w:val="16"/>
    </w:rPr>
  </w:style>
  <w:style w:type="character" w:customStyle="1" w:styleId="BalloonTextChar">
    <w:name w:val="Balloon Text Char"/>
    <w:basedOn w:val="DefaultParagraphFont"/>
    <w:link w:val="BalloonText"/>
    <w:uiPriority w:val="99"/>
    <w:semiHidden/>
    <w:rsid w:val="007E6170"/>
    <w:rPr>
      <w:rFonts w:ascii="Tahoma" w:eastAsia="Times New Roman" w:hAnsi="Tahoma" w:cs="Tahoma"/>
      <w:sz w:val="16"/>
      <w:szCs w:val="16"/>
      <w:lang w:eastAsia="en-AU"/>
    </w:rPr>
  </w:style>
  <w:style w:type="character" w:customStyle="1" w:styleId="Heading4Char">
    <w:name w:val="Heading 4 Char"/>
    <w:basedOn w:val="DefaultParagraphFont"/>
    <w:link w:val="Heading4"/>
    <w:uiPriority w:val="2"/>
    <w:rsid w:val="007E6170"/>
    <w:rPr>
      <w:rFonts w:ascii="Arial" w:eastAsiaTheme="majorEastAsia" w:hAnsi="Arial" w:cstheme="majorBidi"/>
      <w:b/>
      <w:bCs/>
      <w:iCs/>
      <w:color w:val="606060"/>
      <w:sz w:val="22"/>
      <w:lang w:eastAsia="en-AU"/>
    </w:rPr>
  </w:style>
  <w:style w:type="paragraph" w:styleId="NormalWeb">
    <w:name w:val="Normal (Web)"/>
    <w:basedOn w:val="Normal"/>
    <w:uiPriority w:val="99"/>
    <w:semiHidden/>
    <w:unhideWhenUsed/>
    <w:rsid w:val="007E6170"/>
    <w:rPr>
      <w:rFonts w:ascii="Times New Roman" w:hAnsi="Times New Roman"/>
      <w:sz w:val="24"/>
      <w:szCs w:val="24"/>
    </w:rPr>
  </w:style>
  <w:style w:type="character" w:styleId="PlaceholderText">
    <w:name w:val="Placeholder Text"/>
    <w:basedOn w:val="DefaultParagraphFont"/>
    <w:uiPriority w:val="99"/>
    <w:semiHidden/>
    <w:rsid w:val="007E6170"/>
    <w:rPr>
      <w:color w:val="808080"/>
    </w:rPr>
  </w:style>
  <w:style w:type="paragraph" w:styleId="ListParagraph">
    <w:name w:val="List Paragraph"/>
    <w:basedOn w:val="BlockText"/>
    <w:uiPriority w:val="34"/>
    <w:qFormat/>
    <w:rsid w:val="007E6170"/>
  </w:style>
  <w:style w:type="table" w:styleId="TableGrid">
    <w:name w:val="Table Grid"/>
    <w:aliases w:val="TD Table"/>
    <w:basedOn w:val="TableNormal"/>
    <w:uiPriority w:val="59"/>
    <w:rsid w:val="007E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TGFooter1items">
    <w:name w:val="NTG Footer 1 items"/>
    <w:basedOn w:val="Normal"/>
    <w:link w:val="NTGFooter1itemsChar"/>
    <w:uiPriority w:val="7"/>
    <w:rsid w:val="007E6170"/>
    <w:pPr>
      <w:widowControl w:val="0"/>
      <w:tabs>
        <w:tab w:val="left" w:pos="1778"/>
        <w:tab w:val="right" w:pos="9026"/>
      </w:tabs>
      <w:spacing w:after="0"/>
    </w:pPr>
    <w:rPr>
      <w:rFonts w:eastAsia="Calibri" w:cs="Arial"/>
      <w:sz w:val="20"/>
      <w:szCs w:val="16"/>
      <w:lang w:eastAsia="en-US"/>
    </w:rPr>
  </w:style>
  <w:style w:type="paragraph" w:customStyle="1" w:styleId="NTGFooterDepartmentof">
    <w:name w:val="NTG Footer Department of"/>
    <w:link w:val="NTGFooterDepartmentofChar"/>
    <w:uiPriority w:val="7"/>
    <w:rsid w:val="007E6170"/>
    <w:pPr>
      <w:widowControl w:val="0"/>
      <w:tabs>
        <w:tab w:val="right" w:pos="9026"/>
      </w:tabs>
    </w:pPr>
    <w:rPr>
      <w:rFonts w:ascii="Arial" w:hAnsi="Arial" w:cs="Arial"/>
      <w:caps/>
      <w:szCs w:val="16"/>
    </w:rPr>
  </w:style>
  <w:style w:type="paragraph" w:customStyle="1" w:styleId="NTGFooterDepartmentName">
    <w:name w:val="NTG Footer Department Name"/>
    <w:link w:val="NTGFooterDepartmentNameChar"/>
    <w:uiPriority w:val="7"/>
    <w:rsid w:val="007E6170"/>
    <w:pPr>
      <w:widowControl w:val="0"/>
      <w:tabs>
        <w:tab w:val="right" w:pos="9026"/>
      </w:tabs>
    </w:pPr>
    <w:rPr>
      <w:rFonts w:ascii="Arial Black" w:hAnsi="Arial Black" w:cs="Arial"/>
      <w:caps/>
      <w:szCs w:val="16"/>
    </w:rPr>
  </w:style>
  <w:style w:type="character" w:customStyle="1" w:styleId="NTGFooter1itemsChar">
    <w:name w:val="NTG Footer 1 items Char"/>
    <w:basedOn w:val="DefaultParagraphFont"/>
    <w:link w:val="NTGFooter1items"/>
    <w:uiPriority w:val="7"/>
    <w:rsid w:val="007E6170"/>
    <w:rPr>
      <w:rFonts w:ascii="Arial" w:hAnsi="Arial" w:cs="Arial"/>
      <w:szCs w:val="16"/>
    </w:rPr>
  </w:style>
  <w:style w:type="character" w:customStyle="1" w:styleId="NTGFooterDepartmentofChar">
    <w:name w:val="NTG Footer Department of Char"/>
    <w:basedOn w:val="DefaultParagraphFont"/>
    <w:link w:val="NTGFooterDepartmentof"/>
    <w:uiPriority w:val="7"/>
    <w:rsid w:val="007E6170"/>
    <w:rPr>
      <w:rFonts w:ascii="Arial" w:hAnsi="Arial" w:cs="Arial"/>
      <w:caps/>
      <w:szCs w:val="16"/>
    </w:rPr>
  </w:style>
  <w:style w:type="character" w:customStyle="1" w:styleId="NTGFooterDepartmentNameChar">
    <w:name w:val="NTG Footer Department Name Char"/>
    <w:basedOn w:val="NTGFooterDepartmentofChar"/>
    <w:link w:val="NTGFooterDepartmentName"/>
    <w:uiPriority w:val="7"/>
    <w:rsid w:val="007E6170"/>
    <w:rPr>
      <w:rFonts w:ascii="Arial Black" w:hAnsi="Arial Black" w:cs="Arial"/>
      <w:caps/>
      <w:szCs w:val="16"/>
    </w:rPr>
  </w:style>
  <w:style w:type="paragraph" w:customStyle="1" w:styleId="Appendix">
    <w:name w:val="Appendix"/>
    <w:basedOn w:val="Heading1"/>
    <w:next w:val="Normal"/>
    <w:uiPriority w:val="11"/>
    <w:qFormat/>
    <w:rsid w:val="007E6170"/>
    <w:pPr>
      <w:spacing w:before="240" w:after="200"/>
    </w:pPr>
    <w:rPr>
      <w:iCs w:val="0"/>
      <w:lang w:eastAsia="en-US"/>
    </w:rPr>
  </w:style>
  <w:style w:type="paragraph" w:styleId="BodyText">
    <w:name w:val="Body Text"/>
    <w:basedOn w:val="Normal"/>
    <w:link w:val="BodyTextChar"/>
    <w:uiPriority w:val="99"/>
    <w:semiHidden/>
    <w:rsid w:val="007E6170"/>
    <w:pPr>
      <w:spacing w:after="120"/>
    </w:pPr>
    <w:rPr>
      <w:rFonts w:eastAsia="Calibri"/>
      <w:szCs w:val="22"/>
      <w:lang w:eastAsia="en-US"/>
    </w:rPr>
  </w:style>
  <w:style w:type="character" w:customStyle="1" w:styleId="BodyTextChar">
    <w:name w:val="Body Text Char"/>
    <w:basedOn w:val="DefaultParagraphFont"/>
    <w:link w:val="BodyText"/>
    <w:uiPriority w:val="99"/>
    <w:semiHidden/>
    <w:rsid w:val="007E6170"/>
    <w:rPr>
      <w:rFonts w:ascii="Arial" w:hAnsi="Arial"/>
      <w:sz w:val="22"/>
      <w:szCs w:val="22"/>
    </w:rPr>
  </w:style>
  <w:style w:type="paragraph" w:customStyle="1" w:styleId="NTGFooter2DateVersion">
    <w:name w:val="NTG Footer 2 Date &amp; Version"/>
    <w:basedOn w:val="NTGFooter2deptpagenum"/>
    <w:link w:val="NTGFooter2DateVersionChar"/>
    <w:uiPriority w:val="7"/>
    <w:rsid w:val="007E6170"/>
    <w:pPr>
      <w:spacing w:after="480"/>
    </w:pPr>
  </w:style>
  <w:style w:type="numbering" w:customStyle="1" w:styleId="NTGStandardList">
    <w:name w:val="NTG Standard List"/>
    <w:basedOn w:val="NoList"/>
    <w:rsid w:val="007E6170"/>
    <w:pPr>
      <w:numPr>
        <w:numId w:val="14"/>
      </w:numPr>
    </w:pPr>
  </w:style>
  <w:style w:type="table" w:customStyle="1" w:styleId="NTGTable">
    <w:name w:val="NTG Table"/>
    <w:basedOn w:val="TableTheme"/>
    <w:uiPriority w:val="99"/>
    <w:rsid w:val="007E6170"/>
    <w:rPr>
      <w:rFonts w:ascii="Arial" w:hAnsi="Arial"/>
      <w:sz w:val="22"/>
      <w:szCs w:val="22"/>
      <w:lang w:eastAsia="en-AU"/>
    </w:rPr>
    <w:tblPr>
      <w:tblInd w:w="113" w:type="dxa"/>
    </w:tblPr>
    <w:tcPr>
      <w:shd w:val="clear" w:color="auto" w:fill="auto"/>
    </w:tcPr>
    <w:tblStylePr w:type="firstRow">
      <w:pPr>
        <w:wordWrap/>
        <w:spacing w:beforeLines="0" w:before="60" w:beforeAutospacing="0" w:afterLines="0" w:after="60" w:afterAutospacing="0"/>
        <w:contextualSpacing w:val="0"/>
        <w:jc w:val="left"/>
      </w:pPr>
      <w:rPr>
        <w:rFonts w:ascii="Arial" w:hAnsi="Arial"/>
        <w:b/>
        <w:sz w:val="22"/>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FBFBF" w:themeFill="background1" w:themeFillShade="BF"/>
        <w:vAlign w:val="center"/>
      </w:tcPr>
    </w:tblStylePr>
  </w:style>
  <w:style w:type="table" w:styleId="TableTheme">
    <w:name w:val="Table Theme"/>
    <w:basedOn w:val="TableNormal"/>
    <w:uiPriority w:val="99"/>
    <w:semiHidden/>
    <w:unhideWhenUsed/>
    <w:rsid w:val="007E6170"/>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TGTableList">
    <w:name w:val="NTG Table List"/>
    <w:uiPriority w:val="99"/>
    <w:rsid w:val="007E6170"/>
    <w:pPr>
      <w:numPr>
        <w:numId w:val="16"/>
      </w:numPr>
    </w:pPr>
  </w:style>
  <w:style w:type="numbering" w:customStyle="1" w:styleId="NTGTableNumList">
    <w:name w:val="NTG Table Num List"/>
    <w:uiPriority w:val="99"/>
    <w:rsid w:val="007E6170"/>
    <w:pPr>
      <w:numPr>
        <w:numId w:val="17"/>
      </w:numPr>
    </w:pPr>
  </w:style>
  <w:style w:type="paragraph" w:customStyle="1" w:styleId="NTGTableText">
    <w:name w:val="NTG Table Text"/>
    <w:basedOn w:val="Normal"/>
    <w:uiPriority w:val="1"/>
    <w:qFormat/>
    <w:rsid w:val="007E6170"/>
    <w:pPr>
      <w:spacing w:after="40"/>
    </w:pPr>
    <w:rPr>
      <w:lang w:eastAsia="en-US"/>
    </w:rPr>
  </w:style>
  <w:style w:type="character" w:customStyle="1" w:styleId="Heading5Char">
    <w:name w:val="Heading 5 Char"/>
    <w:basedOn w:val="DefaultParagraphFont"/>
    <w:link w:val="Heading5"/>
    <w:uiPriority w:val="9"/>
    <w:rsid w:val="007E6170"/>
    <w:rPr>
      <w:rFonts w:ascii="Arial" w:eastAsiaTheme="majorEastAsia" w:hAnsi="Arial" w:cstheme="majorBidi"/>
      <w:b/>
      <w:color w:val="000000" w:themeColor="text1"/>
      <w:sz w:val="22"/>
      <w:lang w:eastAsia="en-AU"/>
    </w:rPr>
  </w:style>
  <w:style w:type="character" w:customStyle="1" w:styleId="Heading6Char">
    <w:name w:val="Heading 6 Char"/>
    <w:basedOn w:val="DefaultParagraphFont"/>
    <w:link w:val="Heading6"/>
    <w:uiPriority w:val="9"/>
    <w:rsid w:val="007E6170"/>
    <w:rPr>
      <w:rFonts w:ascii="Arial" w:eastAsiaTheme="majorEastAsia" w:hAnsi="Arial" w:cstheme="majorBidi"/>
      <w:b/>
      <w:iCs/>
      <w:color w:val="606060"/>
      <w:sz w:val="22"/>
      <w:lang w:eastAsia="en-AU"/>
    </w:rPr>
  </w:style>
  <w:style w:type="character" w:customStyle="1" w:styleId="Heading7Char">
    <w:name w:val="Heading 7 Char"/>
    <w:basedOn w:val="DefaultParagraphFont"/>
    <w:link w:val="Heading7"/>
    <w:uiPriority w:val="9"/>
    <w:rsid w:val="007E6170"/>
    <w:rPr>
      <w:rFonts w:ascii="Arial" w:eastAsiaTheme="majorEastAsia" w:hAnsi="Arial" w:cstheme="majorBidi"/>
      <w:b/>
      <w:iCs/>
      <w:color w:val="000000" w:themeColor="text1"/>
      <w:sz w:val="22"/>
      <w:lang w:eastAsia="en-AU"/>
    </w:rPr>
  </w:style>
  <w:style w:type="character" w:customStyle="1" w:styleId="Heading8Char">
    <w:name w:val="Heading 8 Char"/>
    <w:basedOn w:val="DefaultParagraphFont"/>
    <w:link w:val="Heading8"/>
    <w:uiPriority w:val="9"/>
    <w:rsid w:val="007E6170"/>
    <w:rPr>
      <w:rFonts w:ascii="Arial" w:eastAsiaTheme="majorEastAsia" w:hAnsi="Arial" w:cstheme="majorBidi"/>
      <w:b/>
      <w:color w:val="606060"/>
      <w:sz w:val="22"/>
      <w:lang w:eastAsia="en-AU"/>
    </w:rPr>
  </w:style>
  <w:style w:type="character" w:customStyle="1" w:styleId="Heading9Char">
    <w:name w:val="Heading 9 Char"/>
    <w:basedOn w:val="DefaultParagraphFont"/>
    <w:link w:val="Heading9"/>
    <w:uiPriority w:val="9"/>
    <w:rsid w:val="007E6170"/>
    <w:rPr>
      <w:rFonts w:ascii="Arial" w:eastAsiaTheme="majorEastAsia" w:hAnsi="Arial" w:cstheme="majorBidi"/>
      <w:b/>
      <w:iCs/>
      <w:color w:val="000000" w:themeColor="text1"/>
      <w:sz w:val="22"/>
      <w:lang w:eastAsia="en-AU"/>
    </w:rPr>
  </w:style>
  <w:style w:type="paragraph" w:customStyle="1" w:styleId="NTGFooter2deptpagenum">
    <w:name w:val="NTG Footer 2 dept &amp; page num"/>
    <w:basedOn w:val="Normal"/>
    <w:link w:val="NTGFooter2deptpagenumChar"/>
    <w:uiPriority w:val="7"/>
    <w:rsid w:val="007E6170"/>
    <w:pPr>
      <w:tabs>
        <w:tab w:val="right" w:pos="9639"/>
      </w:tabs>
      <w:spacing w:after="0"/>
    </w:pPr>
    <w:rPr>
      <w:sz w:val="20"/>
    </w:rPr>
  </w:style>
  <w:style w:type="character" w:customStyle="1" w:styleId="NTGFooter2deptpagenumChar">
    <w:name w:val="NTG Footer 2 dept &amp; page num Char"/>
    <w:basedOn w:val="DefaultParagraphFont"/>
    <w:link w:val="NTGFooter2deptpagenum"/>
    <w:uiPriority w:val="7"/>
    <w:rsid w:val="007E6170"/>
    <w:rPr>
      <w:rFonts w:ascii="Arial" w:eastAsia="Times New Roman" w:hAnsi="Arial"/>
      <w:lang w:eastAsia="en-AU"/>
    </w:rPr>
  </w:style>
  <w:style w:type="character" w:customStyle="1" w:styleId="NTGFooter2DateVersionChar">
    <w:name w:val="NTG Footer 2 Date &amp; Version Char"/>
    <w:basedOn w:val="NTGFooter2deptpagenumChar"/>
    <w:link w:val="NTGFooter2DateVersion"/>
    <w:uiPriority w:val="7"/>
    <w:rsid w:val="007E6170"/>
    <w:rPr>
      <w:rFonts w:ascii="Arial" w:eastAsia="Times New Roman" w:hAnsi="Arial"/>
      <w:lang w:eastAsia="en-AU"/>
    </w:rPr>
  </w:style>
  <w:style w:type="numbering" w:customStyle="1" w:styleId="NTGStandardNumList">
    <w:name w:val="NTG Standard Num List"/>
    <w:uiPriority w:val="99"/>
    <w:rsid w:val="007E6170"/>
    <w:pPr>
      <w:numPr>
        <w:numId w:val="15"/>
      </w:numPr>
    </w:pPr>
  </w:style>
  <w:style w:type="paragraph" w:styleId="ListNumber">
    <w:name w:val="List Number"/>
    <w:basedOn w:val="Normal"/>
    <w:uiPriority w:val="99"/>
    <w:rsid w:val="007C6D9F"/>
  </w:style>
  <w:style w:type="paragraph" w:styleId="ListNumber2">
    <w:name w:val="List Number 2"/>
    <w:basedOn w:val="Normal"/>
    <w:uiPriority w:val="99"/>
    <w:rsid w:val="007E6170"/>
    <w:pPr>
      <w:numPr>
        <w:ilvl w:val="1"/>
        <w:numId w:val="15"/>
      </w:numPr>
    </w:pPr>
  </w:style>
  <w:style w:type="paragraph" w:styleId="ListNumber3">
    <w:name w:val="List Number 3"/>
    <w:basedOn w:val="Normal"/>
    <w:uiPriority w:val="99"/>
    <w:rsid w:val="007E6170"/>
    <w:pPr>
      <w:numPr>
        <w:ilvl w:val="2"/>
        <w:numId w:val="15"/>
      </w:numPr>
    </w:pPr>
  </w:style>
  <w:style w:type="paragraph" w:styleId="ListNumber4">
    <w:name w:val="List Number 4"/>
    <w:basedOn w:val="Normal"/>
    <w:uiPriority w:val="99"/>
    <w:rsid w:val="007E6170"/>
    <w:pPr>
      <w:numPr>
        <w:ilvl w:val="3"/>
        <w:numId w:val="15"/>
      </w:numPr>
    </w:pPr>
  </w:style>
  <w:style w:type="paragraph" w:styleId="ListNumber5">
    <w:name w:val="List Number 5"/>
    <w:basedOn w:val="Normal"/>
    <w:uiPriority w:val="99"/>
    <w:rsid w:val="007E6170"/>
    <w:pPr>
      <w:numPr>
        <w:ilvl w:val="4"/>
        <w:numId w:val="15"/>
      </w:numPr>
    </w:pPr>
  </w:style>
  <w:style w:type="paragraph" w:styleId="ListBullet">
    <w:name w:val="List Bullet"/>
    <w:basedOn w:val="Normal"/>
    <w:uiPriority w:val="99"/>
    <w:rsid w:val="004E2CB7"/>
  </w:style>
  <w:style w:type="paragraph" w:styleId="ListBullet2">
    <w:name w:val="List Bullet 2"/>
    <w:basedOn w:val="Normal"/>
    <w:uiPriority w:val="99"/>
    <w:rsid w:val="004E2CB7"/>
  </w:style>
  <w:style w:type="paragraph" w:styleId="ListBullet3">
    <w:name w:val="List Bullet 3"/>
    <w:basedOn w:val="Normal"/>
    <w:uiPriority w:val="99"/>
    <w:rsid w:val="004E2CB7"/>
  </w:style>
  <w:style w:type="paragraph" w:styleId="ListBullet4">
    <w:name w:val="List Bullet 4"/>
    <w:aliases w:val="DTF Table Dash"/>
    <w:autoRedefine/>
    <w:uiPriority w:val="99"/>
    <w:rsid w:val="009D0813"/>
    <w:pPr>
      <w:numPr>
        <w:numId w:val="18"/>
      </w:numPr>
      <w:tabs>
        <w:tab w:val="left" w:pos="680"/>
      </w:tabs>
    </w:pPr>
    <w:rPr>
      <w:rFonts w:ascii="Lato" w:eastAsia="Times New Roman" w:hAnsi="Lato" w:cs="Arial"/>
      <w:color w:val="000000"/>
      <w:sz w:val="22"/>
      <w:szCs w:val="22"/>
      <w:lang w:eastAsia="en-AU"/>
      <w14:scene3d>
        <w14:camera w14:prst="orthographicFront"/>
        <w14:lightRig w14:rig="threePt" w14:dir="t">
          <w14:rot w14:lat="0" w14:lon="0" w14:rev="0"/>
        </w14:lightRig>
      </w14:scene3d>
    </w:rPr>
  </w:style>
  <w:style w:type="paragraph" w:styleId="ListBullet5">
    <w:name w:val="List Bullet 5"/>
    <w:basedOn w:val="Normal"/>
    <w:uiPriority w:val="99"/>
    <w:rsid w:val="007E6170"/>
    <w:pPr>
      <w:numPr>
        <w:ilvl w:val="4"/>
        <w:numId w:val="14"/>
      </w:numPr>
    </w:pPr>
  </w:style>
  <w:style w:type="character" w:styleId="Hyperlink">
    <w:name w:val="Hyperlink"/>
    <w:basedOn w:val="DefaultParagraphFont"/>
    <w:uiPriority w:val="99"/>
    <w:unhideWhenUsed/>
    <w:rsid w:val="007E6170"/>
    <w:rPr>
      <w:color w:val="0000FF" w:themeColor="hyperlink"/>
      <w:u w:val="single"/>
    </w:rPr>
  </w:style>
  <w:style w:type="character" w:styleId="FollowedHyperlink">
    <w:name w:val="FollowedHyperlink"/>
    <w:basedOn w:val="DefaultParagraphFont"/>
    <w:uiPriority w:val="99"/>
    <w:semiHidden/>
    <w:unhideWhenUsed/>
    <w:rsid w:val="007E6170"/>
    <w:rPr>
      <w:color w:val="800080" w:themeColor="followedHyperlink"/>
      <w:u w:val="single"/>
    </w:rPr>
  </w:style>
  <w:style w:type="paragraph" w:styleId="TOCHeading">
    <w:name w:val="TOC Heading"/>
    <w:basedOn w:val="Heading1"/>
    <w:next w:val="Normal"/>
    <w:uiPriority w:val="39"/>
    <w:semiHidden/>
    <w:unhideWhenUsed/>
    <w:rsid w:val="007E6170"/>
    <w:pPr>
      <w:keepLines/>
      <w:spacing w:before="480" w:after="0"/>
      <w:outlineLvl w:val="9"/>
    </w:pPr>
    <w:rPr>
      <w:iCs w:val="0"/>
    </w:rPr>
  </w:style>
  <w:style w:type="character" w:customStyle="1" w:styleId="DTFArialBlack">
    <w:name w:val="DTF Arial Black"/>
    <w:uiPriority w:val="1"/>
    <w:qFormat/>
    <w:rsid w:val="007E6170"/>
    <w:rPr>
      <w:rFonts w:ascii="Arial Black" w:hAnsi="Arial Black"/>
    </w:rPr>
  </w:style>
  <w:style w:type="paragraph" w:customStyle="1" w:styleId="DTFBodyText">
    <w:name w:val="DTF Body Text"/>
    <w:basedOn w:val="Normal"/>
    <w:link w:val="DTFBodyTextChar"/>
    <w:qFormat/>
    <w:rsid w:val="007E6170"/>
    <w:pPr>
      <w:tabs>
        <w:tab w:val="left" w:pos="709"/>
        <w:tab w:val="left" w:pos="1276"/>
        <w:tab w:val="left" w:pos="4536"/>
      </w:tabs>
    </w:pPr>
    <w:rPr>
      <w:rFonts w:cs="Arial"/>
    </w:rPr>
  </w:style>
  <w:style w:type="character" w:customStyle="1" w:styleId="DTFBodyTextChar">
    <w:name w:val="DTF Body Text Char"/>
    <w:basedOn w:val="DefaultParagraphFont"/>
    <w:link w:val="DTFBodyText"/>
    <w:rsid w:val="007E6170"/>
    <w:rPr>
      <w:rFonts w:ascii="Arial" w:eastAsia="Times New Roman" w:hAnsi="Arial" w:cs="Arial"/>
      <w:sz w:val="22"/>
      <w:lang w:eastAsia="en-AU"/>
    </w:rPr>
  </w:style>
  <w:style w:type="paragraph" w:customStyle="1" w:styleId="DTFFooter">
    <w:name w:val="DTF Footer"/>
    <w:qFormat/>
    <w:rsid w:val="007E6170"/>
    <w:pPr>
      <w:framePr w:hSpace="181" w:wrap="around" w:vAnchor="text" w:hAnchor="text" w:y="1"/>
      <w:suppressOverlap/>
    </w:pPr>
    <w:rPr>
      <w:rFonts w:ascii="Arial" w:eastAsia="Times New Roman" w:hAnsi="Arial" w:cs="Arial"/>
      <w:sz w:val="16"/>
      <w:szCs w:val="16"/>
      <w:lang w:eastAsia="en-AU"/>
    </w:rPr>
  </w:style>
  <w:style w:type="character" w:customStyle="1" w:styleId="DTFGreyText">
    <w:name w:val="DTF Grey Text"/>
    <w:uiPriority w:val="1"/>
    <w:qFormat/>
    <w:rsid w:val="007E6170"/>
    <w:rPr>
      <w:color w:val="606060"/>
    </w:rPr>
  </w:style>
  <w:style w:type="paragraph" w:customStyle="1" w:styleId="DTFHeading2-HighlightText">
    <w:name w:val="DTF Heading 2 - Highlight Text"/>
    <w:next w:val="DTFBodyText"/>
    <w:autoRedefine/>
    <w:qFormat/>
    <w:rsid w:val="00711668"/>
    <w:pPr>
      <w:spacing w:before="240" w:after="240"/>
    </w:pPr>
    <w:rPr>
      <w:rFonts w:ascii="Arial" w:eastAsiaTheme="majorEastAsia" w:hAnsi="Arial" w:cs="Arial"/>
      <w:b/>
      <w:bCs/>
      <w:iCs/>
      <w:color w:val="606060"/>
      <w:sz w:val="28"/>
      <w:szCs w:val="28"/>
      <w:lang w:eastAsia="en-AU"/>
    </w:rPr>
  </w:style>
  <w:style w:type="paragraph" w:customStyle="1" w:styleId="DTFHeading2-numbered">
    <w:name w:val="DTF Heading 2 - numbered"/>
    <w:basedOn w:val="Normal"/>
    <w:autoRedefine/>
    <w:qFormat/>
    <w:rsid w:val="00711668"/>
    <w:pPr>
      <w:numPr>
        <w:numId w:val="1"/>
      </w:numPr>
      <w:suppressAutoHyphens/>
      <w:autoSpaceDE w:val="0"/>
      <w:autoSpaceDN w:val="0"/>
      <w:adjustRightInd w:val="0"/>
      <w:spacing w:after="120" w:line="300" w:lineRule="atLeast"/>
      <w:textAlignment w:val="center"/>
    </w:pPr>
    <w:rPr>
      <w:rFonts w:ascii="Arial MT Std Light" w:hAnsi="Arial MT Std Light" w:cs="Arial MT Std Light"/>
      <w:color w:val="00A98F"/>
      <w:w w:val="90"/>
      <w:sz w:val="28"/>
      <w:szCs w:val="28"/>
      <w:lang w:val="en-GB"/>
    </w:rPr>
  </w:style>
  <w:style w:type="paragraph" w:customStyle="1" w:styleId="DTFHeading3-HighlightText">
    <w:name w:val="DTF Heading 3 - Highlight Text"/>
    <w:autoRedefine/>
    <w:qFormat/>
    <w:rsid w:val="00711668"/>
    <w:pPr>
      <w:framePr w:hSpace="181" w:wrap="around" w:vAnchor="text" w:hAnchor="text" w:y="1"/>
      <w:spacing w:before="120" w:after="240"/>
      <w:suppressOverlap/>
    </w:pPr>
    <w:rPr>
      <w:rFonts w:ascii="Arial" w:eastAsia="Times New Roman" w:hAnsi="Arial" w:cs="Arial"/>
      <w:b/>
      <w:bCs/>
      <w:sz w:val="24"/>
      <w:szCs w:val="26"/>
      <w:lang w:eastAsia="en-AU"/>
    </w:rPr>
  </w:style>
  <w:style w:type="paragraph" w:styleId="TOC1">
    <w:name w:val="toc 1"/>
    <w:basedOn w:val="Normal"/>
    <w:next w:val="Normal"/>
    <w:autoRedefine/>
    <w:uiPriority w:val="39"/>
    <w:unhideWhenUsed/>
    <w:rsid w:val="007E6170"/>
    <w:pPr>
      <w:spacing w:after="100"/>
    </w:pPr>
  </w:style>
  <w:style w:type="paragraph" w:customStyle="1" w:styleId="DTFHeading4">
    <w:name w:val="DTF Heading 4"/>
    <w:next w:val="DTFBodyText"/>
    <w:autoRedefine/>
    <w:qFormat/>
    <w:rsid w:val="009F20BE"/>
    <w:pPr>
      <w:spacing w:before="60" w:after="60"/>
    </w:pPr>
    <w:rPr>
      <w:rFonts w:ascii="Arial" w:eastAsia="Times New Roman" w:hAnsi="Arial" w:cs="Arial"/>
      <w:b/>
      <w:bCs/>
      <w:sz w:val="24"/>
      <w:szCs w:val="26"/>
      <w:lang w:eastAsia="en-AU"/>
    </w:rPr>
  </w:style>
  <w:style w:type="character" w:customStyle="1" w:styleId="DTFItalic">
    <w:name w:val="DTF Italic"/>
    <w:uiPriority w:val="1"/>
    <w:qFormat/>
    <w:rsid w:val="007E6170"/>
    <w:rPr>
      <w:i/>
    </w:rPr>
  </w:style>
  <w:style w:type="paragraph" w:customStyle="1" w:styleId="DTFListBullet1-Black">
    <w:name w:val="DTF List Bullet 1 - Black"/>
    <w:link w:val="DTFListBullet1-BlackChar"/>
    <w:autoRedefine/>
    <w:qFormat/>
    <w:rsid w:val="00711668"/>
    <w:pPr>
      <w:numPr>
        <w:numId w:val="2"/>
      </w:numPr>
      <w:spacing w:after="200"/>
    </w:pPr>
    <w:rPr>
      <w:rFonts w:ascii="Arial" w:eastAsia="Times New Roman" w:hAnsi="Arial" w:cs="Arial"/>
      <w:color w:val="000000" w:themeColor="text1"/>
      <w:sz w:val="22"/>
      <w:lang w:eastAsia="en-AU"/>
    </w:rPr>
  </w:style>
  <w:style w:type="character" w:customStyle="1" w:styleId="DTFListBullet1-BlackChar">
    <w:name w:val="DTF List Bullet 1 - Black Char"/>
    <w:basedOn w:val="DefaultParagraphFont"/>
    <w:link w:val="DTFListBullet1-Black"/>
    <w:rsid w:val="00711668"/>
    <w:rPr>
      <w:rFonts w:ascii="Arial" w:eastAsia="Times New Roman" w:hAnsi="Arial" w:cs="Arial"/>
      <w:color w:val="000000" w:themeColor="text1"/>
      <w:sz w:val="22"/>
      <w:lang w:eastAsia="en-AU"/>
    </w:rPr>
  </w:style>
  <w:style w:type="paragraph" w:customStyle="1" w:styleId="DTFListBullet1-Orange">
    <w:name w:val="DTF List Bullet 1 - Orange"/>
    <w:autoRedefine/>
    <w:qFormat/>
    <w:rsid w:val="00A0556E"/>
    <w:pPr>
      <w:numPr>
        <w:numId w:val="3"/>
      </w:numPr>
      <w:spacing w:after="200"/>
      <w:ind w:left="681" w:hanging="397"/>
    </w:pPr>
    <w:rPr>
      <w:rFonts w:ascii="Arial" w:eastAsia="Times New Roman" w:hAnsi="Arial" w:cs="Arial"/>
      <w:sz w:val="22"/>
      <w:lang w:eastAsia="en-AU"/>
    </w:rPr>
  </w:style>
  <w:style w:type="paragraph" w:customStyle="1" w:styleId="DTFListBullet2-Black">
    <w:name w:val="DTF List Bullet 2 - Black"/>
    <w:autoRedefine/>
    <w:qFormat/>
    <w:rsid w:val="00711668"/>
    <w:pPr>
      <w:numPr>
        <w:ilvl w:val="1"/>
        <w:numId w:val="4"/>
      </w:numPr>
      <w:spacing w:after="200"/>
    </w:pPr>
    <w:rPr>
      <w:rFonts w:ascii="Arial" w:eastAsia="Times New Roman" w:hAnsi="Arial" w:cs="Arial"/>
      <w:sz w:val="22"/>
      <w:lang w:eastAsia="en-AU"/>
    </w:rPr>
  </w:style>
  <w:style w:type="paragraph" w:customStyle="1" w:styleId="DTFListBullet2-Dash">
    <w:name w:val="DTF List Bullet 2 - Dash"/>
    <w:autoRedefine/>
    <w:qFormat/>
    <w:rsid w:val="00711668"/>
    <w:pPr>
      <w:numPr>
        <w:numId w:val="5"/>
      </w:numPr>
      <w:spacing w:after="200"/>
    </w:pPr>
    <w:rPr>
      <w:rFonts w:ascii="Arial" w:eastAsia="Times New Roman" w:hAnsi="Arial" w:cs="Arial"/>
      <w:sz w:val="22"/>
      <w:lang w:eastAsia="en-AU"/>
    </w:rPr>
  </w:style>
  <w:style w:type="paragraph" w:customStyle="1" w:styleId="DTFListBullet3-Dash">
    <w:name w:val="DTF List Bullet 3 - Dash"/>
    <w:autoRedefine/>
    <w:qFormat/>
    <w:rsid w:val="00711668"/>
    <w:pPr>
      <w:numPr>
        <w:ilvl w:val="2"/>
        <w:numId w:val="6"/>
      </w:numPr>
      <w:tabs>
        <w:tab w:val="left" w:pos="1701"/>
      </w:tabs>
      <w:spacing w:after="200"/>
    </w:pPr>
    <w:rPr>
      <w:rFonts w:ascii="Arial" w:eastAsia="Times New Roman" w:hAnsi="Arial" w:cs="Arial"/>
      <w:sz w:val="22"/>
      <w:lang w:eastAsia="en-AU"/>
    </w:rPr>
  </w:style>
  <w:style w:type="paragraph" w:customStyle="1" w:styleId="DTFListNumber1">
    <w:name w:val="DTF List Number 1"/>
    <w:autoRedefine/>
    <w:qFormat/>
    <w:rsid w:val="007E6170"/>
    <w:pPr>
      <w:numPr>
        <w:numId w:val="10"/>
      </w:numPr>
      <w:spacing w:after="200"/>
    </w:pPr>
    <w:rPr>
      <w:rFonts w:ascii="Arial" w:eastAsia="Times New Roman" w:hAnsi="Arial" w:cs="Arial"/>
      <w:sz w:val="22"/>
      <w:lang w:eastAsia="en-AU"/>
    </w:rPr>
  </w:style>
  <w:style w:type="paragraph" w:customStyle="1" w:styleId="ListNumber1-Roman">
    <w:name w:val="List Number 1 - Roman"/>
    <w:basedOn w:val="ListNumber2"/>
    <w:autoRedefine/>
    <w:rsid w:val="007E6170"/>
    <w:pPr>
      <w:numPr>
        <w:ilvl w:val="0"/>
        <w:numId w:val="12"/>
      </w:numPr>
      <w:tabs>
        <w:tab w:val="left" w:pos="709"/>
        <w:tab w:val="left" w:pos="1276"/>
        <w:tab w:val="left" w:pos="4536"/>
      </w:tabs>
    </w:pPr>
    <w:rPr>
      <w:rFonts w:cs="Arial"/>
    </w:rPr>
  </w:style>
  <w:style w:type="paragraph" w:customStyle="1" w:styleId="DTFListNumber1-Roman">
    <w:name w:val="DTF List Number 1 - Roman"/>
    <w:autoRedefine/>
    <w:qFormat/>
    <w:rsid w:val="00B219D4"/>
    <w:pPr>
      <w:numPr>
        <w:numId w:val="26"/>
      </w:numPr>
      <w:spacing w:after="200"/>
    </w:pPr>
    <w:rPr>
      <w:rFonts w:ascii="Arial" w:eastAsia="Times New Roman" w:hAnsi="Arial" w:cs="Arial"/>
      <w:sz w:val="22"/>
      <w:lang w:eastAsia="en-AU"/>
    </w:rPr>
  </w:style>
  <w:style w:type="character" w:customStyle="1" w:styleId="DTFStrong">
    <w:name w:val="DTF Strong"/>
    <w:uiPriority w:val="1"/>
    <w:qFormat/>
    <w:rsid w:val="007E6170"/>
    <w:rPr>
      <w:b/>
    </w:rPr>
  </w:style>
  <w:style w:type="paragraph" w:customStyle="1" w:styleId="DTFTableDash-delete">
    <w:name w:val="DTF Table Dash - delete"/>
    <w:autoRedefine/>
    <w:qFormat/>
    <w:rsid w:val="000E7DAF"/>
    <w:pPr>
      <w:numPr>
        <w:numId w:val="7"/>
      </w:numPr>
      <w:suppressAutoHyphens/>
      <w:autoSpaceDE w:val="0"/>
      <w:autoSpaceDN w:val="0"/>
      <w:adjustRightInd w:val="0"/>
      <w:ind w:left="681" w:hanging="397"/>
      <w:textAlignment w:val="center"/>
    </w:pPr>
    <w:rPr>
      <w:rFonts w:ascii="Arial" w:eastAsia="Times New Roman" w:hAnsi="Arial" w:cs="Arial"/>
      <w:color w:val="000000"/>
      <w:sz w:val="22"/>
      <w:szCs w:val="22"/>
      <w:lang w:eastAsia="en-AU"/>
    </w:rPr>
  </w:style>
  <w:style w:type="paragraph" w:customStyle="1" w:styleId="DTFTableHeading4-Centred">
    <w:name w:val="DTF Table Heading 4 - Centred"/>
    <w:basedOn w:val="Heading4"/>
    <w:rsid w:val="007E6170"/>
    <w:pPr>
      <w:spacing w:before="120" w:after="120"/>
      <w:jc w:val="center"/>
    </w:pPr>
    <w:rPr>
      <w:rFonts w:eastAsia="Times New Roman" w:cs="Times New Roman"/>
      <w:iCs w:val="0"/>
    </w:rPr>
  </w:style>
  <w:style w:type="paragraph" w:customStyle="1" w:styleId="DTFTableNumbers">
    <w:name w:val="DTF Table Numbers"/>
    <w:basedOn w:val="Normal"/>
    <w:autoRedefine/>
    <w:qFormat/>
    <w:rsid w:val="007E6170"/>
    <w:pPr>
      <w:tabs>
        <w:tab w:val="left" w:pos="709"/>
        <w:tab w:val="left" w:pos="1276"/>
        <w:tab w:val="left" w:pos="4536"/>
      </w:tabs>
      <w:spacing w:after="0"/>
      <w:ind w:right="284"/>
      <w:jc w:val="right"/>
    </w:pPr>
    <w:rPr>
      <w:rFonts w:cs="Arial"/>
    </w:rPr>
  </w:style>
  <w:style w:type="paragraph" w:customStyle="1" w:styleId="DTFTableText">
    <w:name w:val="DTF Table Text"/>
    <w:basedOn w:val="Normal"/>
    <w:qFormat/>
    <w:rsid w:val="007E6170"/>
    <w:pPr>
      <w:tabs>
        <w:tab w:val="left" w:pos="709"/>
        <w:tab w:val="left" w:pos="1276"/>
        <w:tab w:val="left" w:pos="4536"/>
      </w:tabs>
      <w:spacing w:after="0"/>
    </w:pPr>
    <w:rPr>
      <w:rFonts w:cs="Arial"/>
    </w:rPr>
  </w:style>
  <w:style w:type="paragraph" w:customStyle="1" w:styleId="DTFTableText-Centred">
    <w:name w:val="DTF Table Text - Centred"/>
    <w:basedOn w:val="DTFTableText"/>
    <w:qFormat/>
    <w:rsid w:val="007E6170"/>
    <w:pPr>
      <w:jc w:val="center"/>
    </w:pPr>
  </w:style>
  <w:style w:type="paragraph" w:customStyle="1" w:styleId="DTFTOC1">
    <w:name w:val="DTF TOC 1"/>
    <w:autoRedefine/>
    <w:qFormat/>
    <w:rsid w:val="007F7A8A"/>
    <w:pPr>
      <w:tabs>
        <w:tab w:val="left" w:pos="9639"/>
      </w:tabs>
      <w:spacing w:after="200"/>
    </w:pPr>
    <w:rPr>
      <w:rFonts w:ascii="Arial" w:eastAsia="Times New Roman" w:hAnsi="Arial" w:cs="Arial"/>
      <w:sz w:val="22"/>
      <w:lang w:eastAsia="en-AU"/>
    </w:rPr>
  </w:style>
  <w:style w:type="paragraph" w:customStyle="1" w:styleId="ListNumber2-Roman">
    <w:name w:val="List Number 2 - Roman"/>
    <w:basedOn w:val="Normal"/>
    <w:qFormat/>
    <w:rsid w:val="007E6170"/>
    <w:pPr>
      <w:numPr>
        <w:numId w:val="13"/>
      </w:numPr>
      <w:tabs>
        <w:tab w:val="left" w:pos="709"/>
        <w:tab w:val="left" w:pos="1276"/>
        <w:tab w:val="left" w:pos="4536"/>
      </w:tabs>
    </w:pPr>
    <w:rPr>
      <w:rFonts w:cs="Arial"/>
    </w:rPr>
  </w:style>
  <w:style w:type="paragraph" w:customStyle="1" w:styleId="DTFHeading2-Lineabove">
    <w:name w:val="DTF Heading 2 - Line above"/>
    <w:basedOn w:val="Heading2"/>
    <w:next w:val="Normal"/>
    <w:link w:val="DTFHeading2-LineaboveChar"/>
    <w:qFormat/>
    <w:rsid w:val="007E6170"/>
    <w:pPr>
      <w:pBdr>
        <w:top w:val="single" w:sz="24" w:space="6" w:color="F1A673"/>
      </w:pBdr>
    </w:pPr>
    <w:rPr>
      <w:bCs w:val="0"/>
      <w:iCs/>
    </w:rPr>
  </w:style>
  <w:style w:type="paragraph" w:customStyle="1" w:styleId="DTFHeading3-Lineabove">
    <w:name w:val="DTF Heading 3 - Line above"/>
    <w:basedOn w:val="Normal"/>
    <w:next w:val="Normal"/>
    <w:link w:val="DTFHeading3-LineaboveChar"/>
    <w:qFormat/>
    <w:rsid w:val="007E6170"/>
    <w:pPr>
      <w:pBdr>
        <w:top w:val="single" w:sz="24" w:space="6" w:color="F1A673"/>
      </w:pBdr>
      <w:spacing w:before="360" w:after="240"/>
    </w:pPr>
    <w:rPr>
      <w:rFonts w:cs="Arial"/>
      <w:b/>
      <w:bCs/>
      <w:sz w:val="24"/>
      <w:szCs w:val="26"/>
    </w:rPr>
  </w:style>
  <w:style w:type="character" w:customStyle="1" w:styleId="DTFHeading3-LineaboveChar">
    <w:name w:val="DTF Heading 3 - Line above Char"/>
    <w:basedOn w:val="DefaultParagraphFont"/>
    <w:link w:val="DTFHeading3-Lineabove"/>
    <w:rsid w:val="007E6170"/>
    <w:rPr>
      <w:rFonts w:ascii="Arial" w:eastAsia="Times New Roman" w:hAnsi="Arial" w:cs="Arial"/>
      <w:b/>
      <w:bCs/>
      <w:sz w:val="24"/>
      <w:szCs w:val="26"/>
      <w:lang w:eastAsia="en-AU"/>
    </w:rPr>
  </w:style>
  <w:style w:type="paragraph" w:customStyle="1" w:styleId="DTFSpacer-Lineabove">
    <w:name w:val="DTF Spacer - Line above"/>
    <w:basedOn w:val="Normal"/>
    <w:next w:val="DTFBodyText"/>
    <w:link w:val="DTFSpacer-LineaboveChar"/>
    <w:qFormat/>
    <w:rsid w:val="007E6170"/>
    <w:pPr>
      <w:pBdr>
        <w:top w:val="single" w:sz="24" w:space="1" w:color="F1A673"/>
      </w:pBdr>
      <w:tabs>
        <w:tab w:val="left" w:pos="709"/>
        <w:tab w:val="left" w:pos="1276"/>
        <w:tab w:val="left" w:pos="4536"/>
      </w:tabs>
      <w:spacing w:after="120"/>
    </w:pPr>
    <w:rPr>
      <w:rFonts w:cs="Arial"/>
      <w:sz w:val="2"/>
    </w:rPr>
  </w:style>
  <w:style w:type="character" w:customStyle="1" w:styleId="DTFSpacer-LineaboveChar">
    <w:name w:val="DTF Spacer - Line above Char"/>
    <w:basedOn w:val="DefaultParagraphFont"/>
    <w:link w:val="DTFSpacer-Lineabove"/>
    <w:rsid w:val="007E6170"/>
    <w:rPr>
      <w:rFonts w:ascii="Arial" w:eastAsia="Times New Roman" w:hAnsi="Arial" w:cs="Arial"/>
      <w:sz w:val="2"/>
      <w:lang w:eastAsia="en-AU"/>
    </w:rPr>
  </w:style>
  <w:style w:type="paragraph" w:styleId="ListContinue2">
    <w:name w:val="List Continue 2"/>
    <w:aliases w:val="DTF List Continue 2"/>
    <w:basedOn w:val="Normal"/>
    <w:uiPriority w:val="99"/>
    <w:unhideWhenUsed/>
    <w:rsid w:val="007E6170"/>
    <w:pPr>
      <w:ind w:left="737"/>
    </w:pPr>
  </w:style>
  <w:style w:type="character" w:styleId="CommentReference">
    <w:name w:val="annotation reference"/>
    <w:basedOn w:val="DefaultParagraphFont"/>
    <w:uiPriority w:val="99"/>
    <w:semiHidden/>
    <w:unhideWhenUsed/>
    <w:rsid w:val="007E6170"/>
    <w:rPr>
      <w:sz w:val="16"/>
      <w:szCs w:val="16"/>
    </w:rPr>
  </w:style>
  <w:style w:type="paragraph" w:styleId="CommentText">
    <w:name w:val="annotation text"/>
    <w:basedOn w:val="Normal"/>
    <w:link w:val="CommentTextChar"/>
    <w:uiPriority w:val="99"/>
    <w:semiHidden/>
    <w:unhideWhenUsed/>
    <w:rsid w:val="007E6170"/>
    <w:rPr>
      <w:sz w:val="20"/>
    </w:rPr>
  </w:style>
  <w:style w:type="character" w:customStyle="1" w:styleId="CommentTextChar">
    <w:name w:val="Comment Text Char"/>
    <w:basedOn w:val="DefaultParagraphFont"/>
    <w:link w:val="CommentText"/>
    <w:uiPriority w:val="99"/>
    <w:semiHidden/>
    <w:rsid w:val="007E6170"/>
    <w:rPr>
      <w:rFonts w:ascii="Arial" w:eastAsia="Times New Roman" w:hAnsi="Arial"/>
      <w:lang w:eastAsia="en-AU"/>
    </w:rPr>
  </w:style>
  <w:style w:type="paragraph" w:styleId="CommentSubject">
    <w:name w:val="annotation subject"/>
    <w:basedOn w:val="CommentText"/>
    <w:next w:val="CommentText"/>
    <w:link w:val="CommentSubjectChar"/>
    <w:uiPriority w:val="99"/>
    <w:semiHidden/>
    <w:unhideWhenUsed/>
    <w:rsid w:val="007E6170"/>
    <w:rPr>
      <w:b/>
      <w:bCs/>
    </w:rPr>
  </w:style>
  <w:style w:type="character" w:customStyle="1" w:styleId="CommentSubjectChar">
    <w:name w:val="Comment Subject Char"/>
    <w:basedOn w:val="CommentTextChar"/>
    <w:link w:val="CommentSubject"/>
    <w:uiPriority w:val="99"/>
    <w:semiHidden/>
    <w:rsid w:val="007E6170"/>
    <w:rPr>
      <w:rFonts w:ascii="Arial" w:eastAsia="Times New Roman" w:hAnsi="Arial"/>
      <w:b/>
      <w:bCs/>
      <w:lang w:eastAsia="en-AU"/>
    </w:rPr>
  </w:style>
  <w:style w:type="paragraph" w:styleId="Revision">
    <w:name w:val="Revision"/>
    <w:hidden/>
    <w:uiPriority w:val="99"/>
    <w:semiHidden/>
    <w:rsid w:val="000C1280"/>
    <w:rPr>
      <w:rFonts w:ascii="Arial" w:eastAsia="Times New Roman" w:hAnsi="Arial"/>
      <w:sz w:val="22"/>
      <w:lang w:eastAsia="en-AU"/>
    </w:rPr>
  </w:style>
  <w:style w:type="paragraph" w:customStyle="1" w:styleId="DTFHeading1-Lineabove">
    <w:name w:val="DTF Heading 1 - Line above"/>
    <w:basedOn w:val="Heading1"/>
    <w:qFormat/>
    <w:rsid w:val="007E6170"/>
    <w:pPr>
      <w:pBdr>
        <w:top w:val="single" w:sz="24" w:space="6" w:color="F1A673"/>
      </w:pBdr>
    </w:pPr>
    <w:rPr>
      <w:bCs w:val="0"/>
    </w:rPr>
  </w:style>
  <w:style w:type="character" w:customStyle="1" w:styleId="DTFHeading2-LineaboveChar">
    <w:name w:val="DTF Heading 2 - Line above Char"/>
    <w:basedOn w:val="DefaultParagraphFont"/>
    <w:link w:val="DTFHeading2-Lineabove"/>
    <w:rsid w:val="007E6170"/>
    <w:rPr>
      <w:rFonts w:ascii="Arial" w:eastAsia="Times New Roman" w:hAnsi="Arial" w:cs="Arial"/>
      <w:b/>
      <w:sz w:val="24"/>
      <w:szCs w:val="26"/>
      <w:lang w:eastAsia="en-AU"/>
    </w:rPr>
  </w:style>
  <w:style w:type="numbering" w:customStyle="1" w:styleId="DTFList-roman">
    <w:name w:val="DTF List - roman"/>
    <w:aliases w:val="bullet,dash"/>
    <w:uiPriority w:val="99"/>
    <w:rsid w:val="007E6170"/>
    <w:pPr>
      <w:numPr>
        <w:numId w:val="8"/>
      </w:numPr>
    </w:pPr>
  </w:style>
  <w:style w:type="paragraph" w:customStyle="1" w:styleId="DTFListlevel1-Orange">
    <w:name w:val="DTF List level 1 - Orange"/>
    <w:basedOn w:val="ListBullet"/>
    <w:autoRedefine/>
    <w:qFormat/>
    <w:rsid w:val="007E6170"/>
    <w:pPr>
      <w:numPr>
        <w:numId w:val="9"/>
      </w:numPr>
    </w:pPr>
    <w:rPr>
      <w:rFonts w:cs="Arial"/>
    </w:rPr>
  </w:style>
  <w:style w:type="paragraph" w:customStyle="1" w:styleId="DTFSubTitle">
    <w:name w:val="DTF Sub Title"/>
    <w:basedOn w:val="Normal"/>
    <w:rsid w:val="007E6170"/>
    <w:pPr>
      <w:spacing w:after="240"/>
    </w:pPr>
    <w:rPr>
      <w:b/>
      <w:sz w:val="32"/>
      <w:szCs w:val="24"/>
      <w:lang w:val="en-US"/>
    </w:rPr>
  </w:style>
  <w:style w:type="paragraph" w:customStyle="1" w:styleId="DTFTableDashold">
    <w:name w:val="DTF Table Dash old"/>
    <w:autoRedefine/>
    <w:qFormat/>
    <w:rsid w:val="007E6170"/>
    <w:pPr>
      <w:numPr>
        <w:numId w:val="11"/>
      </w:numPr>
      <w:suppressAutoHyphens/>
      <w:autoSpaceDE w:val="0"/>
      <w:autoSpaceDN w:val="0"/>
      <w:adjustRightInd w:val="0"/>
      <w:textAlignment w:val="center"/>
    </w:pPr>
    <w:rPr>
      <w:rFonts w:ascii="Arial" w:eastAsia="Times New Roman" w:hAnsi="Arial" w:cs="Arial"/>
      <w:color w:val="000000"/>
      <w:sz w:val="22"/>
      <w:szCs w:val="22"/>
      <w:lang w:eastAsia="en-AU"/>
    </w:rPr>
  </w:style>
  <w:style w:type="numbering" w:customStyle="1" w:styleId="StyleBulletedSymbolsymbolLeft063cmHanging063cm">
    <w:name w:val="Style Bulleted Symbol (symbol) Left:  0.63 cm Hanging:  0.63 cm"/>
    <w:basedOn w:val="NoList"/>
    <w:rsid w:val="00A0556E"/>
    <w:pPr>
      <w:numPr>
        <w:numId w:val="19"/>
      </w:numPr>
    </w:pPr>
  </w:style>
  <w:style w:type="paragraph" w:customStyle="1" w:styleId="SOI-Heading">
    <w:name w:val="SOI - Heading"/>
    <w:basedOn w:val="Normal"/>
    <w:rsid w:val="00A0556E"/>
    <w:pPr>
      <w:spacing w:before="360" w:after="240"/>
      <w:jc w:val="center"/>
    </w:pPr>
    <w:rPr>
      <w:rFonts w:ascii="Arial Narrow" w:hAnsi="Arial Narrow"/>
      <w:b/>
      <w:sz w:val="28"/>
      <w:lang w:val="en-US"/>
    </w:rPr>
  </w:style>
  <w:style w:type="paragraph" w:customStyle="1" w:styleId="Commentry">
    <w:name w:val="Commentry"/>
    <w:rsid w:val="00CE5C46"/>
    <w:pPr>
      <w:spacing w:before="120" w:after="120"/>
      <w:jc w:val="both"/>
    </w:pPr>
    <w:rPr>
      <w:rFonts w:ascii="Arial Narrow" w:eastAsia="Times New Roman" w:hAnsi="Arial Narrow"/>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604308841">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806583545">
      <w:bodyDiv w:val="1"/>
      <w:marLeft w:val="0"/>
      <w:marRight w:val="0"/>
      <w:marTop w:val="0"/>
      <w:marBottom w:val="0"/>
      <w:divBdr>
        <w:top w:val="none" w:sz="0" w:space="0" w:color="auto"/>
        <w:left w:val="none" w:sz="0" w:space="0" w:color="auto"/>
        <w:bottom w:val="none" w:sz="0" w:space="0" w:color="auto"/>
        <w:right w:val="none" w:sz="0" w:space="0" w:color="auto"/>
      </w:divBdr>
    </w:div>
    <w:div w:id="21037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F37471F57747B2AEF99EF89DCCCAE8"/>
        <w:category>
          <w:name w:val="General"/>
          <w:gallery w:val="placeholder"/>
        </w:category>
        <w:types>
          <w:type w:val="bbPlcHdr"/>
        </w:types>
        <w:behaviors>
          <w:behavior w:val="content"/>
        </w:behaviors>
        <w:guid w:val="{B1ECF9DA-2A03-4440-9101-5FC1259FB069}"/>
      </w:docPartPr>
      <w:docPartBody>
        <w:p w:rsidR="006B209A" w:rsidRDefault="006B209A">
          <w:pPr>
            <w:pStyle w:val="AFF37471F57747B2AEF99EF89DCCCAE8"/>
          </w:pPr>
          <w:r w:rsidRPr="00AD00A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Arial MT Std Light">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09A"/>
    <w:rsid w:val="00125453"/>
    <w:rsid w:val="001E27EC"/>
    <w:rsid w:val="006B209A"/>
    <w:rsid w:val="00926B03"/>
    <w:rsid w:val="00C231A1"/>
    <w:rsid w:val="00C830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453"/>
    <w:rPr>
      <w:color w:val="808080"/>
    </w:rPr>
  </w:style>
  <w:style w:type="paragraph" w:customStyle="1" w:styleId="AFF37471F57747B2AEF99EF89DCCCAE8">
    <w:name w:val="AFF37471F57747B2AEF99EF89DCCCAE8"/>
  </w:style>
  <w:style w:type="paragraph" w:customStyle="1" w:styleId="1253968E12BD4E00B487A035C5736FF7">
    <w:name w:val="1253968E12BD4E00B487A035C5736FF7"/>
    <w:rsid w:val="001254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 xmlns="378e824e-6e02-4c0d-8321-dd86fba681ee" xsi:nil="true"/>
    <Release_x0020_Date xmlns="378e824e-6e02-4c0d-8321-dd86fba681ee">2017-01-19T14:30:00+00:00</Release_x0020_Date>
    <Publication_x0020_Title xmlns="378e824e-6e02-4c0d-8321-dd86fba681ee">Accounting – expenses (Section A6.2: Employee benefits)</Publication_x0020_Title>
    <Sub_x0020_Sub_x0020_Category xmlns="378e824e-6e02-4c0d-8321-dd86fba681ee" xsi:nil="true"/>
    <Details xmlns="378e824e-6e02-4c0d-8321-dd86fba681ee" xsi:nil="true"/>
    <Main_x0020_Category xmlns="378e824e-6e02-4c0d-8321-dd86fba681ee">3</Main_x0020_Category>
    <Tax_x0020_Type_x0020_Topic xmlns="378e824e-6e02-4c0d-8321-dd86fba681ee" xsi:nil="true"/>
    <Sub_x0020_Category xmlns="378e824e-6e02-4c0d-8321-dd86fba681ee">12</Sub_x0020_Category>
    <Identifier xmlns="378e824e-6e02-4c0d-8321-dd86fba681ee">TD-A6.2</Identifier>
    <Notify xmlns="378e824e-6e02-4c0d-8321-dd86fba681ee">false</Notify>
    <Publication_x0020_Type xmlns="378e824e-6e02-4c0d-8321-dd86fba681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8D273-E029-4572-A668-1431BDC15907}">
  <ds:schemaRefs>
    <ds:schemaRef ds:uri="http://schemas.openxmlformats.org/package/2006/metadata/core-properties"/>
    <ds:schemaRef ds:uri="http://purl.org/dc/elements/1.1/"/>
    <ds:schemaRef ds:uri="http://schemas.microsoft.com/office/2006/metadata/properties"/>
    <ds:schemaRef ds:uri="378e824e-6e02-4c0d-8321-dd86fba681ee"/>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76D85602-C1D4-4369-B27D-35FB102F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06199-2CD6-4A94-8D05-6ED40390B32F}">
  <ds:schemaRefs>
    <ds:schemaRef ds:uri="http://schemas.microsoft.com/sharepoint/v3/contenttype/forms"/>
  </ds:schemaRefs>
</ds:datastoreItem>
</file>

<file path=customXml/itemProps4.xml><?xml version="1.0" encoding="utf-8"?>
<ds:datastoreItem xmlns:ds="http://schemas.openxmlformats.org/officeDocument/2006/customXml" ds:itemID="{DF4DA479-6A66-4785-886F-E3EF3307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2801</Words>
  <Characters>15972</Characters>
  <Application>Microsoft Office Word</Application>
  <DocSecurity>8</DocSecurity>
  <Lines>133</Lines>
  <Paragraphs>37</Paragraphs>
  <ScaleCrop>false</ScaleCrop>
  <HeadingPairs>
    <vt:vector size="2" baseType="variant">
      <vt:variant>
        <vt:lpstr>Title</vt:lpstr>
      </vt:variant>
      <vt:variant>
        <vt:i4>1</vt:i4>
      </vt:variant>
    </vt:vector>
  </HeadingPairs>
  <TitlesOfParts>
    <vt:vector size="1" baseType="lpstr">
      <vt:lpstr>Accounting – expenses (Section A6.2: Employee benefits)</vt:lpstr>
    </vt:vector>
  </TitlesOfParts>
  <Company>Northern Territory Government</Company>
  <LinksUpToDate>false</LinksUpToDate>
  <CharactersWithSpaces>18736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 expenses (Section A6.2: Employee benefits)</dc:title>
  <dc:creator>Barbara Beamsley</dc:creator>
  <cp:lastModifiedBy>Barbara Beamsley</cp:lastModifiedBy>
  <cp:revision>25</cp:revision>
  <cp:lastPrinted>2016-11-22T04:36:00Z</cp:lastPrinted>
  <dcterms:created xsi:type="dcterms:W3CDTF">2017-01-16T22:56:00Z</dcterms:created>
  <dcterms:modified xsi:type="dcterms:W3CDTF">2017-01-20T05:24:00Z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Of">
    <vt:lpwstr>Department of </vt:lpwstr>
  </property>
  <property fmtid="{D5CDD505-2E9C-101B-9397-08002B2CF9AE}" pid="3" name="DepartmentName">
    <vt:lpwstr>Treasury and Finance</vt:lpwstr>
  </property>
  <property fmtid="{D5CDD505-2E9C-101B-9397-08002B2CF9AE}" pid="4" name="DocumentAuthor">
    <vt:lpwstr>&lt;Firstname Lastname&gt;</vt:lpwstr>
  </property>
  <property fmtid="{D5CDD505-2E9C-101B-9397-08002B2CF9AE}" pid="5" name="VersionNo">
    <vt:lpwstr>&lt;, Version x.x optional&gt;</vt:lpwstr>
  </property>
  <property fmtid="{D5CDD505-2E9C-101B-9397-08002B2CF9AE}" pid="6" name="DocumentDate">
    <vt:lpwstr>18 December 2016</vt:lpwstr>
  </property>
  <property fmtid="{D5CDD505-2E9C-101B-9397-08002B2CF9AE}" pid="7" name="ContentTypeId">
    <vt:lpwstr>0x010100AE1D68356F7FB54A917EB6B48522F7AB</vt:lpwstr>
  </property>
</Properties>
</file>