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220AA" w14:textId="190825F8" w:rsidR="00B14257" w:rsidRPr="004B3B0D" w:rsidRDefault="006A0F37" w:rsidP="00B2229C">
      <w:pPr>
        <w:pStyle w:val="Heading1"/>
        <w:spacing w:before="0"/>
      </w:pPr>
      <w:bookmarkStart w:id="0" w:name="_GoBack"/>
      <w:bookmarkEnd w:id="0"/>
      <w:r w:rsidRPr="004B3B0D">
        <w:t>Treasurer’s Direction</w:t>
      </w:r>
      <w:r w:rsidR="00B2229C" w:rsidRPr="004B3B0D">
        <w:t xml:space="preserve"> (mandatory)</w:t>
      </w:r>
    </w:p>
    <w:tbl>
      <w:tblPr>
        <w:tblStyle w:val="NTGtable"/>
        <w:tblW w:w="10343" w:type="dxa"/>
        <w:tblLook w:val="04A0" w:firstRow="1" w:lastRow="0" w:firstColumn="1" w:lastColumn="0" w:noHBand="0" w:noVBand="1"/>
        <w:tblDescription w:val="Details about this Treasurer's Direction."/>
      </w:tblPr>
      <w:tblGrid>
        <w:gridCol w:w="1980"/>
        <w:gridCol w:w="8363"/>
      </w:tblGrid>
      <w:tr w:rsidR="00B2229C" w:rsidRPr="004B3B0D" w14:paraId="44E73CF7" w14:textId="77777777" w:rsidTr="008765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Pr>
          <w:p w14:paraId="7EABEA14" w14:textId="77777777" w:rsidR="00B2229C" w:rsidRPr="004B3B0D" w:rsidRDefault="00B2229C" w:rsidP="00B2229C">
            <w:pPr>
              <w:rPr>
                <w:bCs/>
              </w:rPr>
            </w:pPr>
            <w:r w:rsidRPr="004B3B0D">
              <w:rPr>
                <w:bCs/>
              </w:rPr>
              <w:t>Purpose</w:t>
            </w:r>
          </w:p>
        </w:tc>
        <w:tc>
          <w:tcPr>
            <w:tcW w:w="8363" w:type="dxa"/>
            <w:shd w:val="clear" w:color="auto" w:fill="auto"/>
          </w:tcPr>
          <w:p w14:paraId="243FF6AE" w14:textId="78D2096B" w:rsidR="0097250D" w:rsidRPr="004B3B0D" w:rsidRDefault="00772DBE" w:rsidP="00134D74">
            <w:pPr>
              <w:cnfStyle w:val="100000000000" w:firstRow="1" w:lastRow="0" w:firstColumn="0" w:lastColumn="0" w:oddVBand="0" w:evenVBand="0" w:oddHBand="0" w:evenHBand="0" w:firstRowFirstColumn="0" w:firstRowLastColumn="0" w:lastRowFirstColumn="0" w:lastRowLastColumn="0"/>
              <w:rPr>
                <w:b w:val="0"/>
                <w:bCs/>
              </w:rPr>
            </w:pPr>
            <w:r w:rsidRPr="004B3B0D">
              <w:rPr>
                <w:b w:val="0"/>
                <w:bCs/>
              </w:rPr>
              <w:t>To establish minimum requirements for the recognition, measurement,</w:t>
            </w:r>
            <w:r w:rsidR="0022395A" w:rsidRPr="004B3B0D">
              <w:rPr>
                <w:b w:val="0"/>
                <w:bCs/>
              </w:rPr>
              <w:t xml:space="preserve"> acquisition,</w:t>
            </w:r>
            <w:r w:rsidRPr="004B3B0D">
              <w:rPr>
                <w:b w:val="0"/>
                <w:bCs/>
              </w:rPr>
              <w:t xml:space="preserve"> disposal</w:t>
            </w:r>
            <w:r w:rsidR="00780786" w:rsidRPr="004B3B0D">
              <w:rPr>
                <w:b w:val="0"/>
                <w:bCs/>
              </w:rPr>
              <w:t>,</w:t>
            </w:r>
            <w:r w:rsidRPr="004B3B0D">
              <w:rPr>
                <w:b w:val="0"/>
                <w:bCs/>
              </w:rPr>
              <w:t xml:space="preserve"> management and recordkeeping o</w:t>
            </w:r>
            <w:r w:rsidR="0097250D" w:rsidRPr="004B3B0D">
              <w:rPr>
                <w:b w:val="0"/>
                <w:bCs/>
              </w:rPr>
              <w:t xml:space="preserve">f </w:t>
            </w:r>
            <w:r w:rsidR="00EF73DC" w:rsidRPr="004B3B0D">
              <w:rPr>
                <w:b w:val="0"/>
                <w:bCs/>
              </w:rPr>
              <w:t>non-financial assets</w:t>
            </w:r>
            <w:r w:rsidR="00134D74" w:rsidRPr="004B3B0D">
              <w:rPr>
                <w:b w:val="0"/>
                <w:bCs/>
              </w:rPr>
              <w:t>.</w:t>
            </w:r>
          </w:p>
        </w:tc>
      </w:tr>
      <w:tr w:rsidR="00B2229C" w:rsidRPr="004B3B0D" w14:paraId="6CFFF4CE" w14:textId="77777777" w:rsidTr="00B22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761A9BB4" w14:textId="77777777" w:rsidR="00B2229C" w:rsidRPr="004B3B0D" w:rsidRDefault="00B2229C" w:rsidP="00B2229C">
            <w:pPr>
              <w:rPr>
                <w:b/>
                <w:bCs/>
              </w:rPr>
            </w:pPr>
            <w:r w:rsidRPr="004B3B0D">
              <w:rPr>
                <w:b/>
                <w:bCs/>
              </w:rPr>
              <w:t>Last reviewed</w:t>
            </w:r>
          </w:p>
        </w:tc>
        <w:tc>
          <w:tcPr>
            <w:tcW w:w="8363" w:type="dxa"/>
          </w:tcPr>
          <w:p w14:paraId="75D44FA2" w14:textId="0404A222" w:rsidR="00B2229C" w:rsidRPr="004B3B0D" w:rsidRDefault="006A0F37" w:rsidP="00B2229C">
            <w:pPr>
              <w:cnfStyle w:val="000000100000" w:firstRow="0" w:lastRow="0" w:firstColumn="0" w:lastColumn="0" w:oddVBand="0" w:evenVBand="0" w:oddHBand="1" w:evenHBand="0" w:firstRowFirstColumn="0" w:firstRowLastColumn="0" w:lastRowFirstColumn="0" w:lastRowLastColumn="0"/>
            </w:pPr>
            <w:r w:rsidRPr="004B3B0D">
              <w:t>Not applicable</w:t>
            </w:r>
          </w:p>
        </w:tc>
      </w:tr>
      <w:tr w:rsidR="00B2229C" w:rsidRPr="004B3B0D" w14:paraId="3B7D6971" w14:textId="77777777" w:rsidTr="00B222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325F85E3" w14:textId="77777777" w:rsidR="00B2229C" w:rsidRPr="004B3B0D" w:rsidRDefault="00B2229C" w:rsidP="00B2229C">
            <w:pPr>
              <w:rPr>
                <w:b/>
                <w:bCs/>
              </w:rPr>
            </w:pPr>
            <w:r w:rsidRPr="004B3B0D">
              <w:rPr>
                <w:b/>
                <w:bCs/>
              </w:rPr>
              <w:t>Operative date</w:t>
            </w:r>
          </w:p>
        </w:tc>
        <w:tc>
          <w:tcPr>
            <w:tcW w:w="8363" w:type="dxa"/>
            <w:shd w:val="clear" w:color="auto" w:fill="auto"/>
          </w:tcPr>
          <w:p w14:paraId="15A02378" w14:textId="288BF90C" w:rsidR="00B2229C" w:rsidRPr="004B3B0D" w:rsidRDefault="00332000" w:rsidP="00A53414">
            <w:pPr>
              <w:cnfStyle w:val="000000010000" w:firstRow="0" w:lastRow="0" w:firstColumn="0" w:lastColumn="0" w:oddVBand="0" w:evenVBand="0" w:oddHBand="0" w:evenHBand="1" w:firstRowFirstColumn="0" w:firstRowLastColumn="0" w:lastRowFirstColumn="0" w:lastRowLastColumn="0"/>
            </w:pPr>
            <w:r>
              <w:t xml:space="preserve">1 July </w:t>
            </w:r>
            <w:r w:rsidR="005F4309" w:rsidRPr="004B3B0D">
              <w:t>202</w:t>
            </w:r>
            <w:r w:rsidR="008C5BD6" w:rsidRPr="004B3B0D">
              <w:t>4</w:t>
            </w:r>
          </w:p>
        </w:tc>
      </w:tr>
      <w:tr w:rsidR="00B2229C" w:rsidRPr="004B3B0D" w14:paraId="1A2F46B4" w14:textId="77777777" w:rsidTr="00EB1FFC">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542EC64" w14:textId="77777777" w:rsidR="00B2229C" w:rsidRPr="004B3B0D" w:rsidRDefault="00B2229C" w:rsidP="00B2229C">
            <w:pPr>
              <w:rPr>
                <w:b/>
                <w:bCs/>
              </w:rPr>
            </w:pPr>
            <w:r w:rsidRPr="004B3B0D">
              <w:rPr>
                <w:b/>
                <w:bCs/>
              </w:rPr>
              <w:t>References</w:t>
            </w:r>
          </w:p>
        </w:tc>
        <w:tc>
          <w:tcPr>
            <w:tcW w:w="8363" w:type="dxa"/>
          </w:tcPr>
          <w:p w14:paraId="03739817" w14:textId="71C844CF" w:rsidR="00820DEB" w:rsidRPr="004B3B0D" w:rsidRDefault="00820DEB" w:rsidP="00820DEB">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 xml:space="preserve">Guidance document – </w:t>
            </w:r>
            <w:r w:rsidR="006A0F37" w:rsidRPr="004B3B0D">
              <w:rPr>
                <w:rFonts w:ascii="Lato" w:hAnsi="Lato"/>
              </w:rPr>
              <w:t>Non-financial assets</w:t>
            </w:r>
            <w:r w:rsidRPr="004B3B0D">
              <w:rPr>
                <w:rFonts w:ascii="Lato" w:hAnsi="Lato"/>
              </w:rPr>
              <w:t xml:space="preserve"> </w:t>
            </w:r>
            <w:r w:rsidRPr="004B3B0D">
              <w:rPr>
                <w:rFonts w:ascii="Lato" w:hAnsi="Lato"/>
                <w:b/>
              </w:rPr>
              <w:t>(recommended to be read in conjunction with this Treasurer’s Direction)</w:t>
            </w:r>
          </w:p>
          <w:p w14:paraId="7F8BEE06" w14:textId="6CA53333" w:rsidR="00783F2D" w:rsidRPr="004B3B0D" w:rsidRDefault="008C1961" w:rsidP="00783F2D">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 xml:space="preserve">Guidance document </w:t>
            </w:r>
            <w:r w:rsidR="00783F2D" w:rsidRPr="004B3B0D">
              <w:rPr>
                <w:rFonts w:ascii="Lato" w:hAnsi="Lato"/>
              </w:rPr>
              <w:t>–</w:t>
            </w:r>
            <w:r w:rsidRPr="004B3B0D">
              <w:rPr>
                <w:rFonts w:ascii="Lato" w:hAnsi="Lato"/>
              </w:rPr>
              <w:t xml:space="preserve"> </w:t>
            </w:r>
            <w:r w:rsidR="00783F2D" w:rsidRPr="004B3B0D">
              <w:rPr>
                <w:rFonts w:ascii="Lato" w:hAnsi="Lato"/>
              </w:rPr>
              <w:t xml:space="preserve">Revaluation </w:t>
            </w:r>
            <w:r w:rsidR="00783F2D" w:rsidRPr="004B3B0D">
              <w:rPr>
                <w:rFonts w:ascii="Lato" w:hAnsi="Lato"/>
                <w:b/>
              </w:rPr>
              <w:t>(recommended to be read in conjunction with this Treasurer’s Direction)</w:t>
            </w:r>
          </w:p>
          <w:p w14:paraId="47A11644" w14:textId="77777777" w:rsidR="00783F2D" w:rsidRPr="004B3B0D" w:rsidRDefault="00783F2D" w:rsidP="00783F2D">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 xml:space="preserve">Guidance document – Impairment </w:t>
            </w:r>
            <w:r w:rsidRPr="004B3B0D">
              <w:rPr>
                <w:rFonts w:ascii="Lato" w:hAnsi="Lato"/>
                <w:b/>
              </w:rPr>
              <w:t>(recommended to be read in conjunction with this Treasurer’s Direction)</w:t>
            </w:r>
          </w:p>
          <w:p w14:paraId="798F6DB7" w14:textId="0305AABA" w:rsidR="00772DBE" w:rsidRPr="004B3B0D" w:rsidRDefault="00820DEB" w:rsidP="00820DEB">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Treasurer’s Direction</w:t>
            </w:r>
            <w:r w:rsidR="00B04FB0" w:rsidRPr="004B3B0D">
              <w:rPr>
                <w:rFonts w:ascii="Lato" w:hAnsi="Lato"/>
              </w:rPr>
              <w:t xml:space="preserve"> and relevant guidance document</w:t>
            </w:r>
            <w:r w:rsidR="00772DBE" w:rsidRPr="004B3B0D">
              <w:rPr>
                <w:rFonts w:ascii="Lato" w:hAnsi="Lato"/>
              </w:rPr>
              <w:t>:</w:t>
            </w:r>
          </w:p>
          <w:p w14:paraId="77D8A9D4" w14:textId="1E7EE3A9" w:rsidR="00BA0165" w:rsidRPr="004B3B0D" w:rsidRDefault="00BA0165"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Gifting</w:t>
            </w:r>
          </w:p>
          <w:p w14:paraId="04F08E22" w14:textId="178CC8B5" w:rsidR="0089005F" w:rsidRPr="004B3B0D" w:rsidRDefault="0089005F"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Income</w:t>
            </w:r>
          </w:p>
          <w:p w14:paraId="0EFC75C3" w14:textId="6E0DDDC2" w:rsidR="0089005F" w:rsidRPr="004B3B0D" w:rsidRDefault="0089005F"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Infrastructure</w:t>
            </w:r>
          </w:p>
          <w:p w14:paraId="049E6315" w14:textId="42B6BF60" w:rsidR="00820DEB" w:rsidRPr="004B3B0D" w:rsidRDefault="00DD2E74"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Losses, write offs, waivers and postponements</w:t>
            </w:r>
          </w:p>
          <w:p w14:paraId="1B397F53" w14:textId="27E137E6" w:rsidR="00772DBE" w:rsidRPr="004B3B0D" w:rsidRDefault="00B04FB0"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Leases</w:t>
            </w:r>
          </w:p>
          <w:p w14:paraId="062A37F1" w14:textId="0E5750A8" w:rsidR="0089005F" w:rsidRPr="004B3B0D" w:rsidRDefault="0089005F"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Organisational performance and accountability</w:t>
            </w:r>
          </w:p>
          <w:p w14:paraId="43C53600" w14:textId="4FB4072F" w:rsidR="00FC0CED" w:rsidRPr="004B3B0D" w:rsidRDefault="00FC0CED" w:rsidP="0006101C">
            <w:pPr>
              <w:pStyle w:val="NTGTableBulletList1"/>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4B3B0D">
              <w:rPr>
                <w:rFonts w:asciiTheme="minorHAnsi" w:hAnsiTheme="minorHAnsi"/>
                <w:i/>
              </w:rPr>
              <w:t>Financial Management Act 1995</w:t>
            </w:r>
            <w:r w:rsidR="00470807" w:rsidRPr="004B3B0D">
              <w:rPr>
                <w:rFonts w:asciiTheme="minorHAnsi" w:hAnsiTheme="minorHAnsi"/>
                <w:i/>
              </w:rPr>
              <w:t xml:space="preserve"> </w:t>
            </w:r>
            <w:r w:rsidR="00470807" w:rsidRPr="004B3B0D">
              <w:rPr>
                <w:rFonts w:asciiTheme="minorHAnsi" w:hAnsiTheme="minorHAnsi"/>
              </w:rPr>
              <w:t>(FMA)</w:t>
            </w:r>
          </w:p>
          <w:p w14:paraId="7D377373" w14:textId="77777777" w:rsidR="005446E9" w:rsidRPr="004B3B0D" w:rsidRDefault="00DD2E74" w:rsidP="00EB1FFC">
            <w:pPr>
              <w:pStyle w:val="NTGTableBulletList1"/>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 xml:space="preserve">Australian </w:t>
            </w:r>
            <w:r w:rsidR="009C67D8" w:rsidRPr="004B3B0D">
              <w:rPr>
                <w:rFonts w:ascii="Lato" w:hAnsi="Lato"/>
              </w:rPr>
              <w:t>Accounting Standards:</w:t>
            </w:r>
          </w:p>
          <w:p w14:paraId="4169ED64" w14:textId="07CF64FF" w:rsidR="00A5540A" w:rsidRPr="004B3B0D" w:rsidRDefault="00A5540A"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AASB 13 Fair Value Measurement</w:t>
            </w:r>
          </w:p>
          <w:p w14:paraId="4EE05BD8" w14:textId="2B0A3397" w:rsidR="009C67D8" w:rsidRPr="004B3B0D" w:rsidRDefault="009C67D8"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AASB 116 Property, Plant and Equipment</w:t>
            </w:r>
          </w:p>
          <w:p w14:paraId="6A9ED037" w14:textId="77777777" w:rsidR="009C67D8" w:rsidRPr="004B3B0D" w:rsidRDefault="009C67D8" w:rsidP="009C67D8">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AASB 136 Impairment of Assets</w:t>
            </w:r>
          </w:p>
          <w:p w14:paraId="08435562" w14:textId="689CDB5B" w:rsidR="009C67D8" w:rsidRPr="004B3B0D" w:rsidRDefault="006A0F37" w:rsidP="006A0F37">
            <w:pPr>
              <w:pStyle w:val="NTGTableBulletList1"/>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i/>
              </w:rPr>
            </w:pPr>
            <w:r w:rsidRPr="004B3B0D">
              <w:rPr>
                <w:rFonts w:ascii="Lato" w:hAnsi="Lato"/>
              </w:rPr>
              <w:t>AASB 138 Intangible Assets</w:t>
            </w:r>
          </w:p>
        </w:tc>
      </w:tr>
    </w:tbl>
    <w:p w14:paraId="3D1318A0" w14:textId="107C7AB8" w:rsidR="006A0F37" w:rsidRPr="004B3B0D" w:rsidRDefault="006A0F37">
      <w:pPr>
        <w:pStyle w:val="Heading1"/>
      </w:pPr>
      <w:r w:rsidRPr="004B3B0D">
        <w:t>Scope</w:t>
      </w:r>
    </w:p>
    <w:p w14:paraId="7D4B8A5A" w14:textId="4031F6E0" w:rsidR="00B910F5" w:rsidRPr="004B3B0D" w:rsidRDefault="00780786" w:rsidP="006A0F37">
      <w:pPr>
        <w:pStyle w:val="ListNumber"/>
        <w:ind w:left="426"/>
      </w:pPr>
      <w:r w:rsidRPr="004B3B0D">
        <w:t>This Treasurer’s Direction</w:t>
      </w:r>
      <w:r w:rsidR="00B910F5" w:rsidRPr="004B3B0D">
        <w:t>:</w:t>
      </w:r>
      <w:r w:rsidRPr="004B3B0D">
        <w:t xml:space="preserve"> </w:t>
      </w:r>
    </w:p>
    <w:p w14:paraId="46E77971" w14:textId="67BF693D" w:rsidR="00780786" w:rsidRPr="004B3B0D" w:rsidRDefault="00134D74" w:rsidP="00B910F5">
      <w:pPr>
        <w:pStyle w:val="ListNumber"/>
        <w:numPr>
          <w:ilvl w:val="1"/>
          <w:numId w:val="12"/>
        </w:numPr>
        <w:ind w:left="993"/>
      </w:pPr>
      <w:r w:rsidRPr="004B3B0D">
        <w:t>outlines</w:t>
      </w:r>
      <w:r w:rsidR="00780786" w:rsidRPr="004B3B0D">
        <w:t xml:space="preserve"> the minimum requirements for the recognition, measurement,</w:t>
      </w:r>
      <w:r w:rsidR="0022395A" w:rsidRPr="004B3B0D">
        <w:t xml:space="preserve"> acquisition,</w:t>
      </w:r>
      <w:r w:rsidR="00780786" w:rsidRPr="004B3B0D">
        <w:t xml:space="preserve"> disposal, management and recordkeeping of the following non-financial assets:</w:t>
      </w:r>
    </w:p>
    <w:p w14:paraId="180ACCF9" w14:textId="6821477B" w:rsidR="00B910F5" w:rsidRPr="004B3B0D" w:rsidRDefault="00B910F5" w:rsidP="00B910F5">
      <w:pPr>
        <w:pStyle w:val="ListNumber"/>
        <w:numPr>
          <w:ilvl w:val="1"/>
          <w:numId w:val="14"/>
        </w:numPr>
        <w:ind w:left="1418"/>
      </w:pPr>
      <w:r w:rsidRPr="004B3B0D">
        <w:t>property, plant and equipment</w:t>
      </w:r>
    </w:p>
    <w:p w14:paraId="5FC01FBC" w14:textId="315485FA" w:rsidR="00B910F5" w:rsidRPr="004B3B0D" w:rsidRDefault="00B910F5" w:rsidP="00B910F5">
      <w:pPr>
        <w:pStyle w:val="ListNumber"/>
        <w:numPr>
          <w:ilvl w:val="1"/>
          <w:numId w:val="14"/>
        </w:numPr>
        <w:ind w:left="1418"/>
      </w:pPr>
      <w:r w:rsidRPr="004B3B0D">
        <w:t>intangible assets</w:t>
      </w:r>
    </w:p>
    <w:p w14:paraId="0E32F6D2" w14:textId="5A18B98F" w:rsidR="00780786" w:rsidRPr="007B4B13" w:rsidRDefault="00B910F5" w:rsidP="00B910F5">
      <w:pPr>
        <w:pStyle w:val="ListNumber"/>
        <w:numPr>
          <w:ilvl w:val="1"/>
          <w:numId w:val="12"/>
        </w:numPr>
        <w:ind w:left="993"/>
      </w:pPr>
      <w:proofErr w:type="gramStart"/>
      <w:r w:rsidRPr="007B4B13">
        <w:t>applies</w:t>
      </w:r>
      <w:proofErr w:type="gramEnd"/>
      <w:r w:rsidRPr="007B4B13">
        <w:t xml:space="preserve"> to all agencies including government business divisions (GBDs).</w:t>
      </w:r>
    </w:p>
    <w:p w14:paraId="019397EB" w14:textId="55A40E2A" w:rsidR="006E484F" w:rsidRPr="00D24911" w:rsidRDefault="006E484F" w:rsidP="007B4B13">
      <w:pPr>
        <w:pStyle w:val="ListNumber"/>
        <w:ind w:left="426"/>
      </w:pPr>
      <w:r w:rsidRPr="00D24911">
        <w:t>Where</w:t>
      </w:r>
      <w:r w:rsidR="008635A0" w:rsidRPr="00D24911">
        <w:t xml:space="preserve"> legislation other than the FMA specifies </w:t>
      </w:r>
      <w:r w:rsidR="004B2C58">
        <w:t xml:space="preserve">alternative </w:t>
      </w:r>
      <w:r w:rsidR="008635A0" w:rsidRPr="00D24911">
        <w:t xml:space="preserve">actions </w:t>
      </w:r>
      <w:r w:rsidR="004B2C58">
        <w:t xml:space="preserve">or approvals to those contained </w:t>
      </w:r>
      <w:r w:rsidR="008635A0" w:rsidRPr="00D24911">
        <w:t xml:space="preserve">in this Treasurer’s Direction, the relevant </w:t>
      </w:r>
      <w:r w:rsidRPr="00D24911">
        <w:t xml:space="preserve">legislation takes precedence over </w:t>
      </w:r>
      <w:r w:rsidR="008635A0" w:rsidRPr="00D24911">
        <w:t xml:space="preserve">the requirements </w:t>
      </w:r>
      <w:r w:rsidR="004B2C58">
        <w:t>in</w:t>
      </w:r>
      <w:r w:rsidR="008635A0" w:rsidRPr="00D24911">
        <w:t xml:space="preserve"> this Treasurer’s Direction.</w:t>
      </w:r>
    </w:p>
    <w:p w14:paraId="4D8E9D4C" w14:textId="62E23A17" w:rsidR="00306E23" w:rsidRPr="004B3B0D" w:rsidRDefault="00306E23" w:rsidP="0006101C">
      <w:pPr>
        <w:pStyle w:val="Heading2"/>
      </w:pPr>
      <w:r w:rsidRPr="004B3B0D">
        <w:lastRenderedPageBreak/>
        <w:t>Exclusions</w:t>
      </w:r>
    </w:p>
    <w:p w14:paraId="49143CD8" w14:textId="2A64950E" w:rsidR="00134D74" w:rsidRPr="004B3B0D" w:rsidRDefault="00033CDB" w:rsidP="006A0F37">
      <w:pPr>
        <w:pStyle w:val="ListNumber"/>
        <w:ind w:left="426"/>
      </w:pPr>
      <w:r w:rsidRPr="004B3B0D">
        <w:t>The following</w:t>
      </w:r>
      <w:r w:rsidR="003C04F1" w:rsidRPr="004B3B0D">
        <w:t xml:space="preserve"> </w:t>
      </w:r>
      <w:r w:rsidR="00C41442" w:rsidRPr="004B3B0D">
        <w:t xml:space="preserve">non-financial </w:t>
      </w:r>
      <w:r w:rsidR="003C04F1" w:rsidRPr="004B3B0D">
        <w:t>assets are excluded from the scope</w:t>
      </w:r>
      <w:r w:rsidR="004168ED" w:rsidRPr="004B3B0D">
        <w:t xml:space="preserve"> of this Treasurer’s Direction</w:t>
      </w:r>
      <w:r w:rsidR="00134D74" w:rsidRPr="004B3B0D">
        <w:t>:</w:t>
      </w:r>
    </w:p>
    <w:p w14:paraId="043C2EB6" w14:textId="386F2322" w:rsidR="00ED1FE5" w:rsidRPr="004B3B0D" w:rsidRDefault="00ED1FE5" w:rsidP="003C04F1">
      <w:pPr>
        <w:pStyle w:val="ListNumber"/>
        <w:numPr>
          <w:ilvl w:val="1"/>
          <w:numId w:val="12"/>
        </w:numPr>
        <w:ind w:left="993"/>
      </w:pPr>
      <w:r w:rsidRPr="004B3B0D">
        <w:t>assets held for sale</w:t>
      </w:r>
    </w:p>
    <w:p w14:paraId="1424E8BD" w14:textId="79D0427E" w:rsidR="00ED1FE5" w:rsidRPr="004B3B0D" w:rsidRDefault="00ED1FE5" w:rsidP="003C04F1">
      <w:pPr>
        <w:pStyle w:val="ListNumber"/>
        <w:numPr>
          <w:ilvl w:val="1"/>
          <w:numId w:val="12"/>
        </w:numPr>
        <w:ind w:left="993"/>
      </w:pPr>
      <w:r w:rsidRPr="004B3B0D">
        <w:t>biological assets</w:t>
      </w:r>
    </w:p>
    <w:p w14:paraId="6E058F9F" w14:textId="76902D40" w:rsidR="00ED1FE5" w:rsidRPr="004B3B0D" w:rsidRDefault="00ED1FE5" w:rsidP="003C04F1">
      <w:pPr>
        <w:pStyle w:val="ListNumber"/>
        <w:numPr>
          <w:ilvl w:val="1"/>
          <w:numId w:val="12"/>
        </w:numPr>
        <w:ind w:left="993"/>
      </w:pPr>
      <w:r w:rsidRPr="004B3B0D">
        <w:t>inventories</w:t>
      </w:r>
    </w:p>
    <w:p w14:paraId="63EC9BE9" w14:textId="0EAAADBB" w:rsidR="00ED1FE5" w:rsidRPr="004B3B0D" w:rsidRDefault="00ED1FE5" w:rsidP="003C04F1">
      <w:pPr>
        <w:pStyle w:val="ListNumber"/>
        <w:numPr>
          <w:ilvl w:val="1"/>
          <w:numId w:val="12"/>
        </w:numPr>
        <w:ind w:left="993"/>
      </w:pPr>
      <w:r w:rsidRPr="004B3B0D">
        <w:t>investment property</w:t>
      </w:r>
    </w:p>
    <w:p w14:paraId="44D7A165" w14:textId="72745E67" w:rsidR="00ED1FE5" w:rsidRPr="004B3B0D" w:rsidRDefault="00ED1FE5" w:rsidP="003C04F1">
      <w:pPr>
        <w:pStyle w:val="ListNumber"/>
        <w:numPr>
          <w:ilvl w:val="1"/>
          <w:numId w:val="12"/>
        </w:numPr>
        <w:ind w:left="993"/>
      </w:pPr>
      <w:r w:rsidRPr="004B3B0D">
        <w:t>right-of-use assets</w:t>
      </w:r>
    </w:p>
    <w:p w14:paraId="75568E93" w14:textId="43F9C1EA" w:rsidR="003B1968" w:rsidRPr="004B3B0D" w:rsidRDefault="003B1968" w:rsidP="003C04F1">
      <w:pPr>
        <w:pStyle w:val="ListNumber"/>
        <w:numPr>
          <w:ilvl w:val="1"/>
          <w:numId w:val="12"/>
        </w:numPr>
        <w:ind w:left="993"/>
      </w:pPr>
      <w:r w:rsidRPr="004B3B0D">
        <w:t>service concession assets</w:t>
      </w:r>
    </w:p>
    <w:p w14:paraId="60E5FFC8" w14:textId="77777777" w:rsidR="004B2C58" w:rsidRPr="00D24911" w:rsidRDefault="004B2C58" w:rsidP="004B2C58">
      <w:pPr>
        <w:pStyle w:val="Heading2"/>
      </w:pPr>
      <w:r w:rsidRPr="00D24911">
        <w:t>Low value assets</w:t>
      </w:r>
    </w:p>
    <w:p w14:paraId="72928D3F" w14:textId="3D44FB4A" w:rsidR="004B2C58" w:rsidRPr="00D24911" w:rsidRDefault="004B2C58" w:rsidP="004B2C58">
      <w:pPr>
        <w:pStyle w:val="ListNumber"/>
        <w:ind w:left="426"/>
      </w:pPr>
      <w:r>
        <w:t>L</w:t>
      </w:r>
      <w:r w:rsidRPr="00D24911">
        <w:t xml:space="preserve">ow value assets (assets expensed on acquisition) </w:t>
      </w:r>
      <w:r>
        <w:t xml:space="preserve">are excluded from the scope of </w:t>
      </w:r>
      <w:r w:rsidRPr="00D24911">
        <w:t>this Treasurer’s Direction</w:t>
      </w:r>
      <w:r>
        <w:t>,</w:t>
      </w:r>
      <w:r w:rsidR="00520C9A">
        <w:t xml:space="preserve"> </w:t>
      </w:r>
      <w:r>
        <w:t>with the exception of the following conditions</w:t>
      </w:r>
      <w:r w:rsidRPr="00D24911">
        <w:t>:</w:t>
      </w:r>
    </w:p>
    <w:p w14:paraId="7B4191CF" w14:textId="54E07C3D" w:rsidR="004B2C58" w:rsidRPr="00D24911" w:rsidRDefault="004B2C58" w:rsidP="004B2C58">
      <w:pPr>
        <w:pStyle w:val="ListNumber"/>
        <w:numPr>
          <w:ilvl w:val="1"/>
          <w:numId w:val="12"/>
        </w:numPr>
      </w:pPr>
      <w:r w:rsidRPr="00D24911">
        <w:t xml:space="preserve">asset recognition (paragraph </w:t>
      </w:r>
      <w:r w:rsidRPr="00D24911">
        <w:fldChar w:fldCharType="begin"/>
      </w:r>
      <w:r w:rsidRPr="00D24911">
        <w:instrText xml:space="preserve"> REF _Ref93328968 \r \h </w:instrText>
      </w:r>
      <w:r>
        <w:instrText xml:space="preserve"> \* MERGEFORMAT </w:instrText>
      </w:r>
      <w:r w:rsidRPr="00D24911">
        <w:fldChar w:fldCharType="separate"/>
      </w:r>
      <w:r w:rsidR="009D2C5B">
        <w:t>11</w:t>
      </w:r>
      <w:r w:rsidRPr="00D24911">
        <w:fldChar w:fldCharType="end"/>
      </w:r>
      <w:r w:rsidRPr="00D24911">
        <w:t>)</w:t>
      </w:r>
    </w:p>
    <w:p w14:paraId="1D83B002" w14:textId="4982B0AE" w:rsidR="004B2C58" w:rsidRPr="00D24911" w:rsidRDefault="004B2C58" w:rsidP="004B2C58">
      <w:pPr>
        <w:pStyle w:val="ListNumber"/>
        <w:numPr>
          <w:ilvl w:val="1"/>
          <w:numId w:val="12"/>
        </w:numPr>
      </w:pPr>
      <w:r w:rsidRPr="00D24911">
        <w:t xml:space="preserve">asset derecognition (paragraphs </w:t>
      </w:r>
      <w:r w:rsidRPr="00D24911">
        <w:fldChar w:fldCharType="begin"/>
      </w:r>
      <w:r w:rsidRPr="00D24911">
        <w:instrText xml:space="preserve"> REF _Ref160202684 \r \h </w:instrText>
      </w:r>
      <w:r>
        <w:instrText xml:space="preserve"> \* MERGEFORMAT </w:instrText>
      </w:r>
      <w:r w:rsidRPr="00D24911">
        <w:fldChar w:fldCharType="separate"/>
      </w:r>
      <w:r w:rsidR="009D2C5B">
        <w:t>54</w:t>
      </w:r>
      <w:r w:rsidRPr="00D24911">
        <w:fldChar w:fldCharType="end"/>
      </w:r>
      <w:r w:rsidRPr="00D24911">
        <w:t xml:space="preserve"> to </w:t>
      </w:r>
      <w:r w:rsidRPr="00D24911">
        <w:fldChar w:fldCharType="begin"/>
      </w:r>
      <w:r w:rsidRPr="00D24911">
        <w:instrText xml:space="preserve"> REF _Ref131667758 \r \h </w:instrText>
      </w:r>
      <w:r>
        <w:instrText xml:space="preserve"> \* MERGEFORMAT </w:instrText>
      </w:r>
      <w:r w:rsidRPr="00D24911">
        <w:fldChar w:fldCharType="separate"/>
      </w:r>
      <w:r w:rsidR="009D2C5B">
        <w:t>65</w:t>
      </w:r>
      <w:r w:rsidRPr="00D24911">
        <w:fldChar w:fldCharType="end"/>
      </w:r>
      <w:r w:rsidRPr="00D24911">
        <w:t>)</w:t>
      </w:r>
    </w:p>
    <w:p w14:paraId="00A077FC" w14:textId="7F4ABC04" w:rsidR="006A6650" w:rsidRPr="004B3B0D" w:rsidRDefault="006A6650" w:rsidP="0006101C">
      <w:pPr>
        <w:pStyle w:val="Heading2"/>
      </w:pPr>
      <w:r w:rsidRPr="004B3B0D">
        <w:t>Definitions</w:t>
      </w:r>
    </w:p>
    <w:p w14:paraId="30EFCD30" w14:textId="42D007DD" w:rsidR="006A35BF" w:rsidRPr="004B3B0D" w:rsidRDefault="006A35BF" w:rsidP="00556E16">
      <w:pPr>
        <w:pStyle w:val="ListNumber"/>
        <w:ind w:left="426"/>
        <w:rPr>
          <w:b/>
        </w:rPr>
      </w:pPr>
      <w:r w:rsidRPr="004B3B0D">
        <w:rPr>
          <w:b/>
        </w:rPr>
        <w:t xml:space="preserve">Budget round </w:t>
      </w:r>
      <w:r w:rsidRPr="004B3B0D">
        <w:t>consists of the annual budget development process, mid-year process and end</w:t>
      </w:r>
      <w:r w:rsidR="004B2C58">
        <w:t>-</w:t>
      </w:r>
      <w:r w:rsidRPr="004B3B0D">
        <w:t>of</w:t>
      </w:r>
      <w:r w:rsidR="004B2C58">
        <w:t>-</w:t>
      </w:r>
      <w:r w:rsidRPr="004B3B0D">
        <w:t>year process.</w:t>
      </w:r>
    </w:p>
    <w:p w14:paraId="203CC3BB" w14:textId="3A730FF3" w:rsidR="006A35BF" w:rsidRPr="004B3B0D" w:rsidRDefault="006A35BF" w:rsidP="00556E16">
      <w:pPr>
        <w:pStyle w:val="ListNumber"/>
        <w:ind w:left="426"/>
        <w:rPr>
          <w:b/>
        </w:rPr>
      </w:pPr>
      <w:r w:rsidRPr="004B3B0D">
        <w:rPr>
          <w:b/>
        </w:rPr>
        <w:t>Capitalisation threshold</w:t>
      </w:r>
      <w:r w:rsidRPr="004B3B0D">
        <w:t xml:space="preserve"> is the minimum original cost or fair value at which a</w:t>
      </w:r>
      <w:r w:rsidR="008C5BD6" w:rsidRPr="004B3B0D">
        <w:t xml:space="preserve"> non-financial</w:t>
      </w:r>
      <w:r w:rsidRPr="004B3B0D">
        <w:t xml:space="preserve"> asset must be recorded in the balance sheet. The threshold for:</w:t>
      </w:r>
    </w:p>
    <w:p w14:paraId="4AEF0163" w14:textId="60B3006C" w:rsidR="006A35BF" w:rsidRPr="004B3B0D" w:rsidRDefault="006A35BF" w:rsidP="004B3B0D">
      <w:pPr>
        <w:pStyle w:val="ListNumber"/>
        <w:numPr>
          <w:ilvl w:val="1"/>
          <w:numId w:val="12"/>
        </w:numPr>
        <w:ind w:left="993"/>
        <w:rPr>
          <w:b/>
        </w:rPr>
      </w:pPr>
      <w:r w:rsidRPr="004B3B0D">
        <w:t>non-financial assets, except land is $10,000 (exclusive GST)</w:t>
      </w:r>
    </w:p>
    <w:p w14:paraId="4E241031" w14:textId="3D36044E" w:rsidR="006A35BF" w:rsidRPr="00D24911" w:rsidRDefault="006A35BF" w:rsidP="004B3B0D">
      <w:pPr>
        <w:pStyle w:val="ListNumber"/>
        <w:numPr>
          <w:ilvl w:val="1"/>
          <w:numId w:val="12"/>
        </w:numPr>
        <w:ind w:left="993"/>
        <w:rPr>
          <w:b/>
        </w:rPr>
      </w:pPr>
      <w:proofErr w:type="gramStart"/>
      <w:r w:rsidRPr="00D24911">
        <w:t>land</w:t>
      </w:r>
      <w:proofErr w:type="gramEnd"/>
      <w:r w:rsidRPr="00D24911">
        <w:t xml:space="preserve"> is $1.</w:t>
      </w:r>
    </w:p>
    <w:p w14:paraId="3DB5FB52" w14:textId="36D99FE2" w:rsidR="005D34F1" w:rsidRPr="009D2C5B" w:rsidRDefault="005D34F1" w:rsidP="00F66CC0">
      <w:pPr>
        <w:pStyle w:val="ListNumber"/>
        <w:ind w:left="426"/>
        <w:rPr>
          <w:b/>
        </w:rPr>
      </w:pPr>
      <w:bookmarkStart w:id="1" w:name="_Ref160533282"/>
      <w:r w:rsidRPr="009D2C5B">
        <w:rPr>
          <w:b/>
        </w:rPr>
        <w:t xml:space="preserve">Collection </w:t>
      </w:r>
      <w:r w:rsidRPr="009D2C5B">
        <w:t xml:space="preserve">is </w:t>
      </w:r>
      <w:r w:rsidR="00902FA5" w:rsidRPr="009D2C5B">
        <w:t>a group of assets that display similar characteristics</w:t>
      </w:r>
      <w:r w:rsidR="003E375F" w:rsidRPr="009D2C5B">
        <w:t xml:space="preserve"> or attributes</w:t>
      </w:r>
      <w:r w:rsidR="00666741" w:rsidRPr="009D2C5B">
        <w:t>.</w:t>
      </w:r>
    </w:p>
    <w:p w14:paraId="39EA600A" w14:textId="77777777" w:rsidR="005D34F1" w:rsidRPr="006825E5" w:rsidRDefault="005D34F1" w:rsidP="005D34F1">
      <w:pPr>
        <w:pStyle w:val="ListNumber"/>
        <w:ind w:left="426"/>
        <w:rPr>
          <w:b/>
        </w:rPr>
      </w:pPr>
      <w:r w:rsidRPr="006825E5">
        <w:rPr>
          <w:b/>
        </w:rPr>
        <w:t xml:space="preserve">Complex asset </w:t>
      </w:r>
      <w:r w:rsidRPr="006825E5">
        <w:t xml:space="preserve">is a physical non-financial asset capable of disaggregation into separate and identifiable significant components. </w:t>
      </w:r>
    </w:p>
    <w:p w14:paraId="5AE63354" w14:textId="55D77D43" w:rsidR="00520C9A" w:rsidRDefault="00F66CC0" w:rsidP="00F66CC0">
      <w:pPr>
        <w:pStyle w:val="ListNumber"/>
        <w:ind w:left="426"/>
      </w:pPr>
      <w:r w:rsidRPr="00D24911">
        <w:rPr>
          <w:b/>
        </w:rPr>
        <w:t xml:space="preserve">Disposal </w:t>
      </w:r>
      <w:r w:rsidR="00AB6B10" w:rsidRPr="00D24911">
        <w:t xml:space="preserve">is the </w:t>
      </w:r>
      <w:r w:rsidRPr="00D24911">
        <w:t>act of</w:t>
      </w:r>
      <w:r w:rsidR="00520C9A">
        <w:t>:</w:t>
      </w:r>
    </w:p>
    <w:p w14:paraId="599C9969" w14:textId="1B1DD3B6" w:rsidR="00520C9A" w:rsidRDefault="00BB0763" w:rsidP="00520C9A">
      <w:pPr>
        <w:pStyle w:val="ListNumber"/>
        <w:numPr>
          <w:ilvl w:val="1"/>
          <w:numId w:val="12"/>
        </w:numPr>
      </w:pPr>
      <w:r w:rsidRPr="00D24911">
        <w:t xml:space="preserve">relinquishing control </w:t>
      </w:r>
      <w:r w:rsidR="00E73395" w:rsidRPr="00D24911">
        <w:t xml:space="preserve">to a beneficiary or third party who is external to the Northern Territory Government </w:t>
      </w:r>
      <w:r w:rsidRPr="00D24911">
        <w:t xml:space="preserve">or </w:t>
      </w:r>
    </w:p>
    <w:p w14:paraId="51E096B0" w14:textId="02F89475" w:rsidR="00F66CC0" w:rsidRPr="00D24911" w:rsidRDefault="00B07A0E" w:rsidP="009D2C5B">
      <w:pPr>
        <w:pStyle w:val="ListNumber"/>
        <w:numPr>
          <w:ilvl w:val="1"/>
          <w:numId w:val="12"/>
        </w:numPr>
      </w:pPr>
      <w:proofErr w:type="gramStart"/>
      <w:r w:rsidRPr="00D24911">
        <w:t>discarding</w:t>
      </w:r>
      <w:proofErr w:type="gramEnd"/>
      <w:r w:rsidRPr="00D24911">
        <w:t xml:space="preserve"> or </w:t>
      </w:r>
      <w:r w:rsidR="00BB0763" w:rsidRPr="00D24911">
        <w:t>demolishing</w:t>
      </w:r>
      <w:r w:rsidR="00E73395" w:rsidRPr="00D24911">
        <w:t xml:space="preserve"> an </w:t>
      </w:r>
      <w:r w:rsidR="00053CED" w:rsidRPr="00D24911">
        <w:t>asset, which</w:t>
      </w:r>
      <w:r w:rsidR="00E73395" w:rsidRPr="00D24911">
        <w:t xml:space="preserve"> has no </w:t>
      </w:r>
      <w:r w:rsidR="00BB0763" w:rsidRPr="00D24911">
        <w:t>further use</w:t>
      </w:r>
      <w:r w:rsidR="00E73395" w:rsidRPr="00D24911">
        <w:t>.</w:t>
      </w:r>
      <w:r w:rsidR="00BB0763" w:rsidRPr="00D24911">
        <w:t xml:space="preserve"> </w:t>
      </w:r>
      <w:bookmarkEnd w:id="1"/>
    </w:p>
    <w:p w14:paraId="4305EE25" w14:textId="09464A22" w:rsidR="00556E16" w:rsidRDefault="00556E16">
      <w:pPr>
        <w:pStyle w:val="ListNumber"/>
        <w:ind w:left="426"/>
      </w:pPr>
      <w:r w:rsidRPr="004B3B0D">
        <w:rPr>
          <w:b/>
        </w:rPr>
        <w:t xml:space="preserve">Interim revaluation </w:t>
      </w:r>
      <w:r w:rsidR="009C54E2" w:rsidRPr="004B3B0D">
        <w:t xml:space="preserve">relates to a revaluation conducted outside the agency’s rolling valuation </w:t>
      </w:r>
      <w:r w:rsidR="00B727AB" w:rsidRPr="004B3B0D">
        <w:t>schedule</w:t>
      </w:r>
      <w:r w:rsidR="009C54E2" w:rsidRPr="004B3B0D">
        <w:t>.</w:t>
      </w:r>
    </w:p>
    <w:p w14:paraId="22B8206A" w14:textId="6010D3F6" w:rsidR="00B2229C" w:rsidRPr="004B3B0D" w:rsidRDefault="00233301" w:rsidP="00B2229C">
      <w:pPr>
        <w:pStyle w:val="Heading1"/>
      </w:pPr>
      <w:r w:rsidRPr="004B3B0D">
        <w:t>Recognition</w:t>
      </w:r>
    </w:p>
    <w:p w14:paraId="397FB1C6" w14:textId="08F92A7F" w:rsidR="009C67D8" w:rsidRPr="004B3B0D" w:rsidRDefault="00087F27" w:rsidP="00233301">
      <w:pPr>
        <w:pStyle w:val="ListNumber"/>
        <w:ind w:left="426"/>
      </w:pPr>
      <w:bookmarkStart w:id="2" w:name="_Ref93328968"/>
      <w:r w:rsidRPr="004B3B0D">
        <w:t>An a</w:t>
      </w:r>
      <w:r w:rsidR="00233301" w:rsidRPr="004B3B0D">
        <w:t xml:space="preserve">ccountable officer must recognise </w:t>
      </w:r>
      <w:r w:rsidR="00EC32D2" w:rsidRPr="004B3B0D">
        <w:t>a</w:t>
      </w:r>
      <w:r w:rsidR="00233301" w:rsidRPr="004B3B0D">
        <w:t xml:space="preserve"> </w:t>
      </w:r>
      <w:r w:rsidR="00A97E3A" w:rsidRPr="004B3B0D">
        <w:t>non-financial asset</w:t>
      </w:r>
      <w:r w:rsidR="000317E0" w:rsidRPr="004B3B0D">
        <w:t xml:space="preserve"> </w:t>
      </w:r>
      <w:r w:rsidR="00C41442" w:rsidRPr="004B3B0D">
        <w:t>as</w:t>
      </w:r>
      <w:r w:rsidR="000317E0" w:rsidRPr="004B3B0D">
        <w:t xml:space="preserve"> one of the following</w:t>
      </w:r>
      <w:r w:rsidR="009C67D8" w:rsidRPr="004B3B0D">
        <w:t>:</w:t>
      </w:r>
      <w:bookmarkEnd w:id="2"/>
    </w:p>
    <w:p w14:paraId="3EFC0ECA" w14:textId="19423ED5" w:rsidR="00A63FFB" w:rsidRPr="004B3B0D" w:rsidRDefault="009C67D8" w:rsidP="0006101C">
      <w:pPr>
        <w:pStyle w:val="ListNumber"/>
        <w:numPr>
          <w:ilvl w:val="0"/>
          <w:numId w:val="103"/>
        </w:numPr>
      </w:pPr>
      <w:bookmarkStart w:id="3" w:name="_Ref95837650"/>
      <w:r w:rsidRPr="004B3B0D">
        <w:t xml:space="preserve">in the balance sheet </w:t>
      </w:r>
      <w:r w:rsidR="00A63FFB" w:rsidRPr="004B3B0D">
        <w:t>when all of the following criteria are satisfied:</w:t>
      </w:r>
      <w:bookmarkEnd w:id="3"/>
    </w:p>
    <w:p w14:paraId="7B742AF0" w14:textId="06269F9D" w:rsidR="00715389" w:rsidRPr="004B3B0D" w:rsidRDefault="005E16BC" w:rsidP="0006101C">
      <w:pPr>
        <w:pStyle w:val="ListNumber"/>
        <w:numPr>
          <w:ilvl w:val="1"/>
          <w:numId w:val="33"/>
        </w:numPr>
      </w:pPr>
      <w:r w:rsidRPr="004B3B0D">
        <w:t>agency controls the</w:t>
      </w:r>
      <w:r w:rsidR="008C5BD6" w:rsidRPr="004B3B0D">
        <w:t xml:space="preserve"> non-financial</w:t>
      </w:r>
      <w:r w:rsidRPr="004B3B0D">
        <w:t xml:space="preserve"> asset </w:t>
      </w:r>
    </w:p>
    <w:p w14:paraId="094411B9" w14:textId="5EDF3209" w:rsidR="00A63FFB" w:rsidRPr="004B3B0D" w:rsidRDefault="00A63FFB" w:rsidP="0006101C">
      <w:pPr>
        <w:pStyle w:val="ListNumber"/>
        <w:numPr>
          <w:ilvl w:val="1"/>
          <w:numId w:val="33"/>
        </w:numPr>
      </w:pPr>
      <w:r w:rsidRPr="004B3B0D">
        <w:t>it is probable that future economic benefits will eventuate</w:t>
      </w:r>
      <w:r w:rsidR="006A6650" w:rsidRPr="004B3B0D">
        <w:t xml:space="preserve"> or flow to the agency</w:t>
      </w:r>
    </w:p>
    <w:p w14:paraId="258BE633" w14:textId="709BB29C" w:rsidR="00233301" w:rsidRPr="004B3B0D" w:rsidRDefault="00A63FFB" w:rsidP="0006101C">
      <w:pPr>
        <w:pStyle w:val="ListNumber"/>
        <w:numPr>
          <w:ilvl w:val="1"/>
          <w:numId w:val="33"/>
        </w:numPr>
      </w:pPr>
      <w:r w:rsidRPr="004B3B0D">
        <w:t xml:space="preserve">the </w:t>
      </w:r>
      <w:r w:rsidR="008C5BD6" w:rsidRPr="004B3B0D">
        <w:t xml:space="preserve">non-financial </w:t>
      </w:r>
      <w:r w:rsidRPr="004B3B0D">
        <w:t>asset possesses a cost or value that can be measured reliably</w:t>
      </w:r>
    </w:p>
    <w:p w14:paraId="3026E1D1" w14:textId="23ECFCA9" w:rsidR="00A63FFB" w:rsidRPr="004B3B0D" w:rsidRDefault="00A63FFB" w:rsidP="0006101C">
      <w:pPr>
        <w:pStyle w:val="ListNumber"/>
        <w:numPr>
          <w:ilvl w:val="1"/>
          <w:numId w:val="33"/>
        </w:numPr>
      </w:pPr>
      <w:bookmarkStart w:id="4" w:name="_Ref93653303"/>
      <w:proofErr w:type="gramStart"/>
      <w:r w:rsidRPr="004B3B0D">
        <w:lastRenderedPageBreak/>
        <w:t>the</w:t>
      </w:r>
      <w:proofErr w:type="gramEnd"/>
      <w:r w:rsidRPr="004B3B0D">
        <w:t xml:space="preserve"> original cost or fair value is greater than or equal to</w:t>
      </w:r>
      <w:r w:rsidR="004934ED" w:rsidRPr="004B3B0D">
        <w:t xml:space="preserve"> the capitalisation threshold</w:t>
      </w:r>
      <w:r w:rsidRPr="004B3B0D">
        <w:t>.</w:t>
      </w:r>
      <w:bookmarkEnd w:id="4"/>
    </w:p>
    <w:p w14:paraId="2584EDD8" w14:textId="4ADC2188" w:rsidR="009C67D8" w:rsidRPr="004B3B0D" w:rsidRDefault="009C67D8" w:rsidP="0006101C">
      <w:pPr>
        <w:pStyle w:val="ListNumber"/>
        <w:numPr>
          <w:ilvl w:val="0"/>
          <w:numId w:val="103"/>
        </w:numPr>
      </w:pPr>
      <w:bookmarkStart w:id="5" w:name="_Ref136526034"/>
      <w:proofErr w:type="gramStart"/>
      <w:r w:rsidRPr="004B3B0D">
        <w:t>as</w:t>
      </w:r>
      <w:proofErr w:type="gramEnd"/>
      <w:r w:rsidRPr="004B3B0D">
        <w:t xml:space="preserve"> an expense</w:t>
      </w:r>
      <w:r w:rsidR="00520C9A">
        <w:t xml:space="preserve"> in the statement of comprehensive income</w:t>
      </w:r>
      <w:r w:rsidRPr="004B3B0D">
        <w:t>.</w:t>
      </w:r>
      <w:bookmarkEnd w:id="5"/>
    </w:p>
    <w:p w14:paraId="5EA79FB5" w14:textId="434BE920" w:rsidR="00233301" w:rsidRDefault="00233301" w:rsidP="00233301">
      <w:pPr>
        <w:pStyle w:val="ListNumber"/>
        <w:ind w:left="426"/>
      </w:pPr>
      <w:r w:rsidRPr="004B3B0D">
        <w:t>Where a</w:t>
      </w:r>
      <w:r w:rsidR="008C5BD6" w:rsidRPr="004B3B0D">
        <w:t xml:space="preserve"> non-financial</w:t>
      </w:r>
      <w:r w:rsidRPr="004B3B0D">
        <w:t xml:space="preserve"> asset is shared</w:t>
      </w:r>
      <w:r w:rsidR="003D7944" w:rsidRPr="004B3B0D">
        <w:t xml:space="preserve"> and used</w:t>
      </w:r>
      <w:r w:rsidRPr="004B3B0D">
        <w:t xml:space="preserve"> between multiple agencies, the agency that controls the </w:t>
      </w:r>
      <w:r w:rsidR="00A53414" w:rsidRPr="004B3B0D">
        <w:t xml:space="preserve">majority </w:t>
      </w:r>
      <w:r w:rsidR="00F53325" w:rsidRPr="004B3B0D">
        <w:t xml:space="preserve">portion of the </w:t>
      </w:r>
      <w:r w:rsidR="008C5BD6" w:rsidRPr="004B3B0D">
        <w:t xml:space="preserve">non-financial </w:t>
      </w:r>
      <w:r w:rsidRPr="004B3B0D">
        <w:t>asset must recognise the entire asset</w:t>
      </w:r>
      <w:r w:rsidR="00BA2FF9" w:rsidRPr="004B3B0D">
        <w:t xml:space="preserve"> value</w:t>
      </w:r>
      <w:r w:rsidR="00097985" w:rsidRPr="004B3B0D">
        <w:t xml:space="preserve">, pursuant to paragraph </w:t>
      </w:r>
      <w:r w:rsidR="00097985" w:rsidRPr="004B3B0D">
        <w:fldChar w:fldCharType="begin"/>
      </w:r>
      <w:r w:rsidR="00097985" w:rsidRPr="004B3B0D">
        <w:instrText xml:space="preserve"> REF _Ref93328968 \r \h </w:instrText>
      </w:r>
      <w:r w:rsidR="00055404" w:rsidRPr="004B3B0D">
        <w:instrText xml:space="preserve"> \* MERGEFORMAT </w:instrText>
      </w:r>
      <w:r w:rsidR="00097985" w:rsidRPr="004B3B0D">
        <w:fldChar w:fldCharType="separate"/>
      </w:r>
      <w:r w:rsidR="009D2C5B">
        <w:t>11</w:t>
      </w:r>
      <w:r w:rsidR="00097985" w:rsidRPr="004B3B0D">
        <w:fldChar w:fldCharType="end"/>
      </w:r>
      <w:r w:rsidRPr="004B3B0D">
        <w:t>.</w:t>
      </w:r>
    </w:p>
    <w:p w14:paraId="0599F203" w14:textId="70EA067D" w:rsidR="00666741" w:rsidRPr="009D2C5B" w:rsidRDefault="005D34F1" w:rsidP="00233301">
      <w:pPr>
        <w:pStyle w:val="ListNumber"/>
        <w:ind w:left="426"/>
      </w:pPr>
      <w:r w:rsidRPr="009D2C5B">
        <w:t>An agency may</w:t>
      </w:r>
      <w:r w:rsidR="00666741" w:rsidRPr="009D2C5B">
        <w:t xml:space="preserve"> r</w:t>
      </w:r>
      <w:r w:rsidR="00322270" w:rsidRPr="009D2C5B">
        <w:t>ecognise</w:t>
      </w:r>
      <w:r w:rsidR="00427C7A" w:rsidRPr="009D2C5B">
        <w:t xml:space="preserve"> and record</w:t>
      </w:r>
      <w:r w:rsidR="00322270" w:rsidRPr="009D2C5B">
        <w:t xml:space="preserve"> </w:t>
      </w:r>
      <w:r w:rsidR="00D35C14" w:rsidRPr="009D2C5B">
        <w:t xml:space="preserve">non-financial </w:t>
      </w:r>
      <w:r w:rsidR="00322270" w:rsidRPr="009D2C5B">
        <w:t>assets as collections</w:t>
      </w:r>
      <w:r w:rsidR="00666741" w:rsidRPr="009D2C5B">
        <w:t xml:space="preserve"> where</w:t>
      </w:r>
      <w:r w:rsidR="00EA2446" w:rsidRPr="009D2C5B">
        <w:t xml:space="preserve"> </w:t>
      </w:r>
      <w:r w:rsidR="00EA2446" w:rsidRPr="009D2C5B">
        <w:rPr>
          <w:u w:val="single"/>
        </w:rPr>
        <w:t>all</w:t>
      </w:r>
      <w:r w:rsidR="00EA2446" w:rsidRPr="009D2C5B">
        <w:t xml:space="preserve"> of the following conditions are met</w:t>
      </w:r>
      <w:r w:rsidR="00666741" w:rsidRPr="009D2C5B">
        <w:t>:</w:t>
      </w:r>
    </w:p>
    <w:p w14:paraId="0262F53B" w14:textId="243956A4" w:rsidR="00666741" w:rsidRPr="009D2C5B" w:rsidRDefault="00666741" w:rsidP="009D2C5B">
      <w:pPr>
        <w:pStyle w:val="ListNumber"/>
        <w:numPr>
          <w:ilvl w:val="1"/>
          <w:numId w:val="12"/>
        </w:numPr>
      </w:pPr>
      <w:r w:rsidRPr="009D2C5B">
        <w:t>assets are heritage and cultural assets</w:t>
      </w:r>
      <w:r w:rsidR="00EA2446" w:rsidRPr="009D2C5B">
        <w:t xml:space="preserve"> </w:t>
      </w:r>
    </w:p>
    <w:p w14:paraId="547211A3" w14:textId="64BDFC64" w:rsidR="00EA2446" w:rsidRPr="009D2C5B" w:rsidRDefault="00EA2446" w:rsidP="009D2C5B">
      <w:pPr>
        <w:pStyle w:val="ListNumber"/>
        <w:numPr>
          <w:ilvl w:val="1"/>
          <w:numId w:val="12"/>
        </w:numPr>
      </w:pPr>
      <w:r w:rsidRPr="009D2C5B">
        <w:t>assets are located in the same location</w:t>
      </w:r>
      <w:r w:rsidR="00F73D04" w:rsidRPr="009D2C5B">
        <w:t xml:space="preserve"> and</w:t>
      </w:r>
    </w:p>
    <w:p w14:paraId="365E78E4" w14:textId="7A185E2E" w:rsidR="005D34F1" w:rsidRPr="009D2C5B" w:rsidRDefault="003E375F" w:rsidP="009D2C5B">
      <w:pPr>
        <w:pStyle w:val="ListNumber"/>
        <w:numPr>
          <w:ilvl w:val="1"/>
          <w:numId w:val="12"/>
        </w:numPr>
      </w:pPr>
      <w:proofErr w:type="gramStart"/>
      <w:r w:rsidRPr="009D2C5B">
        <w:t>the</w:t>
      </w:r>
      <w:proofErr w:type="gramEnd"/>
      <w:r w:rsidRPr="009D2C5B">
        <w:t xml:space="preserve"> costs of recognising the assets individually outweigh the benefits</w:t>
      </w:r>
      <w:r w:rsidR="007867BD" w:rsidRPr="009D2C5B">
        <w:t>.</w:t>
      </w:r>
    </w:p>
    <w:p w14:paraId="52E46CFB" w14:textId="6B8519B8" w:rsidR="00D1123C" w:rsidRPr="004B3B0D" w:rsidRDefault="00835512" w:rsidP="00233301">
      <w:pPr>
        <w:pStyle w:val="Heading2"/>
      </w:pPr>
      <w:r w:rsidRPr="004B3B0D">
        <w:t>Significant components of an asset</w:t>
      </w:r>
    </w:p>
    <w:p w14:paraId="6B153571" w14:textId="23254025" w:rsidR="00A805D2" w:rsidRPr="004B3B0D" w:rsidRDefault="003D4042">
      <w:pPr>
        <w:pStyle w:val="ListNumber"/>
        <w:ind w:left="426"/>
      </w:pPr>
      <w:bookmarkStart w:id="6" w:name="_Ref148021278"/>
      <w:bookmarkStart w:id="7" w:name="_Ref129784110"/>
      <w:bookmarkStart w:id="8" w:name="_Ref128997951"/>
      <w:r w:rsidRPr="004B3B0D">
        <w:t xml:space="preserve">An </w:t>
      </w:r>
      <w:r w:rsidR="00A805D2" w:rsidRPr="004B3B0D">
        <w:t>accountable officer</w:t>
      </w:r>
      <w:r w:rsidRPr="004B3B0D">
        <w:t xml:space="preserve"> must</w:t>
      </w:r>
      <w:r w:rsidR="00A805D2" w:rsidRPr="004B3B0D">
        <w:t>:</w:t>
      </w:r>
      <w:bookmarkEnd w:id="6"/>
    </w:p>
    <w:p w14:paraId="0260476B" w14:textId="12EF1037" w:rsidR="003D4042" w:rsidRPr="004B3B0D" w:rsidRDefault="00123068" w:rsidP="004B3B0D">
      <w:pPr>
        <w:pStyle w:val="ListNumber"/>
        <w:numPr>
          <w:ilvl w:val="0"/>
          <w:numId w:val="151"/>
        </w:numPr>
      </w:pPr>
      <w:r w:rsidRPr="004B3B0D">
        <w:t xml:space="preserve">disaggregate </w:t>
      </w:r>
      <w:r w:rsidR="00A53414" w:rsidRPr="004B3B0D">
        <w:t>a</w:t>
      </w:r>
      <w:r w:rsidR="008C5BD6" w:rsidRPr="004B3B0D">
        <w:t xml:space="preserve"> </w:t>
      </w:r>
      <w:r w:rsidR="006B2BEF">
        <w:t>complex asset</w:t>
      </w:r>
      <w:r w:rsidRPr="004B3B0D">
        <w:t xml:space="preserve"> where the </w:t>
      </w:r>
      <w:r w:rsidR="003D4042" w:rsidRPr="004B3B0D">
        <w:t>total cost or fair value</w:t>
      </w:r>
      <w:r w:rsidR="00A805D2" w:rsidRPr="004B3B0D">
        <w:t xml:space="preserve"> </w:t>
      </w:r>
      <w:r w:rsidR="003D4042" w:rsidRPr="004B3B0D">
        <w:t>on initial recognition is $10 million or more</w:t>
      </w:r>
      <w:bookmarkEnd w:id="7"/>
      <w:r w:rsidR="00A94B1F">
        <w:t>, and:</w:t>
      </w:r>
    </w:p>
    <w:p w14:paraId="0FD14E8B" w14:textId="60880114" w:rsidR="00A805D2" w:rsidRPr="004B3B0D" w:rsidRDefault="00123068" w:rsidP="004B3B0D">
      <w:pPr>
        <w:pStyle w:val="ListNumber"/>
        <w:numPr>
          <w:ilvl w:val="0"/>
          <w:numId w:val="151"/>
        </w:numPr>
      </w:pPr>
      <w:r w:rsidRPr="004B3B0D">
        <w:t xml:space="preserve">record a separate asset where a </w:t>
      </w:r>
      <w:r w:rsidR="00A805D2" w:rsidRPr="004B3B0D">
        <w:t>componen</w:t>
      </w:r>
      <w:r w:rsidRPr="004B3B0D">
        <w:t>t</w:t>
      </w:r>
      <w:r w:rsidR="00A805D2" w:rsidRPr="004B3B0D">
        <w:t xml:space="preserve"> meet</w:t>
      </w:r>
      <w:r w:rsidR="00CA6C02" w:rsidRPr="004B3B0D">
        <w:t>s</w:t>
      </w:r>
      <w:r w:rsidR="00A805D2" w:rsidRPr="004B3B0D">
        <w:t xml:space="preserve"> </w:t>
      </w:r>
      <w:r w:rsidR="00A805D2" w:rsidRPr="004B3B0D">
        <w:rPr>
          <w:u w:val="single"/>
        </w:rPr>
        <w:t>all</w:t>
      </w:r>
      <w:r w:rsidR="00A805D2" w:rsidRPr="004B3B0D">
        <w:t xml:space="preserve"> of the following criteria:</w:t>
      </w:r>
    </w:p>
    <w:bookmarkEnd w:id="8"/>
    <w:p w14:paraId="0B012B94" w14:textId="1ADAAEB3" w:rsidR="00AC7D96" w:rsidRPr="004B3B0D" w:rsidRDefault="00AC7D96" w:rsidP="004B3B0D">
      <w:pPr>
        <w:pStyle w:val="ListNumber"/>
        <w:numPr>
          <w:ilvl w:val="1"/>
          <w:numId w:val="148"/>
        </w:numPr>
      </w:pPr>
      <w:r w:rsidRPr="004B3B0D">
        <w:t>it can be separately identified and measured</w:t>
      </w:r>
    </w:p>
    <w:p w14:paraId="6C52C95D" w14:textId="34049029" w:rsidR="00410BEF" w:rsidRPr="004B3B0D" w:rsidRDefault="00410BEF" w:rsidP="004B3B0D">
      <w:pPr>
        <w:pStyle w:val="ListNumber"/>
        <w:numPr>
          <w:ilvl w:val="1"/>
          <w:numId w:val="148"/>
        </w:numPr>
      </w:pPr>
      <w:r w:rsidRPr="004B3B0D">
        <w:t xml:space="preserve">has a different estimated useful life from the </w:t>
      </w:r>
      <w:r w:rsidR="006B2BEF">
        <w:t>complex</w:t>
      </w:r>
      <w:r w:rsidR="006A35BF" w:rsidRPr="004B3B0D">
        <w:t xml:space="preserve"> </w:t>
      </w:r>
      <w:r w:rsidRPr="004B3B0D">
        <w:t>asset</w:t>
      </w:r>
    </w:p>
    <w:p w14:paraId="32F2A8B9" w14:textId="2E1B31D0" w:rsidR="00AC7D96" w:rsidRPr="004B3B0D" w:rsidRDefault="006A7311" w:rsidP="004B3B0D">
      <w:pPr>
        <w:pStyle w:val="ListNumber"/>
        <w:numPr>
          <w:ilvl w:val="1"/>
          <w:numId w:val="148"/>
        </w:numPr>
      </w:pPr>
      <w:r w:rsidRPr="004B3B0D">
        <w:t>has</w:t>
      </w:r>
      <w:r w:rsidR="00AC7D96" w:rsidRPr="004B3B0D">
        <w:t xml:space="preserve"> a significant value</w:t>
      </w:r>
      <w:r w:rsidR="00410BEF" w:rsidRPr="004B3B0D">
        <w:t xml:space="preserve"> (2</w:t>
      </w:r>
      <w:r w:rsidR="00231FC1" w:rsidRPr="004B3B0D">
        <w:t>0 per cent or more)</w:t>
      </w:r>
      <w:r w:rsidR="00AC7D96" w:rsidRPr="004B3B0D">
        <w:t xml:space="preserve"> in relation to the total</w:t>
      </w:r>
      <w:r w:rsidR="009D4C8D" w:rsidRPr="004B3B0D">
        <w:t xml:space="preserve"> cost or</w:t>
      </w:r>
      <w:r w:rsidR="00AC7D96" w:rsidRPr="004B3B0D">
        <w:t xml:space="preserve"> fair value </w:t>
      </w:r>
      <w:r w:rsidR="009D4C8D" w:rsidRPr="004B3B0D">
        <w:t>o</w:t>
      </w:r>
      <w:r w:rsidR="00AC7D96" w:rsidRPr="004B3B0D">
        <w:t xml:space="preserve">f the </w:t>
      </w:r>
      <w:r w:rsidR="006B2BEF">
        <w:t>complex</w:t>
      </w:r>
      <w:r w:rsidR="008C5BD6" w:rsidRPr="004B3B0D">
        <w:t xml:space="preserve"> </w:t>
      </w:r>
      <w:r w:rsidR="00AC7D96" w:rsidRPr="004B3B0D">
        <w:t>asset</w:t>
      </w:r>
    </w:p>
    <w:p w14:paraId="2F6C5134" w14:textId="6452C5E3" w:rsidR="00CB1C32" w:rsidRPr="004B3B0D" w:rsidRDefault="00CB1C32" w:rsidP="004B3B0D">
      <w:pPr>
        <w:pStyle w:val="ListNumber"/>
        <w:numPr>
          <w:ilvl w:val="0"/>
          <w:numId w:val="151"/>
        </w:numPr>
      </w:pPr>
      <w:r w:rsidRPr="004B3B0D">
        <w:t>recognise</w:t>
      </w:r>
      <w:r w:rsidR="009D4C8D" w:rsidRPr="004B3B0D">
        <w:t xml:space="preserve"> all components in the same </w:t>
      </w:r>
      <w:r w:rsidR="008C5BD6" w:rsidRPr="004B3B0D">
        <w:t xml:space="preserve">non-financial </w:t>
      </w:r>
      <w:r w:rsidR="009D4C8D" w:rsidRPr="004B3B0D">
        <w:t>asset clas</w:t>
      </w:r>
      <w:r w:rsidR="001629AB" w:rsidRPr="004B3B0D">
        <w:t>s</w:t>
      </w:r>
      <w:r w:rsidR="00842675" w:rsidRPr="004B3B0D">
        <w:t>ification</w:t>
      </w:r>
      <w:r w:rsidR="001629AB" w:rsidRPr="004B3B0D">
        <w:t xml:space="preserve"> as the </w:t>
      </w:r>
      <w:r w:rsidR="00396059">
        <w:t>complex</w:t>
      </w:r>
      <w:r w:rsidR="006A35BF" w:rsidRPr="004B3B0D">
        <w:t xml:space="preserve"> </w:t>
      </w:r>
      <w:r w:rsidR="001629AB" w:rsidRPr="004B3B0D">
        <w:t>asset and</w:t>
      </w:r>
    </w:p>
    <w:p w14:paraId="392FC0DF" w14:textId="567E80B0" w:rsidR="009D4C8D" w:rsidRPr="004B3B0D" w:rsidRDefault="009D4C8D" w:rsidP="004B3B0D">
      <w:pPr>
        <w:pStyle w:val="ListNumber"/>
        <w:numPr>
          <w:ilvl w:val="0"/>
          <w:numId w:val="151"/>
        </w:numPr>
      </w:pPr>
      <w:proofErr w:type="gramStart"/>
      <w:r w:rsidRPr="004B3B0D">
        <w:t>revalue</w:t>
      </w:r>
      <w:proofErr w:type="gramEnd"/>
      <w:r w:rsidRPr="004B3B0D">
        <w:t xml:space="preserve"> components </w:t>
      </w:r>
      <w:r w:rsidR="00A53414" w:rsidRPr="004B3B0D">
        <w:t xml:space="preserve">on </w:t>
      </w:r>
      <w:r w:rsidRPr="004B3B0D">
        <w:t xml:space="preserve">the same basis </w:t>
      </w:r>
      <w:r w:rsidR="00A53414" w:rsidRPr="004B3B0D">
        <w:t xml:space="preserve">and frequency </w:t>
      </w:r>
      <w:r w:rsidRPr="004B3B0D">
        <w:t xml:space="preserve">as the </w:t>
      </w:r>
      <w:r w:rsidR="00396059">
        <w:t>complex</w:t>
      </w:r>
      <w:r w:rsidR="006A35BF" w:rsidRPr="004B3B0D">
        <w:t xml:space="preserve"> </w:t>
      </w:r>
      <w:r w:rsidRPr="004B3B0D">
        <w:t>asset</w:t>
      </w:r>
      <w:r w:rsidR="001629AB" w:rsidRPr="004B3B0D">
        <w:t>.</w:t>
      </w:r>
    </w:p>
    <w:p w14:paraId="256FFF2E" w14:textId="4A310B8C" w:rsidR="0090328A" w:rsidRPr="004B3B0D" w:rsidRDefault="00A53414">
      <w:pPr>
        <w:pStyle w:val="ListNumber"/>
        <w:ind w:left="426"/>
      </w:pPr>
      <w:r w:rsidRPr="004B3B0D">
        <w:t>W</w:t>
      </w:r>
      <w:r w:rsidR="00A72E16" w:rsidRPr="004B3B0D">
        <w:t>here the cost base of the</w:t>
      </w:r>
      <w:r w:rsidR="00BF2B02" w:rsidRPr="004B3B0D">
        <w:t xml:space="preserve"> non-financial </w:t>
      </w:r>
      <w:r w:rsidR="00A72E16" w:rsidRPr="004B3B0D">
        <w:t>asset increases to $10 million or more through a revaluation process</w:t>
      </w:r>
      <w:r w:rsidRPr="004B3B0D">
        <w:t>,</w:t>
      </w:r>
      <w:r w:rsidR="0090328A" w:rsidRPr="004B3B0D">
        <w:t xml:space="preserve"> </w:t>
      </w:r>
      <w:r w:rsidRPr="004B3B0D">
        <w:t xml:space="preserve">an agency must disaggregate </w:t>
      </w:r>
      <w:r w:rsidR="00ED74FC" w:rsidRPr="004B3B0D">
        <w:t>the</w:t>
      </w:r>
      <w:r w:rsidR="00BF2B02" w:rsidRPr="004B3B0D">
        <w:t xml:space="preserve"> non-financial</w:t>
      </w:r>
      <w:r w:rsidRPr="004B3B0D">
        <w:t xml:space="preserve"> asset, applying the principles outlined in paragraph </w:t>
      </w:r>
      <w:r w:rsidRPr="004B3B0D">
        <w:fldChar w:fldCharType="begin"/>
      </w:r>
      <w:r w:rsidRPr="004B3B0D">
        <w:instrText xml:space="preserve"> REF _Ref148021278 \r \h  \* MERGEFORMAT </w:instrText>
      </w:r>
      <w:r w:rsidRPr="004B3B0D">
        <w:fldChar w:fldCharType="separate"/>
      </w:r>
      <w:r w:rsidR="009D2C5B">
        <w:t>14</w:t>
      </w:r>
      <w:r w:rsidRPr="004B3B0D">
        <w:fldChar w:fldCharType="end"/>
      </w:r>
      <w:r w:rsidRPr="004B3B0D">
        <w:t>.</w:t>
      </w:r>
    </w:p>
    <w:p w14:paraId="6DF4C25A" w14:textId="2442C5F4" w:rsidR="001150EB" w:rsidRPr="004B3B0D" w:rsidRDefault="00BF2B02" w:rsidP="0006101C">
      <w:pPr>
        <w:pStyle w:val="ListNumber"/>
        <w:ind w:left="426"/>
      </w:pPr>
      <w:r w:rsidRPr="004B3B0D">
        <w:t>A</w:t>
      </w:r>
      <w:r w:rsidR="001150EB" w:rsidRPr="004B3B0D">
        <w:t xml:space="preserve">n </w:t>
      </w:r>
      <w:r w:rsidR="008F2FF7" w:rsidRPr="004B3B0D">
        <w:t xml:space="preserve">accountable officer </w:t>
      </w:r>
      <w:r w:rsidR="001150EB" w:rsidRPr="004B3B0D">
        <w:t>may</w:t>
      </w:r>
      <w:r w:rsidR="009D4C8D" w:rsidRPr="004B3B0D">
        <w:t xml:space="preserve"> </w:t>
      </w:r>
      <w:r w:rsidR="001150EB" w:rsidRPr="004B3B0D">
        <w:t xml:space="preserve">apply </w:t>
      </w:r>
      <w:r w:rsidR="00396059">
        <w:t xml:space="preserve">a </w:t>
      </w:r>
      <w:r w:rsidR="001150EB" w:rsidRPr="004B3B0D">
        <w:t>lower</w:t>
      </w:r>
      <w:r w:rsidRPr="004B3B0D">
        <w:t xml:space="preserve"> </w:t>
      </w:r>
      <w:r w:rsidR="001150EB" w:rsidRPr="004B3B0D">
        <w:t>threshold</w:t>
      </w:r>
      <w:r w:rsidRPr="004B3B0D">
        <w:t xml:space="preserve"> than required under paragraph </w:t>
      </w:r>
      <w:r w:rsidRPr="004B3B0D">
        <w:fldChar w:fldCharType="begin"/>
      </w:r>
      <w:r w:rsidRPr="004B3B0D">
        <w:instrText xml:space="preserve"> REF _Ref129784110 \r \h  \* MERGEFORMAT </w:instrText>
      </w:r>
      <w:r w:rsidRPr="004B3B0D">
        <w:fldChar w:fldCharType="separate"/>
      </w:r>
      <w:r w:rsidR="009D2C5B">
        <w:t>14</w:t>
      </w:r>
      <w:r w:rsidRPr="004B3B0D">
        <w:fldChar w:fldCharType="end"/>
      </w:r>
      <w:r w:rsidR="002803AE" w:rsidRPr="004B3B0D">
        <w:t>, for</w:t>
      </w:r>
      <w:r w:rsidR="009D4C8D" w:rsidRPr="004B3B0D">
        <w:t xml:space="preserve"> identifying</w:t>
      </w:r>
      <w:r w:rsidR="001629AB" w:rsidRPr="004B3B0D">
        <w:t xml:space="preserve"> and separating assets into components, </w:t>
      </w:r>
      <w:r w:rsidR="009D4C8D" w:rsidRPr="004B3B0D">
        <w:t xml:space="preserve">if deemed </w:t>
      </w:r>
      <w:r w:rsidR="001629AB" w:rsidRPr="004B3B0D">
        <w:t xml:space="preserve">more </w:t>
      </w:r>
      <w:r w:rsidR="001150EB" w:rsidRPr="004B3B0D">
        <w:t>appropriate.</w:t>
      </w:r>
    </w:p>
    <w:p w14:paraId="66C4AD4C" w14:textId="1A98A860" w:rsidR="007560C0" w:rsidRPr="004B3B0D" w:rsidRDefault="00BF2B02" w:rsidP="00EB1FFC">
      <w:pPr>
        <w:pStyle w:val="Heading1"/>
      </w:pPr>
      <w:r w:rsidRPr="004B3B0D">
        <w:t>Non-financial a</w:t>
      </w:r>
      <w:r w:rsidR="007560C0" w:rsidRPr="004B3B0D">
        <w:t xml:space="preserve">sset acquisition </w:t>
      </w:r>
    </w:p>
    <w:p w14:paraId="3A6365A6" w14:textId="5421B5C0" w:rsidR="00842675" w:rsidRPr="004B3B0D" w:rsidRDefault="00842675" w:rsidP="0006101C">
      <w:pPr>
        <w:pStyle w:val="Heading2"/>
      </w:pPr>
      <w:r w:rsidRPr="004B3B0D">
        <w:t>Exclusions</w:t>
      </w:r>
    </w:p>
    <w:p w14:paraId="7F43962E" w14:textId="608BA8B3" w:rsidR="009568BF" w:rsidRPr="004B3B0D" w:rsidRDefault="00CB1C32" w:rsidP="0006101C">
      <w:pPr>
        <w:pStyle w:val="ListNumber"/>
        <w:ind w:left="357" w:hanging="357"/>
      </w:pPr>
      <w:r w:rsidRPr="004B3B0D">
        <w:t xml:space="preserve"> </w:t>
      </w:r>
      <w:r w:rsidR="00A53414" w:rsidRPr="004B3B0D">
        <w:t>Conditions identified in p</w:t>
      </w:r>
      <w:r w:rsidRPr="004B3B0D">
        <w:t xml:space="preserve">aragraphs </w:t>
      </w:r>
      <w:r w:rsidRPr="004B3B0D">
        <w:fldChar w:fldCharType="begin"/>
      </w:r>
      <w:r w:rsidRPr="004B3B0D">
        <w:instrText xml:space="preserve"> REF _Ref87359835 \r \h </w:instrText>
      </w:r>
      <w:r w:rsidR="00055404" w:rsidRPr="004B3B0D">
        <w:instrText xml:space="preserve"> \* MERGEFORMAT </w:instrText>
      </w:r>
      <w:r w:rsidRPr="004B3B0D">
        <w:fldChar w:fldCharType="separate"/>
      </w:r>
      <w:r w:rsidR="009D2C5B">
        <w:t>18</w:t>
      </w:r>
      <w:r w:rsidRPr="004B3B0D">
        <w:fldChar w:fldCharType="end"/>
      </w:r>
      <w:r w:rsidRPr="004B3B0D">
        <w:t xml:space="preserve"> to </w:t>
      </w:r>
      <w:r w:rsidRPr="004B3B0D">
        <w:fldChar w:fldCharType="begin"/>
      </w:r>
      <w:r w:rsidRPr="004B3B0D">
        <w:instrText xml:space="preserve"> REF _Ref133589584 \r \h  \* MERGEFORMAT </w:instrText>
      </w:r>
      <w:r w:rsidRPr="004B3B0D">
        <w:fldChar w:fldCharType="separate"/>
      </w:r>
      <w:r w:rsidR="009D2C5B">
        <w:t>21</w:t>
      </w:r>
      <w:r w:rsidRPr="004B3B0D">
        <w:fldChar w:fldCharType="end"/>
      </w:r>
      <w:r w:rsidRPr="004B3B0D">
        <w:t xml:space="preserve"> do not apply to </w:t>
      </w:r>
      <w:r w:rsidR="00A53414" w:rsidRPr="004B3B0D">
        <w:t xml:space="preserve">the following </w:t>
      </w:r>
      <w:r w:rsidRPr="004B3B0D">
        <w:t>non-financial assets</w:t>
      </w:r>
      <w:r w:rsidR="009568BF" w:rsidRPr="004B3B0D">
        <w:t>:</w:t>
      </w:r>
    </w:p>
    <w:p w14:paraId="2EB42747" w14:textId="58B93932" w:rsidR="009568BF" w:rsidRPr="004B3B0D" w:rsidRDefault="009568BF" w:rsidP="0006101C">
      <w:pPr>
        <w:pStyle w:val="ListNumber"/>
        <w:numPr>
          <w:ilvl w:val="1"/>
          <w:numId w:val="12"/>
        </w:numPr>
        <w:ind w:left="851"/>
      </w:pPr>
      <w:r w:rsidRPr="004B3B0D">
        <w:t>below the capitalisation threshold</w:t>
      </w:r>
      <w:r w:rsidR="00CB1C32" w:rsidRPr="004B3B0D">
        <w:t xml:space="preserve"> (agency applies</w:t>
      </w:r>
      <w:r w:rsidR="00C3641D" w:rsidRPr="004B3B0D">
        <w:t xml:space="preserve"> internal expense delegations</w:t>
      </w:r>
      <w:r w:rsidR="00CB1C32" w:rsidRPr="004B3B0D">
        <w:t>)</w:t>
      </w:r>
      <w:r w:rsidR="00C3641D" w:rsidRPr="004B3B0D">
        <w:t xml:space="preserve"> </w:t>
      </w:r>
    </w:p>
    <w:p w14:paraId="4E2DE824" w14:textId="36F58C88" w:rsidR="009568BF" w:rsidRPr="004B3B0D" w:rsidRDefault="009568BF" w:rsidP="0006101C">
      <w:pPr>
        <w:pStyle w:val="ListNumber"/>
        <w:numPr>
          <w:ilvl w:val="1"/>
          <w:numId w:val="12"/>
        </w:numPr>
        <w:ind w:left="851"/>
      </w:pPr>
      <w:r w:rsidRPr="004B3B0D">
        <w:t xml:space="preserve">acquired under legislation other than the </w:t>
      </w:r>
      <w:r w:rsidR="00BA6867" w:rsidRPr="004B3B0D">
        <w:t>FMA</w:t>
      </w:r>
    </w:p>
    <w:p w14:paraId="6E58C77E" w14:textId="7ED8BCFB" w:rsidR="009B22CB" w:rsidRPr="004B3B0D" w:rsidRDefault="009568BF" w:rsidP="004B3B0D">
      <w:pPr>
        <w:pStyle w:val="ListNumber"/>
        <w:numPr>
          <w:ilvl w:val="1"/>
          <w:numId w:val="12"/>
        </w:numPr>
        <w:ind w:left="851"/>
      </w:pPr>
      <w:proofErr w:type="gramStart"/>
      <w:r w:rsidRPr="004B3B0D">
        <w:t>constructed</w:t>
      </w:r>
      <w:proofErr w:type="gramEnd"/>
      <w:r w:rsidRPr="004B3B0D">
        <w:t xml:space="preserve"> as part of the capital works program</w:t>
      </w:r>
      <w:r w:rsidR="00007D6E">
        <w:t>,</w:t>
      </w:r>
      <w:r w:rsidR="008F2FF7" w:rsidRPr="004B3B0D">
        <w:t xml:space="preserve"> </w:t>
      </w:r>
      <w:r w:rsidR="00123068" w:rsidRPr="004B3B0D">
        <w:t xml:space="preserve">subject to conditions </w:t>
      </w:r>
      <w:r w:rsidR="008F2FF7" w:rsidRPr="004B3B0D">
        <w:t xml:space="preserve">outlined </w:t>
      </w:r>
      <w:r w:rsidRPr="004B3B0D">
        <w:t>in Treasurer’s Direction – Infrastructure.</w:t>
      </w:r>
    </w:p>
    <w:p w14:paraId="25E93936" w14:textId="075C19B6" w:rsidR="00842675" w:rsidRPr="004B3B0D" w:rsidRDefault="00842675" w:rsidP="0006101C">
      <w:pPr>
        <w:pStyle w:val="Heading2"/>
      </w:pPr>
      <w:r w:rsidRPr="004B3B0D">
        <w:t>Conditions</w:t>
      </w:r>
    </w:p>
    <w:p w14:paraId="421BECC1" w14:textId="466444F1" w:rsidR="00CA4BBF" w:rsidRPr="004B3B0D" w:rsidRDefault="00CA4BBF" w:rsidP="007560C0">
      <w:pPr>
        <w:pStyle w:val="ListNumber"/>
        <w:ind w:left="357" w:hanging="357"/>
      </w:pPr>
      <w:bookmarkStart w:id="9" w:name="_Ref87359835"/>
      <w:r w:rsidRPr="004B3B0D">
        <w:t xml:space="preserve">All land acquisitions must be </w:t>
      </w:r>
      <w:r w:rsidR="008635A0">
        <w:t>undertaken</w:t>
      </w:r>
      <w:r w:rsidRPr="004B3B0D">
        <w:t xml:space="preserve"> by the Department of Infrastructure, Planning and Logistics unless </w:t>
      </w:r>
      <w:r w:rsidR="002C420A">
        <w:t>another Act permits an agency to acquire land.</w:t>
      </w:r>
    </w:p>
    <w:p w14:paraId="61CB4AB5" w14:textId="0F7E9CF0" w:rsidR="00EF38A0" w:rsidRPr="004B3B0D" w:rsidRDefault="00CA6798" w:rsidP="007560C0">
      <w:pPr>
        <w:pStyle w:val="ListNumber"/>
        <w:ind w:left="357" w:hanging="357"/>
      </w:pPr>
      <w:bookmarkStart w:id="10" w:name="_Ref152065458"/>
      <w:r w:rsidRPr="004B3B0D">
        <w:t xml:space="preserve">An </w:t>
      </w:r>
      <w:r w:rsidR="009B22CB" w:rsidRPr="004B3B0D">
        <w:t>accountable officer</w:t>
      </w:r>
      <w:r w:rsidR="00993D36" w:rsidRPr="004B3B0D">
        <w:t xml:space="preserve"> may acquire a</w:t>
      </w:r>
      <w:r w:rsidR="00970CF2" w:rsidRPr="004B3B0D">
        <w:t xml:space="preserve"> non-financial asset</w:t>
      </w:r>
      <w:r w:rsidR="00993D36" w:rsidRPr="004B3B0D">
        <w:t xml:space="preserve"> </w:t>
      </w:r>
      <w:r w:rsidR="009924FA" w:rsidRPr="004B3B0D">
        <w:t xml:space="preserve">when </w:t>
      </w:r>
      <w:r w:rsidR="009924FA" w:rsidRPr="004B3B0D">
        <w:rPr>
          <w:u w:val="single"/>
        </w:rPr>
        <w:t>all</w:t>
      </w:r>
      <w:r w:rsidR="009924FA" w:rsidRPr="004B3B0D">
        <w:t xml:space="preserve"> of the following criteria are satisfied</w:t>
      </w:r>
      <w:r w:rsidR="00993D36" w:rsidRPr="004B3B0D">
        <w:t xml:space="preserve">, </w:t>
      </w:r>
      <w:r w:rsidR="00137D2A" w:rsidRPr="004B3B0D">
        <w:t>subject to the</w:t>
      </w:r>
      <w:r w:rsidR="00BF07A9" w:rsidRPr="004B3B0D">
        <w:t xml:space="preserve"> approval</w:t>
      </w:r>
      <w:r w:rsidR="00C3641D" w:rsidRPr="004B3B0D">
        <w:t xml:space="preserve"> thresholds</w:t>
      </w:r>
      <w:r w:rsidR="00137D2A" w:rsidRPr="004B3B0D">
        <w:t xml:space="preserve"> outlined in paragraph </w:t>
      </w:r>
      <w:r w:rsidR="00A256AA" w:rsidRPr="004B3B0D">
        <w:fldChar w:fldCharType="begin"/>
      </w:r>
      <w:r w:rsidR="00A256AA" w:rsidRPr="004B3B0D">
        <w:instrText xml:space="preserve"> REF _Ref127367034 \r \h </w:instrText>
      </w:r>
      <w:r w:rsidR="00EF7CF1" w:rsidRPr="004B3B0D">
        <w:instrText xml:space="preserve"> \* MERGEFORMAT </w:instrText>
      </w:r>
      <w:r w:rsidR="00A256AA" w:rsidRPr="004B3B0D">
        <w:fldChar w:fldCharType="separate"/>
      </w:r>
      <w:r w:rsidR="009D2C5B">
        <w:t>20</w:t>
      </w:r>
      <w:r w:rsidR="00A256AA" w:rsidRPr="004B3B0D">
        <w:fldChar w:fldCharType="end"/>
      </w:r>
      <w:r w:rsidR="009924FA" w:rsidRPr="004B3B0D">
        <w:t>:</w:t>
      </w:r>
      <w:bookmarkEnd w:id="9"/>
      <w:bookmarkEnd w:id="10"/>
      <w:r w:rsidR="009924FA" w:rsidRPr="004B3B0D">
        <w:t xml:space="preserve"> </w:t>
      </w:r>
    </w:p>
    <w:p w14:paraId="3040F324" w14:textId="30A7EBB7" w:rsidR="00140A87" w:rsidRPr="004B3B0D" w:rsidRDefault="00140A87" w:rsidP="006B4C74">
      <w:pPr>
        <w:pStyle w:val="Default"/>
        <w:numPr>
          <w:ilvl w:val="0"/>
          <w:numId w:val="28"/>
        </w:numPr>
        <w:spacing w:after="133"/>
        <w:ind w:left="709"/>
        <w:rPr>
          <w:sz w:val="22"/>
          <w:szCs w:val="22"/>
        </w:rPr>
      </w:pPr>
      <w:r w:rsidRPr="004B3B0D">
        <w:rPr>
          <w:sz w:val="22"/>
          <w:szCs w:val="22"/>
        </w:rPr>
        <w:t xml:space="preserve">the acquisition will </w:t>
      </w:r>
      <w:r w:rsidR="009B22CB" w:rsidRPr="004B3B0D">
        <w:rPr>
          <w:sz w:val="22"/>
          <w:szCs w:val="22"/>
        </w:rPr>
        <w:t xml:space="preserve">assist in the achievement of the </w:t>
      </w:r>
      <w:r w:rsidRPr="004B3B0D">
        <w:rPr>
          <w:sz w:val="22"/>
          <w:szCs w:val="22"/>
        </w:rPr>
        <w:t>agency</w:t>
      </w:r>
      <w:r w:rsidR="009B22CB" w:rsidRPr="004B3B0D">
        <w:rPr>
          <w:sz w:val="22"/>
          <w:szCs w:val="22"/>
        </w:rPr>
        <w:t>’s objectives</w:t>
      </w:r>
    </w:p>
    <w:p w14:paraId="3E118303" w14:textId="57389521" w:rsidR="007560C0" w:rsidRPr="004B3B0D" w:rsidRDefault="00DA7142" w:rsidP="006B4C74">
      <w:pPr>
        <w:pStyle w:val="Default"/>
        <w:numPr>
          <w:ilvl w:val="0"/>
          <w:numId w:val="28"/>
        </w:numPr>
        <w:spacing w:after="133"/>
        <w:ind w:left="709"/>
        <w:rPr>
          <w:sz w:val="22"/>
          <w:szCs w:val="22"/>
        </w:rPr>
      </w:pPr>
      <w:bookmarkStart w:id="11" w:name="_Ref93656753"/>
      <w:r w:rsidRPr="004B3B0D">
        <w:rPr>
          <w:sz w:val="22"/>
          <w:szCs w:val="22"/>
        </w:rPr>
        <w:t xml:space="preserve">the acquisition is fully funded </w:t>
      </w:r>
      <w:r w:rsidR="00F65C16" w:rsidRPr="004B3B0D">
        <w:rPr>
          <w:sz w:val="22"/>
          <w:szCs w:val="22"/>
        </w:rPr>
        <w:t>from</w:t>
      </w:r>
      <w:r w:rsidRPr="004B3B0D">
        <w:rPr>
          <w:sz w:val="22"/>
          <w:szCs w:val="22"/>
        </w:rPr>
        <w:t xml:space="preserve"> one or more of the following</w:t>
      </w:r>
      <w:r w:rsidR="00123068" w:rsidRPr="004B3B0D">
        <w:rPr>
          <w:sz w:val="22"/>
          <w:szCs w:val="22"/>
        </w:rPr>
        <w:t>:</w:t>
      </w:r>
      <w:bookmarkEnd w:id="11"/>
    </w:p>
    <w:p w14:paraId="3685DD71" w14:textId="49703383" w:rsidR="00842675" w:rsidRPr="004B3B0D" w:rsidRDefault="00843D12" w:rsidP="006B4C74">
      <w:pPr>
        <w:pStyle w:val="Default"/>
        <w:numPr>
          <w:ilvl w:val="1"/>
          <w:numId w:val="28"/>
        </w:numPr>
        <w:spacing w:after="133"/>
        <w:ind w:left="1418"/>
        <w:rPr>
          <w:sz w:val="22"/>
          <w:szCs w:val="22"/>
        </w:rPr>
      </w:pPr>
      <w:r w:rsidRPr="004B3B0D">
        <w:rPr>
          <w:sz w:val="22"/>
          <w:szCs w:val="22"/>
        </w:rPr>
        <w:t xml:space="preserve">capital appropriation </w:t>
      </w:r>
    </w:p>
    <w:p w14:paraId="4AFA92E1" w14:textId="1D21D693" w:rsidR="003A46B9" w:rsidRPr="004B3B0D" w:rsidRDefault="003A46B9" w:rsidP="0006101C">
      <w:pPr>
        <w:pStyle w:val="Default"/>
        <w:numPr>
          <w:ilvl w:val="1"/>
          <w:numId w:val="28"/>
        </w:numPr>
        <w:spacing w:after="133"/>
        <w:ind w:left="1418"/>
        <w:rPr>
          <w:sz w:val="22"/>
          <w:szCs w:val="22"/>
        </w:rPr>
      </w:pPr>
      <w:r w:rsidRPr="004B3B0D">
        <w:rPr>
          <w:sz w:val="22"/>
          <w:szCs w:val="22"/>
        </w:rPr>
        <w:t xml:space="preserve">excess output appropriation, subject to conditions outlined in paragraph </w:t>
      </w:r>
      <w:r w:rsidRPr="004B3B0D">
        <w:rPr>
          <w:sz w:val="22"/>
          <w:szCs w:val="22"/>
        </w:rPr>
        <w:fldChar w:fldCharType="begin"/>
      </w:r>
      <w:r w:rsidRPr="004B3B0D">
        <w:rPr>
          <w:sz w:val="22"/>
          <w:szCs w:val="22"/>
        </w:rPr>
        <w:instrText xml:space="preserve"> REF _Ref94188853 \r \h </w:instrText>
      </w:r>
      <w:r w:rsidR="006D3C5E" w:rsidRPr="004B3B0D">
        <w:rPr>
          <w:sz w:val="22"/>
          <w:szCs w:val="22"/>
        </w:rPr>
        <w:instrText xml:space="preserve"> \* MERGEFORMAT </w:instrText>
      </w:r>
      <w:r w:rsidRPr="004B3B0D">
        <w:rPr>
          <w:sz w:val="22"/>
          <w:szCs w:val="22"/>
        </w:rPr>
      </w:r>
      <w:r w:rsidRPr="004B3B0D">
        <w:rPr>
          <w:sz w:val="22"/>
          <w:szCs w:val="22"/>
        </w:rPr>
        <w:fldChar w:fldCharType="separate"/>
      </w:r>
      <w:r w:rsidR="009D2C5B">
        <w:rPr>
          <w:sz w:val="22"/>
          <w:szCs w:val="22"/>
        </w:rPr>
        <w:t>24</w:t>
      </w:r>
      <w:r w:rsidRPr="004B3B0D">
        <w:rPr>
          <w:sz w:val="22"/>
          <w:szCs w:val="22"/>
        </w:rPr>
        <w:fldChar w:fldCharType="end"/>
      </w:r>
    </w:p>
    <w:p w14:paraId="3FCC3E94" w14:textId="1185898D" w:rsidR="00843D12" w:rsidRPr="004B3B0D" w:rsidRDefault="00842675" w:rsidP="0006101C">
      <w:pPr>
        <w:pStyle w:val="Default"/>
        <w:numPr>
          <w:ilvl w:val="1"/>
          <w:numId w:val="28"/>
        </w:numPr>
        <w:spacing w:after="133"/>
        <w:ind w:left="1418"/>
        <w:rPr>
          <w:sz w:val="22"/>
          <w:szCs w:val="22"/>
        </w:rPr>
      </w:pPr>
      <w:r w:rsidRPr="004B3B0D">
        <w:rPr>
          <w:sz w:val="22"/>
          <w:szCs w:val="22"/>
        </w:rPr>
        <w:t>commonwealth appropriation</w:t>
      </w:r>
    </w:p>
    <w:p w14:paraId="2025380D" w14:textId="718EDECC" w:rsidR="00970CF2" w:rsidRPr="004B3B0D" w:rsidRDefault="00F65C16" w:rsidP="007B4B13">
      <w:pPr>
        <w:pStyle w:val="Default"/>
        <w:numPr>
          <w:ilvl w:val="1"/>
          <w:numId w:val="28"/>
        </w:numPr>
        <w:spacing w:after="133"/>
      </w:pPr>
      <w:proofErr w:type="gramStart"/>
      <w:r w:rsidRPr="004B3B0D">
        <w:rPr>
          <w:sz w:val="22"/>
          <w:szCs w:val="22"/>
        </w:rPr>
        <w:t>additional</w:t>
      </w:r>
      <w:proofErr w:type="gramEnd"/>
      <w:r w:rsidR="00993D36" w:rsidRPr="004B3B0D">
        <w:rPr>
          <w:sz w:val="22"/>
          <w:szCs w:val="22"/>
        </w:rPr>
        <w:t xml:space="preserve"> agency revenue</w:t>
      </w:r>
      <w:r w:rsidR="00A67DF2" w:rsidRPr="004B3B0D">
        <w:rPr>
          <w:sz w:val="22"/>
          <w:szCs w:val="22"/>
        </w:rPr>
        <w:t>, subject to conditions outlined</w:t>
      </w:r>
      <w:r w:rsidRPr="004B3B0D">
        <w:rPr>
          <w:sz w:val="22"/>
          <w:szCs w:val="22"/>
        </w:rPr>
        <w:t xml:space="preserve"> in </w:t>
      </w:r>
      <w:r w:rsidR="00FC4A46" w:rsidRPr="004B3B0D">
        <w:rPr>
          <w:sz w:val="22"/>
          <w:szCs w:val="22"/>
        </w:rPr>
        <w:t>Treasurer</w:t>
      </w:r>
      <w:r w:rsidR="00500738" w:rsidRPr="004B3B0D">
        <w:rPr>
          <w:sz w:val="22"/>
          <w:szCs w:val="22"/>
        </w:rPr>
        <w:t>’</w:t>
      </w:r>
      <w:r w:rsidR="00FC4A46" w:rsidRPr="004B3B0D">
        <w:rPr>
          <w:sz w:val="22"/>
          <w:szCs w:val="22"/>
        </w:rPr>
        <w:t>s Direction – Income</w:t>
      </w:r>
      <w:r w:rsidR="00CA4BBF" w:rsidRPr="004B3B0D">
        <w:rPr>
          <w:sz w:val="22"/>
          <w:szCs w:val="22"/>
        </w:rPr>
        <w:t>.</w:t>
      </w:r>
      <w:r w:rsidR="00FC4A46" w:rsidRPr="004B3B0D" w:rsidDel="00FC4A46">
        <w:rPr>
          <w:sz w:val="22"/>
          <w:szCs w:val="22"/>
        </w:rPr>
        <w:t xml:space="preserve"> </w:t>
      </w:r>
    </w:p>
    <w:p w14:paraId="78371B03" w14:textId="0169660B" w:rsidR="00AB78A8" w:rsidRPr="004B3B0D" w:rsidRDefault="00970CF2" w:rsidP="0006101C">
      <w:pPr>
        <w:pStyle w:val="Heading2"/>
      </w:pPr>
      <w:r w:rsidRPr="004B3B0D">
        <w:t xml:space="preserve">Approval </w:t>
      </w:r>
      <w:r w:rsidR="000C2382" w:rsidRPr="004B3B0D">
        <w:t>process</w:t>
      </w:r>
    </w:p>
    <w:p w14:paraId="2F52D68D" w14:textId="223C49D2" w:rsidR="00534579" w:rsidRPr="004B3B0D" w:rsidRDefault="00D874E1" w:rsidP="00F65C16">
      <w:pPr>
        <w:pStyle w:val="ListNumber"/>
        <w:ind w:left="357" w:hanging="357"/>
      </w:pPr>
      <w:bookmarkStart w:id="12" w:name="_Ref127367034"/>
      <w:bookmarkStart w:id="13" w:name="_Ref87360199"/>
      <w:r w:rsidRPr="004B3B0D">
        <w:t>A</w:t>
      </w:r>
      <w:r w:rsidR="00534579" w:rsidRPr="004B3B0D">
        <w:t xml:space="preserve">pproval </w:t>
      </w:r>
      <w:r w:rsidR="00122108" w:rsidRPr="004B3B0D">
        <w:t>threshold</w:t>
      </w:r>
      <w:r w:rsidR="00123068" w:rsidRPr="004B3B0D">
        <w:t>s</w:t>
      </w:r>
      <w:r w:rsidR="00122108" w:rsidRPr="004B3B0D">
        <w:t xml:space="preserve"> </w:t>
      </w:r>
      <w:r w:rsidR="00534579" w:rsidRPr="004B3B0D">
        <w:t xml:space="preserve">for </w:t>
      </w:r>
      <w:r w:rsidR="00122108" w:rsidRPr="004B3B0D">
        <w:t>the acquisition of a non-financial</w:t>
      </w:r>
      <w:r w:rsidR="00970CF2" w:rsidRPr="004B3B0D">
        <w:t xml:space="preserve"> asset</w:t>
      </w:r>
      <w:r w:rsidRPr="004B3B0D">
        <w:t xml:space="preserve"> pursuant to paragraph </w:t>
      </w:r>
      <w:r w:rsidR="00740E56">
        <w:fldChar w:fldCharType="begin"/>
      </w:r>
      <w:r w:rsidR="00740E56">
        <w:instrText xml:space="preserve"> REF _Ref152065458 \r \h </w:instrText>
      </w:r>
      <w:r w:rsidR="00740E56">
        <w:fldChar w:fldCharType="separate"/>
      </w:r>
      <w:r w:rsidR="009D2C5B">
        <w:t>19</w:t>
      </w:r>
      <w:r w:rsidR="00740E56">
        <w:fldChar w:fldCharType="end"/>
      </w:r>
      <w:r w:rsidR="00122108" w:rsidRPr="004B3B0D">
        <w:t xml:space="preserve"> </w:t>
      </w:r>
      <w:r w:rsidR="006B4213">
        <w:t>are</w:t>
      </w:r>
      <w:r w:rsidR="006B4213" w:rsidRPr="004B3B0D">
        <w:t xml:space="preserve"> </w:t>
      </w:r>
      <w:r w:rsidR="00534579" w:rsidRPr="004B3B0D">
        <w:t>outlined below:</w:t>
      </w:r>
      <w:bookmarkEnd w:id="12"/>
    </w:p>
    <w:tbl>
      <w:tblPr>
        <w:tblStyle w:val="NTGtable"/>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4252"/>
        <w:gridCol w:w="5387"/>
      </w:tblGrid>
      <w:tr w:rsidR="00AA4C1D" w:rsidRPr="004B3B0D" w14:paraId="01354E3B" w14:textId="77777777" w:rsidTr="0006101C">
        <w:trPr>
          <w:cnfStyle w:val="100000000000" w:firstRow="1" w:lastRow="0" w:firstColumn="0" w:lastColumn="0" w:oddVBand="0" w:evenVBand="0" w:oddHBand="0" w:evenHBand="0" w:firstRowFirstColumn="0" w:firstRowLastColumn="0" w:lastRowFirstColumn="0" w:lastRowLastColumn="0"/>
          <w:tblHeader/>
        </w:trPr>
        <w:tc>
          <w:tcPr>
            <w:tcW w:w="4252" w:type="dxa"/>
          </w:tcPr>
          <w:p w14:paraId="1BEAFF76" w14:textId="6EB90D46" w:rsidR="00AA4C1D" w:rsidRPr="004B3B0D" w:rsidRDefault="00AA4C1D" w:rsidP="00AA4C1D">
            <w:r w:rsidRPr="004B3B0D">
              <w:t>Asset value (exclusive of GST)</w:t>
            </w:r>
          </w:p>
        </w:tc>
        <w:tc>
          <w:tcPr>
            <w:tcW w:w="5387" w:type="dxa"/>
          </w:tcPr>
          <w:p w14:paraId="21570844" w14:textId="6B6FB5AB" w:rsidR="00AA4C1D" w:rsidRPr="004B3B0D" w:rsidRDefault="00AA4C1D" w:rsidP="00AA4C1D">
            <w:r w:rsidRPr="004B3B0D">
              <w:t>Approval required by</w:t>
            </w:r>
          </w:p>
        </w:tc>
      </w:tr>
      <w:tr w:rsidR="00AA4C1D" w:rsidRPr="004B3B0D" w14:paraId="50A87FEF" w14:textId="77777777" w:rsidTr="0006101C">
        <w:tc>
          <w:tcPr>
            <w:tcW w:w="4252" w:type="dxa"/>
          </w:tcPr>
          <w:p w14:paraId="7506E2EE" w14:textId="23C4785D" w:rsidR="00AA4C1D" w:rsidRPr="004B3B0D" w:rsidRDefault="002E503A" w:rsidP="00AA4C1D">
            <w:pPr>
              <w:spacing w:before="60" w:after="60"/>
            </w:pPr>
            <w:r w:rsidRPr="004B3B0D">
              <w:t>Less than</w:t>
            </w:r>
            <w:r w:rsidR="00BC2A26" w:rsidRPr="004B3B0D">
              <w:t xml:space="preserve"> or equal to</w:t>
            </w:r>
            <w:r w:rsidRPr="004B3B0D">
              <w:t xml:space="preserve"> $1 0</w:t>
            </w:r>
            <w:r w:rsidR="003A697A" w:rsidRPr="004B3B0D">
              <w:t>0</w:t>
            </w:r>
            <w:r w:rsidR="00AA4C1D" w:rsidRPr="004B3B0D">
              <w:t>0 000</w:t>
            </w:r>
          </w:p>
        </w:tc>
        <w:tc>
          <w:tcPr>
            <w:tcW w:w="5387" w:type="dxa"/>
          </w:tcPr>
          <w:p w14:paraId="243CB8D4" w14:textId="712FB436" w:rsidR="00AA4C1D" w:rsidRPr="004B3B0D" w:rsidRDefault="00AA4C1D" w:rsidP="00AA4C1D">
            <w:pPr>
              <w:spacing w:before="60" w:after="60"/>
            </w:pPr>
            <w:r w:rsidRPr="004B3B0D">
              <w:t>Accountable officer</w:t>
            </w:r>
          </w:p>
        </w:tc>
      </w:tr>
      <w:tr w:rsidR="00AA4C1D" w:rsidRPr="004B3B0D" w14:paraId="4ABA2C41" w14:textId="77777777" w:rsidTr="0006101C">
        <w:tc>
          <w:tcPr>
            <w:tcW w:w="4252" w:type="dxa"/>
          </w:tcPr>
          <w:p w14:paraId="6B40E69D" w14:textId="0CC53EE3" w:rsidR="00AA4C1D" w:rsidRPr="004B3B0D" w:rsidRDefault="00AA4C1D" w:rsidP="00AA4C1D">
            <w:pPr>
              <w:spacing w:before="60" w:after="60"/>
            </w:pPr>
            <w:r w:rsidRPr="004B3B0D">
              <w:t>Over $1 000 000</w:t>
            </w:r>
          </w:p>
        </w:tc>
        <w:tc>
          <w:tcPr>
            <w:tcW w:w="5387" w:type="dxa"/>
          </w:tcPr>
          <w:p w14:paraId="33DBF95D" w14:textId="28DC3AE4" w:rsidR="00AA4C1D" w:rsidRPr="004B3B0D" w:rsidRDefault="00AA4C1D" w:rsidP="00AA4C1D">
            <w:pPr>
              <w:spacing w:before="60" w:after="60"/>
            </w:pPr>
            <w:r w:rsidRPr="004B3B0D">
              <w:t>Treasurer with endorsement from Minister</w:t>
            </w:r>
          </w:p>
        </w:tc>
      </w:tr>
    </w:tbl>
    <w:p w14:paraId="23FBF0ED" w14:textId="63A40002" w:rsidR="00137D2A" w:rsidRPr="004B3B0D" w:rsidRDefault="00137D2A" w:rsidP="0006101C">
      <w:pPr>
        <w:pStyle w:val="ListNumber"/>
        <w:numPr>
          <w:ilvl w:val="0"/>
          <w:numId w:val="0"/>
        </w:numPr>
      </w:pPr>
    </w:p>
    <w:p w14:paraId="2BB5D24A" w14:textId="268F1247" w:rsidR="00993D36" w:rsidRPr="004B3B0D" w:rsidRDefault="00242F67">
      <w:pPr>
        <w:pStyle w:val="ListNumber"/>
        <w:ind w:left="357" w:hanging="357"/>
      </w:pPr>
      <w:bookmarkStart w:id="14" w:name="_Ref133589584"/>
      <w:bookmarkEnd w:id="13"/>
      <w:r w:rsidRPr="004B3B0D">
        <w:t>W</w:t>
      </w:r>
      <w:r w:rsidR="00BF07A9" w:rsidRPr="004B3B0D">
        <w:t>here Treasurer’s approval is required</w:t>
      </w:r>
      <w:r w:rsidR="00AA4C1D" w:rsidRPr="004B3B0D">
        <w:t xml:space="preserve"> </w:t>
      </w:r>
      <w:r w:rsidR="000C2382" w:rsidRPr="004B3B0D">
        <w:t>to acquire a non-financial asset</w:t>
      </w:r>
      <w:r w:rsidR="00E8497B" w:rsidRPr="004B3B0D">
        <w:t>,</w:t>
      </w:r>
      <w:r w:rsidR="00BF07A9" w:rsidRPr="004B3B0D">
        <w:t xml:space="preserve"> request</w:t>
      </w:r>
      <w:r w:rsidR="00E8497B" w:rsidRPr="004B3B0D">
        <w:t>s</w:t>
      </w:r>
      <w:r w:rsidR="00BF07A9" w:rsidRPr="004B3B0D">
        <w:t xml:space="preserve"> to the Treasurer must have ministerial endorsement and</w:t>
      </w:r>
      <w:r w:rsidR="00993D36" w:rsidRPr="004B3B0D">
        <w:t xml:space="preserve"> at a minimum include information on the following:</w:t>
      </w:r>
      <w:bookmarkEnd w:id="14"/>
    </w:p>
    <w:p w14:paraId="2290B3A1" w14:textId="77777777" w:rsidR="00993D36" w:rsidRPr="004B3B0D" w:rsidRDefault="00993D36" w:rsidP="0006101C">
      <w:pPr>
        <w:pStyle w:val="ListNumber"/>
        <w:numPr>
          <w:ilvl w:val="1"/>
          <w:numId w:val="12"/>
        </w:numPr>
        <w:ind w:left="993"/>
      </w:pPr>
      <w:r w:rsidRPr="004B3B0D">
        <w:t>the source of funding</w:t>
      </w:r>
    </w:p>
    <w:p w14:paraId="2503841E" w14:textId="14B8FA61" w:rsidR="00993D36" w:rsidRPr="004B3B0D" w:rsidRDefault="00993D36">
      <w:pPr>
        <w:pStyle w:val="ListNumber"/>
        <w:numPr>
          <w:ilvl w:val="1"/>
          <w:numId w:val="12"/>
        </w:numPr>
        <w:ind w:left="993"/>
      </w:pPr>
      <w:proofErr w:type="gramStart"/>
      <w:r w:rsidRPr="004B3B0D">
        <w:t>purpose</w:t>
      </w:r>
      <w:proofErr w:type="gramEnd"/>
      <w:r w:rsidRPr="004B3B0D">
        <w:t xml:space="preserve"> or reasons for the acquisition of the asset</w:t>
      </w:r>
      <w:r w:rsidR="007867BD">
        <w:t>.</w:t>
      </w:r>
      <w:r w:rsidRPr="004B3B0D">
        <w:t xml:space="preserve"> </w:t>
      </w:r>
    </w:p>
    <w:p w14:paraId="37D59F58" w14:textId="3F54AA4F" w:rsidR="00140A87" w:rsidRPr="004B3B0D" w:rsidRDefault="00AA4C1D" w:rsidP="00140A87">
      <w:pPr>
        <w:pStyle w:val="ListNumber"/>
        <w:ind w:left="357" w:hanging="357"/>
      </w:pPr>
      <w:bookmarkStart w:id="15" w:name="_Ref128382907"/>
      <w:bookmarkStart w:id="16" w:name="_Ref94279538"/>
      <w:r w:rsidRPr="004B3B0D">
        <w:t xml:space="preserve">Where </w:t>
      </w:r>
      <w:r w:rsidR="00242F67" w:rsidRPr="004B3B0D">
        <w:t xml:space="preserve">an agency cannot fund the costs to acquire a </w:t>
      </w:r>
      <w:r w:rsidR="000C2382" w:rsidRPr="004B3B0D">
        <w:t>non-financial asset</w:t>
      </w:r>
      <w:r w:rsidR="00242F67" w:rsidRPr="004B3B0D">
        <w:t xml:space="preserve"> from </w:t>
      </w:r>
      <w:r w:rsidRPr="004B3B0D">
        <w:t>within ex</w:t>
      </w:r>
      <w:r w:rsidR="00774942" w:rsidRPr="004B3B0D">
        <w:t>isting re</w:t>
      </w:r>
      <w:r w:rsidRPr="004B3B0D">
        <w:t>sources</w:t>
      </w:r>
      <w:r w:rsidR="00774942" w:rsidRPr="004B3B0D">
        <w:t xml:space="preserve">, an accountable </w:t>
      </w:r>
      <w:r w:rsidR="00B3265C">
        <w:t xml:space="preserve">officer </w:t>
      </w:r>
      <w:r w:rsidR="00774942" w:rsidRPr="004B3B0D">
        <w:t>may seek additional funding</w:t>
      </w:r>
      <w:r w:rsidR="00A67DF2" w:rsidRPr="004B3B0D">
        <w:t>,</w:t>
      </w:r>
      <w:r w:rsidR="00242F67" w:rsidRPr="004B3B0D">
        <w:t xml:space="preserve"> subject to conditions</w:t>
      </w:r>
      <w:r w:rsidR="00B94389" w:rsidRPr="004B3B0D">
        <w:t xml:space="preserve"> </w:t>
      </w:r>
      <w:r w:rsidR="00A67DF2" w:rsidRPr="004B3B0D">
        <w:t>outlined in the Treasurer’s Direction – O</w:t>
      </w:r>
      <w:r w:rsidR="00B94389" w:rsidRPr="004B3B0D">
        <w:t>rganisational performance and accountability.</w:t>
      </w:r>
      <w:bookmarkEnd w:id="15"/>
      <w:r w:rsidR="00B94389" w:rsidRPr="004B3B0D">
        <w:t xml:space="preserve"> </w:t>
      </w:r>
      <w:bookmarkEnd w:id="16"/>
    </w:p>
    <w:p w14:paraId="6D579F63" w14:textId="08FEAA13" w:rsidR="008E6B59" w:rsidRPr="004B3B0D" w:rsidRDefault="008E6B59" w:rsidP="002C7FBB">
      <w:pPr>
        <w:pStyle w:val="Heading1"/>
      </w:pPr>
      <w:r w:rsidRPr="004B3B0D">
        <w:t>Change in appropriation purpose</w:t>
      </w:r>
    </w:p>
    <w:p w14:paraId="237B3A2B" w14:textId="395CB359" w:rsidR="00FF4190" w:rsidRPr="004B3B0D" w:rsidRDefault="00FF4190" w:rsidP="0006101C">
      <w:pPr>
        <w:pStyle w:val="Heading2"/>
      </w:pPr>
      <w:r w:rsidRPr="004B3B0D">
        <w:t>Exclusions</w:t>
      </w:r>
    </w:p>
    <w:p w14:paraId="1B1E77ED" w14:textId="40922010" w:rsidR="00030052" w:rsidRPr="004B3B0D" w:rsidRDefault="00A53414" w:rsidP="00FF4190">
      <w:pPr>
        <w:pStyle w:val="ListNumber"/>
        <w:ind w:left="426"/>
      </w:pPr>
      <w:r w:rsidRPr="004B3B0D">
        <w:t xml:space="preserve">Approval requirements as outlined in </w:t>
      </w:r>
      <w:r w:rsidR="00030052" w:rsidRPr="004B3B0D">
        <w:t xml:space="preserve">paragraphs </w:t>
      </w:r>
      <w:r w:rsidR="00030052" w:rsidRPr="004B3B0D">
        <w:fldChar w:fldCharType="begin"/>
      </w:r>
      <w:r w:rsidR="00030052" w:rsidRPr="004B3B0D">
        <w:instrText xml:space="preserve"> REF _Ref94188853 \r \h  \* MERGEFORMAT </w:instrText>
      </w:r>
      <w:r w:rsidR="00030052" w:rsidRPr="004B3B0D">
        <w:fldChar w:fldCharType="separate"/>
      </w:r>
      <w:r w:rsidR="009D2C5B">
        <w:t>24</w:t>
      </w:r>
      <w:r w:rsidR="00030052" w:rsidRPr="004B3B0D">
        <w:fldChar w:fldCharType="end"/>
      </w:r>
      <w:r w:rsidR="00030052" w:rsidRPr="004B3B0D">
        <w:t xml:space="preserve"> to </w:t>
      </w:r>
      <w:r w:rsidR="00030052" w:rsidRPr="004B3B0D">
        <w:fldChar w:fldCharType="begin"/>
      </w:r>
      <w:r w:rsidR="00030052" w:rsidRPr="004B3B0D">
        <w:instrText xml:space="preserve"> REF _Ref94188878 \r \h  \* MERGEFORMAT </w:instrText>
      </w:r>
      <w:r w:rsidR="00030052" w:rsidRPr="004B3B0D">
        <w:fldChar w:fldCharType="separate"/>
      </w:r>
      <w:r w:rsidR="009D2C5B">
        <w:t>30</w:t>
      </w:r>
      <w:r w:rsidR="00030052" w:rsidRPr="004B3B0D">
        <w:fldChar w:fldCharType="end"/>
      </w:r>
      <w:r w:rsidRPr="004B3B0D">
        <w:t xml:space="preserve"> do not apply to the following</w:t>
      </w:r>
      <w:r w:rsidR="00030052" w:rsidRPr="004B3B0D">
        <w:t>:</w:t>
      </w:r>
    </w:p>
    <w:p w14:paraId="3241492B" w14:textId="5FBDE458" w:rsidR="00030052" w:rsidRPr="004B3B0D" w:rsidRDefault="00030052" w:rsidP="0006101C">
      <w:pPr>
        <w:pStyle w:val="ListNumber"/>
        <w:numPr>
          <w:ilvl w:val="1"/>
          <w:numId w:val="12"/>
        </w:numPr>
        <w:ind w:left="851"/>
      </w:pPr>
      <w:r w:rsidRPr="004B3B0D">
        <w:t>GBDs</w:t>
      </w:r>
    </w:p>
    <w:p w14:paraId="5A3D0D6A" w14:textId="291AE480" w:rsidR="00030052" w:rsidRPr="004B3B0D" w:rsidRDefault="009B22CB" w:rsidP="00F53325">
      <w:pPr>
        <w:pStyle w:val="ListNumber"/>
        <w:numPr>
          <w:ilvl w:val="1"/>
          <w:numId w:val="12"/>
        </w:numPr>
        <w:ind w:left="851"/>
      </w:pPr>
      <w:proofErr w:type="gramStart"/>
      <w:r w:rsidRPr="004B3B0D">
        <w:t>n</w:t>
      </w:r>
      <w:r w:rsidR="00030052" w:rsidRPr="004B3B0D">
        <w:t>on-financial</w:t>
      </w:r>
      <w:proofErr w:type="gramEnd"/>
      <w:r w:rsidR="00030052" w:rsidRPr="004B3B0D">
        <w:t xml:space="preserve"> assets constructed as part of the capital works program</w:t>
      </w:r>
      <w:r w:rsidR="00007D6E">
        <w:t>,</w:t>
      </w:r>
      <w:r w:rsidR="00030052" w:rsidRPr="004B3B0D">
        <w:t xml:space="preserve"> </w:t>
      </w:r>
      <w:r w:rsidRPr="004B3B0D">
        <w:t xml:space="preserve">subject to </w:t>
      </w:r>
      <w:r w:rsidR="006B4213">
        <w:t xml:space="preserve">the </w:t>
      </w:r>
      <w:r w:rsidRPr="004B3B0D">
        <w:t xml:space="preserve">conditions outlined </w:t>
      </w:r>
      <w:r w:rsidR="00030052" w:rsidRPr="004B3B0D">
        <w:t>in Treasurer’s Direction – Infrastructure.</w:t>
      </w:r>
    </w:p>
    <w:p w14:paraId="68559C15" w14:textId="6F72D5A6" w:rsidR="000C2382" w:rsidRPr="004B3B0D" w:rsidRDefault="000C2382" w:rsidP="0006101C">
      <w:pPr>
        <w:pStyle w:val="Heading2"/>
      </w:pPr>
      <w:r w:rsidRPr="004B3B0D">
        <w:t>Approval process</w:t>
      </w:r>
    </w:p>
    <w:p w14:paraId="3DC9AC57" w14:textId="17DED319" w:rsidR="00312CC4" w:rsidRPr="004B3B0D" w:rsidRDefault="008E6B59" w:rsidP="008E6B59">
      <w:pPr>
        <w:pStyle w:val="ListNumber"/>
        <w:ind w:left="357" w:hanging="357"/>
      </w:pPr>
      <w:bookmarkStart w:id="17" w:name="_Ref94188853"/>
      <w:r w:rsidRPr="004B3B0D">
        <w:t xml:space="preserve">Changes in appropriation </w:t>
      </w:r>
      <w:r w:rsidR="00D5045A">
        <w:t>p</w:t>
      </w:r>
      <w:r w:rsidR="00D5045A" w:rsidRPr="004B3B0D">
        <w:t xml:space="preserve">urpose </w:t>
      </w:r>
      <w:r w:rsidRPr="004B3B0D">
        <w:t xml:space="preserve">in accordance with section 20(1) of the </w:t>
      </w:r>
      <w:r w:rsidRPr="004B3B0D">
        <w:rPr>
          <w:i/>
          <w:iCs/>
        </w:rPr>
        <w:t xml:space="preserve">Financial Management Act 1995 </w:t>
      </w:r>
      <w:r w:rsidRPr="004B3B0D">
        <w:t>(FMA), can only be approved</w:t>
      </w:r>
      <w:r w:rsidR="00312CC4" w:rsidRPr="004B3B0D">
        <w:t xml:space="preserve"> if:</w:t>
      </w:r>
    </w:p>
    <w:p w14:paraId="5649AE31" w14:textId="7C658122" w:rsidR="00312CC4" w:rsidRPr="004B3B0D" w:rsidRDefault="00312CC4" w:rsidP="004B3B0D">
      <w:pPr>
        <w:pStyle w:val="ListNumber"/>
        <w:numPr>
          <w:ilvl w:val="1"/>
          <w:numId w:val="12"/>
        </w:numPr>
      </w:pPr>
      <w:r w:rsidRPr="004B3B0D">
        <w:t>it is necessary to do so for the administration of government; and</w:t>
      </w:r>
    </w:p>
    <w:p w14:paraId="3E5AD4CA" w14:textId="78E624B2" w:rsidR="00312CC4" w:rsidRPr="004B3B0D" w:rsidRDefault="00312CC4" w:rsidP="004B3B0D">
      <w:pPr>
        <w:pStyle w:val="ListNumber"/>
        <w:numPr>
          <w:ilvl w:val="1"/>
          <w:numId w:val="12"/>
        </w:numPr>
      </w:pPr>
      <w:r w:rsidRPr="004B3B0D">
        <w:t>in accordance with a written direction from either</w:t>
      </w:r>
    </w:p>
    <w:bookmarkEnd w:id="17"/>
    <w:p w14:paraId="7479C06F" w14:textId="15E99FF3" w:rsidR="008E6B59" w:rsidRPr="004B3B0D" w:rsidRDefault="008E6B59" w:rsidP="004B3B0D">
      <w:pPr>
        <w:pStyle w:val="ListNumber"/>
        <w:numPr>
          <w:ilvl w:val="2"/>
          <w:numId w:val="12"/>
        </w:numPr>
      </w:pPr>
      <w:r w:rsidRPr="004B3B0D">
        <w:t xml:space="preserve">the Treasurer </w:t>
      </w:r>
      <w:r w:rsidR="00A05B08" w:rsidRPr="004B3B0D">
        <w:t>or</w:t>
      </w:r>
    </w:p>
    <w:p w14:paraId="55D9186E" w14:textId="7129481C" w:rsidR="00A05B08" w:rsidRPr="004B3B0D" w:rsidRDefault="008E6B59" w:rsidP="004B3B0D">
      <w:pPr>
        <w:pStyle w:val="ListNumber"/>
        <w:numPr>
          <w:ilvl w:val="2"/>
          <w:numId w:val="12"/>
        </w:numPr>
      </w:pPr>
      <w:proofErr w:type="gramStart"/>
      <w:r w:rsidRPr="004B3B0D">
        <w:t>a</w:t>
      </w:r>
      <w:proofErr w:type="gramEnd"/>
      <w:r w:rsidRPr="004B3B0D">
        <w:t xml:space="preserve"> delegate authorised by section 39(1) of the FMA</w:t>
      </w:r>
      <w:r w:rsidR="0061627C" w:rsidRPr="004B3B0D">
        <w:t>, subject to conditions set in paragraph</w:t>
      </w:r>
      <w:r w:rsidR="00A53414" w:rsidRPr="004B3B0D">
        <w:t>s</w:t>
      </w:r>
      <w:r w:rsidR="0061627C" w:rsidRPr="004B3B0D">
        <w:t xml:space="preserve"> </w:t>
      </w:r>
      <w:r w:rsidR="0061627C" w:rsidRPr="004B3B0D">
        <w:fldChar w:fldCharType="begin"/>
      </w:r>
      <w:r w:rsidR="0061627C" w:rsidRPr="004B3B0D">
        <w:instrText xml:space="preserve"> REF _Ref87278093 \r \h  \* MERGEFORMAT </w:instrText>
      </w:r>
      <w:r w:rsidR="0061627C" w:rsidRPr="004B3B0D">
        <w:fldChar w:fldCharType="separate"/>
      </w:r>
      <w:r w:rsidR="009D2C5B">
        <w:t>26</w:t>
      </w:r>
      <w:r w:rsidR="0061627C" w:rsidRPr="004B3B0D">
        <w:fldChar w:fldCharType="end"/>
      </w:r>
      <w:r w:rsidR="006D3C5E" w:rsidRPr="004B3B0D">
        <w:t xml:space="preserve"> and </w:t>
      </w:r>
      <w:r w:rsidR="006D3C5E" w:rsidRPr="004B3B0D">
        <w:fldChar w:fldCharType="begin"/>
      </w:r>
      <w:r w:rsidR="006D3C5E" w:rsidRPr="004B3B0D">
        <w:instrText xml:space="preserve"> REF _Ref138924183 \r \h  \* MERGEFORMAT </w:instrText>
      </w:r>
      <w:r w:rsidR="006D3C5E" w:rsidRPr="004B3B0D">
        <w:fldChar w:fldCharType="separate"/>
      </w:r>
      <w:r w:rsidR="009D2C5B">
        <w:t>27</w:t>
      </w:r>
      <w:r w:rsidR="006D3C5E" w:rsidRPr="004B3B0D">
        <w:fldChar w:fldCharType="end"/>
      </w:r>
      <w:r w:rsidR="00A05B08" w:rsidRPr="004B3B0D">
        <w:t>.</w:t>
      </w:r>
    </w:p>
    <w:p w14:paraId="029D1C6D" w14:textId="77777777" w:rsidR="00A778EF" w:rsidRPr="004B3B0D" w:rsidRDefault="00A778EF" w:rsidP="0006101C">
      <w:pPr>
        <w:pStyle w:val="ListNumber"/>
        <w:ind w:left="357" w:hanging="357"/>
      </w:pPr>
      <w:r w:rsidRPr="004B3B0D">
        <w:t xml:space="preserve">Where Treasurer’s approval is required to change an appropriation purpose, requests to the Treasurer must have ministerial endorsement and at a minimum include: </w:t>
      </w:r>
    </w:p>
    <w:p w14:paraId="60584149" w14:textId="77777777" w:rsidR="00A778EF" w:rsidRPr="004B3B0D" w:rsidRDefault="00A778EF" w:rsidP="0006101C">
      <w:pPr>
        <w:pStyle w:val="Default"/>
        <w:numPr>
          <w:ilvl w:val="0"/>
          <w:numId w:val="16"/>
        </w:numPr>
        <w:spacing w:after="133"/>
        <w:ind w:left="709"/>
      </w:pPr>
      <w:r w:rsidRPr="004B3B0D">
        <w:rPr>
          <w:sz w:val="22"/>
          <w:szCs w:val="22"/>
        </w:rPr>
        <w:t>reasons for the change in appropriation purpose</w:t>
      </w:r>
    </w:p>
    <w:p w14:paraId="4947C2F9" w14:textId="1A6777A5" w:rsidR="00A778EF" w:rsidRPr="004B3B0D" w:rsidRDefault="00A778EF" w:rsidP="0006101C">
      <w:pPr>
        <w:pStyle w:val="Default"/>
        <w:numPr>
          <w:ilvl w:val="0"/>
          <w:numId w:val="16"/>
        </w:numPr>
        <w:spacing w:after="133"/>
        <w:ind w:left="709"/>
      </w:pPr>
      <w:proofErr w:type="gramStart"/>
      <w:r w:rsidRPr="004B3B0D">
        <w:rPr>
          <w:sz w:val="22"/>
          <w:szCs w:val="22"/>
        </w:rPr>
        <w:t>information</w:t>
      </w:r>
      <w:proofErr w:type="gramEnd"/>
      <w:r w:rsidRPr="004B3B0D">
        <w:rPr>
          <w:sz w:val="22"/>
          <w:szCs w:val="22"/>
        </w:rPr>
        <w:t xml:space="preserve"> demonstrating that the accountable officer reasonably believes the transfer relates to excess appropriation and will not cause</w:t>
      </w:r>
      <w:r w:rsidR="00007D6E">
        <w:rPr>
          <w:sz w:val="22"/>
          <w:szCs w:val="22"/>
        </w:rPr>
        <w:t xml:space="preserve"> actual agency</w:t>
      </w:r>
      <w:r w:rsidRPr="004B3B0D">
        <w:rPr>
          <w:sz w:val="22"/>
          <w:szCs w:val="22"/>
        </w:rPr>
        <w:t xml:space="preserve"> expenditure to exceed the</w:t>
      </w:r>
      <w:r w:rsidR="00007D6E">
        <w:rPr>
          <w:sz w:val="22"/>
          <w:szCs w:val="22"/>
        </w:rPr>
        <w:t xml:space="preserve"> agency’s</w:t>
      </w:r>
      <w:r w:rsidRPr="004B3B0D">
        <w:rPr>
          <w:sz w:val="22"/>
          <w:szCs w:val="22"/>
        </w:rPr>
        <w:t xml:space="preserve"> approved expenditure</w:t>
      </w:r>
      <w:r w:rsidR="006B4213">
        <w:rPr>
          <w:sz w:val="22"/>
          <w:szCs w:val="22"/>
        </w:rPr>
        <w:t xml:space="preserve"> budget</w:t>
      </w:r>
      <w:r w:rsidRPr="004B3B0D">
        <w:rPr>
          <w:sz w:val="22"/>
          <w:szCs w:val="22"/>
        </w:rPr>
        <w:t>.</w:t>
      </w:r>
    </w:p>
    <w:p w14:paraId="7DD86A77" w14:textId="33A9F389" w:rsidR="008E6B59" w:rsidRPr="004B3B0D" w:rsidRDefault="00A05B08" w:rsidP="0006101C">
      <w:pPr>
        <w:pStyle w:val="Heading2"/>
      </w:pPr>
      <w:r w:rsidRPr="004B3B0D">
        <w:t xml:space="preserve">Conditions </w:t>
      </w:r>
    </w:p>
    <w:p w14:paraId="12D2ADCE" w14:textId="0E65B0E3" w:rsidR="002028B1" w:rsidRPr="004B3B0D" w:rsidRDefault="008E6B59" w:rsidP="008E6B59">
      <w:pPr>
        <w:pStyle w:val="ListNumber"/>
        <w:ind w:left="357" w:hanging="357"/>
      </w:pPr>
      <w:bookmarkStart w:id="18" w:name="_Ref87278093"/>
      <w:r w:rsidRPr="004B3B0D">
        <w:t>An accountable officer may approve a change in</w:t>
      </w:r>
      <w:r w:rsidR="00963B1D">
        <w:t xml:space="preserve"> a</w:t>
      </w:r>
      <w:r w:rsidR="00EE6E16" w:rsidRPr="004B3B0D">
        <w:t xml:space="preserve"> Territory-funded</w:t>
      </w:r>
      <w:r w:rsidRPr="004B3B0D">
        <w:t xml:space="preserve"> appropriation purpose</w:t>
      </w:r>
      <w:r w:rsidR="00963B1D">
        <w:t>,</w:t>
      </w:r>
      <w:r w:rsidR="00EE6E16" w:rsidRPr="004B3B0D">
        <w:t xml:space="preserve"> to fund the acquisition of a non-financial asset</w:t>
      </w:r>
      <w:r w:rsidRPr="004B3B0D">
        <w:t xml:space="preserve"> when </w:t>
      </w:r>
      <w:r w:rsidRPr="004B3B0D">
        <w:rPr>
          <w:u w:val="single"/>
        </w:rPr>
        <w:t xml:space="preserve">all </w:t>
      </w:r>
      <w:r w:rsidRPr="004B3B0D">
        <w:t>of the following criteria are satisfied</w:t>
      </w:r>
      <w:r w:rsidR="00EE6E16" w:rsidRPr="004B3B0D">
        <w:t>. The change</w:t>
      </w:r>
      <w:r w:rsidRPr="004B3B0D">
        <w:t>:</w:t>
      </w:r>
      <w:bookmarkEnd w:id="18"/>
      <w:r w:rsidRPr="004B3B0D">
        <w:t xml:space="preserve"> </w:t>
      </w:r>
    </w:p>
    <w:p w14:paraId="22831574" w14:textId="76340B1C" w:rsidR="00F9700B" w:rsidRPr="004B3B0D" w:rsidRDefault="00346FD4" w:rsidP="0025667A">
      <w:pPr>
        <w:pStyle w:val="Default"/>
        <w:numPr>
          <w:ilvl w:val="0"/>
          <w:numId w:val="111"/>
        </w:numPr>
        <w:spacing w:after="133"/>
        <w:ind w:left="709"/>
        <w:rPr>
          <w:sz w:val="22"/>
          <w:szCs w:val="22"/>
        </w:rPr>
      </w:pPr>
      <w:r w:rsidRPr="003E65E9">
        <w:rPr>
          <w:sz w:val="22"/>
          <w:szCs w:val="22"/>
        </w:rPr>
        <w:t>is</w:t>
      </w:r>
      <w:r w:rsidR="008E6B59" w:rsidRPr="003E65E9">
        <w:rPr>
          <w:sz w:val="22"/>
          <w:szCs w:val="22"/>
        </w:rPr>
        <w:t xml:space="preserve"> a transfe</w:t>
      </w:r>
      <w:r w:rsidR="00F9700B" w:rsidRPr="003E65E9">
        <w:rPr>
          <w:sz w:val="22"/>
          <w:szCs w:val="22"/>
        </w:rPr>
        <w:t>r</w:t>
      </w:r>
      <w:r w:rsidR="00520601" w:rsidRPr="003E65E9">
        <w:rPr>
          <w:sz w:val="22"/>
          <w:szCs w:val="22"/>
        </w:rPr>
        <w:t xml:space="preserve"> </w:t>
      </w:r>
      <w:r w:rsidR="00A53414" w:rsidRPr="003E65E9">
        <w:rPr>
          <w:sz w:val="22"/>
          <w:szCs w:val="22"/>
        </w:rPr>
        <w:t xml:space="preserve">from </w:t>
      </w:r>
      <w:r w:rsidR="008E6B59" w:rsidRPr="003E65E9">
        <w:rPr>
          <w:sz w:val="22"/>
          <w:szCs w:val="22"/>
        </w:rPr>
        <w:t xml:space="preserve">output appropriation </w:t>
      </w:r>
      <w:r w:rsidR="00A53414" w:rsidRPr="003E65E9">
        <w:rPr>
          <w:sz w:val="22"/>
          <w:szCs w:val="22"/>
        </w:rPr>
        <w:t xml:space="preserve">to </w:t>
      </w:r>
      <w:r w:rsidR="008E6B59" w:rsidRPr="003E65E9">
        <w:rPr>
          <w:sz w:val="22"/>
          <w:szCs w:val="22"/>
        </w:rPr>
        <w:t>capital appropriation</w:t>
      </w:r>
      <w:r w:rsidR="00F9700B" w:rsidRPr="003E65E9">
        <w:rPr>
          <w:sz w:val="22"/>
          <w:szCs w:val="22"/>
        </w:rPr>
        <w:t xml:space="preserve"> and associated expenditure capacity</w:t>
      </w:r>
      <w:r w:rsidR="00A53414" w:rsidRPr="004B3B0D">
        <w:rPr>
          <w:sz w:val="22"/>
          <w:szCs w:val="22"/>
        </w:rPr>
        <w:t xml:space="preserve"> within an agency</w:t>
      </w:r>
    </w:p>
    <w:p w14:paraId="3F5E04FA" w14:textId="69A31102" w:rsidR="00171DE4" w:rsidRPr="004B3B0D" w:rsidRDefault="00171DE4" w:rsidP="004B3B0D">
      <w:pPr>
        <w:pStyle w:val="Default"/>
        <w:numPr>
          <w:ilvl w:val="0"/>
          <w:numId w:val="111"/>
        </w:numPr>
        <w:spacing w:after="133"/>
        <w:ind w:left="709"/>
        <w:rPr>
          <w:sz w:val="22"/>
          <w:szCs w:val="22"/>
        </w:rPr>
      </w:pPr>
      <w:r w:rsidRPr="004B3B0D">
        <w:rPr>
          <w:sz w:val="22"/>
          <w:szCs w:val="22"/>
        </w:rPr>
        <w:t xml:space="preserve">is </w:t>
      </w:r>
      <w:r w:rsidR="00A53414" w:rsidRPr="004B3B0D">
        <w:rPr>
          <w:sz w:val="22"/>
          <w:szCs w:val="22"/>
        </w:rPr>
        <w:t>less than</w:t>
      </w:r>
      <w:r w:rsidRPr="004B3B0D">
        <w:rPr>
          <w:sz w:val="22"/>
          <w:szCs w:val="22"/>
        </w:rPr>
        <w:t xml:space="preserve"> </w:t>
      </w:r>
      <w:r w:rsidR="00CA4BBF" w:rsidRPr="004B3B0D">
        <w:rPr>
          <w:sz w:val="22"/>
          <w:szCs w:val="22"/>
        </w:rPr>
        <w:t xml:space="preserve">or equal to </w:t>
      </w:r>
      <w:r w:rsidRPr="004B3B0D">
        <w:rPr>
          <w:sz w:val="22"/>
          <w:szCs w:val="22"/>
        </w:rPr>
        <w:t xml:space="preserve">$1 000 000 </w:t>
      </w:r>
      <w:r w:rsidR="00291227" w:rsidRPr="004B3B0D">
        <w:rPr>
          <w:sz w:val="22"/>
          <w:szCs w:val="22"/>
        </w:rPr>
        <w:t xml:space="preserve"> for each </w:t>
      </w:r>
      <w:r w:rsidR="00346FD4" w:rsidRPr="004B3B0D">
        <w:rPr>
          <w:sz w:val="22"/>
          <w:szCs w:val="22"/>
        </w:rPr>
        <w:t xml:space="preserve">non-financial </w:t>
      </w:r>
      <w:r w:rsidR="00291227" w:rsidRPr="004B3B0D">
        <w:rPr>
          <w:sz w:val="22"/>
          <w:szCs w:val="22"/>
        </w:rPr>
        <w:t>asset acquired</w:t>
      </w:r>
    </w:p>
    <w:p w14:paraId="7AD661AB" w14:textId="2DA5FF11" w:rsidR="00171DE4" w:rsidRPr="004B3B0D" w:rsidRDefault="00171DE4" w:rsidP="004B3B0D">
      <w:pPr>
        <w:pStyle w:val="Default"/>
        <w:numPr>
          <w:ilvl w:val="0"/>
          <w:numId w:val="111"/>
        </w:numPr>
        <w:spacing w:after="133"/>
        <w:ind w:left="709"/>
        <w:rPr>
          <w:sz w:val="22"/>
          <w:szCs w:val="22"/>
        </w:rPr>
      </w:pPr>
      <w:r w:rsidRPr="004B3B0D">
        <w:rPr>
          <w:sz w:val="22"/>
          <w:szCs w:val="22"/>
        </w:rPr>
        <w:t>is one-off and affects the current financial year only</w:t>
      </w:r>
      <w:r w:rsidR="00236196">
        <w:rPr>
          <w:sz w:val="22"/>
          <w:szCs w:val="22"/>
        </w:rPr>
        <w:t xml:space="preserve"> and</w:t>
      </w:r>
    </w:p>
    <w:p w14:paraId="3D5E410C" w14:textId="57A14EFC" w:rsidR="00171DE4" w:rsidRPr="004B3B0D" w:rsidRDefault="00CE4140" w:rsidP="004B3B0D">
      <w:pPr>
        <w:pStyle w:val="Default"/>
        <w:numPr>
          <w:ilvl w:val="0"/>
          <w:numId w:val="111"/>
        </w:numPr>
        <w:spacing w:after="133"/>
        <w:ind w:left="709"/>
        <w:rPr>
          <w:sz w:val="22"/>
          <w:szCs w:val="22"/>
        </w:rPr>
      </w:pPr>
      <w:proofErr w:type="gramStart"/>
      <w:r>
        <w:rPr>
          <w:sz w:val="22"/>
          <w:szCs w:val="22"/>
        </w:rPr>
        <w:t>the</w:t>
      </w:r>
      <w:proofErr w:type="gramEnd"/>
      <w:r>
        <w:rPr>
          <w:sz w:val="22"/>
          <w:szCs w:val="22"/>
        </w:rPr>
        <w:t xml:space="preserve"> accountable officer reasonably believes the transfer </w:t>
      </w:r>
      <w:r w:rsidR="00171DE4" w:rsidRPr="004B3B0D">
        <w:rPr>
          <w:sz w:val="22"/>
          <w:szCs w:val="22"/>
        </w:rPr>
        <w:t>will not cause actual</w:t>
      </w:r>
      <w:r>
        <w:rPr>
          <w:sz w:val="22"/>
          <w:szCs w:val="22"/>
        </w:rPr>
        <w:t xml:space="preserve"> agency</w:t>
      </w:r>
      <w:r w:rsidR="00171DE4" w:rsidRPr="004B3B0D">
        <w:rPr>
          <w:sz w:val="22"/>
          <w:szCs w:val="22"/>
        </w:rPr>
        <w:t xml:space="preserve"> expenditure to exceed the </w:t>
      </w:r>
      <w:r>
        <w:rPr>
          <w:sz w:val="22"/>
          <w:szCs w:val="22"/>
        </w:rPr>
        <w:t xml:space="preserve">agency’s </w:t>
      </w:r>
      <w:r w:rsidR="00171DE4" w:rsidRPr="004B3B0D">
        <w:rPr>
          <w:sz w:val="22"/>
          <w:szCs w:val="22"/>
        </w:rPr>
        <w:t>approved expenditure budget</w:t>
      </w:r>
      <w:r w:rsidR="00962BAB" w:rsidRPr="004B3B0D">
        <w:rPr>
          <w:sz w:val="22"/>
          <w:szCs w:val="22"/>
        </w:rPr>
        <w:t>.</w:t>
      </w:r>
      <w:r w:rsidR="00171DE4" w:rsidRPr="004B3B0D">
        <w:rPr>
          <w:sz w:val="22"/>
          <w:szCs w:val="22"/>
        </w:rPr>
        <w:t xml:space="preserve"> </w:t>
      </w:r>
    </w:p>
    <w:p w14:paraId="2E56CA57" w14:textId="7E1DEF0F" w:rsidR="002028B1" w:rsidRPr="004B3B0D" w:rsidRDefault="00EE6E16" w:rsidP="00EE6E16">
      <w:pPr>
        <w:pStyle w:val="ListNumber"/>
        <w:ind w:left="357" w:hanging="357"/>
      </w:pPr>
      <w:bookmarkStart w:id="19" w:name="_Ref138924183"/>
      <w:r w:rsidRPr="004B3B0D">
        <w:t>An accountable officer may approve a change in Territo</w:t>
      </w:r>
      <w:r w:rsidR="002028B1" w:rsidRPr="004B3B0D">
        <w:t>ry-funded appropriation</w:t>
      </w:r>
      <w:r w:rsidR="006B4213">
        <w:t xml:space="preserve"> purpose</w:t>
      </w:r>
      <w:r w:rsidRPr="004B3B0D">
        <w:t xml:space="preserve"> to align funding with asset recognition principles outlined in paragraph </w:t>
      </w:r>
      <w:r w:rsidRPr="00740E56">
        <w:fldChar w:fldCharType="begin"/>
      </w:r>
      <w:r w:rsidRPr="004B3B0D">
        <w:instrText xml:space="preserve"> REF _Ref93328968 \r \h  \* MERGEFORMAT </w:instrText>
      </w:r>
      <w:r w:rsidRPr="00740E56">
        <w:fldChar w:fldCharType="separate"/>
      </w:r>
      <w:r w:rsidR="009D2C5B">
        <w:t>11</w:t>
      </w:r>
      <w:r w:rsidRPr="00740E56">
        <w:fldChar w:fldCharType="end"/>
      </w:r>
      <w:r w:rsidR="00CE4140">
        <w:t>,</w:t>
      </w:r>
      <w:r w:rsidRPr="004B3B0D">
        <w:t xml:space="preserve"> when </w:t>
      </w:r>
      <w:r w:rsidRPr="004B3B0D">
        <w:rPr>
          <w:u w:val="single"/>
        </w:rPr>
        <w:t xml:space="preserve">all </w:t>
      </w:r>
      <w:r w:rsidRPr="004B3B0D">
        <w:t>of the following criteria are satisfied. The change:</w:t>
      </w:r>
      <w:bookmarkEnd w:id="19"/>
      <w:r w:rsidR="002028B1" w:rsidRPr="004B3B0D">
        <w:t xml:space="preserve"> </w:t>
      </w:r>
    </w:p>
    <w:p w14:paraId="2DCB67BF" w14:textId="6A16AACA" w:rsidR="00EE6E16" w:rsidRPr="007B4B13" w:rsidRDefault="00346FD4" w:rsidP="004B3B0D">
      <w:pPr>
        <w:pStyle w:val="Default"/>
        <w:numPr>
          <w:ilvl w:val="0"/>
          <w:numId w:val="153"/>
        </w:numPr>
        <w:spacing w:after="133"/>
        <w:rPr>
          <w:sz w:val="22"/>
          <w:szCs w:val="22"/>
        </w:rPr>
      </w:pPr>
      <w:r w:rsidRPr="00950938">
        <w:rPr>
          <w:sz w:val="22"/>
          <w:szCs w:val="22"/>
        </w:rPr>
        <w:t xml:space="preserve">of </w:t>
      </w:r>
      <w:r w:rsidR="00CE4140">
        <w:rPr>
          <w:sz w:val="22"/>
          <w:szCs w:val="22"/>
        </w:rPr>
        <w:t xml:space="preserve">appropriation </w:t>
      </w:r>
      <w:r w:rsidR="00D5045A" w:rsidRPr="00950938">
        <w:rPr>
          <w:sz w:val="22"/>
          <w:szCs w:val="22"/>
        </w:rPr>
        <w:t xml:space="preserve">purpose </w:t>
      </w:r>
      <w:r w:rsidRPr="00950938">
        <w:rPr>
          <w:sz w:val="22"/>
          <w:szCs w:val="22"/>
        </w:rPr>
        <w:t xml:space="preserve">for which funding was originally approved will be for </w:t>
      </w:r>
      <w:r w:rsidR="002028B1" w:rsidRPr="00950938">
        <w:rPr>
          <w:sz w:val="22"/>
          <w:szCs w:val="22"/>
        </w:rPr>
        <w:t>the same</w:t>
      </w:r>
      <w:r w:rsidR="00950938">
        <w:rPr>
          <w:sz w:val="22"/>
          <w:szCs w:val="22"/>
        </w:rPr>
        <w:t xml:space="preserve">  o</w:t>
      </w:r>
      <w:r w:rsidRPr="007B4B13">
        <w:rPr>
          <w:sz w:val="22"/>
          <w:szCs w:val="22"/>
        </w:rPr>
        <w:t>bjective/initiative/project</w:t>
      </w:r>
    </w:p>
    <w:p w14:paraId="4CD29DCE" w14:textId="7E24B25C" w:rsidR="00EE6E16" w:rsidRPr="004B3B0D" w:rsidRDefault="00346FD4" w:rsidP="004B3B0D">
      <w:pPr>
        <w:pStyle w:val="Default"/>
        <w:numPr>
          <w:ilvl w:val="0"/>
          <w:numId w:val="153"/>
        </w:numPr>
        <w:spacing w:after="133"/>
      </w:pPr>
      <w:r w:rsidRPr="004B3B0D">
        <w:rPr>
          <w:sz w:val="22"/>
          <w:szCs w:val="22"/>
        </w:rPr>
        <w:t>is</w:t>
      </w:r>
      <w:r w:rsidR="00EE6E16" w:rsidRPr="004B3B0D">
        <w:rPr>
          <w:sz w:val="22"/>
          <w:szCs w:val="22"/>
        </w:rPr>
        <w:t xml:space="preserve"> a transfer between output appropriation and capital appropriation and associated expenditure capacity</w:t>
      </w:r>
      <w:r w:rsidR="00F909EE" w:rsidRPr="004B3B0D">
        <w:rPr>
          <w:sz w:val="22"/>
          <w:szCs w:val="22"/>
        </w:rPr>
        <w:t xml:space="preserve"> within an agency </w:t>
      </w:r>
    </w:p>
    <w:p w14:paraId="46FCD4A2" w14:textId="14AA00D7" w:rsidR="00EE6E16" w:rsidRPr="004B3B0D" w:rsidRDefault="00EE6E16" w:rsidP="004B3B0D">
      <w:pPr>
        <w:pStyle w:val="Default"/>
        <w:numPr>
          <w:ilvl w:val="0"/>
          <w:numId w:val="153"/>
        </w:numPr>
        <w:spacing w:after="133"/>
      </w:pPr>
      <w:proofErr w:type="gramStart"/>
      <w:r w:rsidRPr="004B3B0D">
        <w:rPr>
          <w:sz w:val="22"/>
          <w:szCs w:val="22"/>
        </w:rPr>
        <w:t>is</w:t>
      </w:r>
      <w:proofErr w:type="gramEnd"/>
      <w:r w:rsidRPr="004B3B0D">
        <w:rPr>
          <w:sz w:val="22"/>
          <w:szCs w:val="22"/>
        </w:rPr>
        <w:t xml:space="preserve"> one-off and affects the current financial year only</w:t>
      </w:r>
      <w:r w:rsidR="00C04387">
        <w:rPr>
          <w:sz w:val="22"/>
          <w:szCs w:val="22"/>
        </w:rPr>
        <w:t>.</w:t>
      </w:r>
    </w:p>
    <w:p w14:paraId="78CAA2C8" w14:textId="45D3AF3E" w:rsidR="00AD70C6" w:rsidRPr="004B3B0D" w:rsidRDefault="00A778EF" w:rsidP="00A778EF">
      <w:pPr>
        <w:pStyle w:val="ListNumber"/>
        <w:ind w:left="357" w:hanging="357"/>
      </w:pPr>
      <w:r w:rsidRPr="004B3B0D">
        <w:t>A</w:t>
      </w:r>
      <w:r w:rsidR="00EB7F38" w:rsidRPr="004B3B0D">
        <w:t xml:space="preserve">n </w:t>
      </w:r>
      <w:r w:rsidR="00FA1DDE" w:rsidRPr="004B3B0D">
        <w:t xml:space="preserve">accountable officer must notify </w:t>
      </w:r>
      <w:r w:rsidR="009D2C5B">
        <w:t xml:space="preserve">the </w:t>
      </w:r>
      <w:r w:rsidR="00FA1DDE" w:rsidRPr="004B3B0D">
        <w:t>D</w:t>
      </w:r>
      <w:r w:rsidR="009D2C5B">
        <w:t xml:space="preserve">epartment of </w:t>
      </w:r>
      <w:r w:rsidR="00FA1DDE" w:rsidRPr="004B3B0D">
        <w:t>T</w:t>
      </w:r>
      <w:r w:rsidR="009D2C5B">
        <w:t xml:space="preserve">reasury and </w:t>
      </w:r>
      <w:r w:rsidR="00FA1DDE" w:rsidRPr="004B3B0D">
        <w:t>F</w:t>
      </w:r>
      <w:r w:rsidR="009D2C5B">
        <w:t>inance</w:t>
      </w:r>
      <w:r w:rsidR="00FA1DDE" w:rsidRPr="004B3B0D">
        <w:t xml:space="preserve"> within 10 working days of approving a change in appropriation</w:t>
      </w:r>
      <w:r w:rsidR="00EB7F38" w:rsidRPr="004B3B0D">
        <w:t xml:space="preserve"> purpose. This notification must include</w:t>
      </w:r>
      <w:r w:rsidR="00AD70C6" w:rsidRPr="004B3B0D">
        <w:t>:</w:t>
      </w:r>
    </w:p>
    <w:p w14:paraId="6EEC886D" w14:textId="315C180A" w:rsidR="00AD70C6" w:rsidRPr="004B3B0D" w:rsidRDefault="00EB7F38" w:rsidP="0006101C">
      <w:pPr>
        <w:pStyle w:val="ListNumber"/>
        <w:numPr>
          <w:ilvl w:val="1"/>
          <w:numId w:val="12"/>
        </w:numPr>
        <w:ind w:left="851"/>
      </w:pPr>
      <w:r w:rsidRPr="004B3B0D">
        <w:t>the reasons for the change in appropriation purpose</w:t>
      </w:r>
      <w:r w:rsidR="00AD70C6" w:rsidRPr="004B3B0D">
        <w:t>;</w:t>
      </w:r>
      <w:r w:rsidRPr="004B3B0D">
        <w:t xml:space="preserve"> and </w:t>
      </w:r>
    </w:p>
    <w:p w14:paraId="3A4FC1F4" w14:textId="237445DF" w:rsidR="00FA1DDE" w:rsidRPr="004B3B0D" w:rsidRDefault="00EB7F38" w:rsidP="0006101C">
      <w:pPr>
        <w:pStyle w:val="ListNumber"/>
        <w:numPr>
          <w:ilvl w:val="1"/>
          <w:numId w:val="12"/>
        </w:numPr>
        <w:ind w:left="851"/>
      </w:pPr>
      <w:proofErr w:type="gramStart"/>
      <w:r w:rsidRPr="004B3B0D">
        <w:t>information</w:t>
      </w:r>
      <w:proofErr w:type="gramEnd"/>
      <w:r w:rsidRPr="004B3B0D">
        <w:t xml:space="preserve"> demonstrating that the conditions outlined in paragraph</w:t>
      </w:r>
      <w:r w:rsidR="00F909EE" w:rsidRPr="004B3B0D">
        <w:t>s</w:t>
      </w:r>
      <w:r w:rsidRPr="004B3B0D">
        <w:t xml:space="preserve"> </w:t>
      </w:r>
      <w:r w:rsidR="00890991" w:rsidRPr="00740E56">
        <w:fldChar w:fldCharType="begin"/>
      </w:r>
      <w:r w:rsidR="00890991" w:rsidRPr="004B3B0D">
        <w:instrText xml:space="preserve"> REF _Ref87278093 \r \h </w:instrText>
      </w:r>
      <w:r w:rsidR="008E11F0" w:rsidRPr="004B3B0D">
        <w:instrText xml:space="preserve"> \* MERGEFORMAT </w:instrText>
      </w:r>
      <w:r w:rsidR="00890991" w:rsidRPr="00740E56">
        <w:fldChar w:fldCharType="separate"/>
      </w:r>
      <w:r w:rsidR="009D2C5B">
        <w:t>26</w:t>
      </w:r>
      <w:r w:rsidR="00890991" w:rsidRPr="00740E56">
        <w:fldChar w:fldCharType="end"/>
      </w:r>
      <w:r w:rsidR="00962BAB" w:rsidRPr="004B3B0D">
        <w:t xml:space="preserve"> or </w:t>
      </w:r>
      <w:r w:rsidR="00962BAB" w:rsidRPr="00740E56">
        <w:fldChar w:fldCharType="begin"/>
      </w:r>
      <w:r w:rsidR="00962BAB" w:rsidRPr="004B3B0D">
        <w:instrText xml:space="preserve"> REF _Ref138924183 \r \h  \* MERGEFORMAT </w:instrText>
      </w:r>
      <w:r w:rsidR="00962BAB" w:rsidRPr="00740E56">
        <w:fldChar w:fldCharType="separate"/>
      </w:r>
      <w:r w:rsidR="009D2C5B">
        <w:t>27</w:t>
      </w:r>
      <w:r w:rsidR="00962BAB" w:rsidRPr="00740E56">
        <w:fldChar w:fldCharType="end"/>
      </w:r>
      <w:r w:rsidR="00890991" w:rsidRPr="004B3B0D">
        <w:t xml:space="preserve"> </w:t>
      </w:r>
      <w:r w:rsidRPr="004B3B0D">
        <w:t>have been met.</w:t>
      </w:r>
    </w:p>
    <w:p w14:paraId="2A636D64" w14:textId="39FCDFD7" w:rsidR="00A964BA" w:rsidRPr="004B3B0D" w:rsidRDefault="00A964BA" w:rsidP="00A964BA">
      <w:pPr>
        <w:pStyle w:val="ListNumber"/>
        <w:ind w:left="357" w:hanging="357"/>
      </w:pPr>
      <w:r w:rsidRPr="004B3B0D">
        <w:t xml:space="preserve">Subsequent to the approval of </w:t>
      </w:r>
      <w:r w:rsidR="00353496" w:rsidRPr="004B3B0D">
        <w:t>a</w:t>
      </w:r>
      <w:r w:rsidRPr="004B3B0D">
        <w:t xml:space="preserve"> change in appropriation purpose, the a</w:t>
      </w:r>
      <w:r w:rsidR="00353496" w:rsidRPr="004B3B0D">
        <w:t xml:space="preserve">gency </w:t>
      </w:r>
      <w:r w:rsidRPr="004B3B0D">
        <w:t>must submit the necessary budget</w:t>
      </w:r>
      <w:r w:rsidR="00B11A58" w:rsidRPr="004B3B0D">
        <w:t xml:space="preserve"> </w:t>
      </w:r>
      <w:r w:rsidRPr="004B3B0D">
        <w:t>variations</w:t>
      </w:r>
      <w:r w:rsidR="00C050C6" w:rsidRPr="004B3B0D">
        <w:t xml:space="preserve"> in the next available budget </w:t>
      </w:r>
      <w:r w:rsidR="001E144D" w:rsidRPr="004B3B0D">
        <w:t>round</w:t>
      </w:r>
      <w:r w:rsidR="00C050C6" w:rsidRPr="004B3B0D">
        <w:t xml:space="preserve">. </w:t>
      </w:r>
    </w:p>
    <w:p w14:paraId="43686F04" w14:textId="6F890D3D" w:rsidR="00A964BA" w:rsidRPr="004B3B0D" w:rsidRDefault="00A964BA" w:rsidP="00A964BA">
      <w:pPr>
        <w:pStyle w:val="ListNumber"/>
        <w:ind w:left="357" w:hanging="357"/>
      </w:pPr>
      <w:bookmarkStart w:id="20" w:name="_Ref94188878"/>
      <w:r w:rsidRPr="004B3B0D">
        <w:t>Pursuant to paragraph</w:t>
      </w:r>
      <w:r w:rsidR="00F909EE" w:rsidRPr="004B3B0D">
        <w:t>s</w:t>
      </w:r>
      <w:r w:rsidR="00B949F4" w:rsidRPr="004B3B0D">
        <w:t xml:space="preserve"> </w:t>
      </w:r>
      <w:r w:rsidR="00353496" w:rsidRPr="00740E56">
        <w:fldChar w:fldCharType="begin"/>
      </w:r>
      <w:r w:rsidR="00353496" w:rsidRPr="004B3B0D">
        <w:instrText xml:space="preserve"> REF _Ref87278093 \r \h </w:instrText>
      </w:r>
      <w:r w:rsidR="008E11F0" w:rsidRPr="004B3B0D">
        <w:instrText xml:space="preserve"> \* MERGEFORMAT </w:instrText>
      </w:r>
      <w:r w:rsidR="00353496" w:rsidRPr="00740E56">
        <w:fldChar w:fldCharType="separate"/>
      </w:r>
      <w:r w:rsidR="009D2C5B">
        <w:t>26</w:t>
      </w:r>
      <w:r w:rsidR="00353496" w:rsidRPr="00740E56">
        <w:fldChar w:fldCharType="end"/>
      </w:r>
      <w:r w:rsidR="00962BAB" w:rsidRPr="004B3B0D">
        <w:t xml:space="preserve"> and </w:t>
      </w:r>
      <w:r w:rsidR="00962BAB" w:rsidRPr="00740E56">
        <w:fldChar w:fldCharType="begin"/>
      </w:r>
      <w:r w:rsidR="00962BAB" w:rsidRPr="004B3B0D">
        <w:instrText xml:space="preserve"> REF _Ref138924183 \r \h  \* MERGEFORMAT </w:instrText>
      </w:r>
      <w:r w:rsidR="00962BAB" w:rsidRPr="00740E56">
        <w:fldChar w:fldCharType="separate"/>
      </w:r>
      <w:r w:rsidR="009D2C5B">
        <w:t>27</w:t>
      </w:r>
      <w:r w:rsidR="00962BAB" w:rsidRPr="00740E56">
        <w:fldChar w:fldCharType="end"/>
      </w:r>
      <w:r w:rsidRPr="004B3B0D">
        <w:t xml:space="preserve">, changes in appropriation purpose affecting the current financial year must be approved on or before 31 May, unless otherwise agreed with </w:t>
      </w:r>
      <w:r w:rsidR="009D2C5B">
        <w:t xml:space="preserve">the </w:t>
      </w:r>
      <w:r w:rsidRPr="004B3B0D">
        <w:t>D</w:t>
      </w:r>
      <w:r w:rsidR="009D2C5B">
        <w:t xml:space="preserve">epartment of </w:t>
      </w:r>
      <w:r w:rsidRPr="004B3B0D">
        <w:t>T</w:t>
      </w:r>
      <w:r w:rsidR="009D2C5B">
        <w:t xml:space="preserve">reasury and </w:t>
      </w:r>
      <w:r w:rsidRPr="004B3B0D">
        <w:t>F</w:t>
      </w:r>
      <w:r w:rsidR="009D2C5B">
        <w:t>inance</w:t>
      </w:r>
      <w:r w:rsidRPr="004B3B0D">
        <w:t>.</w:t>
      </w:r>
      <w:bookmarkEnd w:id="20"/>
      <w:r w:rsidRPr="004B3B0D">
        <w:t xml:space="preserve"> </w:t>
      </w:r>
    </w:p>
    <w:p w14:paraId="6BD87AB3" w14:textId="66B76B38" w:rsidR="00EB1FFC" w:rsidRPr="004B3B0D" w:rsidRDefault="00233301" w:rsidP="00EB1FFC">
      <w:pPr>
        <w:pStyle w:val="Heading1"/>
      </w:pPr>
      <w:r w:rsidRPr="004B3B0D">
        <w:t>Measurement</w:t>
      </w:r>
    </w:p>
    <w:p w14:paraId="39A402C5" w14:textId="77777777" w:rsidR="000D3202" w:rsidRPr="004B3B0D" w:rsidRDefault="000D3202" w:rsidP="004B3B0D">
      <w:pPr>
        <w:pStyle w:val="Heading2"/>
      </w:pPr>
      <w:r w:rsidRPr="004B3B0D">
        <w:t>Initial measurement</w:t>
      </w:r>
    </w:p>
    <w:p w14:paraId="50B3C58E" w14:textId="09610433" w:rsidR="006A1575" w:rsidRPr="004B3B0D" w:rsidRDefault="00125C9B" w:rsidP="000D3202">
      <w:pPr>
        <w:pStyle w:val="ListNumber"/>
        <w:ind w:left="426"/>
      </w:pPr>
      <w:r w:rsidRPr="004B3B0D">
        <w:t xml:space="preserve">For the purposes of </w:t>
      </w:r>
      <w:r w:rsidR="000D3202" w:rsidRPr="004B3B0D">
        <w:t xml:space="preserve">paragraph </w:t>
      </w:r>
      <w:r w:rsidR="000D3202" w:rsidRPr="00740E56">
        <w:fldChar w:fldCharType="begin"/>
      </w:r>
      <w:r w:rsidR="000D3202" w:rsidRPr="004B3B0D">
        <w:instrText xml:space="preserve"> REF _Ref93328968 \r \h  \* MERGEFORMAT </w:instrText>
      </w:r>
      <w:r w:rsidR="000D3202" w:rsidRPr="00740E56">
        <w:fldChar w:fldCharType="separate"/>
      </w:r>
      <w:r w:rsidR="009D2C5B">
        <w:t>11</w:t>
      </w:r>
      <w:r w:rsidR="000D3202" w:rsidRPr="00740E56">
        <w:fldChar w:fldCharType="end"/>
      </w:r>
      <w:r w:rsidR="00F909EE" w:rsidRPr="00D5045A">
        <w:fldChar w:fldCharType="begin"/>
      </w:r>
      <w:r w:rsidR="00F909EE" w:rsidRPr="004B3B0D">
        <w:instrText xml:space="preserve"> REF _Ref95837650 \r \h </w:instrText>
      </w:r>
      <w:r w:rsidR="00055404" w:rsidRPr="004B3B0D">
        <w:instrText xml:space="preserve"> \* MERGEFORMAT </w:instrText>
      </w:r>
      <w:r w:rsidR="00F909EE" w:rsidRPr="00D5045A">
        <w:fldChar w:fldCharType="separate"/>
      </w:r>
      <w:r w:rsidR="009D2C5B">
        <w:t>a</w:t>
      </w:r>
      <w:r w:rsidR="00F909EE" w:rsidRPr="00D5045A">
        <w:fldChar w:fldCharType="end"/>
      </w:r>
      <w:r w:rsidR="006A1575" w:rsidRPr="004B3B0D">
        <w:t>:</w:t>
      </w:r>
      <w:r w:rsidR="000D3202" w:rsidRPr="004B3B0D">
        <w:t xml:space="preserve"> </w:t>
      </w:r>
    </w:p>
    <w:p w14:paraId="00D7AD32" w14:textId="129C5661" w:rsidR="000D3202" w:rsidRPr="004B3B0D" w:rsidRDefault="000D3202" w:rsidP="004B3B0D">
      <w:pPr>
        <w:pStyle w:val="ListNumber"/>
        <w:numPr>
          <w:ilvl w:val="0"/>
          <w:numId w:val="114"/>
        </w:numPr>
      </w:pPr>
      <w:r w:rsidRPr="004B3B0D">
        <w:t xml:space="preserve">a non-financial asset is </w:t>
      </w:r>
      <w:r w:rsidR="00F909EE" w:rsidRPr="004B3B0D">
        <w:t xml:space="preserve">initially </w:t>
      </w:r>
      <w:r w:rsidRPr="004B3B0D">
        <w:t>recognised</w:t>
      </w:r>
      <w:r w:rsidR="00F909EE" w:rsidRPr="004B3B0D">
        <w:t xml:space="preserve"> in the balance sheet</w:t>
      </w:r>
      <w:r w:rsidRPr="004B3B0D">
        <w:t xml:space="preserve"> at: </w:t>
      </w:r>
    </w:p>
    <w:p w14:paraId="6D1C19B3" w14:textId="77777777" w:rsidR="000D3202" w:rsidRPr="004B3B0D" w:rsidRDefault="000D3202" w:rsidP="004B3B0D">
      <w:pPr>
        <w:pStyle w:val="ListNumber"/>
        <w:numPr>
          <w:ilvl w:val="1"/>
          <w:numId w:val="114"/>
        </w:numPr>
      </w:pPr>
      <w:r w:rsidRPr="004B3B0D">
        <w:t xml:space="preserve">cost </w:t>
      </w:r>
    </w:p>
    <w:p w14:paraId="6A12CD41" w14:textId="64EEA252" w:rsidR="000D3202" w:rsidRPr="004B3B0D" w:rsidRDefault="000D3202" w:rsidP="004B3B0D">
      <w:pPr>
        <w:pStyle w:val="ListNumber"/>
        <w:numPr>
          <w:ilvl w:val="1"/>
          <w:numId w:val="114"/>
        </w:numPr>
      </w:pPr>
      <w:proofErr w:type="gramStart"/>
      <w:r w:rsidRPr="004B3B0D">
        <w:t>or</w:t>
      </w:r>
      <w:proofErr w:type="gramEnd"/>
      <w:r w:rsidRPr="004B3B0D">
        <w:t xml:space="preserve"> fair value, where the</w:t>
      </w:r>
      <w:r w:rsidR="00611291" w:rsidRPr="004B3B0D">
        <w:t xml:space="preserve"> non-financial</w:t>
      </w:r>
      <w:r w:rsidRPr="004B3B0D">
        <w:t xml:space="preserve"> asset is acquired for nil consideration or consideration that is significantly below fair value. </w:t>
      </w:r>
    </w:p>
    <w:p w14:paraId="6E592B46" w14:textId="4A14B009" w:rsidR="000D3202" w:rsidRPr="004B3B0D" w:rsidRDefault="000D3202" w:rsidP="004B3B0D">
      <w:pPr>
        <w:pStyle w:val="ListNumber"/>
        <w:numPr>
          <w:ilvl w:val="0"/>
          <w:numId w:val="114"/>
        </w:numPr>
      </w:pPr>
      <w:r w:rsidRPr="004B3B0D">
        <w:t xml:space="preserve"> </w:t>
      </w:r>
      <w:proofErr w:type="gramStart"/>
      <w:r w:rsidRPr="004B3B0D">
        <w:t>land</w:t>
      </w:r>
      <w:proofErr w:type="gramEnd"/>
      <w:r w:rsidRPr="004B3B0D">
        <w:t xml:space="preserve"> under roads is only recognised where the asset is purchased and its cost can be reliably measured.</w:t>
      </w:r>
    </w:p>
    <w:p w14:paraId="259921C1" w14:textId="7C2282B3" w:rsidR="000D3202" w:rsidRPr="004B3B0D" w:rsidRDefault="000D3202" w:rsidP="004B3B0D">
      <w:pPr>
        <w:pStyle w:val="Heading2"/>
      </w:pPr>
      <w:r w:rsidRPr="004B3B0D">
        <w:t>Subsequent measurement</w:t>
      </w:r>
    </w:p>
    <w:p w14:paraId="354E389C" w14:textId="5B59F4B6" w:rsidR="007C19A5" w:rsidRPr="004B3B0D" w:rsidRDefault="00F6054F" w:rsidP="00820DEB">
      <w:pPr>
        <w:pStyle w:val="ListNumber"/>
        <w:ind w:left="357" w:hanging="357"/>
      </w:pPr>
      <w:bookmarkStart w:id="21" w:name="_Ref93671020"/>
      <w:r w:rsidRPr="004B3B0D">
        <w:t xml:space="preserve">Agencies must subsequently measure the following </w:t>
      </w:r>
      <w:r w:rsidR="00467D11" w:rsidRPr="004B3B0D">
        <w:t>classes</w:t>
      </w:r>
      <w:r w:rsidR="00D23FD0" w:rsidRPr="004B3B0D">
        <w:t xml:space="preserve"> </w:t>
      </w:r>
      <w:r w:rsidRPr="004B3B0D">
        <w:t>of non-financial assets using the revaluation model:</w:t>
      </w:r>
      <w:bookmarkEnd w:id="21"/>
    </w:p>
    <w:p w14:paraId="3BED7148" w14:textId="221DC300" w:rsidR="00F6054F" w:rsidRPr="004B3B0D" w:rsidRDefault="00200001" w:rsidP="006B4C74">
      <w:pPr>
        <w:pStyle w:val="ListNumber"/>
        <w:numPr>
          <w:ilvl w:val="0"/>
          <w:numId w:val="20"/>
        </w:numPr>
        <w:ind w:left="709"/>
      </w:pPr>
      <w:r w:rsidRPr="004B3B0D">
        <w:t>l</w:t>
      </w:r>
      <w:r w:rsidR="00F6054F" w:rsidRPr="004B3B0D">
        <w:t>and</w:t>
      </w:r>
    </w:p>
    <w:p w14:paraId="1DB1ECC8" w14:textId="59233E3D" w:rsidR="00F6054F" w:rsidRPr="004B3B0D" w:rsidRDefault="00200001" w:rsidP="006B4C74">
      <w:pPr>
        <w:pStyle w:val="ListNumber"/>
        <w:numPr>
          <w:ilvl w:val="0"/>
          <w:numId w:val="20"/>
        </w:numPr>
        <w:ind w:left="709"/>
      </w:pPr>
      <w:r w:rsidRPr="004B3B0D">
        <w:t>b</w:t>
      </w:r>
      <w:r w:rsidR="00F6054F" w:rsidRPr="004B3B0D">
        <w:t>uildings</w:t>
      </w:r>
    </w:p>
    <w:p w14:paraId="1BEA4876" w14:textId="3CC3AE90" w:rsidR="00F6054F" w:rsidRPr="004B3B0D" w:rsidRDefault="00200001" w:rsidP="006B4C74">
      <w:pPr>
        <w:pStyle w:val="ListNumber"/>
        <w:numPr>
          <w:ilvl w:val="0"/>
          <w:numId w:val="20"/>
        </w:numPr>
        <w:ind w:left="709"/>
      </w:pPr>
      <w:r w:rsidRPr="004B3B0D">
        <w:t>i</w:t>
      </w:r>
      <w:r w:rsidR="00F6054F" w:rsidRPr="004B3B0D">
        <w:t>nfrastructure assets</w:t>
      </w:r>
    </w:p>
    <w:p w14:paraId="31277622" w14:textId="32B3F42E" w:rsidR="00200001" w:rsidRPr="004B3B0D" w:rsidRDefault="00200001" w:rsidP="006B4C74">
      <w:pPr>
        <w:pStyle w:val="ListNumber"/>
        <w:numPr>
          <w:ilvl w:val="0"/>
          <w:numId w:val="20"/>
        </w:numPr>
        <w:ind w:left="709"/>
      </w:pPr>
      <w:r w:rsidRPr="004B3B0D">
        <w:t>heritage and cultural assets</w:t>
      </w:r>
    </w:p>
    <w:p w14:paraId="3CAB50B8" w14:textId="607BF876" w:rsidR="00200001" w:rsidRPr="004B3B0D" w:rsidRDefault="00200001" w:rsidP="006B4C74">
      <w:pPr>
        <w:pStyle w:val="ListNumber"/>
        <w:numPr>
          <w:ilvl w:val="0"/>
          <w:numId w:val="20"/>
        </w:numPr>
        <w:ind w:left="709"/>
      </w:pPr>
      <w:proofErr w:type="gramStart"/>
      <w:r w:rsidRPr="004B3B0D">
        <w:t>intangible</w:t>
      </w:r>
      <w:proofErr w:type="gramEnd"/>
      <w:r w:rsidRPr="004B3B0D">
        <w:t xml:space="preserve"> assets</w:t>
      </w:r>
      <w:r w:rsidR="00513F16" w:rsidRPr="004B3B0D">
        <w:t xml:space="preserve"> </w:t>
      </w:r>
      <w:r w:rsidR="00E24B22" w:rsidRPr="004B3B0D">
        <w:t>with</w:t>
      </w:r>
      <w:r w:rsidR="00D75120" w:rsidRPr="004B3B0D">
        <w:t xml:space="preserve"> an</w:t>
      </w:r>
      <w:r w:rsidR="00E24B22" w:rsidRPr="004B3B0D">
        <w:t xml:space="preserve"> active market</w:t>
      </w:r>
      <w:r w:rsidR="00513F16" w:rsidRPr="004B3B0D">
        <w:t xml:space="preserve"> </w:t>
      </w:r>
      <w:r w:rsidR="00513F16" w:rsidRPr="007B4B13">
        <w:t xml:space="preserve">excluding </w:t>
      </w:r>
      <w:r w:rsidR="00E50BF1" w:rsidRPr="007B4B13">
        <w:t xml:space="preserve">computer </w:t>
      </w:r>
      <w:r w:rsidR="00513F16" w:rsidRPr="007B4B13">
        <w:t>software</w:t>
      </w:r>
      <w:r w:rsidR="00E50BF1" w:rsidRPr="004B3B0D">
        <w:t>.</w:t>
      </w:r>
    </w:p>
    <w:p w14:paraId="4ECFBB15" w14:textId="6FE610EE" w:rsidR="00A315E0" w:rsidRPr="004B3B0D" w:rsidRDefault="00CE4140" w:rsidP="002E271E">
      <w:pPr>
        <w:pStyle w:val="ListNumber"/>
        <w:ind w:left="357" w:hanging="357"/>
      </w:pPr>
      <w:r>
        <w:t xml:space="preserve">Pursuant to paragraph </w:t>
      </w:r>
      <w:r w:rsidR="00D52388">
        <w:fldChar w:fldCharType="begin"/>
      </w:r>
      <w:r w:rsidR="00D52388">
        <w:instrText xml:space="preserve"> REF _Ref93671020 \r \h </w:instrText>
      </w:r>
      <w:r w:rsidR="00D52388">
        <w:fldChar w:fldCharType="separate"/>
      </w:r>
      <w:r w:rsidR="009D2C5B">
        <w:t>32</w:t>
      </w:r>
      <w:r w:rsidR="00D52388">
        <w:fldChar w:fldCharType="end"/>
      </w:r>
      <w:r>
        <w:t>, o</w:t>
      </w:r>
      <w:r w:rsidR="00E24B22" w:rsidRPr="004B3B0D">
        <w:t xml:space="preserve">ther </w:t>
      </w:r>
      <w:r w:rsidR="00467D11" w:rsidRPr="004B3B0D">
        <w:t>classes</w:t>
      </w:r>
      <w:r w:rsidR="00E24B22" w:rsidRPr="004B3B0D">
        <w:t xml:space="preserve"> of non-financial assets </w:t>
      </w:r>
      <w:r w:rsidR="00467D11" w:rsidRPr="004B3B0D">
        <w:t>are not</w:t>
      </w:r>
      <w:r w:rsidR="006A1575" w:rsidRPr="004B3B0D">
        <w:t xml:space="preserve"> </w:t>
      </w:r>
      <w:r w:rsidR="00467D11" w:rsidRPr="004B3B0D">
        <w:t>revalued and are</w:t>
      </w:r>
      <w:r w:rsidR="00611291" w:rsidRPr="004B3B0D">
        <w:t xml:space="preserve"> to be</w:t>
      </w:r>
      <w:r w:rsidR="00467D11" w:rsidRPr="004B3B0D">
        <w:t xml:space="preserve"> measure</w:t>
      </w:r>
      <w:r w:rsidR="006A1575" w:rsidRPr="004B3B0D">
        <w:t>d</w:t>
      </w:r>
      <w:r w:rsidR="00467D11" w:rsidRPr="004B3B0D">
        <w:t xml:space="preserve"> </w:t>
      </w:r>
      <w:r w:rsidR="00E24B22" w:rsidRPr="004B3B0D">
        <w:t>using the cost model.</w:t>
      </w:r>
    </w:p>
    <w:p w14:paraId="2F554A34" w14:textId="77777777" w:rsidR="008737E4" w:rsidRPr="004B3B0D" w:rsidRDefault="00397B96" w:rsidP="00397B96">
      <w:pPr>
        <w:pStyle w:val="Heading2"/>
      </w:pPr>
      <w:r w:rsidRPr="004B3B0D">
        <w:t>Revaluation</w:t>
      </w:r>
    </w:p>
    <w:p w14:paraId="573F9256" w14:textId="771B4BA6" w:rsidR="008737E4" w:rsidRPr="004B3B0D" w:rsidRDefault="008737E4" w:rsidP="008737E4">
      <w:pPr>
        <w:pStyle w:val="Heading3"/>
      </w:pPr>
      <w:r w:rsidRPr="004B3B0D">
        <w:t>Conditions</w:t>
      </w:r>
    </w:p>
    <w:p w14:paraId="67F5B474" w14:textId="571E848F" w:rsidR="00605482" w:rsidRPr="004B3B0D" w:rsidRDefault="00611291" w:rsidP="008737E4">
      <w:pPr>
        <w:pStyle w:val="ListNumber"/>
        <w:ind w:left="357" w:hanging="357"/>
      </w:pPr>
      <w:bookmarkStart w:id="22" w:name="_Ref148972992"/>
      <w:bookmarkStart w:id="23" w:name="_Ref148972708"/>
      <w:r w:rsidRPr="004B3B0D">
        <w:t xml:space="preserve">For the purposes of </w:t>
      </w:r>
      <w:r w:rsidR="008737E4" w:rsidRPr="004B3B0D">
        <w:t xml:space="preserve">paragraph </w:t>
      </w:r>
      <w:r w:rsidR="008737E4" w:rsidRPr="00740E56">
        <w:fldChar w:fldCharType="begin"/>
      </w:r>
      <w:r w:rsidR="008737E4" w:rsidRPr="004B3B0D">
        <w:instrText xml:space="preserve"> REF _Ref93671020 \r \h  \* MERGEFORMAT </w:instrText>
      </w:r>
      <w:r w:rsidR="008737E4" w:rsidRPr="00740E56">
        <w:fldChar w:fldCharType="separate"/>
      </w:r>
      <w:r w:rsidR="009D2C5B">
        <w:t>32</w:t>
      </w:r>
      <w:r w:rsidR="008737E4" w:rsidRPr="00740E56">
        <w:fldChar w:fldCharType="end"/>
      </w:r>
      <w:r w:rsidR="008737E4" w:rsidRPr="004B3B0D">
        <w:t>, agencies must revalue</w:t>
      </w:r>
      <w:r w:rsidR="00605482" w:rsidRPr="004B3B0D">
        <w:t>:</w:t>
      </w:r>
      <w:bookmarkEnd w:id="22"/>
    </w:p>
    <w:p w14:paraId="1B88F091" w14:textId="17603D48" w:rsidR="00605482" w:rsidRPr="004B3B0D" w:rsidRDefault="00605482" w:rsidP="004B3B0D">
      <w:pPr>
        <w:pStyle w:val="ListNumber"/>
        <w:numPr>
          <w:ilvl w:val="1"/>
          <w:numId w:val="12"/>
        </w:numPr>
        <w:ind w:left="851"/>
      </w:pPr>
      <w:r w:rsidRPr="004B3B0D">
        <w:t>all land assets</w:t>
      </w:r>
    </w:p>
    <w:p w14:paraId="297CC5AE" w14:textId="6062FDD2" w:rsidR="00545A92" w:rsidRPr="004B3B0D" w:rsidRDefault="00605482" w:rsidP="004B3B0D">
      <w:pPr>
        <w:pStyle w:val="ListNumber"/>
        <w:numPr>
          <w:ilvl w:val="1"/>
          <w:numId w:val="12"/>
        </w:numPr>
        <w:ind w:left="851"/>
      </w:pPr>
      <w:bookmarkStart w:id="24" w:name="_Ref148972996"/>
      <w:proofErr w:type="gramStart"/>
      <w:r w:rsidRPr="004B3B0D">
        <w:t>all</w:t>
      </w:r>
      <w:proofErr w:type="gramEnd"/>
      <w:r w:rsidRPr="004B3B0D">
        <w:t xml:space="preserve"> other non-financial assets </w:t>
      </w:r>
      <w:r w:rsidR="006E6368" w:rsidRPr="004B3B0D">
        <w:t>with a</w:t>
      </w:r>
      <w:r w:rsidR="00545A92" w:rsidRPr="004B3B0D">
        <w:t xml:space="preserve"> carrying amount </w:t>
      </w:r>
      <w:r w:rsidR="006E6368" w:rsidRPr="004B3B0D">
        <w:t>of</w:t>
      </w:r>
      <w:r w:rsidR="008737E4" w:rsidRPr="004B3B0D">
        <w:t xml:space="preserve"> $50</w:t>
      </w:r>
      <w:r w:rsidR="006622D1">
        <w:t xml:space="preserve"> </w:t>
      </w:r>
      <w:r w:rsidR="008737E4" w:rsidRPr="004B3B0D">
        <w:t>000</w:t>
      </w:r>
      <w:r w:rsidR="006E6368" w:rsidRPr="004B3B0D">
        <w:t xml:space="preserve"> or more</w:t>
      </w:r>
      <w:r w:rsidR="00C4425C" w:rsidRPr="004B3B0D">
        <w:t>, unless</w:t>
      </w:r>
      <w:r w:rsidR="00CE4140">
        <w:t xml:space="preserve"> the agency holds materially significant volumes of assets under the threshold and</w:t>
      </w:r>
      <w:r w:rsidR="00C4425C" w:rsidRPr="004B3B0D">
        <w:t xml:space="preserve"> applying the threshold could result in a material misstatement in aggregate </w:t>
      </w:r>
      <w:r w:rsidR="00611291" w:rsidRPr="004B3B0D">
        <w:t>non-financial asset values of</w:t>
      </w:r>
      <w:r w:rsidR="00C4425C" w:rsidRPr="004B3B0D">
        <w:t xml:space="preserve"> the agency</w:t>
      </w:r>
      <w:r w:rsidR="00545A92" w:rsidRPr="004B3B0D">
        <w:t>.</w:t>
      </w:r>
      <w:bookmarkEnd w:id="23"/>
      <w:bookmarkEnd w:id="24"/>
    </w:p>
    <w:p w14:paraId="325A62CF" w14:textId="7B163D93" w:rsidR="002165E3" w:rsidRPr="004B3B0D" w:rsidRDefault="002165E3" w:rsidP="002165E3">
      <w:pPr>
        <w:pStyle w:val="ListNumber"/>
        <w:ind w:left="357" w:hanging="357"/>
      </w:pPr>
      <w:r w:rsidRPr="004B3B0D">
        <w:t xml:space="preserve">The revaluation threshold set in paragraph </w:t>
      </w:r>
      <w:r w:rsidRPr="00740E56">
        <w:fldChar w:fldCharType="begin"/>
      </w:r>
      <w:r w:rsidRPr="004B3B0D">
        <w:instrText xml:space="preserve"> REF _Ref148972996 \r \h </w:instrText>
      </w:r>
      <w:r w:rsidR="004B3B0D">
        <w:instrText xml:space="preserve"> \* MERGEFORMAT </w:instrText>
      </w:r>
      <w:r w:rsidRPr="00740E56">
        <w:fldChar w:fldCharType="separate"/>
      </w:r>
      <w:r w:rsidR="009D2C5B">
        <w:t>34.b</w:t>
      </w:r>
      <w:r w:rsidRPr="00740E56">
        <w:fldChar w:fldCharType="end"/>
      </w:r>
      <w:r w:rsidRPr="004B3B0D">
        <w:t xml:space="preserve"> applies to</w:t>
      </w:r>
      <w:r w:rsidR="006A35BF" w:rsidRPr="004B3B0D">
        <w:t xml:space="preserve"> the </w:t>
      </w:r>
      <w:r w:rsidR="00222A00" w:rsidRPr="004B3B0D">
        <w:t xml:space="preserve">total </w:t>
      </w:r>
      <w:r w:rsidR="00255DC8" w:rsidRPr="004B3B0D">
        <w:t>carrying amount</w:t>
      </w:r>
      <w:r w:rsidR="00222A00" w:rsidRPr="004B3B0D">
        <w:t xml:space="preserve"> of a </w:t>
      </w:r>
      <w:r w:rsidR="006B2BEF">
        <w:t>complex</w:t>
      </w:r>
      <w:r w:rsidR="00222A00" w:rsidRPr="004B3B0D">
        <w:t xml:space="preserve"> asset, instead of </w:t>
      </w:r>
      <w:r w:rsidR="00060F1D">
        <w:t>a</w:t>
      </w:r>
      <w:r w:rsidR="00222A00" w:rsidRPr="004B3B0D">
        <w:t xml:space="preserve"> component.</w:t>
      </w:r>
    </w:p>
    <w:p w14:paraId="30364C46" w14:textId="1AFC219B" w:rsidR="008737E4" w:rsidRPr="004B3B0D" w:rsidRDefault="008737E4" w:rsidP="002165E3">
      <w:pPr>
        <w:pStyle w:val="ListNumber"/>
        <w:ind w:left="357" w:hanging="357"/>
      </w:pPr>
      <w:r w:rsidRPr="004B3B0D">
        <w:t>Agencies must use one of the</w:t>
      </w:r>
      <w:r w:rsidR="00F909EE" w:rsidRPr="004B3B0D">
        <w:t xml:space="preserve"> following</w:t>
      </w:r>
      <w:r w:rsidRPr="004B3B0D">
        <w:t xml:space="preserve"> valuation techniques</w:t>
      </w:r>
      <w:r w:rsidR="006E6368" w:rsidRPr="004B3B0D">
        <w:t xml:space="preserve"> </w:t>
      </w:r>
      <w:r w:rsidRPr="004B3B0D">
        <w:t xml:space="preserve">to determine the fair value of </w:t>
      </w:r>
      <w:r w:rsidR="00F909EE" w:rsidRPr="004B3B0D">
        <w:t xml:space="preserve">each </w:t>
      </w:r>
      <w:r w:rsidRPr="004B3B0D">
        <w:t>non-financial asset:</w:t>
      </w:r>
    </w:p>
    <w:p w14:paraId="2E18E4E2" w14:textId="77777777" w:rsidR="008737E4" w:rsidRPr="004B3B0D" w:rsidRDefault="008737E4" w:rsidP="008737E4">
      <w:pPr>
        <w:pStyle w:val="ListNumber"/>
        <w:numPr>
          <w:ilvl w:val="1"/>
          <w:numId w:val="12"/>
        </w:numPr>
        <w:ind w:left="851"/>
      </w:pPr>
      <w:r w:rsidRPr="004B3B0D">
        <w:t>market approach</w:t>
      </w:r>
    </w:p>
    <w:p w14:paraId="0C118893" w14:textId="77777777" w:rsidR="008737E4" w:rsidRPr="004B3B0D" w:rsidRDefault="008737E4" w:rsidP="008737E4">
      <w:pPr>
        <w:pStyle w:val="ListNumber"/>
        <w:numPr>
          <w:ilvl w:val="1"/>
          <w:numId w:val="12"/>
        </w:numPr>
        <w:ind w:left="851"/>
      </w:pPr>
      <w:r w:rsidRPr="004B3B0D">
        <w:t xml:space="preserve">income approach </w:t>
      </w:r>
    </w:p>
    <w:p w14:paraId="17B1140C" w14:textId="77777777" w:rsidR="008737E4" w:rsidRPr="004B3B0D" w:rsidRDefault="008737E4" w:rsidP="008737E4">
      <w:pPr>
        <w:pStyle w:val="ListNumber"/>
        <w:numPr>
          <w:ilvl w:val="1"/>
          <w:numId w:val="12"/>
        </w:numPr>
        <w:ind w:left="851"/>
      </w:pPr>
      <w:proofErr w:type="gramStart"/>
      <w:r w:rsidRPr="004B3B0D">
        <w:t>current</w:t>
      </w:r>
      <w:proofErr w:type="gramEnd"/>
      <w:r w:rsidRPr="004B3B0D">
        <w:t xml:space="preserve"> replacement cost approach.</w:t>
      </w:r>
    </w:p>
    <w:p w14:paraId="7F5ABD03" w14:textId="77777777" w:rsidR="008737E4" w:rsidRPr="004B3B0D" w:rsidRDefault="008737E4" w:rsidP="008737E4">
      <w:pPr>
        <w:pStyle w:val="Heading3"/>
      </w:pPr>
      <w:r w:rsidRPr="004B3B0D">
        <w:t>Accounting for revaluations</w:t>
      </w:r>
    </w:p>
    <w:p w14:paraId="5712262E" w14:textId="6AFEDD1E" w:rsidR="008737E4" w:rsidRPr="004B3B0D" w:rsidRDefault="008737E4" w:rsidP="008737E4">
      <w:pPr>
        <w:pStyle w:val="ListNumber"/>
        <w:ind w:left="357" w:hanging="357"/>
      </w:pPr>
      <w:r w:rsidRPr="004B3B0D">
        <w:t xml:space="preserve">Agencies must adjust the </w:t>
      </w:r>
      <w:r w:rsidR="00467D11" w:rsidRPr="004B3B0D">
        <w:t xml:space="preserve">revalued amount of </w:t>
      </w:r>
      <w:r w:rsidRPr="004B3B0D">
        <w:t xml:space="preserve">non-financial asset using </w:t>
      </w:r>
      <w:r w:rsidR="002B3667">
        <w:t xml:space="preserve">one of </w:t>
      </w:r>
      <w:r w:rsidRPr="004B3B0D">
        <w:t>the</w:t>
      </w:r>
      <w:r w:rsidR="002B3667">
        <w:t xml:space="preserve"> following methods</w:t>
      </w:r>
      <w:r w:rsidRPr="004B3B0D">
        <w:t xml:space="preserve">: </w:t>
      </w:r>
    </w:p>
    <w:p w14:paraId="6E4FA9EB" w14:textId="013077D4" w:rsidR="008737E4" w:rsidRPr="004B3B0D" w:rsidRDefault="008737E4" w:rsidP="008737E4">
      <w:pPr>
        <w:pStyle w:val="ListNumber"/>
        <w:numPr>
          <w:ilvl w:val="1"/>
          <w:numId w:val="12"/>
        </w:numPr>
        <w:ind w:left="851"/>
      </w:pPr>
      <w:r w:rsidRPr="004B3B0D">
        <w:t xml:space="preserve">gross method where the fair value of the non-financial asset is </w:t>
      </w:r>
      <w:r w:rsidR="00611291" w:rsidRPr="004B3B0D">
        <w:t>derived using</w:t>
      </w:r>
      <w:r w:rsidR="002D3A47" w:rsidRPr="004B3B0D">
        <w:t xml:space="preserve"> the </w:t>
      </w:r>
      <w:r w:rsidRPr="004B3B0D">
        <w:t>current replacement cost approach</w:t>
      </w:r>
      <w:r w:rsidR="002B3667">
        <w:t xml:space="preserve"> or</w:t>
      </w:r>
    </w:p>
    <w:p w14:paraId="01369C34" w14:textId="4E3AD85A" w:rsidR="008737E4" w:rsidRPr="004B3B0D" w:rsidRDefault="008737E4" w:rsidP="008737E4">
      <w:pPr>
        <w:pStyle w:val="ListNumber"/>
        <w:numPr>
          <w:ilvl w:val="1"/>
          <w:numId w:val="12"/>
        </w:numPr>
        <w:ind w:left="851"/>
      </w:pPr>
      <w:proofErr w:type="gramStart"/>
      <w:r w:rsidRPr="004B3B0D">
        <w:t>net</w:t>
      </w:r>
      <w:proofErr w:type="gramEnd"/>
      <w:r w:rsidRPr="004B3B0D">
        <w:t xml:space="preserve"> method where the fair value of the non-financial asset is </w:t>
      </w:r>
      <w:r w:rsidR="00611291" w:rsidRPr="004B3B0D">
        <w:t>derived using</w:t>
      </w:r>
      <w:r w:rsidR="002D3A47" w:rsidRPr="004B3B0D">
        <w:t xml:space="preserve"> the </w:t>
      </w:r>
      <w:r w:rsidRPr="004B3B0D">
        <w:t>market or income approach.</w:t>
      </w:r>
    </w:p>
    <w:p w14:paraId="271325DF" w14:textId="77777777" w:rsidR="008737E4" w:rsidRPr="004B3B0D" w:rsidRDefault="008737E4" w:rsidP="008737E4">
      <w:pPr>
        <w:pStyle w:val="Heading3"/>
      </w:pPr>
      <w:r w:rsidRPr="004B3B0D">
        <w:t>Frequency of revaluation</w:t>
      </w:r>
    </w:p>
    <w:p w14:paraId="24A0B195" w14:textId="77777777" w:rsidR="008737E4" w:rsidRPr="00D24911" w:rsidRDefault="008737E4" w:rsidP="008737E4">
      <w:pPr>
        <w:pStyle w:val="ListNumber"/>
        <w:ind w:left="357" w:hanging="357"/>
      </w:pPr>
      <w:bookmarkStart w:id="25" w:name="_Ref136610399"/>
      <w:r w:rsidRPr="004B3B0D">
        <w:t xml:space="preserve">At a minimum, non-financial assets subject to the </w:t>
      </w:r>
      <w:r w:rsidRPr="00D24911">
        <w:t>revaluation model must be revalued:</w:t>
      </w:r>
      <w:bookmarkEnd w:id="25"/>
    </w:p>
    <w:p w14:paraId="43C970BE" w14:textId="55A1FAAB" w:rsidR="008737E4" w:rsidRPr="00D24911" w:rsidRDefault="008737E4" w:rsidP="008737E4">
      <w:pPr>
        <w:pStyle w:val="ListNumber"/>
        <w:numPr>
          <w:ilvl w:val="1"/>
          <w:numId w:val="12"/>
        </w:numPr>
        <w:ind w:left="851"/>
      </w:pPr>
      <w:bookmarkStart w:id="26" w:name="_Ref136610396"/>
      <w:r w:rsidRPr="00D24911">
        <w:t xml:space="preserve">once every three years, for </w:t>
      </w:r>
      <w:r w:rsidR="009B4EEA" w:rsidRPr="00D24911">
        <w:t xml:space="preserve">non-financial assets </w:t>
      </w:r>
      <w:r w:rsidR="00353983" w:rsidRPr="00D24911">
        <w:t>revalued using Level 1 and Level 2 inputs</w:t>
      </w:r>
      <w:r w:rsidR="00053CED" w:rsidRPr="00D24911">
        <w:t xml:space="preserve"> of the </w:t>
      </w:r>
      <w:r w:rsidR="00353983" w:rsidRPr="00D24911">
        <w:t xml:space="preserve">fair value </w:t>
      </w:r>
      <w:r w:rsidR="00053CED" w:rsidRPr="00D24911">
        <w:t xml:space="preserve">hierarchy </w:t>
      </w:r>
      <w:r w:rsidR="002B3667">
        <w:t>as per</w:t>
      </w:r>
      <w:r w:rsidR="00053CED" w:rsidRPr="00D24911">
        <w:t xml:space="preserve"> </w:t>
      </w:r>
      <w:r w:rsidR="00060F1D" w:rsidRPr="00D24911">
        <w:t>AASB 13 Fair Value Measurement</w:t>
      </w:r>
      <w:r w:rsidR="00024D5B">
        <w:t>,</w:t>
      </w:r>
      <w:r w:rsidR="00353983" w:rsidRPr="00D24911">
        <w:t xml:space="preserve"> </w:t>
      </w:r>
      <w:bookmarkEnd w:id="26"/>
      <w:r w:rsidR="002B3667">
        <w:t>and</w:t>
      </w:r>
    </w:p>
    <w:p w14:paraId="194BBB7B" w14:textId="1D798215" w:rsidR="008737E4" w:rsidRPr="00D24911" w:rsidRDefault="008737E4" w:rsidP="008737E4">
      <w:pPr>
        <w:pStyle w:val="ListNumber"/>
        <w:numPr>
          <w:ilvl w:val="1"/>
          <w:numId w:val="12"/>
        </w:numPr>
        <w:ind w:left="851"/>
      </w:pPr>
      <w:proofErr w:type="gramStart"/>
      <w:r w:rsidRPr="00D24911">
        <w:t>once</w:t>
      </w:r>
      <w:proofErr w:type="gramEnd"/>
      <w:r w:rsidRPr="00D24911">
        <w:t xml:space="preserve"> every five years, for all other </w:t>
      </w:r>
      <w:r w:rsidR="009B4EEA" w:rsidRPr="00D24911">
        <w:t>non-financial assets</w:t>
      </w:r>
      <w:r w:rsidR="008F2FF7" w:rsidRPr="00D24911">
        <w:t>.</w:t>
      </w:r>
      <w:r w:rsidR="009B4EEA" w:rsidRPr="00D24911">
        <w:t xml:space="preserve"> </w:t>
      </w:r>
    </w:p>
    <w:p w14:paraId="07EA550D" w14:textId="38C04629" w:rsidR="009B4EEA" w:rsidRPr="004B3B0D" w:rsidRDefault="009B4EEA" w:rsidP="004B3B0D">
      <w:pPr>
        <w:pStyle w:val="ListNumber"/>
        <w:ind w:left="357" w:hanging="357"/>
      </w:pPr>
      <w:r w:rsidRPr="004B3B0D">
        <w:t xml:space="preserve">Pursuant to paragraph </w:t>
      </w:r>
      <w:r w:rsidRPr="00740E56">
        <w:fldChar w:fldCharType="begin"/>
      </w:r>
      <w:r w:rsidRPr="004B3B0D">
        <w:instrText xml:space="preserve"> REF _Ref136610399 \r \h </w:instrText>
      </w:r>
      <w:r w:rsidR="004B3B0D">
        <w:instrText xml:space="preserve"> \* MERGEFORMAT </w:instrText>
      </w:r>
      <w:r w:rsidRPr="00740E56">
        <w:fldChar w:fldCharType="separate"/>
      </w:r>
      <w:r w:rsidR="009D2C5B">
        <w:t>38</w:t>
      </w:r>
      <w:r w:rsidRPr="00740E56">
        <w:fldChar w:fldCharType="end"/>
      </w:r>
      <w:r w:rsidRPr="004B3B0D">
        <w:t xml:space="preserve">, land associated with </w:t>
      </w:r>
      <w:r w:rsidR="008F2FF7" w:rsidRPr="004B3B0D">
        <w:t xml:space="preserve">non-financial assets </w:t>
      </w:r>
      <w:r w:rsidR="00024D5B">
        <w:t xml:space="preserve">measured </w:t>
      </w:r>
      <w:r w:rsidR="008F2FF7" w:rsidRPr="004B3B0D">
        <w:t xml:space="preserve">under the revaluation model </w:t>
      </w:r>
      <w:r w:rsidRPr="004B3B0D">
        <w:t>must be revalued at the same time.</w:t>
      </w:r>
    </w:p>
    <w:p w14:paraId="09642ED6" w14:textId="564F5F4D" w:rsidR="008737E4" w:rsidRPr="004B3B0D" w:rsidRDefault="008737E4" w:rsidP="008737E4">
      <w:pPr>
        <w:pStyle w:val="ListNumber"/>
        <w:ind w:left="357" w:hanging="357"/>
      </w:pPr>
      <w:r w:rsidRPr="004B3B0D">
        <w:t xml:space="preserve">Agencies may revalue </w:t>
      </w:r>
      <w:r w:rsidR="0071000F" w:rsidRPr="004B3B0D">
        <w:t>a class of</w:t>
      </w:r>
      <w:r w:rsidR="00611291" w:rsidRPr="004B3B0D">
        <w:t xml:space="preserve"> non-financial</w:t>
      </w:r>
      <w:r w:rsidR="0071000F" w:rsidRPr="004B3B0D">
        <w:t xml:space="preserve"> </w:t>
      </w:r>
      <w:r w:rsidRPr="004B3B0D">
        <w:t>assets on a rolling basis provided</w:t>
      </w:r>
      <w:r w:rsidR="002B3667">
        <w:t xml:space="preserve"> all of the following conditions are satisfied</w:t>
      </w:r>
      <w:r w:rsidRPr="004B3B0D">
        <w:t>:</w:t>
      </w:r>
    </w:p>
    <w:p w14:paraId="6365705A" w14:textId="40D28C45" w:rsidR="008737E4" w:rsidRPr="004B3B0D" w:rsidRDefault="0072232C" w:rsidP="008737E4">
      <w:pPr>
        <w:pStyle w:val="ListNumber"/>
        <w:numPr>
          <w:ilvl w:val="1"/>
          <w:numId w:val="12"/>
        </w:numPr>
        <w:ind w:left="851"/>
      </w:pPr>
      <w:r w:rsidRPr="004B3B0D">
        <w:t xml:space="preserve">an </w:t>
      </w:r>
      <w:r w:rsidR="008737E4" w:rsidRPr="004B3B0D">
        <w:t xml:space="preserve">agency </w:t>
      </w:r>
      <w:r w:rsidR="002D3A47" w:rsidRPr="004B3B0D">
        <w:t>identifies</w:t>
      </w:r>
      <w:r w:rsidR="008737E4" w:rsidRPr="004B3B0D">
        <w:t xml:space="preserve"> and documents appropriate subcategories within the class of</w:t>
      </w:r>
      <w:r w:rsidR="00611291" w:rsidRPr="004B3B0D">
        <w:t xml:space="preserve"> non-financial</w:t>
      </w:r>
      <w:r w:rsidR="008737E4" w:rsidRPr="004B3B0D">
        <w:t xml:space="preserve"> assets for the purpose of a rolling revaluation </w:t>
      </w:r>
      <w:r w:rsidR="0059515D" w:rsidRPr="004B3B0D">
        <w:t xml:space="preserve">schedule </w:t>
      </w:r>
    </w:p>
    <w:p w14:paraId="459417C5" w14:textId="00EC4884" w:rsidR="008737E4" w:rsidRPr="004B3B0D" w:rsidRDefault="00AC297E" w:rsidP="008737E4">
      <w:pPr>
        <w:pStyle w:val="ListNumber"/>
        <w:numPr>
          <w:ilvl w:val="1"/>
          <w:numId w:val="12"/>
        </w:numPr>
        <w:ind w:left="851"/>
      </w:pPr>
      <w:proofErr w:type="gramStart"/>
      <w:r w:rsidRPr="004B3B0D">
        <w:t>all</w:t>
      </w:r>
      <w:proofErr w:type="gramEnd"/>
      <w:r w:rsidRPr="004B3B0D">
        <w:t xml:space="preserve"> non</w:t>
      </w:r>
      <w:r w:rsidR="00611291" w:rsidRPr="004B3B0D">
        <w:t xml:space="preserve">-financial </w:t>
      </w:r>
      <w:r w:rsidR="008737E4" w:rsidRPr="004B3B0D">
        <w:t xml:space="preserve">assets within that class are revalued within </w:t>
      </w:r>
      <w:r w:rsidR="0071000F" w:rsidRPr="004B3B0D">
        <w:t xml:space="preserve">the applicable </w:t>
      </w:r>
      <w:r w:rsidR="008737E4" w:rsidRPr="004B3B0D">
        <w:t xml:space="preserve">cycle in accordance with paragraph </w:t>
      </w:r>
      <w:r w:rsidR="00467D11" w:rsidRPr="00740E56">
        <w:fldChar w:fldCharType="begin"/>
      </w:r>
      <w:r w:rsidR="00467D11" w:rsidRPr="004B3B0D">
        <w:instrText xml:space="preserve"> REF _Ref136610399 \r \h </w:instrText>
      </w:r>
      <w:r w:rsidR="002D3A47" w:rsidRPr="004B3B0D">
        <w:instrText xml:space="preserve"> \* MERGEFORMAT </w:instrText>
      </w:r>
      <w:r w:rsidR="00467D11" w:rsidRPr="00740E56">
        <w:fldChar w:fldCharType="separate"/>
      </w:r>
      <w:r w:rsidR="009D2C5B">
        <w:t>38</w:t>
      </w:r>
      <w:r w:rsidR="00467D11" w:rsidRPr="00740E56">
        <w:fldChar w:fldCharType="end"/>
      </w:r>
      <w:r w:rsidR="00467D11" w:rsidRPr="004B3B0D">
        <w:t>.</w:t>
      </w:r>
    </w:p>
    <w:p w14:paraId="5D60A9B2" w14:textId="6398946E" w:rsidR="008737E4" w:rsidRPr="004B3B0D" w:rsidRDefault="008737E4" w:rsidP="008737E4">
      <w:pPr>
        <w:pStyle w:val="ListNumber"/>
        <w:ind w:left="357" w:hanging="357"/>
      </w:pPr>
      <w:r w:rsidRPr="004B3B0D">
        <w:t xml:space="preserve">An agency must conduct an interim </w:t>
      </w:r>
      <w:r w:rsidR="00ED692F" w:rsidRPr="004B3B0D">
        <w:t>re</w:t>
      </w:r>
      <w:r w:rsidRPr="004B3B0D">
        <w:t xml:space="preserve">valuation </w:t>
      </w:r>
      <w:r w:rsidR="0071000F" w:rsidRPr="004B3B0D">
        <w:t>where</w:t>
      </w:r>
      <w:r w:rsidR="002D3A47" w:rsidRPr="004B3B0D">
        <w:t xml:space="preserve"> the</w:t>
      </w:r>
      <w:r w:rsidR="0071000F" w:rsidRPr="004B3B0D">
        <w:t xml:space="preserve"> fair value of a class of </w:t>
      </w:r>
      <w:r w:rsidR="00611291" w:rsidRPr="004B3B0D">
        <w:t xml:space="preserve">non-financial </w:t>
      </w:r>
      <w:r w:rsidR="0071000F" w:rsidRPr="004B3B0D">
        <w:t>assets has changed by 20% or more since its last revaluation.</w:t>
      </w:r>
    </w:p>
    <w:p w14:paraId="605AF64B" w14:textId="3D76261F" w:rsidR="008737E4" w:rsidRPr="004B3B0D" w:rsidRDefault="008737E4" w:rsidP="008737E4">
      <w:pPr>
        <w:pStyle w:val="Heading3"/>
      </w:pPr>
      <w:r w:rsidRPr="004B3B0D">
        <w:t xml:space="preserve">Engagement of </w:t>
      </w:r>
      <w:r w:rsidR="002B3667">
        <w:t xml:space="preserve">an </w:t>
      </w:r>
      <w:r w:rsidRPr="004B3B0D">
        <w:t>external valuer</w:t>
      </w:r>
    </w:p>
    <w:p w14:paraId="1975539F" w14:textId="41FDA59C" w:rsidR="0071000F" w:rsidRPr="004B3B0D" w:rsidRDefault="0071000F" w:rsidP="0071000F">
      <w:pPr>
        <w:pStyle w:val="ListNumber"/>
        <w:ind w:left="357" w:hanging="357"/>
      </w:pPr>
      <w:r w:rsidRPr="004B3B0D">
        <w:t xml:space="preserve">Where an agency engages an external valuer to undertake </w:t>
      </w:r>
      <w:r w:rsidR="002B3667">
        <w:t>asset</w:t>
      </w:r>
      <w:r w:rsidR="002B3667" w:rsidRPr="004B3B0D">
        <w:t xml:space="preserve"> </w:t>
      </w:r>
      <w:r w:rsidRPr="004B3B0D">
        <w:t>revaluation</w:t>
      </w:r>
      <w:r w:rsidR="002B3667">
        <w:t>s</w:t>
      </w:r>
      <w:r w:rsidRPr="004B3B0D">
        <w:t xml:space="preserve">, </w:t>
      </w:r>
      <w:r w:rsidR="002B3667">
        <w:t>the agency must ensure the</w:t>
      </w:r>
      <w:r w:rsidRPr="004B3B0D">
        <w:t xml:space="preserve"> minimum requirements outlined in Appendix A</w:t>
      </w:r>
      <w:r w:rsidR="0072232C" w:rsidRPr="004B3B0D">
        <w:t xml:space="preserve"> </w:t>
      </w:r>
      <w:r w:rsidR="002B3667">
        <w:t xml:space="preserve">are adhered to </w:t>
      </w:r>
      <w:r w:rsidR="0072232C" w:rsidRPr="004B3B0D">
        <w:t>for</w:t>
      </w:r>
      <w:r w:rsidRPr="004B3B0D">
        <w:t>:</w:t>
      </w:r>
    </w:p>
    <w:p w14:paraId="4515C2EB" w14:textId="77777777" w:rsidR="0071000F" w:rsidRPr="004B3B0D" w:rsidRDefault="0071000F" w:rsidP="0071000F">
      <w:pPr>
        <w:pStyle w:val="ListNumber"/>
        <w:numPr>
          <w:ilvl w:val="1"/>
          <w:numId w:val="12"/>
        </w:numPr>
        <w:ind w:left="851"/>
      </w:pPr>
      <w:r w:rsidRPr="004B3B0D">
        <w:t xml:space="preserve">agency valuation instructions to external valuer </w:t>
      </w:r>
    </w:p>
    <w:p w14:paraId="6EE38823" w14:textId="135394CE" w:rsidR="0071000F" w:rsidRPr="004B3B0D" w:rsidRDefault="0071000F" w:rsidP="0071000F">
      <w:pPr>
        <w:pStyle w:val="ListNumber"/>
        <w:numPr>
          <w:ilvl w:val="1"/>
          <w:numId w:val="12"/>
        </w:numPr>
        <w:ind w:left="851"/>
      </w:pPr>
      <w:proofErr w:type="gramStart"/>
      <w:r w:rsidRPr="004B3B0D">
        <w:t>content</w:t>
      </w:r>
      <w:proofErr w:type="gramEnd"/>
      <w:r w:rsidRPr="004B3B0D">
        <w:t xml:space="preserve"> of valuation report from the external valuer.</w:t>
      </w:r>
    </w:p>
    <w:p w14:paraId="4EB6DE4A" w14:textId="77777777" w:rsidR="00962BAB" w:rsidRPr="004B3B0D" w:rsidRDefault="00962BAB" w:rsidP="004B3B0D">
      <w:pPr>
        <w:pStyle w:val="Heading2"/>
      </w:pPr>
      <w:r w:rsidRPr="004B3B0D">
        <w:t>Useful life of assets</w:t>
      </w:r>
    </w:p>
    <w:p w14:paraId="587AA6D5" w14:textId="45CCDD58" w:rsidR="00962BAB" w:rsidRPr="004B745A" w:rsidRDefault="00962BAB" w:rsidP="00962BAB">
      <w:pPr>
        <w:pStyle w:val="ListNumber"/>
        <w:ind w:left="357" w:hanging="357"/>
      </w:pPr>
      <w:bookmarkStart w:id="27" w:name="_Ref138924574"/>
      <w:r w:rsidRPr="004B745A">
        <w:t>An accountable officer must assign a useful life for a class or subclass of non-financial assets.</w:t>
      </w:r>
      <w:bookmarkEnd w:id="27"/>
    </w:p>
    <w:p w14:paraId="1997248F" w14:textId="2851FEE1" w:rsidR="006B2BEF" w:rsidRPr="006529CA" w:rsidRDefault="00F73D04" w:rsidP="00962BAB">
      <w:pPr>
        <w:pStyle w:val="ListNumber"/>
        <w:ind w:left="357" w:hanging="357"/>
      </w:pPr>
      <w:r w:rsidRPr="006529CA">
        <w:t>R</w:t>
      </w:r>
      <w:r w:rsidR="006B2BEF" w:rsidRPr="006529CA">
        <w:t>elevant information on the useful life</w:t>
      </w:r>
      <w:r w:rsidR="00D57B4C" w:rsidRPr="006529CA">
        <w:t xml:space="preserve"> of a non-financial</w:t>
      </w:r>
      <w:r w:rsidR="006B2BEF" w:rsidRPr="006529CA">
        <w:t xml:space="preserve"> asset</w:t>
      </w:r>
      <w:r w:rsidRPr="006529CA">
        <w:t xml:space="preserve"> must be provided</w:t>
      </w:r>
      <w:r w:rsidR="006C1C06" w:rsidRPr="006529CA">
        <w:t xml:space="preserve"> to agencies</w:t>
      </w:r>
      <w:r w:rsidR="006B2BEF" w:rsidRPr="006529CA">
        <w:t>, where applicable</w:t>
      </w:r>
      <w:r w:rsidRPr="006529CA">
        <w:t xml:space="preserve"> by</w:t>
      </w:r>
      <w:r w:rsidR="006B2BEF" w:rsidRPr="006529CA">
        <w:t>:</w:t>
      </w:r>
    </w:p>
    <w:p w14:paraId="4CFAFE47" w14:textId="193718BC" w:rsidR="006B2BEF" w:rsidRPr="006529CA" w:rsidRDefault="006B2BEF" w:rsidP="009D2C5B">
      <w:pPr>
        <w:pStyle w:val="ListNumber"/>
        <w:numPr>
          <w:ilvl w:val="1"/>
          <w:numId w:val="12"/>
        </w:numPr>
      </w:pPr>
      <w:r w:rsidRPr="006529CA">
        <w:t>the Department of Infrastructure, Planning and Logistics for assets constructed under the capital works program</w:t>
      </w:r>
    </w:p>
    <w:p w14:paraId="71BC9945" w14:textId="3FE89CEA" w:rsidR="006B2BEF" w:rsidRPr="006529CA" w:rsidRDefault="006B2BEF" w:rsidP="009D2C5B">
      <w:pPr>
        <w:pStyle w:val="ListNumber"/>
        <w:numPr>
          <w:ilvl w:val="1"/>
          <w:numId w:val="12"/>
        </w:numPr>
      </w:pPr>
      <w:proofErr w:type="gramStart"/>
      <w:r w:rsidRPr="006529CA">
        <w:t>the</w:t>
      </w:r>
      <w:proofErr w:type="gramEnd"/>
      <w:r w:rsidRPr="006529CA">
        <w:t xml:space="preserve"> Department of Corporate and Digital Development for ICT assets</w:t>
      </w:r>
      <w:r w:rsidR="00D57B4C" w:rsidRPr="006529CA">
        <w:t xml:space="preserve"> developed or acquired by the department</w:t>
      </w:r>
      <w:r w:rsidR="006C1C06" w:rsidRPr="006529CA">
        <w:t xml:space="preserve"> on behalf of an agency</w:t>
      </w:r>
      <w:r w:rsidR="00F053BD" w:rsidRPr="006529CA">
        <w:t>.</w:t>
      </w:r>
    </w:p>
    <w:p w14:paraId="54B35350" w14:textId="14D96937" w:rsidR="007C19A5" w:rsidRPr="004B3B0D" w:rsidRDefault="00E221A8" w:rsidP="007C19A5">
      <w:pPr>
        <w:pStyle w:val="Heading2"/>
      </w:pPr>
      <w:r w:rsidRPr="004B3B0D">
        <w:t>Depreciation and amortisation</w:t>
      </w:r>
    </w:p>
    <w:p w14:paraId="7360ABEA" w14:textId="2D09ACEA" w:rsidR="00CD36E0" w:rsidRPr="004B3B0D" w:rsidRDefault="00CD36E0" w:rsidP="009C67D8">
      <w:pPr>
        <w:pStyle w:val="ListNumber"/>
        <w:ind w:left="357" w:hanging="357"/>
      </w:pPr>
      <w:bookmarkStart w:id="28" w:name="_Ref128127960"/>
      <w:r w:rsidRPr="004B3B0D">
        <w:t xml:space="preserve">Agencies must </w:t>
      </w:r>
      <w:r w:rsidRPr="00D24911">
        <w:t>depreciate or amortise a n</w:t>
      </w:r>
      <w:r w:rsidR="00406C16" w:rsidRPr="00D24911">
        <w:t>on-financial</w:t>
      </w:r>
      <w:r w:rsidR="004C0E2D" w:rsidRPr="00D24911">
        <w:t xml:space="preserve"> asset</w:t>
      </w:r>
      <w:r w:rsidRPr="00D24911">
        <w:t xml:space="preserve"> with a finite useful life over its expected useful life</w:t>
      </w:r>
      <w:r w:rsidR="00024D5B">
        <w:t>,</w:t>
      </w:r>
      <w:r w:rsidRPr="00D24911">
        <w:t xml:space="preserve"> using the straight-line method</w:t>
      </w:r>
      <w:r w:rsidR="00DA45D1" w:rsidRPr="00D24911">
        <w:t xml:space="preserve"> when the asset is available for use</w:t>
      </w:r>
      <w:r w:rsidRPr="00D24911">
        <w:t>.</w:t>
      </w:r>
      <w:bookmarkEnd w:id="28"/>
    </w:p>
    <w:p w14:paraId="54CCDA6F" w14:textId="27E486A6" w:rsidR="00CF3F37" w:rsidRPr="004B3B0D" w:rsidRDefault="00611291" w:rsidP="009C67D8">
      <w:pPr>
        <w:pStyle w:val="ListNumber"/>
        <w:ind w:left="357" w:hanging="357"/>
      </w:pPr>
      <w:r w:rsidRPr="004B3B0D">
        <w:t>For the purposes of p</w:t>
      </w:r>
      <w:r w:rsidR="00CF3F37" w:rsidRPr="004B3B0D">
        <w:t xml:space="preserve">aragraph </w:t>
      </w:r>
      <w:r w:rsidR="00CF3F37" w:rsidRPr="00740E56">
        <w:fldChar w:fldCharType="begin"/>
      </w:r>
      <w:r w:rsidR="00CF3F37" w:rsidRPr="004B3B0D">
        <w:instrText xml:space="preserve"> REF _Ref128127960 \r \h  \* MERGEFORMAT </w:instrText>
      </w:r>
      <w:r w:rsidR="00CF3F37" w:rsidRPr="00740E56">
        <w:fldChar w:fldCharType="separate"/>
      </w:r>
      <w:r w:rsidR="009D2C5B">
        <w:t>45</w:t>
      </w:r>
      <w:r w:rsidR="00CF3F37" w:rsidRPr="00740E56">
        <w:fldChar w:fldCharType="end"/>
      </w:r>
      <w:r w:rsidR="00CF3F37" w:rsidRPr="004B3B0D">
        <w:t xml:space="preserve">, where an agency considers that the </w:t>
      </w:r>
      <w:r w:rsidR="003836CD" w:rsidRPr="004B3B0D">
        <w:t>straight-line</w:t>
      </w:r>
      <w:r w:rsidR="00CF3F37" w:rsidRPr="004B3B0D">
        <w:t xml:space="preserve"> method is not appropriate, approval must be sought from the Under Treasurer to use an alternate method for depreciating </w:t>
      </w:r>
      <w:r w:rsidR="001B07D8" w:rsidRPr="004B3B0D">
        <w:t xml:space="preserve">a </w:t>
      </w:r>
      <w:r w:rsidR="00CF3F37" w:rsidRPr="004B3B0D">
        <w:t xml:space="preserve">material </w:t>
      </w:r>
      <w:r w:rsidRPr="004B3B0D">
        <w:t xml:space="preserve">non-financial </w:t>
      </w:r>
      <w:r w:rsidR="00CF3F37" w:rsidRPr="004B3B0D">
        <w:t xml:space="preserve">asset class. </w:t>
      </w:r>
    </w:p>
    <w:p w14:paraId="7546D398" w14:textId="32927CC9" w:rsidR="00CF3F37" w:rsidRPr="004B3B0D" w:rsidRDefault="00CF3F37" w:rsidP="009C67D8">
      <w:pPr>
        <w:pStyle w:val="ListNumber"/>
        <w:ind w:left="357" w:hanging="357"/>
      </w:pPr>
      <w:r w:rsidRPr="004B3B0D">
        <w:t xml:space="preserve">A request </w:t>
      </w:r>
      <w:r w:rsidR="001B07D8" w:rsidRPr="004B3B0D">
        <w:t>to</w:t>
      </w:r>
      <w:r w:rsidRPr="004B3B0D">
        <w:t xml:space="preserve"> the Under Treasurer to </w:t>
      </w:r>
      <w:r w:rsidR="002F3DED">
        <w:t xml:space="preserve">change the depreciation method </w:t>
      </w:r>
      <w:r w:rsidRPr="004B3B0D">
        <w:t>must include the following information at a minimum:</w:t>
      </w:r>
    </w:p>
    <w:p w14:paraId="56F97BF1" w14:textId="401DC3BF" w:rsidR="00CF3F37" w:rsidRPr="004B3B0D" w:rsidRDefault="00CF3F37" w:rsidP="0006101C">
      <w:pPr>
        <w:pStyle w:val="ListNumber"/>
        <w:numPr>
          <w:ilvl w:val="1"/>
          <w:numId w:val="12"/>
        </w:numPr>
        <w:ind w:left="851"/>
      </w:pPr>
      <w:r w:rsidRPr="004B3B0D">
        <w:t xml:space="preserve">a clear description of the </w:t>
      </w:r>
      <w:r w:rsidR="00611291" w:rsidRPr="004B3B0D">
        <w:t xml:space="preserve">non-financial </w:t>
      </w:r>
      <w:r w:rsidRPr="004B3B0D">
        <w:t xml:space="preserve">asset or class of </w:t>
      </w:r>
      <w:r w:rsidR="00611291" w:rsidRPr="004B3B0D">
        <w:t xml:space="preserve">non-financial </w:t>
      </w:r>
      <w:r w:rsidRPr="004B3B0D">
        <w:t>assets</w:t>
      </w:r>
    </w:p>
    <w:p w14:paraId="20C29894" w14:textId="3708B177" w:rsidR="00CF3F37" w:rsidRPr="004B3B0D" w:rsidRDefault="00CF3F37" w:rsidP="0006101C">
      <w:pPr>
        <w:pStyle w:val="ListNumber"/>
        <w:numPr>
          <w:ilvl w:val="1"/>
          <w:numId w:val="12"/>
        </w:numPr>
        <w:ind w:left="851"/>
      </w:pPr>
      <w:r w:rsidRPr="004B3B0D">
        <w:t>the total value of the</w:t>
      </w:r>
      <w:r w:rsidR="00611291" w:rsidRPr="004B3B0D">
        <w:t xml:space="preserve"> non-financial</w:t>
      </w:r>
      <w:r w:rsidRPr="004B3B0D">
        <w:t xml:space="preserve"> asset or class of </w:t>
      </w:r>
      <w:r w:rsidR="006221EC" w:rsidRPr="004B3B0D">
        <w:t xml:space="preserve">non-financial </w:t>
      </w:r>
      <w:r w:rsidRPr="004B3B0D">
        <w:t>assets</w:t>
      </w:r>
    </w:p>
    <w:p w14:paraId="288E69C5" w14:textId="77777777" w:rsidR="00CF3F37" w:rsidRPr="004B3B0D" w:rsidRDefault="00CF3F37" w:rsidP="0006101C">
      <w:pPr>
        <w:pStyle w:val="ListNumber"/>
        <w:numPr>
          <w:ilvl w:val="1"/>
          <w:numId w:val="12"/>
        </w:numPr>
        <w:ind w:left="851"/>
      </w:pPr>
      <w:r w:rsidRPr="004B3B0D">
        <w:t xml:space="preserve">a description of the proposed method and proposed commencement date </w:t>
      </w:r>
    </w:p>
    <w:p w14:paraId="6C41BE7C" w14:textId="77777777" w:rsidR="00CF3F37" w:rsidRPr="004B3B0D" w:rsidRDefault="00CF3F37" w:rsidP="0006101C">
      <w:pPr>
        <w:pStyle w:val="ListNumber"/>
        <w:numPr>
          <w:ilvl w:val="1"/>
          <w:numId w:val="12"/>
        </w:numPr>
        <w:ind w:left="851"/>
      </w:pPr>
      <w:r w:rsidRPr="004B3B0D">
        <w:t xml:space="preserve">the reasons for seeking use of an alternative depreciation method </w:t>
      </w:r>
    </w:p>
    <w:p w14:paraId="6601A8A2" w14:textId="2DAF2DBF" w:rsidR="00CF3F37" w:rsidRPr="004B3B0D" w:rsidRDefault="00CF3F37" w:rsidP="0006101C">
      <w:pPr>
        <w:pStyle w:val="ListNumber"/>
        <w:numPr>
          <w:ilvl w:val="1"/>
          <w:numId w:val="12"/>
        </w:numPr>
        <w:ind w:left="851"/>
      </w:pPr>
      <w:r w:rsidRPr="004B3B0D">
        <w:t xml:space="preserve">quantify </w:t>
      </w:r>
      <w:r w:rsidR="00D36A6D" w:rsidRPr="004B3B0D">
        <w:t xml:space="preserve">the impact </w:t>
      </w:r>
      <w:r w:rsidR="003836CD" w:rsidRPr="004B3B0D">
        <w:t>of using the straight-</w:t>
      </w:r>
      <w:r w:rsidRPr="004B3B0D">
        <w:t>line method and the proposed alternative</w:t>
      </w:r>
      <w:r w:rsidR="00D36A6D" w:rsidRPr="004B3B0D">
        <w:t xml:space="preserve"> on depreciation expense</w:t>
      </w:r>
      <w:r w:rsidRPr="004B3B0D">
        <w:t xml:space="preserve"> </w:t>
      </w:r>
    </w:p>
    <w:p w14:paraId="1B1681C1" w14:textId="77777777" w:rsidR="00D36A6D" w:rsidRPr="004B3B0D" w:rsidRDefault="00D36A6D" w:rsidP="0006101C">
      <w:pPr>
        <w:pStyle w:val="ListNumber"/>
        <w:numPr>
          <w:ilvl w:val="1"/>
          <w:numId w:val="12"/>
        </w:numPr>
        <w:ind w:left="851"/>
      </w:pPr>
      <w:proofErr w:type="gramStart"/>
      <w:r w:rsidRPr="004B3B0D">
        <w:t>other</w:t>
      </w:r>
      <w:proofErr w:type="gramEnd"/>
      <w:r w:rsidRPr="004B3B0D">
        <w:t xml:space="preserve"> information relevant to the request.</w:t>
      </w:r>
    </w:p>
    <w:p w14:paraId="7C9EE926" w14:textId="3A452C81" w:rsidR="00CF3F37" w:rsidRPr="004B3B0D" w:rsidRDefault="00D36A6D">
      <w:pPr>
        <w:pStyle w:val="ListNumber"/>
        <w:ind w:left="357" w:hanging="357"/>
      </w:pPr>
      <w:r w:rsidRPr="004B3B0D">
        <w:t>Where the Under T</w:t>
      </w:r>
      <w:r w:rsidR="00AA59AB" w:rsidRPr="004B3B0D">
        <w:t>reasurer approves the</w:t>
      </w:r>
      <w:r w:rsidRPr="004B3B0D">
        <w:t xml:space="preserve"> use</w:t>
      </w:r>
      <w:r w:rsidR="00AA59AB" w:rsidRPr="004B3B0D">
        <w:t xml:space="preserve"> </w:t>
      </w:r>
      <w:r w:rsidR="00C8059C" w:rsidRPr="004B3B0D">
        <w:t>of an</w:t>
      </w:r>
      <w:r w:rsidRPr="004B3B0D">
        <w:t xml:space="preserve"> alternate depreciation method</w:t>
      </w:r>
      <w:r w:rsidR="00C8059C" w:rsidRPr="004B3B0D">
        <w:t xml:space="preserve">, </w:t>
      </w:r>
      <w:r w:rsidR="001B07D8" w:rsidRPr="004B3B0D">
        <w:t xml:space="preserve">an </w:t>
      </w:r>
      <w:r w:rsidR="00AA59AB" w:rsidRPr="004B3B0D">
        <w:t>agency must</w:t>
      </w:r>
      <w:r w:rsidR="00C8059C" w:rsidRPr="004B3B0D">
        <w:t xml:space="preserve"> apply th</w:t>
      </w:r>
      <w:r w:rsidR="00024D5B">
        <w:t>at</w:t>
      </w:r>
      <w:r w:rsidR="00C8059C" w:rsidRPr="004B3B0D">
        <w:t xml:space="preserve"> method </w:t>
      </w:r>
      <w:r w:rsidR="00240515">
        <w:t>to</w:t>
      </w:r>
      <w:r w:rsidR="006C1C06">
        <w:t xml:space="preserve"> all non-financial assets of a similar type and use. </w:t>
      </w:r>
      <w:r w:rsidR="00240515">
        <w:t xml:space="preserve"> </w:t>
      </w:r>
    </w:p>
    <w:p w14:paraId="16655C5A" w14:textId="12190591" w:rsidR="006907D9" w:rsidRPr="004B3B0D" w:rsidRDefault="006907D9" w:rsidP="000426B5">
      <w:pPr>
        <w:pStyle w:val="ListNumber"/>
        <w:ind w:left="357" w:hanging="357"/>
      </w:pPr>
      <w:r w:rsidRPr="004B3B0D">
        <w:t>Where a significant component of a</w:t>
      </w:r>
      <w:r w:rsidR="006221EC" w:rsidRPr="004B3B0D">
        <w:t xml:space="preserve"> non-financial a</w:t>
      </w:r>
      <w:r w:rsidRPr="004B3B0D">
        <w:t>sset is recognised in accordance</w:t>
      </w:r>
      <w:r w:rsidR="006221EC" w:rsidRPr="004B3B0D">
        <w:t xml:space="preserve"> with</w:t>
      </w:r>
      <w:r w:rsidRPr="004B3B0D">
        <w:t xml:space="preserve"> paragraph</w:t>
      </w:r>
      <w:r w:rsidR="0065429D" w:rsidRPr="004B3B0D">
        <w:t xml:space="preserve"> </w:t>
      </w:r>
      <w:r w:rsidR="0065429D" w:rsidRPr="00740E56">
        <w:fldChar w:fldCharType="begin"/>
      </w:r>
      <w:r w:rsidR="0065429D" w:rsidRPr="004B3B0D">
        <w:instrText xml:space="preserve"> REF _Ref128997951 \r \h </w:instrText>
      </w:r>
      <w:r w:rsidR="00BE7F5C" w:rsidRPr="004B3B0D">
        <w:instrText xml:space="preserve"> \* MERGEFORMAT </w:instrText>
      </w:r>
      <w:r w:rsidR="0065429D" w:rsidRPr="00740E56">
        <w:fldChar w:fldCharType="separate"/>
      </w:r>
      <w:r w:rsidR="009D2C5B">
        <w:t>14</w:t>
      </w:r>
      <w:r w:rsidR="0065429D" w:rsidRPr="00740E56">
        <w:fldChar w:fldCharType="end"/>
      </w:r>
      <w:r w:rsidRPr="004B3B0D">
        <w:t>, the component must be depreciated separately.</w:t>
      </w:r>
    </w:p>
    <w:p w14:paraId="0EA71668" w14:textId="2E929D02" w:rsidR="007C19A5" w:rsidRDefault="007C19A5" w:rsidP="007B4B13">
      <w:pPr>
        <w:pStyle w:val="Heading2"/>
      </w:pPr>
      <w:r w:rsidRPr="004B3B0D">
        <w:t>Impairment</w:t>
      </w:r>
    </w:p>
    <w:p w14:paraId="7DF4D381" w14:textId="620A1189" w:rsidR="002C0F79" w:rsidRPr="00D24911" w:rsidRDefault="002073DD" w:rsidP="002C0F79">
      <w:pPr>
        <w:pStyle w:val="ListNumber"/>
        <w:ind w:left="357" w:hanging="357"/>
      </w:pPr>
      <w:bookmarkStart w:id="29" w:name="_Ref160188838"/>
      <w:r w:rsidRPr="00D24911">
        <w:t>An accountable officer must</w:t>
      </w:r>
      <w:r w:rsidR="00240515">
        <w:t>,</w:t>
      </w:r>
      <w:r w:rsidRPr="00D24911">
        <w:t xml:space="preserve"> </w:t>
      </w:r>
      <w:r w:rsidR="00D95D78" w:rsidRPr="00D24911">
        <w:t>at a minimum</w:t>
      </w:r>
      <w:r w:rsidR="00240515">
        <w:t>,</w:t>
      </w:r>
      <w:r w:rsidR="00D95D78" w:rsidRPr="00D24911">
        <w:t xml:space="preserve"> </w:t>
      </w:r>
      <w:r w:rsidRPr="00D24911">
        <w:t>assess all materially significant non-financial assets annually at 30 June</w:t>
      </w:r>
      <w:r w:rsidR="00D95D78" w:rsidRPr="00D24911">
        <w:t xml:space="preserve"> </w:t>
      </w:r>
      <w:r w:rsidRPr="00D24911">
        <w:t>for the following impairment indicators</w:t>
      </w:r>
      <w:r w:rsidR="005A0317" w:rsidRPr="00D24911">
        <w:t>:</w:t>
      </w:r>
      <w:bookmarkEnd w:id="29"/>
    </w:p>
    <w:p w14:paraId="3462FE8A" w14:textId="77777777" w:rsidR="002C0F79" w:rsidRPr="00D24911" w:rsidRDefault="002C0F79" w:rsidP="002C0F79">
      <w:pPr>
        <w:pStyle w:val="ListNumber"/>
        <w:numPr>
          <w:ilvl w:val="1"/>
          <w:numId w:val="12"/>
        </w:numPr>
      </w:pPr>
      <w:r w:rsidRPr="00D24911">
        <w:t>natural disasters</w:t>
      </w:r>
    </w:p>
    <w:p w14:paraId="54CBC594" w14:textId="77777777" w:rsidR="002C0F79" w:rsidRPr="00D24911" w:rsidRDefault="002C0F79" w:rsidP="002C0F79">
      <w:pPr>
        <w:pStyle w:val="ListNumber"/>
        <w:numPr>
          <w:ilvl w:val="1"/>
          <w:numId w:val="12"/>
        </w:numPr>
      </w:pPr>
      <w:r w:rsidRPr="00D24911">
        <w:t>fire</w:t>
      </w:r>
    </w:p>
    <w:p w14:paraId="2867A99D" w14:textId="3A328421" w:rsidR="002C0F79" w:rsidRPr="00D24911" w:rsidRDefault="00194EE9" w:rsidP="002C0F79">
      <w:pPr>
        <w:pStyle w:val="ListNumber"/>
        <w:numPr>
          <w:ilvl w:val="1"/>
          <w:numId w:val="12"/>
        </w:numPr>
      </w:pPr>
      <w:proofErr w:type="gramStart"/>
      <w:r w:rsidRPr="00D24911">
        <w:t>any</w:t>
      </w:r>
      <w:proofErr w:type="gramEnd"/>
      <w:r w:rsidRPr="00D24911">
        <w:t xml:space="preserve"> other indicators that the agency considers significant or material</w:t>
      </w:r>
      <w:r w:rsidR="00D95D78" w:rsidRPr="00D24911">
        <w:t>.</w:t>
      </w:r>
      <w:r w:rsidRPr="00D24911">
        <w:t xml:space="preserve"> </w:t>
      </w:r>
    </w:p>
    <w:p w14:paraId="41DB96F2" w14:textId="7DBB6BB3" w:rsidR="003435EA" w:rsidRPr="004B3B0D" w:rsidRDefault="00BF5E63" w:rsidP="009C67D8">
      <w:pPr>
        <w:pStyle w:val="ListNumber"/>
        <w:ind w:left="357" w:hanging="357"/>
      </w:pPr>
      <w:bookmarkStart w:id="30" w:name="_Ref149730866"/>
      <w:r w:rsidRPr="004B3B0D">
        <w:t xml:space="preserve">Pursuant to </w:t>
      </w:r>
      <w:r w:rsidRPr="00D24911">
        <w:t>paragraph</w:t>
      </w:r>
      <w:r w:rsidR="00AF4A9D" w:rsidRPr="00D24911">
        <w:t xml:space="preserve"> </w:t>
      </w:r>
      <w:r w:rsidR="00AF4A9D" w:rsidRPr="00D24911">
        <w:fldChar w:fldCharType="begin"/>
      </w:r>
      <w:r w:rsidR="00AF4A9D" w:rsidRPr="00D24911">
        <w:instrText xml:space="preserve"> REF _Ref160188838 \r \h  \* MERGEFORMAT </w:instrText>
      </w:r>
      <w:r w:rsidR="00AF4A9D" w:rsidRPr="00D24911">
        <w:fldChar w:fldCharType="separate"/>
      </w:r>
      <w:r w:rsidR="009D2C5B">
        <w:t>50</w:t>
      </w:r>
      <w:r w:rsidR="00AF4A9D" w:rsidRPr="00D24911">
        <w:fldChar w:fldCharType="end"/>
      </w:r>
      <w:r w:rsidRPr="00D24911">
        <w:t xml:space="preserve">, </w:t>
      </w:r>
      <w:r w:rsidR="008F2FF7" w:rsidRPr="00D24911">
        <w:t>non-financial</w:t>
      </w:r>
      <w:r w:rsidR="008F2FF7" w:rsidRPr="004B3B0D">
        <w:t xml:space="preserve"> </w:t>
      </w:r>
      <w:r w:rsidR="003435EA" w:rsidRPr="004B3B0D">
        <w:t xml:space="preserve">assets </w:t>
      </w:r>
      <w:r w:rsidR="001B07D8" w:rsidRPr="004B3B0D">
        <w:t>must</w:t>
      </w:r>
      <w:r w:rsidR="003435EA" w:rsidRPr="004B3B0D">
        <w:t xml:space="preserve"> be tested for impairment:</w:t>
      </w:r>
      <w:bookmarkEnd w:id="30"/>
    </w:p>
    <w:p w14:paraId="6AE0ACB8" w14:textId="77777777" w:rsidR="006C1C06" w:rsidRDefault="008F2FF7" w:rsidP="004B3B0D">
      <w:pPr>
        <w:pStyle w:val="ListNumber"/>
        <w:numPr>
          <w:ilvl w:val="1"/>
          <w:numId w:val="12"/>
        </w:numPr>
      </w:pPr>
      <w:r w:rsidRPr="004B3B0D">
        <w:t>a</w:t>
      </w:r>
      <w:r w:rsidR="00BF5E63" w:rsidRPr="004B3B0D">
        <w:t>nnually for</w:t>
      </w:r>
      <w:r w:rsidRPr="004B3B0D">
        <w:t xml:space="preserve"> </w:t>
      </w:r>
      <w:r w:rsidR="003435EA" w:rsidRPr="004B3B0D">
        <w:t>intangible assets with an indefinite useful life</w:t>
      </w:r>
      <w:r w:rsidRPr="004B3B0D">
        <w:t xml:space="preserve"> </w:t>
      </w:r>
    </w:p>
    <w:p w14:paraId="5CB5381C" w14:textId="2A97B9BD" w:rsidR="003435EA" w:rsidRPr="004B3B0D" w:rsidRDefault="006C1C06" w:rsidP="004B3B0D">
      <w:pPr>
        <w:pStyle w:val="ListNumber"/>
        <w:numPr>
          <w:ilvl w:val="1"/>
          <w:numId w:val="12"/>
        </w:numPr>
      </w:pPr>
      <w:r>
        <w:t xml:space="preserve">annually for </w:t>
      </w:r>
      <w:r w:rsidR="008F2FF7" w:rsidRPr="004B3B0D">
        <w:t xml:space="preserve">intangible assets not yet available for use </w:t>
      </w:r>
      <w:r w:rsidR="00A919BA" w:rsidRPr="004B3B0D">
        <w:t xml:space="preserve">that are </w:t>
      </w:r>
      <w:r w:rsidR="00A919BA" w:rsidRPr="007B4B13">
        <w:t>materially significant</w:t>
      </w:r>
      <w:r w:rsidR="00A919BA" w:rsidRPr="004B3B0D">
        <w:t xml:space="preserve"> </w:t>
      </w:r>
      <w:r w:rsidR="008F2FF7" w:rsidRPr="004B3B0D">
        <w:t>or</w:t>
      </w:r>
    </w:p>
    <w:p w14:paraId="118D8863" w14:textId="7A508C58" w:rsidR="001B4067" w:rsidRPr="00D24911" w:rsidRDefault="005260E6" w:rsidP="004B3B0D">
      <w:pPr>
        <w:pStyle w:val="ListNumber"/>
        <w:numPr>
          <w:ilvl w:val="1"/>
          <w:numId w:val="12"/>
        </w:numPr>
      </w:pPr>
      <w:proofErr w:type="gramStart"/>
      <w:r>
        <w:t>only</w:t>
      </w:r>
      <w:proofErr w:type="gramEnd"/>
      <w:r>
        <w:t xml:space="preserve"> </w:t>
      </w:r>
      <w:r w:rsidR="006C1C06" w:rsidRPr="00D24911">
        <w:t>where an impairment indicator exists</w:t>
      </w:r>
      <w:r w:rsidR="006C1C06">
        <w:t xml:space="preserve">, </w:t>
      </w:r>
      <w:r w:rsidR="008F2FF7" w:rsidRPr="00D24911">
        <w:t>for all other</w:t>
      </w:r>
      <w:r w:rsidR="006221EC" w:rsidRPr="00D24911">
        <w:t xml:space="preserve"> non-financial</w:t>
      </w:r>
      <w:r w:rsidR="008F2FF7" w:rsidRPr="00D24911">
        <w:t xml:space="preserve"> assets</w:t>
      </w:r>
      <w:r w:rsidR="001B4067" w:rsidRPr="00D24911">
        <w:t>.</w:t>
      </w:r>
    </w:p>
    <w:p w14:paraId="4FAEB67A" w14:textId="19A8A124" w:rsidR="006F53C3" w:rsidRPr="00D24911" w:rsidRDefault="00445A7F" w:rsidP="001B4EC7">
      <w:pPr>
        <w:pStyle w:val="ListNumber"/>
        <w:ind w:left="357" w:hanging="357"/>
      </w:pPr>
      <w:r>
        <w:t>T</w:t>
      </w:r>
      <w:r w:rsidR="00D95D78" w:rsidRPr="00D24911">
        <w:t>he</w:t>
      </w:r>
      <w:r w:rsidR="00A05D83" w:rsidRPr="00D24911">
        <w:t xml:space="preserve"> Department of Infrastructure, Planning and Logistics </w:t>
      </w:r>
      <w:r>
        <w:t>will</w:t>
      </w:r>
      <w:r w:rsidR="00A05D83" w:rsidRPr="00D24911">
        <w:t xml:space="preserve"> provide</w:t>
      </w:r>
      <w:r w:rsidR="003F3410" w:rsidRPr="00D24911">
        <w:t xml:space="preserve"> </w:t>
      </w:r>
      <w:r w:rsidR="006F53C3" w:rsidRPr="00D24911">
        <w:t>information on</w:t>
      </w:r>
      <w:r w:rsidR="003F3410" w:rsidRPr="00D24911">
        <w:t xml:space="preserve"> </w:t>
      </w:r>
      <w:r w:rsidR="00EE3E56" w:rsidRPr="00D24911">
        <w:t xml:space="preserve">non-financial </w:t>
      </w:r>
      <w:r w:rsidR="003F3410" w:rsidRPr="00D24911">
        <w:t xml:space="preserve">assets impacted by </w:t>
      </w:r>
      <w:r w:rsidR="00A05D83" w:rsidRPr="00D24911">
        <w:t>natural disasters and or fire</w:t>
      </w:r>
      <w:r w:rsidR="003F3410" w:rsidRPr="00D24911">
        <w:t xml:space="preserve"> to agencies</w:t>
      </w:r>
      <w:r w:rsidR="006F53C3" w:rsidRPr="00D24911">
        <w:t>,</w:t>
      </w:r>
      <w:r w:rsidR="00EE3E56" w:rsidRPr="00D24911">
        <w:t xml:space="preserve"> to facilitate</w:t>
      </w:r>
      <w:r w:rsidR="003F3410" w:rsidRPr="00D24911">
        <w:t xml:space="preserve"> impairment </w:t>
      </w:r>
      <w:r w:rsidR="006F53C3" w:rsidRPr="00D24911">
        <w:t>testing</w:t>
      </w:r>
      <w:r w:rsidR="003F3410" w:rsidRPr="00D24911">
        <w:t>.</w:t>
      </w:r>
      <w:r w:rsidR="00A05D83" w:rsidRPr="00D24911">
        <w:t xml:space="preserve"> </w:t>
      </w:r>
    </w:p>
    <w:p w14:paraId="7C7FF570" w14:textId="390F4B3D" w:rsidR="00ED74FC" w:rsidRPr="007B4B13" w:rsidRDefault="006F53C3" w:rsidP="001B4EC7">
      <w:pPr>
        <w:pStyle w:val="ListNumber"/>
        <w:ind w:left="357" w:hanging="357"/>
      </w:pPr>
      <w:r w:rsidRPr="004B3B0D">
        <w:t>An accountable officer must document the process and outcome of the non-financial asset impairment assessment, the recognition of impairment losses, and the reversal of any impairment losses.</w:t>
      </w:r>
    </w:p>
    <w:p w14:paraId="628D14D2" w14:textId="51A9FC66" w:rsidR="00233301" w:rsidRPr="004B3B0D" w:rsidRDefault="007560C0" w:rsidP="00233301">
      <w:pPr>
        <w:pStyle w:val="Heading1"/>
      </w:pPr>
      <w:r w:rsidRPr="004B3B0D">
        <w:t xml:space="preserve">Asset derecognition </w:t>
      </w:r>
    </w:p>
    <w:p w14:paraId="4C41A206" w14:textId="5D8CE0EB" w:rsidR="00A75F28" w:rsidRPr="004B3B0D" w:rsidRDefault="00A75F28" w:rsidP="0006101C">
      <w:pPr>
        <w:pStyle w:val="Heading2"/>
      </w:pPr>
      <w:bookmarkStart w:id="31" w:name="_Ref93387534"/>
      <w:r w:rsidRPr="004B3B0D">
        <w:t>Exclusions</w:t>
      </w:r>
    </w:p>
    <w:p w14:paraId="244811DA" w14:textId="7216A4AD" w:rsidR="00A75F28" w:rsidRPr="004B3B0D" w:rsidRDefault="00A75F28" w:rsidP="0006101C">
      <w:pPr>
        <w:pStyle w:val="ListNumber"/>
        <w:ind w:left="357" w:hanging="357"/>
      </w:pPr>
      <w:bookmarkStart w:id="32" w:name="_Ref160202684"/>
      <w:r w:rsidRPr="004B3B0D">
        <w:t xml:space="preserve">Non-financial assets disposed of under legislation other than the FMA are excluded from </w:t>
      </w:r>
      <w:r w:rsidR="00113B69" w:rsidRPr="004B3B0D">
        <w:t xml:space="preserve">paragraphs </w:t>
      </w:r>
      <w:r w:rsidR="008F2FF7" w:rsidRPr="00D24911">
        <w:fldChar w:fldCharType="begin"/>
      </w:r>
      <w:r w:rsidR="008F2FF7" w:rsidRPr="00D24911">
        <w:instrText xml:space="preserve"> REF _Ref148948004 \r \h </w:instrText>
      </w:r>
      <w:r w:rsidR="004B3B0D" w:rsidRPr="00D24911">
        <w:instrText xml:space="preserve"> \* MERGEFORMAT </w:instrText>
      </w:r>
      <w:r w:rsidR="008F2FF7" w:rsidRPr="00D24911">
        <w:fldChar w:fldCharType="separate"/>
      </w:r>
      <w:r w:rsidR="009D2C5B">
        <w:t>59</w:t>
      </w:r>
      <w:r w:rsidR="008F2FF7" w:rsidRPr="00D24911">
        <w:fldChar w:fldCharType="end"/>
      </w:r>
      <w:r w:rsidR="009952D3" w:rsidRPr="00D24911">
        <w:t xml:space="preserve"> </w:t>
      </w:r>
      <w:r w:rsidRPr="00D24911">
        <w:t>to</w:t>
      </w:r>
      <w:r w:rsidR="00AC03CF" w:rsidRPr="00D24911">
        <w:t xml:space="preserve"> </w:t>
      </w:r>
      <w:r w:rsidR="00AC03CF" w:rsidRPr="00D24911">
        <w:fldChar w:fldCharType="begin"/>
      </w:r>
      <w:r w:rsidR="00AC03CF" w:rsidRPr="00D24911">
        <w:instrText xml:space="preserve"> REF _Ref131667758 \r \h </w:instrText>
      </w:r>
      <w:r w:rsidR="00055404" w:rsidRPr="00D24911">
        <w:instrText xml:space="preserve"> \* MERGEFORMAT </w:instrText>
      </w:r>
      <w:r w:rsidR="00AC03CF" w:rsidRPr="00D24911">
        <w:fldChar w:fldCharType="separate"/>
      </w:r>
      <w:r w:rsidR="009D2C5B">
        <w:t>65</w:t>
      </w:r>
      <w:r w:rsidR="00AC03CF" w:rsidRPr="00D24911">
        <w:fldChar w:fldCharType="end"/>
      </w:r>
      <w:r w:rsidRPr="00D24911">
        <w:t>.</w:t>
      </w:r>
      <w:bookmarkEnd w:id="32"/>
    </w:p>
    <w:p w14:paraId="3BFCF9B0" w14:textId="2BF723A4" w:rsidR="000045FF" w:rsidRPr="004B3B0D" w:rsidRDefault="00FF4190" w:rsidP="0006101C">
      <w:pPr>
        <w:pStyle w:val="Heading2"/>
      </w:pPr>
      <w:bookmarkStart w:id="33" w:name="_Ref87369206"/>
      <w:bookmarkEnd w:id="31"/>
      <w:r w:rsidRPr="004B3B0D">
        <w:t>Derecognition</w:t>
      </w:r>
      <w:r w:rsidR="000045FF" w:rsidRPr="004B3B0D">
        <w:t xml:space="preserve"> of assets</w:t>
      </w:r>
    </w:p>
    <w:p w14:paraId="17B3F527" w14:textId="629F64BB" w:rsidR="00FF4190" w:rsidRPr="004B3B0D" w:rsidRDefault="00FF4190" w:rsidP="00FF4190">
      <w:pPr>
        <w:pStyle w:val="ListNumber"/>
        <w:ind w:left="357" w:hanging="357"/>
      </w:pPr>
      <w:r w:rsidRPr="004B3B0D">
        <w:t>An accountable officer must derecognise a non-financial asset</w:t>
      </w:r>
      <w:r w:rsidR="001B07D8" w:rsidRPr="004B3B0D">
        <w:t>,</w:t>
      </w:r>
      <w:r w:rsidR="005F7A26" w:rsidRPr="004B3B0D">
        <w:t xml:space="preserve"> </w:t>
      </w:r>
      <w:r w:rsidR="0057424D">
        <w:t>regardless of whether it was</w:t>
      </w:r>
      <w:r w:rsidR="005F7A26" w:rsidRPr="004B3B0D">
        <w:t xml:space="preserve"> expensed</w:t>
      </w:r>
      <w:r w:rsidR="001B07D8" w:rsidRPr="004B3B0D">
        <w:t xml:space="preserve"> in the statement of comprehensive income</w:t>
      </w:r>
      <w:r w:rsidR="005F7A26" w:rsidRPr="004B3B0D">
        <w:t xml:space="preserve"> or capitalised</w:t>
      </w:r>
      <w:r w:rsidR="001B07D8" w:rsidRPr="004B3B0D">
        <w:t xml:space="preserve"> in the balance sheet</w:t>
      </w:r>
      <w:r w:rsidR="00F40DA2">
        <w:t xml:space="preserve"> on</w:t>
      </w:r>
      <w:r w:rsidRPr="004B3B0D">
        <w:t>:</w:t>
      </w:r>
    </w:p>
    <w:p w14:paraId="68DD4CC3" w14:textId="36090FB7" w:rsidR="00CA1D24" w:rsidRPr="00D24911" w:rsidRDefault="00CA1D24" w:rsidP="00FF4190">
      <w:pPr>
        <w:pStyle w:val="ListNumber"/>
        <w:numPr>
          <w:ilvl w:val="0"/>
          <w:numId w:val="30"/>
        </w:numPr>
        <w:ind w:left="709"/>
      </w:pPr>
      <w:r w:rsidRPr="00D24911">
        <w:t>transfer of asset to another Territory governm</w:t>
      </w:r>
      <w:r w:rsidR="007544AD" w:rsidRPr="00D24911">
        <w:t>ent entity</w:t>
      </w:r>
      <w:r w:rsidRPr="00D24911">
        <w:t xml:space="preserve"> or</w:t>
      </w:r>
    </w:p>
    <w:p w14:paraId="74474CA5" w14:textId="2F7526F6" w:rsidR="00E5427D" w:rsidRDefault="00FF4190" w:rsidP="00FF4190">
      <w:pPr>
        <w:pStyle w:val="ListNumber"/>
        <w:numPr>
          <w:ilvl w:val="0"/>
          <w:numId w:val="30"/>
        </w:numPr>
        <w:ind w:left="709"/>
      </w:pPr>
      <w:r w:rsidRPr="004B3B0D">
        <w:t xml:space="preserve">disposal </w:t>
      </w:r>
    </w:p>
    <w:p w14:paraId="55B605DE" w14:textId="5E43B3FA" w:rsidR="00E5427D" w:rsidRDefault="00E5427D" w:rsidP="001B4EC7">
      <w:pPr>
        <w:pStyle w:val="Heading2"/>
      </w:pPr>
      <w:r>
        <w:t>Asset transfers</w:t>
      </w:r>
      <w:r w:rsidR="007544AD">
        <w:t xml:space="preserve"> between Territory government entities</w:t>
      </w:r>
    </w:p>
    <w:p w14:paraId="4C9CC34F" w14:textId="61E64A1F" w:rsidR="00CA1D24" w:rsidRPr="007B4B13" w:rsidRDefault="007544AD" w:rsidP="007B4B13">
      <w:pPr>
        <w:pStyle w:val="Heading3"/>
      </w:pPr>
      <w:bookmarkStart w:id="34" w:name="_Ref160195337"/>
      <w:r w:rsidRPr="001B4EC7">
        <w:t xml:space="preserve">Conditions for </w:t>
      </w:r>
      <w:r w:rsidR="002729F5" w:rsidRPr="001B4EC7">
        <w:t>asset transfers</w:t>
      </w:r>
      <w:r>
        <w:t xml:space="preserve"> between Territory government entities</w:t>
      </w:r>
    </w:p>
    <w:p w14:paraId="02ABCE81" w14:textId="0FABFFE0" w:rsidR="007544AD" w:rsidRPr="00D24911" w:rsidRDefault="00A06997" w:rsidP="007544AD">
      <w:pPr>
        <w:pStyle w:val="ListNumber"/>
        <w:ind w:left="357" w:hanging="357"/>
      </w:pPr>
      <w:r w:rsidRPr="00D24911">
        <w:t>The accountable officers of the transferring and receiving entities must agree to</w:t>
      </w:r>
      <w:r w:rsidR="00C6757E" w:rsidRPr="00D24911">
        <w:t xml:space="preserve"> the</w:t>
      </w:r>
      <w:r w:rsidRPr="00D24911">
        <w:t xml:space="preserve"> transfer o</w:t>
      </w:r>
      <w:r w:rsidR="00C6757E" w:rsidRPr="00D24911">
        <w:t xml:space="preserve">f </w:t>
      </w:r>
      <w:r w:rsidR="00024D5B">
        <w:br/>
      </w:r>
      <w:r w:rsidR="00C6757E" w:rsidRPr="00D24911">
        <w:t xml:space="preserve">non-financial assets in </w:t>
      </w:r>
      <w:r w:rsidRPr="00D24911">
        <w:t>writing</w:t>
      </w:r>
      <w:r w:rsidR="007544AD" w:rsidRPr="00D24911">
        <w:t>.</w:t>
      </w:r>
    </w:p>
    <w:p w14:paraId="61355362" w14:textId="0981FD9C" w:rsidR="00E5427D" w:rsidRPr="006529CA" w:rsidRDefault="00A06997" w:rsidP="001B4EC7">
      <w:pPr>
        <w:pStyle w:val="ListNumber"/>
        <w:ind w:left="357" w:hanging="357"/>
      </w:pPr>
      <w:r w:rsidRPr="006529CA">
        <w:t>All vacant land transfers</w:t>
      </w:r>
      <w:r w:rsidR="00A26C23" w:rsidRPr="006529CA">
        <w:t xml:space="preserve"> must be undertaken by the Department of Infrastructure, Planning and Logistics unless another A</w:t>
      </w:r>
      <w:r w:rsidRPr="006529CA">
        <w:t>ct permits an agency to</w:t>
      </w:r>
      <w:r w:rsidR="00A26C23" w:rsidRPr="006529CA">
        <w:t xml:space="preserve"> transfer land.</w:t>
      </w:r>
      <w:bookmarkEnd w:id="34"/>
    </w:p>
    <w:p w14:paraId="76825F67" w14:textId="2C9315F1" w:rsidR="003F76D3" w:rsidRDefault="003F76D3" w:rsidP="0006101C">
      <w:pPr>
        <w:pStyle w:val="Heading2"/>
      </w:pPr>
      <w:r>
        <w:t>Disposal of asset</w:t>
      </w:r>
    </w:p>
    <w:p w14:paraId="2F3DE032" w14:textId="5974F25A" w:rsidR="00A75F28" w:rsidRPr="004B3B0D" w:rsidRDefault="00A75F28" w:rsidP="007B4B13">
      <w:pPr>
        <w:pStyle w:val="Heading3"/>
      </w:pPr>
      <w:r w:rsidRPr="004B3B0D">
        <w:t xml:space="preserve">Conditions for disposal of assets </w:t>
      </w:r>
    </w:p>
    <w:p w14:paraId="0F1ECD4D" w14:textId="78065D5E" w:rsidR="001B07D8" w:rsidRDefault="001B07D8" w:rsidP="001B07D8">
      <w:pPr>
        <w:pStyle w:val="ListNumber"/>
        <w:ind w:left="357" w:hanging="357"/>
      </w:pPr>
      <w:bookmarkStart w:id="35" w:name="_Ref160533568"/>
      <w:bookmarkStart w:id="36" w:name="_Ref93395281"/>
      <w:bookmarkStart w:id="37" w:name="_Ref128139663"/>
      <w:r w:rsidRPr="004B3B0D">
        <w:t>All vacant land disposals</w:t>
      </w:r>
      <w:r w:rsidR="00E5427D">
        <w:t xml:space="preserve"> </w:t>
      </w:r>
      <w:r w:rsidRPr="004B3B0D">
        <w:t xml:space="preserve">must be </w:t>
      </w:r>
      <w:r w:rsidR="00AF4A9D">
        <w:t xml:space="preserve">undertaken </w:t>
      </w:r>
      <w:r w:rsidRPr="004B3B0D">
        <w:t>by the Department of Infrastructure, Planning and Logistics unless</w:t>
      </w:r>
      <w:r w:rsidR="00AF4A9D">
        <w:t xml:space="preserve"> another Act permits</w:t>
      </w:r>
      <w:r w:rsidR="00E525AE">
        <w:t xml:space="preserve"> an agency to dispose</w:t>
      </w:r>
      <w:r w:rsidR="00340080">
        <w:t xml:space="preserve"> </w:t>
      </w:r>
      <w:r w:rsidR="00E525AE">
        <w:t>land</w:t>
      </w:r>
      <w:r w:rsidRPr="004B3B0D">
        <w:t>.</w:t>
      </w:r>
      <w:bookmarkEnd w:id="35"/>
    </w:p>
    <w:p w14:paraId="58B406AA" w14:textId="5445B8FD" w:rsidR="00792A53" w:rsidRPr="004B3B0D" w:rsidRDefault="00857C11" w:rsidP="001C7153">
      <w:pPr>
        <w:pStyle w:val="ListNumber"/>
        <w:ind w:left="357" w:hanging="357"/>
      </w:pPr>
      <w:bookmarkStart w:id="38" w:name="_Ref148948004"/>
      <w:bookmarkStart w:id="39" w:name="_Ref160533667"/>
      <w:r w:rsidRPr="004B3B0D">
        <w:t xml:space="preserve">An accountable officer may </w:t>
      </w:r>
      <w:r w:rsidR="00FF4190" w:rsidRPr="004B3B0D">
        <w:t>dispose</w:t>
      </w:r>
      <w:r w:rsidRPr="004B3B0D">
        <w:t xml:space="preserve"> of a non-financial asset</w:t>
      </w:r>
      <w:r w:rsidR="001B07D8" w:rsidRPr="004B3B0D">
        <w:t xml:space="preserve"> other than vacant land</w:t>
      </w:r>
      <w:r w:rsidR="00FF4190" w:rsidRPr="004B3B0D">
        <w:t xml:space="preserve"> </w:t>
      </w:r>
      <w:r w:rsidRPr="004B3B0D">
        <w:t xml:space="preserve">where </w:t>
      </w:r>
      <w:r w:rsidR="00F0337F" w:rsidRPr="004B3B0D">
        <w:rPr>
          <w:u w:val="single"/>
        </w:rPr>
        <w:t>all</w:t>
      </w:r>
      <w:r w:rsidR="00F0337F" w:rsidRPr="004B3B0D">
        <w:t xml:space="preserve"> of the following </w:t>
      </w:r>
      <w:r w:rsidR="00734328" w:rsidRPr="004B3B0D">
        <w:t xml:space="preserve">conditions </w:t>
      </w:r>
      <w:r w:rsidR="00F0337F" w:rsidRPr="004B3B0D">
        <w:t>are met</w:t>
      </w:r>
      <w:r w:rsidR="00E50D7A" w:rsidRPr="004B3B0D">
        <w:t>:</w:t>
      </w:r>
      <w:bookmarkEnd w:id="36"/>
      <w:bookmarkEnd w:id="37"/>
      <w:bookmarkEnd w:id="38"/>
      <w:bookmarkEnd w:id="39"/>
    </w:p>
    <w:p w14:paraId="03E4A259" w14:textId="4DDB62FB" w:rsidR="00E50D7A" w:rsidRPr="004B3B0D" w:rsidRDefault="002719B9" w:rsidP="006B4C74">
      <w:pPr>
        <w:pStyle w:val="ListNumber"/>
        <w:numPr>
          <w:ilvl w:val="0"/>
          <w:numId w:val="26"/>
        </w:numPr>
        <w:ind w:left="709"/>
      </w:pPr>
      <w:r w:rsidRPr="004B3B0D">
        <w:t xml:space="preserve">the non-financial </w:t>
      </w:r>
      <w:r w:rsidR="00E50D7A" w:rsidRPr="004B3B0D">
        <w:t>asset is surplus to an agency’s requirements</w:t>
      </w:r>
      <w:r w:rsidR="00F569DB" w:rsidRPr="004B3B0D">
        <w:t xml:space="preserve"> </w:t>
      </w:r>
    </w:p>
    <w:p w14:paraId="47CF3F2C" w14:textId="41A8292A" w:rsidR="00F53325" w:rsidRPr="004B3B0D" w:rsidRDefault="002719B9" w:rsidP="006B4C74">
      <w:pPr>
        <w:pStyle w:val="ListNumber"/>
        <w:numPr>
          <w:ilvl w:val="0"/>
          <w:numId w:val="26"/>
        </w:numPr>
        <w:ind w:left="709"/>
      </w:pPr>
      <w:r w:rsidRPr="004B3B0D">
        <w:t xml:space="preserve">the non-financial </w:t>
      </w:r>
      <w:r w:rsidR="00F53325" w:rsidRPr="004B3B0D">
        <w:t xml:space="preserve">asset </w:t>
      </w:r>
      <w:r w:rsidR="00DC4D40" w:rsidRPr="004B3B0D">
        <w:t>will</w:t>
      </w:r>
      <w:r w:rsidR="00F53325" w:rsidRPr="004B3B0D">
        <w:t xml:space="preserve"> be disposed of</w:t>
      </w:r>
      <w:r w:rsidR="007C73AA" w:rsidRPr="004B3B0D">
        <w:t xml:space="preserve"> in a</w:t>
      </w:r>
      <w:r w:rsidR="00F53325" w:rsidRPr="004B3B0D">
        <w:t xml:space="preserve"> manner that </w:t>
      </w:r>
      <w:r w:rsidR="005F7A26" w:rsidRPr="004B3B0D">
        <w:t xml:space="preserve">optimises </w:t>
      </w:r>
      <w:r w:rsidR="009952D3" w:rsidRPr="004B3B0D">
        <w:t xml:space="preserve">benefit and or does not result in additional cost </w:t>
      </w:r>
      <w:r w:rsidR="00F53325" w:rsidRPr="004B3B0D">
        <w:t>to the Territory</w:t>
      </w:r>
    </w:p>
    <w:p w14:paraId="5D20655A" w14:textId="1016BA7B" w:rsidR="00E50D7A" w:rsidRPr="004B3B0D" w:rsidRDefault="00E50D7A" w:rsidP="006B4C74">
      <w:pPr>
        <w:pStyle w:val="ListNumber"/>
        <w:numPr>
          <w:ilvl w:val="0"/>
          <w:numId w:val="26"/>
        </w:numPr>
        <w:ind w:left="709"/>
      </w:pPr>
      <w:r w:rsidRPr="004B3B0D">
        <w:t>disposing the</w:t>
      </w:r>
      <w:r w:rsidR="002719B9" w:rsidRPr="004B3B0D">
        <w:t xml:space="preserve"> non-financial</w:t>
      </w:r>
      <w:r w:rsidRPr="004B3B0D">
        <w:t xml:space="preserve"> asset is </w:t>
      </w:r>
      <w:r w:rsidR="00757063" w:rsidRPr="004B3B0D">
        <w:t xml:space="preserve">considered </w:t>
      </w:r>
      <w:r w:rsidRPr="004B3B0D">
        <w:t>the most appropriate course of action</w:t>
      </w:r>
      <w:r w:rsidR="0055213C" w:rsidRPr="004B3B0D">
        <w:t xml:space="preserve"> </w:t>
      </w:r>
    </w:p>
    <w:p w14:paraId="2BD30255" w14:textId="56DEBB90" w:rsidR="00757063" w:rsidRPr="004B3B0D" w:rsidRDefault="00757063" w:rsidP="006B4C74">
      <w:pPr>
        <w:pStyle w:val="ListNumber"/>
        <w:numPr>
          <w:ilvl w:val="0"/>
          <w:numId w:val="26"/>
        </w:numPr>
        <w:ind w:left="709"/>
      </w:pPr>
      <w:r w:rsidRPr="004B3B0D">
        <w:t>there are no known potential, perceived or actual conflicts of interest</w:t>
      </w:r>
      <w:r w:rsidR="00F569DB" w:rsidRPr="004B3B0D">
        <w:t xml:space="preserve"> or restrictions</w:t>
      </w:r>
    </w:p>
    <w:p w14:paraId="40BADAF3" w14:textId="7B02AA0F" w:rsidR="00757063" w:rsidRPr="004B3B0D" w:rsidRDefault="00757063" w:rsidP="006B4C74">
      <w:pPr>
        <w:pStyle w:val="ListNumber"/>
        <w:numPr>
          <w:ilvl w:val="0"/>
          <w:numId w:val="26"/>
        </w:numPr>
        <w:ind w:left="709"/>
      </w:pPr>
      <w:r w:rsidRPr="004B3B0D">
        <w:t>the risk of adverse public perception or scrutiny is considered low</w:t>
      </w:r>
    </w:p>
    <w:p w14:paraId="36FCDEF0" w14:textId="47FB4DD1" w:rsidR="00E50D7A" w:rsidRPr="004B3B0D" w:rsidRDefault="0055213C" w:rsidP="006B4C74">
      <w:pPr>
        <w:pStyle w:val="ListNumber"/>
        <w:numPr>
          <w:ilvl w:val="0"/>
          <w:numId w:val="26"/>
        </w:numPr>
        <w:ind w:left="709"/>
      </w:pPr>
      <w:r w:rsidRPr="004B3B0D">
        <w:t xml:space="preserve">disposing the </w:t>
      </w:r>
      <w:r w:rsidR="002719B9" w:rsidRPr="004B3B0D">
        <w:t xml:space="preserve">non-financial </w:t>
      </w:r>
      <w:r w:rsidRPr="004B3B0D">
        <w:t>asset</w:t>
      </w:r>
      <w:r w:rsidR="000F0559" w:rsidRPr="004B3B0D">
        <w:t xml:space="preserve"> does not result in </w:t>
      </w:r>
      <w:r w:rsidRPr="004B3B0D">
        <w:t xml:space="preserve">personal benefit being obtained by an accountable officer, an employee of </w:t>
      </w:r>
      <w:r w:rsidR="00B33AE7" w:rsidRPr="004B3B0D">
        <w:t>a Territory Government agency</w:t>
      </w:r>
      <w:r w:rsidRPr="004B3B0D">
        <w:t xml:space="preserve">, or a related </w:t>
      </w:r>
      <w:r w:rsidR="008A14DD" w:rsidRPr="004B3B0D">
        <w:t>party, unless</w:t>
      </w:r>
      <w:r w:rsidRPr="004B3B0D">
        <w:t xml:space="preserve"> approval </w:t>
      </w:r>
      <w:r w:rsidR="008A14DD" w:rsidRPr="004B3B0D">
        <w:t xml:space="preserve">has been obtained to </w:t>
      </w:r>
      <w:r w:rsidRPr="004B3B0D">
        <w:t>gift the</w:t>
      </w:r>
      <w:r w:rsidR="002719B9" w:rsidRPr="004B3B0D">
        <w:t xml:space="preserve"> non-financial</w:t>
      </w:r>
      <w:r w:rsidRPr="004B3B0D">
        <w:t xml:space="preserve"> asset</w:t>
      </w:r>
      <w:r w:rsidR="008A14DD" w:rsidRPr="004B3B0D">
        <w:t xml:space="preserve"> </w:t>
      </w:r>
      <w:r w:rsidRPr="004B3B0D">
        <w:t>in accordance with the Treasurer</w:t>
      </w:r>
      <w:r w:rsidR="00500738" w:rsidRPr="004B3B0D">
        <w:t>’s</w:t>
      </w:r>
      <w:r w:rsidRPr="004B3B0D">
        <w:t xml:space="preserve"> Direction – Gifting of Property.</w:t>
      </w:r>
    </w:p>
    <w:p w14:paraId="29A05D30" w14:textId="237F1677" w:rsidR="00734328" w:rsidRPr="004B3B0D" w:rsidRDefault="00E82752" w:rsidP="006B4C74">
      <w:pPr>
        <w:pStyle w:val="ListNumber"/>
        <w:numPr>
          <w:ilvl w:val="0"/>
          <w:numId w:val="26"/>
        </w:numPr>
        <w:ind w:left="709"/>
      </w:pPr>
      <w:r w:rsidRPr="004B3B0D">
        <w:t>disposal method</w:t>
      </w:r>
      <w:r w:rsidR="00734328" w:rsidRPr="004B3B0D">
        <w:t>s</w:t>
      </w:r>
      <w:r w:rsidRPr="004B3B0D">
        <w:t xml:space="preserve"> </w:t>
      </w:r>
      <w:r w:rsidR="00734328" w:rsidRPr="004B3B0D">
        <w:t xml:space="preserve">are </w:t>
      </w:r>
      <w:r w:rsidRPr="004B3B0D">
        <w:t>in</w:t>
      </w:r>
      <w:r w:rsidR="00734328" w:rsidRPr="004B3B0D">
        <w:t xml:space="preserve"> accordance with</w:t>
      </w:r>
      <w:r w:rsidRPr="004B3B0D">
        <w:t xml:space="preserve"> paragraphs </w:t>
      </w:r>
      <w:r w:rsidRPr="00740E56">
        <w:fldChar w:fldCharType="begin"/>
      </w:r>
      <w:r w:rsidRPr="004B3B0D">
        <w:instrText xml:space="preserve"> REF _Ref93395075 \r \h </w:instrText>
      </w:r>
      <w:r w:rsidR="00734328" w:rsidRPr="004B3B0D">
        <w:instrText xml:space="preserve"> \* MERGEFORMAT </w:instrText>
      </w:r>
      <w:r w:rsidRPr="00740E56">
        <w:fldChar w:fldCharType="separate"/>
      </w:r>
      <w:r w:rsidR="009D2C5B">
        <w:t>60</w:t>
      </w:r>
      <w:r w:rsidRPr="00740E56">
        <w:fldChar w:fldCharType="end"/>
      </w:r>
      <w:r w:rsidR="00EE3E56">
        <w:t>,</w:t>
      </w:r>
      <w:r w:rsidR="003D499E" w:rsidRPr="004B3B0D">
        <w:t xml:space="preserve"> </w:t>
      </w:r>
      <w:r w:rsidR="003D499E" w:rsidRPr="00740E56">
        <w:fldChar w:fldCharType="begin"/>
      </w:r>
      <w:r w:rsidR="003D499E" w:rsidRPr="004B3B0D">
        <w:instrText xml:space="preserve"> REF _Ref142036194 \r \h  \* MERGEFORMAT </w:instrText>
      </w:r>
      <w:r w:rsidR="003D499E" w:rsidRPr="00740E56">
        <w:fldChar w:fldCharType="separate"/>
      </w:r>
      <w:r w:rsidR="009D2C5B">
        <w:t>61</w:t>
      </w:r>
      <w:r w:rsidR="003D499E" w:rsidRPr="00740E56">
        <w:fldChar w:fldCharType="end"/>
      </w:r>
      <w:r w:rsidR="00EE3E56">
        <w:t xml:space="preserve"> or </w:t>
      </w:r>
      <w:r w:rsidR="00EE3E56">
        <w:fldChar w:fldCharType="begin"/>
      </w:r>
      <w:r w:rsidR="00EE3E56">
        <w:instrText xml:space="preserve"> REF _Ref139360786 \r \h </w:instrText>
      </w:r>
      <w:r w:rsidR="00EE3E56">
        <w:fldChar w:fldCharType="separate"/>
      </w:r>
      <w:r w:rsidR="009D2C5B">
        <w:t>62</w:t>
      </w:r>
      <w:r w:rsidR="00EE3E56">
        <w:fldChar w:fldCharType="end"/>
      </w:r>
    </w:p>
    <w:p w14:paraId="76E67647" w14:textId="71697552" w:rsidR="00E5427D" w:rsidRDefault="00734328">
      <w:pPr>
        <w:pStyle w:val="ListNumber"/>
        <w:numPr>
          <w:ilvl w:val="0"/>
          <w:numId w:val="26"/>
        </w:numPr>
        <w:ind w:left="709"/>
      </w:pPr>
      <w:proofErr w:type="gramStart"/>
      <w:r w:rsidRPr="004B3B0D">
        <w:t>thresholds</w:t>
      </w:r>
      <w:proofErr w:type="gramEnd"/>
      <w:r w:rsidRPr="004B3B0D">
        <w:t xml:space="preserve"> for disposal are in accordance </w:t>
      </w:r>
      <w:r w:rsidR="0046125A" w:rsidRPr="004B3B0D">
        <w:t xml:space="preserve">with paragraph </w:t>
      </w:r>
      <w:r w:rsidR="0046125A" w:rsidRPr="00740E56">
        <w:fldChar w:fldCharType="begin"/>
      </w:r>
      <w:r w:rsidR="0046125A" w:rsidRPr="004B3B0D">
        <w:instrText xml:space="preserve"> REF _Ref136530542 \r \h  \* MERGEFORMAT </w:instrText>
      </w:r>
      <w:r w:rsidR="0046125A" w:rsidRPr="00740E56">
        <w:fldChar w:fldCharType="separate"/>
      </w:r>
      <w:r w:rsidR="009D2C5B">
        <w:t>64</w:t>
      </w:r>
      <w:r w:rsidR="0046125A" w:rsidRPr="00740E56">
        <w:fldChar w:fldCharType="end"/>
      </w:r>
      <w:r w:rsidR="0046125A" w:rsidRPr="004B3B0D">
        <w:t>.</w:t>
      </w:r>
    </w:p>
    <w:p w14:paraId="43730338" w14:textId="0019458B" w:rsidR="00FF4190" w:rsidRPr="004B3B0D" w:rsidRDefault="00FF4190" w:rsidP="007B4B13">
      <w:pPr>
        <w:pStyle w:val="Heading3"/>
      </w:pPr>
      <w:r w:rsidRPr="004B3B0D">
        <w:t>Method</w:t>
      </w:r>
      <w:r w:rsidR="00AF1EA9" w:rsidRPr="004B3B0D">
        <w:t>s</w:t>
      </w:r>
      <w:r w:rsidRPr="004B3B0D">
        <w:t xml:space="preserve"> of disposal</w:t>
      </w:r>
    </w:p>
    <w:p w14:paraId="6E896345" w14:textId="461096D2" w:rsidR="0009393D" w:rsidRPr="004B3B0D" w:rsidRDefault="00F0337F" w:rsidP="001C7153">
      <w:pPr>
        <w:pStyle w:val="ListNumber"/>
        <w:ind w:left="357" w:hanging="357"/>
      </w:pPr>
      <w:bookmarkStart w:id="40" w:name="_Ref93395075"/>
      <w:r w:rsidRPr="004B3B0D">
        <w:t>An a</w:t>
      </w:r>
      <w:r w:rsidR="0009393D" w:rsidRPr="004B3B0D">
        <w:t xml:space="preserve">ccountable officer can </w:t>
      </w:r>
      <w:r w:rsidRPr="004B3B0D">
        <w:t xml:space="preserve">approve </w:t>
      </w:r>
      <w:r w:rsidR="0009393D" w:rsidRPr="004B3B0D">
        <w:t>dispos</w:t>
      </w:r>
      <w:r w:rsidRPr="004B3B0D">
        <w:t>al of a</w:t>
      </w:r>
      <w:r w:rsidR="0009393D" w:rsidRPr="004B3B0D">
        <w:t xml:space="preserve"> </w:t>
      </w:r>
      <w:r w:rsidR="006326D0" w:rsidRPr="004B3B0D">
        <w:t>non-financial asset</w:t>
      </w:r>
      <w:r w:rsidR="0057424D">
        <w:t>,</w:t>
      </w:r>
      <w:r w:rsidR="00D670DC" w:rsidRPr="004B3B0D">
        <w:t xml:space="preserve"> </w:t>
      </w:r>
      <w:r w:rsidR="0057424D">
        <w:t>whether</w:t>
      </w:r>
      <w:r w:rsidR="0057424D" w:rsidRPr="004B3B0D">
        <w:t xml:space="preserve"> </w:t>
      </w:r>
      <w:r w:rsidR="00D670DC" w:rsidRPr="004B3B0D">
        <w:t xml:space="preserve">capitalised </w:t>
      </w:r>
      <w:r w:rsidR="001B07D8" w:rsidRPr="004B3B0D">
        <w:t xml:space="preserve">in the balance sheet </w:t>
      </w:r>
      <w:r w:rsidR="00D670DC" w:rsidRPr="004B3B0D">
        <w:t>or expensed</w:t>
      </w:r>
      <w:r w:rsidR="001B07D8" w:rsidRPr="004B3B0D">
        <w:t xml:space="preserve"> in the statement of comprehensive income</w:t>
      </w:r>
      <w:r w:rsidR="00D670DC" w:rsidRPr="004B3B0D">
        <w:t xml:space="preserve"> on acquisition</w:t>
      </w:r>
      <w:r w:rsidR="0057424D">
        <w:t>,</w:t>
      </w:r>
      <w:r w:rsidR="00D670DC" w:rsidRPr="004B3B0D">
        <w:t xml:space="preserve"> </w:t>
      </w:r>
      <w:r w:rsidRPr="004B3B0D">
        <w:t>by one of the following methods</w:t>
      </w:r>
      <w:r w:rsidR="0009393D" w:rsidRPr="004B3B0D">
        <w:t>:</w:t>
      </w:r>
      <w:bookmarkEnd w:id="33"/>
      <w:bookmarkEnd w:id="40"/>
    </w:p>
    <w:p w14:paraId="02E32E1F" w14:textId="7DC5C4B7" w:rsidR="0009393D" w:rsidRPr="004B3B0D" w:rsidRDefault="00B33AE7" w:rsidP="006B4C74">
      <w:pPr>
        <w:pStyle w:val="ListNumber"/>
        <w:numPr>
          <w:ilvl w:val="0"/>
          <w:numId w:val="24"/>
        </w:numPr>
        <w:ind w:left="709"/>
      </w:pPr>
      <w:bookmarkStart w:id="41" w:name="_Ref87369352"/>
      <w:r w:rsidRPr="004B3B0D">
        <w:t xml:space="preserve">sale by </w:t>
      </w:r>
      <w:r w:rsidR="0009393D" w:rsidRPr="004B3B0D">
        <w:t>public tender or public auction</w:t>
      </w:r>
      <w:bookmarkEnd w:id="41"/>
    </w:p>
    <w:p w14:paraId="4A24EA69" w14:textId="4E134D47" w:rsidR="0009393D" w:rsidRPr="004B3B0D" w:rsidRDefault="00376ED9" w:rsidP="006B4C74">
      <w:pPr>
        <w:pStyle w:val="ListNumber"/>
        <w:numPr>
          <w:ilvl w:val="0"/>
          <w:numId w:val="24"/>
        </w:numPr>
        <w:ind w:left="709"/>
      </w:pPr>
      <w:bookmarkStart w:id="42" w:name="_Ref136529526"/>
      <w:r w:rsidRPr="004B3B0D">
        <w:t xml:space="preserve">trade-in for a replacement </w:t>
      </w:r>
      <w:r w:rsidR="00773A27">
        <w:t xml:space="preserve">non-financial </w:t>
      </w:r>
      <w:r w:rsidRPr="004B3B0D">
        <w:t>asset</w:t>
      </w:r>
      <w:bookmarkEnd w:id="42"/>
    </w:p>
    <w:p w14:paraId="1676BD9E" w14:textId="4D165128" w:rsidR="00611DCC" w:rsidRPr="004B3B0D" w:rsidRDefault="00611DCC">
      <w:pPr>
        <w:pStyle w:val="ListNumber"/>
        <w:numPr>
          <w:ilvl w:val="0"/>
          <w:numId w:val="24"/>
        </w:numPr>
        <w:ind w:left="709"/>
      </w:pPr>
      <w:r w:rsidRPr="004B3B0D">
        <w:t xml:space="preserve">transfer of ownership </w:t>
      </w:r>
      <w:r w:rsidR="00055404" w:rsidRPr="004B3B0D">
        <w:t>through</w:t>
      </w:r>
      <w:r w:rsidR="00D670DC" w:rsidRPr="004B3B0D">
        <w:t xml:space="preserve"> </w:t>
      </w:r>
      <w:r w:rsidRPr="004B3B0D">
        <w:t>a capital grant arrangement</w:t>
      </w:r>
    </w:p>
    <w:p w14:paraId="601C9A6A" w14:textId="563A06CA" w:rsidR="00376ED9" w:rsidRPr="004B3B0D" w:rsidRDefault="00A90EFA" w:rsidP="006B4C74">
      <w:pPr>
        <w:pStyle w:val="ListNumber"/>
        <w:numPr>
          <w:ilvl w:val="0"/>
          <w:numId w:val="24"/>
        </w:numPr>
        <w:ind w:left="709"/>
      </w:pPr>
      <w:r w:rsidRPr="004B3B0D">
        <w:t>gifting in accordance with Treasurer</w:t>
      </w:r>
      <w:r w:rsidR="00500738" w:rsidRPr="004B3B0D">
        <w:t>’s</w:t>
      </w:r>
      <w:r w:rsidRPr="004B3B0D">
        <w:t xml:space="preserve"> Direction – Gifting of Property</w:t>
      </w:r>
    </w:p>
    <w:p w14:paraId="5261F00F" w14:textId="67C98B76" w:rsidR="00376ED9" w:rsidRPr="00D24911" w:rsidRDefault="00D45482" w:rsidP="006B4C74">
      <w:pPr>
        <w:pStyle w:val="ListNumber"/>
        <w:numPr>
          <w:ilvl w:val="0"/>
          <w:numId w:val="24"/>
        </w:numPr>
        <w:ind w:left="709"/>
      </w:pPr>
      <w:proofErr w:type="gramStart"/>
      <w:r w:rsidRPr="004B3B0D">
        <w:t>write-off</w:t>
      </w:r>
      <w:proofErr w:type="gramEnd"/>
      <w:r w:rsidR="00345E87" w:rsidRPr="004B3B0D">
        <w:t xml:space="preserve"> where a</w:t>
      </w:r>
      <w:r w:rsidR="00D15321" w:rsidRPr="004B3B0D">
        <w:t xml:space="preserve"> non-financial</w:t>
      </w:r>
      <w:r w:rsidR="00345E87" w:rsidRPr="004B3B0D">
        <w:t xml:space="preserve"> asset is</w:t>
      </w:r>
      <w:r w:rsidR="00426908" w:rsidRPr="00426908">
        <w:t xml:space="preserve"> </w:t>
      </w:r>
      <w:r w:rsidR="00426908" w:rsidRPr="00CD22CA">
        <w:t>lost</w:t>
      </w:r>
      <w:r w:rsidR="00426908">
        <w:t>,</w:t>
      </w:r>
      <w:r w:rsidR="00345E87" w:rsidRPr="004B3B0D">
        <w:t xml:space="preserve"> </w:t>
      </w:r>
      <w:r w:rsidR="0025667A" w:rsidRPr="00CD22CA">
        <w:t xml:space="preserve">deficient, condemned, unserviceable, abandoned or obsolete </w:t>
      </w:r>
      <w:r w:rsidR="00A90EFA" w:rsidRPr="00D24911">
        <w:t>in accordance with Treasurer</w:t>
      </w:r>
      <w:r w:rsidR="00500738" w:rsidRPr="00D24911">
        <w:t>’</w:t>
      </w:r>
      <w:r w:rsidR="00F866F0" w:rsidRPr="00D24911">
        <w:t>s</w:t>
      </w:r>
      <w:r w:rsidR="00A90EFA" w:rsidRPr="00D24911">
        <w:t xml:space="preserve"> Direction – Losses, write-</w:t>
      </w:r>
      <w:r w:rsidR="00DC0185" w:rsidRPr="00D24911">
        <w:t>offs, waivers and postponements</w:t>
      </w:r>
      <w:r w:rsidR="00A57143" w:rsidRPr="00D24911">
        <w:t>.</w:t>
      </w:r>
    </w:p>
    <w:p w14:paraId="4A33E2AA" w14:textId="39F81EA3" w:rsidR="003F76D3" w:rsidRPr="00D24911" w:rsidRDefault="00EE3E56" w:rsidP="004B3B0D">
      <w:pPr>
        <w:pStyle w:val="ListNumber"/>
        <w:ind w:left="357" w:hanging="357"/>
      </w:pPr>
      <w:bookmarkStart w:id="43" w:name="_Ref142036194"/>
      <w:r w:rsidRPr="00D24911">
        <w:t>For low value assets</w:t>
      </w:r>
      <w:r w:rsidR="003F76D3" w:rsidRPr="00D24911">
        <w:t xml:space="preserve">, an accountable officer may dispose of assets using </w:t>
      </w:r>
      <w:r w:rsidR="00B27F0D">
        <w:t>one</w:t>
      </w:r>
      <w:r w:rsidR="00B27F0D" w:rsidRPr="00D24911">
        <w:t xml:space="preserve"> </w:t>
      </w:r>
      <w:r w:rsidR="003F76D3" w:rsidRPr="00D24911">
        <w:t>of the following methods:</w:t>
      </w:r>
    </w:p>
    <w:p w14:paraId="38F56182" w14:textId="438794E4" w:rsidR="003F76D3" w:rsidRPr="00D24911" w:rsidRDefault="003F76D3" w:rsidP="007B4B13">
      <w:pPr>
        <w:pStyle w:val="ListNumber"/>
        <w:numPr>
          <w:ilvl w:val="1"/>
          <w:numId w:val="12"/>
        </w:numPr>
      </w:pPr>
      <w:r w:rsidRPr="00D24911">
        <w:t xml:space="preserve">disposal methods in paragraph </w:t>
      </w:r>
      <w:r w:rsidRPr="00D24911">
        <w:fldChar w:fldCharType="begin"/>
      </w:r>
      <w:r w:rsidRPr="00D24911">
        <w:instrText xml:space="preserve"> REF _Ref93395075 \r \h  \* MERGEFORMAT </w:instrText>
      </w:r>
      <w:r w:rsidRPr="00D24911">
        <w:fldChar w:fldCharType="separate"/>
      </w:r>
      <w:r w:rsidR="009D2C5B">
        <w:t>60</w:t>
      </w:r>
      <w:r w:rsidRPr="00D24911">
        <w:fldChar w:fldCharType="end"/>
      </w:r>
    </w:p>
    <w:p w14:paraId="756AB79C" w14:textId="692CD721" w:rsidR="003F76D3" w:rsidRPr="00D24911" w:rsidRDefault="00017468" w:rsidP="007B4B13">
      <w:pPr>
        <w:pStyle w:val="ListNumber"/>
        <w:numPr>
          <w:ilvl w:val="1"/>
          <w:numId w:val="12"/>
        </w:numPr>
      </w:pPr>
      <w:r w:rsidRPr="00D24911">
        <w:t>discarding</w:t>
      </w:r>
      <w:r w:rsidR="00EE3E56" w:rsidRPr="00D24911">
        <w:t xml:space="preserve"> assets</w:t>
      </w:r>
      <w:r w:rsidRPr="00D24911">
        <w:t xml:space="preserve"> at a recycling depot or similar facility or landfill </w:t>
      </w:r>
      <w:r w:rsidR="003F76D3" w:rsidRPr="00D24911">
        <w:t xml:space="preserve"> </w:t>
      </w:r>
    </w:p>
    <w:p w14:paraId="50FC96A0" w14:textId="78460DC9" w:rsidR="00654C87" w:rsidRPr="004B3B0D" w:rsidRDefault="00654C87" w:rsidP="004B3B0D">
      <w:pPr>
        <w:pStyle w:val="ListNumber"/>
        <w:ind w:left="357" w:hanging="357"/>
      </w:pPr>
      <w:bookmarkStart w:id="44" w:name="_Ref139360786"/>
      <w:bookmarkEnd w:id="43"/>
      <w:r w:rsidRPr="004B3B0D">
        <w:rPr>
          <w:rFonts w:cs="Lato"/>
          <w:color w:val="000000"/>
        </w:rPr>
        <w:t xml:space="preserve">The accountable officer </w:t>
      </w:r>
      <w:r w:rsidR="0059515D" w:rsidRPr="004B3B0D">
        <w:rPr>
          <w:rFonts w:cs="Lato"/>
          <w:color w:val="000000"/>
        </w:rPr>
        <w:t xml:space="preserve">or delegate </w:t>
      </w:r>
      <w:r w:rsidRPr="004B3B0D">
        <w:rPr>
          <w:rFonts w:cs="Lato"/>
          <w:color w:val="000000"/>
        </w:rPr>
        <w:t xml:space="preserve">of Northern Territory </w:t>
      </w:r>
      <w:r w:rsidR="00EC02A4" w:rsidRPr="004B3B0D">
        <w:rPr>
          <w:rFonts w:cs="Lato"/>
          <w:color w:val="000000"/>
        </w:rPr>
        <w:t>Fleet may</w:t>
      </w:r>
      <w:r w:rsidRPr="004B3B0D">
        <w:rPr>
          <w:rFonts w:cs="Lato"/>
          <w:color w:val="000000"/>
        </w:rPr>
        <w:t xml:space="preserve"> dispose of a vehicle </w:t>
      </w:r>
      <w:r w:rsidR="00055404" w:rsidRPr="004B3B0D">
        <w:rPr>
          <w:rFonts w:cs="Lato"/>
          <w:color w:val="000000"/>
        </w:rPr>
        <w:t>through direct sale</w:t>
      </w:r>
      <w:r w:rsidRPr="004B3B0D">
        <w:rPr>
          <w:rFonts w:cs="Lato"/>
          <w:color w:val="000000"/>
        </w:rPr>
        <w:t xml:space="preserve"> to an executive contract officer upon completion or termination of their employment contract where the employee had a salary package employment benefit in place for the vehicle.</w:t>
      </w:r>
      <w:bookmarkEnd w:id="44"/>
    </w:p>
    <w:p w14:paraId="42ADF918" w14:textId="6C89CE8E" w:rsidR="005F7A26" w:rsidRDefault="005F7A26" w:rsidP="004B3B0D">
      <w:pPr>
        <w:pStyle w:val="ListNumber"/>
        <w:ind w:left="357" w:hanging="357"/>
      </w:pPr>
      <w:bookmarkStart w:id="45" w:name="_Ref139620737"/>
      <w:bookmarkStart w:id="46" w:name="_Ref167201472"/>
      <w:r w:rsidRPr="004B3B0D">
        <w:t xml:space="preserve">Where an agency seeks to dispose </w:t>
      </w:r>
      <w:r w:rsidR="00D15321" w:rsidRPr="004B3B0D">
        <w:t>of</w:t>
      </w:r>
      <w:r w:rsidRPr="004B3B0D">
        <w:t xml:space="preserve"> </w:t>
      </w:r>
      <w:r w:rsidR="00055404" w:rsidRPr="004B3B0D">
        <w:t>a</w:t>
      </w:r>
      <w:r w:rsidR="00D15321" w:rsidRPr="004B3B0D">
        <w:t xml:space="preserve"> non-financial</w:t>
      </w:r>
      <w:r w:rsidR="00055404" w:rsidRPr="004B3B0D">
        <w:t xml:space="preserve"> </w:t>
      </w:r>
      <w:r w:rsidRPr="004B3B0D">
        <w:t>asset</w:t>
      </w:r>
      <w:r w:rsidR="008D53F5">
        <w:t xml:space="preserve"> with a carrying amount less than or equal to $150 000</w:t>
      </w:r>
      <w:r w:rsidRPr="004B3B0D">
        <w:t xml:space="preserve"> </w:t>
      </w:r>
      <w:r w:rsidR="00055404" w:rsidRPr="004B3B0D">
        <w:t>using</w:t>
      </w:r>
      <w:r w:rsidRPr="004B3B0D">
        <w:t xml:space="preserve"> a method not specified in paragraphs </w:t>
      </w:r>
      <w:r w:rsidRPr="00740E56">
        <w:fldChar w:fldCharType="begin"/>
      </w:r>
      <w:r w:rsidRPr="004B3B0D">
        <w:instrText xml:space="preserve"> REF _Ref93395075 \r \h  \* MERGEFORMAT </w:instrText>
      </w:r>
      <w:r w:rsidRPr="00740E56">
        <w:fldChar w:fldCharType="separate"/>
      </w:r>
      <w:r w:rsidR="009D2C5B">
        <w:t>60</w:t>
      </w:r>
      <w:r w:rsidRPr="00740E56">
        <w:fldChar w:fldCharType="end"/>
      </w:r>
      <w:r w:rsidR="003B31EF" w:rsidRPr="004B3B0D">
        <w:t xml:space="preserve"> to </w:t>
      </w:r>
      <w:r w:rsidR="003B31EF" w:rsidRPr="00740E56">
        <w:fldChar w:fldCharType="begin"/>
      </w:r>
      <w:r w:rsidR="003B31EF" w:rsidRPr="004B3B0D">
        <w:instrText xml:space="preserve"> REF _Ref139360786 \r \h  \* MERGEFORMAT </w:instrText>
      </w:r>
      <w:r w:rsidR="003B31EF" w:rsidRPr="00740E56">
        <w:fldChar w:fldCharType="separate"/>
      </w:r>
      <w:r w:rsidR="009D2C5B">
        <w:t>62</w:t>
      </w:r>
      <w:r w:rsidR="003B31EF" w:rsidRPr="00740E56">
        <w:fldChar w:fldCharType="end"/>
      </w:r>
      <w:r w:rsidR="008D53F5">
        <w:t>,</w:t>
      </w:r>
      <w:r w:rsidRPr="004B3B0D">
        <w:t xml:space="preserve"> the accountable officer may seek approval from the Under Treasurer to use an alternative disposal method.</w:t>
      </w:r>
      <w:bookmarkEnd w:id="45"/>
      <w:bookmarkEnd w:id="46"/>
    </w:p>
    <w:p w14:paraId="78AAE4AE" w14:textId="12CB7744" w:rsidR="00D83095" w:rsidRPr="004B3B0D" w:rsidRDefault="00B33AE7" w:rsidP="007B4B13">
      <w:pPr>
        <w:pStyle w:val="Heading3"/>
      </w:pPr>
      <w:r w:rsidRPr="004B3B0D">
        <w:t>Approval process</w:t>
      </w:r>
    </w:p>
    <w:p w14:paraId="2E91467F" w14:textId="30137283" w:rsidR="009955AB" w:rsidRPr="004B3B0D" w:rsidRDefault="00F53325" w:rsidP="0006101C">
      <w:pPr>
        <w:pStyle w:val="ListNumber"/>
        <w:ind w:left="357" w:hanging="357"/>
      </w:pPr>
      <w:bookmarkStart w:id="47" w:name="_Ref136530542"/>
      <w:bookmarkStart w:id="48" w:name="_Ref128144529"/>
      <w:bookmarkStart w:id="49" w:name="_Ref136590584"/>
      <w:r w:rsidRPr="004B3B0D">
        <w:t>Approval threshold</w:t>
      </w:r>
      <w:r w:rsidR="00055404" w:rsidRPr="004B3B0D">
        <w:t>s</w:t>
      </w:r>
      <w:r w:rsidRPr="004B3B0D">
        <w:t xml:space="preserve"> for </w:t>
      </w:r>
      <w:r w:rsidR="00F106F7" w:rsidRPr="004B3B0D">
        <w:t>disposal methods outlined in paragraph</w:t>
      </w:r>
      <w:r w:rsidR="00AF1EA9" w:rsidRPr="004B3B0D">
        <w:t>s</w:t>
      </w:r>
      <w:r w:rsidR="00E82752" w:rsidRPr="004B3B0D">
        <w:t xml:space="preserve"> </w:t>
      </w:r>
      <w:r w:rsidR="00E82752" w:rsidRPr="00740E56">
        <w:fldChar w:fldCharType="begin"/>
      </w:r>
      <w:r w:rsidR="00E82752" w:rsidRPr="004B3B0D">
        <w:instrText xml:space="preserve"> REF _Ref93395075 \r \h </w:instrText>
      </w:r>
      <w:r w:rsidR="00055404" w:rsidRPr="004B3B0D">
        <w:instrText xml:space="preserve"> \* MERGEFORMAT </w:instrText>
      </w:r>
      <w:r w:rsidR="00E82752" w:rsidRPr="00740E56">
        <w:fldChar w:fldCharType="separate"/>
      </w:r>
      <w:r w:rsidR="009D2C5B">
        <w:t>60</w:t>
      </w:r>
      <w:r w:rsidR="00E82752" w:rsidRPr="00740E56">
        <w:fldChar w:fldCharType="end"/>
      </w:r>
      <w:r w:rsidR="00E82752" w:rsidRPr="00D5045A">
        <w:fldChar w:fldCharType="begin"/>
      </w:r>
      <w:r w:rsidR="00E82752" w:rsidRPr="004B3B0D">
        <w:instrText xml:space="preserve"> REF _Ref87369352 \r \h </w:instrText>
      </w:r>
      <w:r w:rsidR="00055404" w:rsidRPr="004B3B0D">
        <w:instrText xml:space="preserve"> \* MERGEFORMAT </w:instrText>
      </w:r>
      <w:r w:rsidR="00E82752" w:rsidRPr="00D5045A">
        <w:fldChar w:fldCharType="separate"/>
      </w:r>
      <w:r w:rsidR="009D2C5B">
        <w:t>a</w:t>
      </w:r>
      <w:r w:rsidR="00E82752" w:rsidRPr="00D5045A">
        <w:fldChar w:fldCharType="end"/>
      </w:r>
      <w:r w:rsidR="004E15C6" w:rsidRPr="004B3B0D">
        <w:t xml:space="preserve">, </w:t>
      </w:r>
      <w:r w:rsidR="00AF1EA9" w:rsidRPr="00740E56">
        <w:fldChar w:fldCharType="begin"/>
      </w:r>
      <w:r w:rsidR="00AF1EA9" w:rsidRPr="004B3B0D">
        <w:instrText xml:space="preserve"> REF _Ref93395075 \r \h </w:instrText>
      </w:r>
      <w:r w:rsidR="00055404" w:rsidRPr="004B3B0D">
        <w:instrText xml:space="preserve"> \* MERGEFORMAT </w:instrText>
      </w:r>
      <w:r w:rsidR="00AF1EA9" w:rsidRPr="00740E56">
        <w:fldChar w:fldCharType="separate"/>
      </w:r>
      <w:r w:rsidR="009D2C5B">
        <w:t>60</w:t>
      </w:r>
      <w:r w:rsidR="00AF1EA9" w:rsidRPr="00740E56">
        <w:fldChar w:fldCharType="end"/>
      </w:r>
      <w:r w:rsidR="00E82752" w:rsidRPr="00D5045A">
        <w:fldChar w:fldCharType="begin"/>
      </w:r>
      <w:r w:rsidR="00E82752" w:rsidRPr="004B3B0D">
        <w:instrText xml:space="preserve"> REF _Ref136529526 \r \h </w:instrText>
      </w:r>
      <w:r w:rsidR="00055404" w:rsidRPr="004B3B0D">
        <w:instrText xml:space="preserve"> \* MERGEFORMAT </w:instrText>
      </w:r>
      <w:r w:rsidR="00E82752" w:rsidRPr="00D5045A">
        <w:fldChar w:fldCharType="separate"/>
      </w:r>
      <w:r w:rsidR="009D2C5B">
        <w:t>b</w:t>
      </w:r>
      <w:r w:rsidR="00E82752" w:rsidRPr="00D5045A">
        <w:fldChar w:fldCharType="end"/>
      </w:r>
      <w:r w:rsidR="003B31EF" w:rsidRPr="004B3B0D">
        <w:t>,</w:t>
      </w:r>
      <w:r w:rsidR="00055404" w:rsidRPr="004B3B0D">
        <w:t xml:space="preserve"> </w:t>
      </w:r>
      <w:r w:rsidR="00E341BB" w:rsidRPr="00740E56">
        <w:fldChar w:fldCharType="begin"/>
      </w:r>
      <w:r w:rsidR="00E341BB" w:rsidRPr="004B3B0D">
        <w:instrText xml:space="preserve"> REF _Ref142036194 \r \h </w:instrText>
      </w:r>
      <w:r w:rsidR="00055404" w:rsidRPr="004B3B0D">
        <w:instrText xml:space="preserve"> \* MERGEFORMAT </w:instrText>
      </w:r>
      <w:r w:rsidR="00E341BB" w:rsidRPr="00740E56">
        <w:fldChar w:fldCharType="separate"/>
      </w:r>
      <w:r w:rsidR="009D2C5B">
        <w:t>61</w:t>
      </w:r>
      <w:r w:rsidR="00E341BB" w:rsidRPr="00740E56">
        <w:fldChar w:fldCharType="end"/>
      </w:r>
      <w:r w:rsidR="003164A0" w:rsidRPr="004B3B0D">
        <w:t xml:space="preserve"> </w:t>
      </w:r>
      <w:r w:rsidR="005C6541">
        <w:t>to</w:t>
      </w:r>
      <w:r w:rsidR="003B31EF" w:rsidRPr="004B3B0D">
        <w:t xml:space="preserve"> </w:t>
      </w:r>
      <w:r w:rsidR="005C6541">
        <w:fldChar w:fldCharType="begin"/>
      </w:r>
      <w:r w:rsidR="005C6541">
        <w:instrText xml:space="preserve"> REF _Ref167201472 \r \h </w:instrText>
      </w:r>
      <w:r w:rsidR="005C6541">
        <w:fldChar w:fldCharType="separate"/>
      </w:r>
      <w:r w:rsidR="009D2C5B">
        <w:t>63</w:t>
      </w:r>
      <w:r w:rsidR="005C6541">
        <w:fldChar w:fldCharType="end"/>
      </w:r>
      <w:bookmarkEnd w:id="47"/>
      <w:r w:rsidR="00E82752" w:rsidRPr="004B3B0D">
        <w:t xml:space="preserve"> </w:t>
      </w:r>
      <w:bookmarkEnd w:id="48"/>
      <w:r w:rsidR="00B27F0D">
        <w:t>are</w:t>
      </w:r>
      <w:r w:rsidRPr="004B3B0D">
        <w:t xml:space="preserve"> outlined below:</w:t>
      </w:r>
      <w:bookmarkEnd w:id="49"/>
    </w:p>
    <w:tbl>
      <w:tblPr>
        <w:tblStyle w:val="NTGtable"/>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4252"/>
        <w:gridCol w:w="5387"/>
      </w:tblGrid>
      <w:tr w:rsidR="009955AB" w:rsidRPr="004B3B0D" w14:paraId="0E149D70" w14:textId="77777777" w:rsidTr="002C6274">
        <w:trPr>
          <w:cnfStyle w:val="100000000000" w:firstRow="1" w:lastRow="0" w:firstColumn="0" w:lastColumn="0" w:oddVBand="0" w:evenVBand="0" w:oddHBand="0" w:evenHBand="0" w:firstRowFirstColumn="0" w:firstRowLastColumn="0" w:lastRowFirstColumn="0" w:lastRowLastColumn="0"/>
          <w:tblHeader/>
        </w:trPr>
        <w:tc>
          <w:tcPr>
            <w:tcW w:w="4252" w:type="dxa"/>
          </w:tcPr>
          <w:p w14:paraId="164A3A8D" w14:textId="496787AD" w:rsidR="009955AB" w:rsidRPr="004B3B0D" w:rsidRDefault="00F53325">
            <w:r w:rsidRPr="004B3B0D">
              <w:t>Carrying amount</w:t>
            </w:r>
            <w:r w:rsidR="00E341BB" w:rsidRPr="004B3B0D">
              <w:t xml:space="preserve"> </w:t>
            </w:r>
            <w:r w:rsidR="009955AB" w:rsidRPr="004B3B0D">
              <w:t>(exclusive of GST)</w:t>
            </w:r>
          </w:p>
        </w:tc>
        <w:tc>
          <w:tcPr>
            <w:tcW w:w="5387" w:type="dxa"/>
          </w:tcPr>
          <w:p w14:paraId="38B4E07B" w14:textId="77777777" w:rsidR="009955AB" w:rsidRPr="004B3B0D" w:rsidRDefault="009955AB" w:rsidP="002C6274">
            <w:r w:rsidRPr="004B3B0D">
              <w:t>Approval required by</w:t>
            </w:r>
          </w:p>
        </w:tc>
      </w:tr>
      <w:tr w:rsidR="009955AB" w:rsidRPr="004B3B0D" w14:paraId="0690D836" w14:textId="77777777" w:rsidTr="002C6274">
        <w:tc>
          <w:tcPr>
            <w:tcW w:w="4252" w:type="dxa"/>
          </w:tcPr>
          <w:p w14:paraId="47E8817E" w14:textId="1A2FC47F" w:rsidR="009955AB" w:rsidRPr="004B3B0D" w:rsidRDefault="009955AB" w:rsidP="002C6274">
            <w:pPr>
              <w:spacing w:before="60" w:after="60"/>
            </w:pPr>
            <w:r w:rsidRPr="004B3B0D">
              <w:t>Less than</w:t>
            </w:r>
            <w:r w:rsidR="00BC2A26" w:rsidRPr="004B3B0D">
              <w:t xml:space="preserve"> or equal to</w:t>
            </w:r>
            <w:r w:rsidRPr="004B3B0D">
              <w:t xml:space="preserve"> $</w:t>
            </w:r>
            <w:r w:rsidR="00BC2A26" w:rsidRPr="004B3B0D">
              <w:t>1</w:t>
            </w:r>
            <w:r w:rsidRPr="004B3B0D">
              <w:t>50 000</w:t>
            </w:r>
          </w:p>
        </w:tc>
        <w:tc>
          <w:tcPr>
            <w:tcW w:w="5387" w:type="dxa"/>
          </w:tcPr>
          <w:p w14:paraId="3DBC9444" w14:textId="77777777" w:rsidR="009955AB" w:rsidRPr="004B3B0D" w:rsidRDefault="009955AB" w:rsidP="002C6274">
            <w:pPr>
              <w:spacing w:before="60" w:after="60"/>
            </w:pPr>
            <w:r w:rsidRPr="004B3B0D">
              <w:t>Accountable officer</w:t>
            </w:r>
          </w:p>
        </w:tc>
      </w:tr>
      <w:tr w:rsidR="009955AB" w:rsidRPr="004B3B0D" w14:paraId="160CAF28" w14:textId="77777777" w:rsidTr="002C6274">
        <w:tc>
          <w:tcPr>
            <w:tcW w:w="4252" w:type="dxa"/>
          </w:tcPr>
          <w:p w14:paraId="35992185" w14:textId="77777777" w:rsidR="009955AB" w:rsidRPr="004B3B0D" w:rsidRDefault="009955AB" w:rsidP="002C6274">
            <w:pPr>
              <w:spacing w:before="60" w:after="60"/>
            </w:pPr>
            <w:r w:rsidRPr="004B3B0D">
              <w:t>Over $150 000</w:t>
            </w:r>
          </w:p>
        </w:tc>
        <w:tc>
          <w:tcPr>
            <w:tcW w:w="5387" w:type="dxa"/>
          </w:tcPr>
          <w:p w14:paraId="4EA7CA67" w14:textId="77777777" w:rsidR="009955AB" w:rsidRPr="004B3B0D" w:rsidRDefault="009955AB" w:rsidP="002C6274">
            <w:pPr>
              <w:spacing w:before="60" w:after="60"/>
            </w:pPr>
            <w:r w:rsidRPr="004B3B0D">
              <w:t>Treasurer with endorsement from Minister</w:t>
            </w:r>
          </w:p>
        </w:tc>
      </w:tr>
    </w:tbl>
    <w:p w14:paraId="740E7F4C" w14:textId="27316F8D" w:rsidR="009955AB" w:rsidRPr="004B3B0D" w:rsidRDefault="009955AB" w:rsidP="0006101C">
      <w:pPr>
        <w:pStyle w:val="ListNumber"/>
        <w:numPr>
          <w:ilvl w:val="0"/>
          <w:numId w:val="0"/>
        </w:numPr>
        <w:ind w:left="357"/>
        <w:rPr>
          <w:rFonts w:cs="Lato"/>
          <w:color w:val="000000"/>
        </w:rPr>
      </w:pPr>
    </w:p>
    <w:p w14:paraId="73432A88" w14:textId="431ED015" w:rsidR="00E429AE" w:rsidRPr="004B3B0D" w:rsidRDefault="00827B07" w:rsidP="00E429AE">
      <w:pPr>
        <w:pStyle w:val="ListNumber"/>
        <w:ind w:left="357" w:hanging="357"/>
      </w:pPr>
      <w:bookmarkStart w:id="50" w:name="_Ref131667758"/>
      <w:bookmarkStart w:id="51" w:name="_Ref87369699"/>
      <w:r w:rsidRPr="004B3B0D">
        <w:t>W</w:t>
      </w:r>
      <w:r w:rsidR="00E429AE" w:rsidRPr="004B3B0D">
        <w:t xml:space="preserve">here Treasurer’s approval is required to </w:t>
      </w:r>
      <w:r w:rsidR="00C640F3" w:rsidRPr="004B3B0D">
        <w:t>dispose a non-financial asset, requests</w:t>
      </w:r>
      <w:r w:rsidR="00E429AE" w:rsidRPr="004B3B0D">
        <w:t xml:space="preserve"> to the Treasurer must have ministerial endorsement and at a minimum include information on the following:</w:t>
      </w:r>
      <w:bookmarkEnd w:id="50"/>
    </w:p>
    <w:p w14:paraId="72C39020" w14:textId="2DA1DDB8" w:rsidR="00E429AE" w:rsidRPr="004B3B0D" w:rsidRDefault="00C640F3" w:rsidP="00F53325">
      <w:pPr>
        <w:pStyle w:val="ListNumber"/>
        <w:numPr>
          <w:ilvl w:val="1"/>
          <w:numId w:val="12"/>
        </w:numPr>
        <w:ind w:left="851"/>
      </w:pPr>
      <w:r w:rsidRPr="004B3B0D">
        <w:t xml:space="preserve">reason for the disposal of the asset </w:t>
      </w:r>
    </w:p>
    <w:p w14:paraId="35C3958A" w14:textId="1E26AFB4" w:rsidR="00C640F3" w:rsidRPr="004B3B0D" w:rsidRDefault="00FB6271" w:rsidP="0006101C">
      <w:pPr>
        <w:pStyle w:val="ListNumber"/>
        <w:numPr>
          <w:ilvl w:val="1"/>
          <w:numId w:val="12"/>
        </w:numPr>
        <w:ind w:left="851"/>
      </w:pPr>
      <w:r w:rsidRPr="004B3B0D">
        <w:t xml:space="preserve">proposed method of disposal </w:t>
      </w:r>
    </w:p>
    <w:p w14:paraId="5CB72F22" w14:textId="18AE48BA" w:rsidR="004E15C6" w:rsidRPr="004B3B0D" w:rsidRDefault="00FB6271" w:rsidP="0006101C">
      <w:pPr>
        <w:pStyle w:val="ListNumber"/>
        <w:numPr>
          <w:ilvl w:val="1"/>
          <w:numId w:val="12"/>
        </w:numPr>
        <w:ind w:left="851"/>
      </w:pPr>
      <w:r w:rsidRPr="004B3B0D">
        <w:t>carrying amount</w:t>
      </w:r>
      <w:r w:rsidR="00A335D3" w:rsidRPr="004B3B0D">
        <w:t xml:space="preserve"> (at disposal date)</w:t>
      </w:r>
      <w:r w:rsidRPr="004B3B0D">
        <w:t xml:space="preserve"> of the</w:t>
      </w:r>
      <w:r w:rsidR="00E30D7D" w:rsidRPr="004B3B0D">
        <w:t xml:space="preserve"> non-financial</w:t>
      </w:r>
      <w:r w:rsidRPr="004B3B0D">
        <w:t xml:space="preserve"> asset</w:t>
      </w:r>
    </w:p>
    <w:p w14:paraId="4D2F5F56" w14:textId="2B5B1AA2" w:rsidR="00FB6271" w:rsidRPr="00D24911" w:rsidRDefault="004E15C6" w:rsidP="0006101C">
      <w:pPr>
        <w:pStyle w:val="ListNumber"/>
        <w:numPr>
          <w:ilvl w:val="1"/>
          <w:numId w:val="12"/>
        </w:numPr>
        <w:ind w:left="851"/>
      </w:pPr>
      <w:proofErr w:type="gramStart"/>
      <w:r w:rsidRPr="00D24911">
        <w:t>information</w:t>
      </w:r>
      <w:proofErr w:type="gramEnd"/>
      <w:r w:rsidRPr="00D24911">
        <w:t xml:space="preserve"> demonstrating how </w:t>
      </w:r>
      <w:r w:rsidR="00E30D7D" w:rsidRPr="00D24911">
        <w:t xml:space="preserve">the </w:t>
      </w:r>
      <w:r w:rsidRPr="00D24911">
        <w:t xml:space="preserve">conditions outlined in paragraph </w:t>
      </w:r>
      <w:r w:rsidR="00055404" w:rsidRPr="00D24911">
        <w:fldChar w:fldCharType="begin"/>
      </w:r>
      <w:r w:rsidR="00055404" w:rsidRPr="00D24911">
        <w:instrText xml:space="preserve"> REF _Ref148948004 \r \h  \* MERGEFORMAT </w:instrText>
      </w:r>
      <w:r w:rsidR="00055404" w:rsidRPr="00D24911">
        <w:fldChar w:fldCharType="separate"/>
      </w:r>
      <w:r w:rsidR="009D2C5B">
        <w:t>59</w:t>
      </w:r>
      <w:r w:rsidR="00055404" w:rsidRPr="00D24911">
        <w:fldChar w:fldCharType="end"/>
      </w:r>
      <w:r w:rsidRPr="00D24911">
        <w:t xml:space="preserve"> have been met.</w:t>
      </w:r>
      <w:r w:rsidR="00587118" w:rsidRPr="00D24911">
        <w:t xml:space="preserve"> </w:t>
      </w:r>
    </w:p>
    <w:p w14:paraId="0612FFA4" w14:textId="13A005D8" w:rsidR="00CF3BE2" w:rsidRPr="00D24911" w:rsidRDefault="00EA14D9" w:rsidP="007B4B13">
      <w:pPr>
        <w:pStyle w:val="Heading3"/>
      </w:pPr>
      <w:r w:rsidRPr="00D24911">
        <w:t xml:space="preserve">Proceeds from </w:t>
      </w:r>
      <w:r w:rsidR="00F63807" w:rsidRPr="00D24911">
        <w:t>sale of non-financial assets</w:t>
      </w:r>
    </w:p>
    <w:p w14:paraId="01FEDB00" w14:textId="5209374D" w:rsidR="00BA2F2A" w:rsidRPr="00D24911" w:rsidRDefault="008A0019" w:rsidP="007B4B13">
      <w:pPr>
        <w:pStyle w:val="ListNumber"/>
        <w:ind w:left="357" w:hanging="357"/>
      </w:pPr>
      <w:bookmarkStart w:id="52" w:name="_Ref161319412"/>
      <w:r w:rsidRPr="00D24911">
        <w:t>An agency must</w:t>
      </w:r>
      <w:r w:rsidR="0014499B" w:rsidRPr="00D24911">
        <w:t xml:space="preserve"> seek approval to use </w:t>
      </w:r>
      <w:r w:rsidRPr="00D24911">
        <w:t xml:space="preserve">proceeds from the sale of a </w:t>
      </w:r>
      <w:r w:rsidR="0014499B" w:rsidRPr="00D24911">
        <w:t>non-financial asset in accordance with</w:t>
      </w:r>
      <w:r w:rsidRPr="00D24911">
        <w:t xml:space="preserve"> </w:t>
      </w:r>
      <w:r w:rsidR="0014499B" w:rsidRPr="00D24911">
        <w:t>Treasurer’</w:t>
      </w:r>
      <w:r w:rsidR="0029422A" w:rsidRPr="00D24911">
        <w:t>s Direction</w:t>
      </w:r>
      <w:r w:rsidRPr="00D24911">
        <w:t xml:space="preserve"> – Income</w:t>
      </w:r>
      <w:r w:rsidR="00BA2F2A" w:rsidRPr="00D24911">
        <w:t>.</w:t>
      </w:r>
      <w:bookmarkEnd w:id="52"/>
      <w:r w:rsidRPr="00D24911">
        <w:t xml:space="preserve"> This requirement does not apply to GBDs.</w:t>
      </w:r>
    </w:p>
    <w:bookmarkEnd w:id="51"/>
    <w:p w14:paraId="71BE22D2" w14:textId="0F095389" w:rsidR="00233301" w:rsidRPr="004B3B0D" w:rsidRDefault="0034273A" w:rsidP="009C707D">
      <w:pPr>
        <w:pStyle w:val="Heading1"/>
      </w:pPr>
      <w:r w:rsidRPr="004B3B0D">
        <w:t>M</w:t>
      </w:r>
      <w:r w:rsidR="00233301" w:rsidRPr="004B3B0D">
        <w:t xml:space="preserve">anagement </w:t>
      </w:r>
    </w:p>
    <w:p w14:paraId="1A5843CF" w14:textId="34C0ACEB" w:rsidR="00025B20" w:rsidRPr="004B3B0D" w:rsidRDefault="000426B5" w:rsidP="00025B20">
      <w:pPr>
        <w:pStyle w:val="ListNumber"/>
        <w:ind w:left="357" w:hanging="357"/>
      </w:pPr>
      <w:r w:rsidRPr="004B3B0D">
        <w:t xml:space="preserve">An accountable officer </w:t>
      </w:r>
      <w:r w:rsidR="004E15C6" w:rsidRPr="004B3B0D">
        <w:t>and</w:t>
      </w:r>
      <w:r w:rsidR="00FB6EB9">
        <w:t>/</w:t>
      </w:r>
      <w:r w:rsidR="004E15C6" w:rsidRPr="004B3B0D">
        <w:t xml:space="preserve">or accountable officer of </w:t>
      </w:r>
      <w:r w:rsidR="00424B02" w:rsidRPr="004B3B0D">
        <w:t xml:space="preserve">a </w:t>
      </w:r>
      <w:r w:rsidR="004E15C6" w:rsidRPr="004B3B0D">
        <w:t>construction authority managing</w:t>
      </w:r>
      <w:r w:rsidR="00E30D7D" w:rsidRPr="004B3B0D">
        <w:t xml:space="preserve"> non-financial</w:t>
      </w:r>
      <w:r w:rsidR="004E15C6" w:rsidRPr="004B3B0D">
        <w:t xml:space="preserve"> assets on behalf of</w:t>
      </w:r>
      <w:r w:rsidR="00DC4D40" w:rsidRPr="004B3B0D">
        <w:t xml:space="preserve"> a</w:t>
      </w:r>
      <w:r w:rsidR="004E15C6" w:rsidRPr="004B3B0D">
        <w:t xml:space="preserve"> client agency, </w:t>
      </w:r>
      <w:r w:rsidRPr="004B3B0D">
        <w:t>must implement policies and procedure</w:t>
      </w:r>
      <w:r w:rsidR="008F2E2A" w:rsidRPr="004B3B0D">
        <w:t>s</w:t>
      </w:r>
      <w:r w:rsidR="00D84D74">
        <w:t xml:space="preserve"> or controls</w:t>
      </w:r>
      <w:r w:rsidRPr="004B3B0D">
        <w:t xml:space="preserve"> which </w:t>
      </w:r>
      <w:r w:rsidR="005C312E" w:rsidRPr="004B3B0D">
        <w:t>facilitate physical security and control</w:t>
      </w:r>
      <w:r w:rsidR="00BB3C82" w:rsidRPr="004B3B0D">
        <w:t xml:space="preserve"> of </w:t>
      </w:r>
      <w:r w:rsidR="00E30D7D" w:rsidRPr="004B3B0D">
        <w:t xml:space="preserve">non-financial </w:t>
      </w:r>
      <w:r w:rsidR="00BB3C82" w:rsidRPr="004B3B0D">
        <w:t>assets</w:t>
      </w:r>
      <w:r w:rsidRPr="004B3B0D">
        <w:t>, including at a minimum:</w:t>
      </w:r>
    </w:p>
    <w:p w14:paraId="51943E0C" w14:textId="07E01F07" w:rsidR="00025B20" w:rsidRPr="004B3B0D" w:rsidRDefault="00025B20" w:rsidP="00025B20">
      <w:pPr>
        <w:pStyle w:val="ListNumber"/>
        <w:numPr>
          <w:ilvl w:val="1"/>
          <w:numId w:val="12"/>
        </w:numPr>
        <w:ind w:left="851"/>
      </w:pPr>
      <w:r w:rsidRPr="004B3B0D">
        <w:t xml:space="preserve">safeguarding and protecting the </w:t>
      </w:r>
      <w:r w:rsidR="00E30D7D" w:rsidRPr="004B3B0D">
        <w:t xml:space="preserve">non-financial </w:t>
      </w:r>
      <w:r w:rsidRPr="004B3B0D">
        <w:t>assets against loss or damage</w:t>
      </w:r>
    </w:p>
    <w:p w14:paraId="3F1D3531" w14:textId="24347FFC" w:rsidR="00025B20" w:rsidRPr="004B3B0D" w:rsidRDefault="000426B5" w:rsidP="00025B20">
      <w:pPr>
        <w:pStyle w:val="ListNumber"/>
        <w:numPr>
          <w:ilvl w:val="1"/>
          <w:numId w:val="12"/>
        </w:numPr>
        <w:ind w:left="851"/>
      </w:pPr>
      <w:bookmarkStart w:id="53" w:name="_Ref160196958"/>
      <w:r w:rsidRPr="004B3B0D">
        <w:t xml:space="preserve">monitoring </w:t>
      </w:r>
      <w:r w:rsidR="00025B20" w:rsidRPr="004B3B0D">
        <w:t>asset condition, use and performance</w:t>
      </w:r>
      <w:bookmarkEnd w:id="53"/>
    </w:p>
    <w:p w14:paraId="5E8E62AE" w14:textId="6A1E846C" w:rsidR="00025B20" w:rsidRPr="004B3B0D" w:rsidRDefault="00FA05C8" w:rsidP="00025B20">
      <w:pPr>
        <w:pStyle w:val="ListNumber"/>
        <w:numPr>
          <w:ilvl w:val="1"/>
          <w:numId w:val="12"/>
        </w:numPr>
        <w:ind w:left="851"/>
      </w:pPr>
      <w:r w:rsidRPr="004B3B0D">
        <w:t>implementing appropriate processes and approvals for the disposal of</w:t>
      </w:r>
      <w:r w:rsidR="00E30D7D" w:rsidRPr="004B3B0D">
        <w:t xml:space="preserve"> non-financial</w:t>
      </w:r>
      <w:r w:rsidRPr="004B3B0D">
        <w:t xml:space="preserve"> assets</w:t>
      </w:r>
    </w:p>
    <w:p w14:paraId="176C8ACD" w14:textId="4E3085EB" w:rsidR="00025B20" w:rsidRDefault="00E30D7D" w:rsidP="00025B20">
      <w:pPr>
        <w:pStyle w:val="ListNumber"/>
        <w:numPr>
          <w:ilvl w:val="1"/>
          <w:numId w:val="12"/>
        </w:numPr>
        <w:ind w:left="851"/>
      </w:pPr>
      <w:bookmarkStart w:id="54" w:name="_Ref160196982"/>
      <w:proofErr w:type="gramStart"/>
      <w:r w:rsidRPr="004B3B0D">
        <w:t>non-financial</w:t>
      </w:r>
      <w:proofErr w:type="gramEnd"/>
      <w:r w:rsidRPr="004B3B0D">
        <w:t xml:space="preserve"> </w:t>
      </w:r>
      <w:r w:rsidR="00025B20" w:rsidRPr="004B3B0D">
        <w:t xml:space="preserve">asset life cycle management, taking into account asset planning, acquisition, </w:t>
      </w:r>
      <w:r w:rsidR="0066420C">
        <w:t>construction,</w:t>
      </w:r>
      <w:r w:rsidR="0066420C" w:rsidRPr="004B3B0D">
        <w:t xml:space="preserve"> operation</w:t>
      </w:r>
      <w:r w:rsidR="00534854" w:rsidRPr="004B3B0D">
        <w:t xml:space="preserve"> (</w:t>
      </w:r>
      <w:r w:rsidR="00025B20" w:rsidRPr="004B3B0D">
        <w:t>including maintenance</w:t>
      </w:r>
      <w:r w:rsidR="00534854" w:rsidRPr="004B3B0D">
        <w:t>)</w:t>
      </w:r>
      <w:r w:rsidR="00025B20" w:rsidRPr="004B3B0D">
        <w:t xml:space="preserve"> and disposal.</w:t>
      </w:r>
      <w:bookmarkEnd w:id="54"/>
    </w:p>
    <w:p w14:paraId="636CC5AF" w14:textId="43B61AD9" w:rsidR="0066420C" w:rsidRPr="00D24911" w:rsidRDefault="0066420C" w:rsidP="007B4B13">
      <w:pPr>
        <w:pStyle w:val="ListNumber"/>
        <w:ind w:left="357" w:hanging="357"/>
      </w:pPr>
      <w:r w:rsidRPr="00D24911">
        <w:t xml:space="preserve">Pursuant to paragraphs </w:t>
      </w:r>
      <w:r w:rsidRPr="00D24911">
        <w:fldChar w:fldCharType="begin"/>
      </w:r>
      <w:r w:rsidRPr="00D24911">
        <w:instrText xml:space="preserve"> REF _Ref160196958 \r \h </w:instrText>
      </w:r>
      <w:r w:rsidR="008141E8" w:rsidRPr="00D24911">
        <w:instrText xml:space="preserve"> \* MERGEFORMAT </w:instrText>
      </w:r>
      <w:r w:rsidRPr="00D24911">
        <w:fldChar w:fldCharType="separate"/>
      </w:r>
      <w:r w:rsidR="009D2C5B">
        <w:t>67.b</w:t>
      </w:r>
      <w:r w:rsidRPr="00D24911">
        <w:fldChar w:fldCharType="end"/>
      </w:r>
      <w:r w:rsidRPr="00D24911">
        <w:t xml:space="preserve"> and </w:t>
      </w:r>
      <w:r w:rsidRPr="00D24911">
        <w:fldChar w:fldCharType="begin"/>
      </w:r>
      <w:r w:rsidRPr="00D24911">
        <w:instrText xml:space="preserve"> REF _Ref160196982 \r \h </w:instrText>
      </w:r>
      <w:r w:rsidR="008141E8" w:rsidRPr="00D24911">
        <w:instrText xml:space="preserve"> \* MERGEFORMAT </w:instrText>
      </w:r>
      <w:r w:rsidRPr="00D24911">
        <w:fldChar w:fldCharType="separate"/>
      </w:r>
      <w:r w:rsidR="009D2C5B">
        <w:t>67.d</w:t>
      </w:r>
      <w:r w:rsidRPr="00D24911">
        <w:fldChar w:fldCharType="end"/>
      </w:r>
      <w:r w:rsidR="00E06186" w:rsidRPr="00D24911">
        <w:t xml:space="preserve">, activities may be undertaken </w:t>
      </w:r>
      <w:r w:rsidR="008141E8" w:rsidRPr="00D24911">
        <w:t>by the construction authority on behalf of an agency as outlined in the partnering agreement</w:t>
      </w:r>
      <w:r w:rsidR="001F23D3" w:rsidRPr="00D24911">
        <w:t xml:space="preserve"> the agency has in place with the construction authority.</w:t>
      </w:r>
    </w:p>
    <w:p w14:paraId="48BADCF2" w14:textId="1665EED8" w:rsidR="0021037F" w:rsidRPr="004B3B0D" w:rsidRDefault="0021037F" w:rsidP="0006101C">
      <w:pPr>
        <w:pStyle w:val="Heading2"/>
      </w:pPr>
      <w:r w:rsidRPr="004B3B0D">
        <w:t xml:space="preserve">Stocktakes </w:t>
      </w:r>
    </w:p>
    <w:p w14:paraId="5B5DA5AC" w14:textId="67EC6E6E" w:rsidR="0021037F" w:rsidRPr="004B3B0D" w:rsidRDefault="0021037F" w:rsidP="0034273A">
      <w:pPr>
        <w:pStyle w:val="ListNumber"/>
        <w:ind w:left="357" w:hanging="357"/>
      </w:pPr>
      <w:bookmarkStart w:id="55" w:name="_Ref128149792"/>
      <w:r w:rsidRPr="004B3B0D">
        <w:t>An accountable officer must undertak</w:t>
      </w:r>
      <w:r w:rsidR="00D73F6F" w:rsidRPr="004B3B0D">
        <w:t xml:space="preserve">e regular stocktakes for </w:t>
      </w:r>
      <w:r w:rsidR="00927BBB" w:rsidRPr="004B3B0D">
        <w:t xml:space="preserve">property, plant and </w:t>
      </w:r>
      <w:r w:rsidR="00927BBB" w:rsidRPr="00D24911">
        <w:t>equipment</w:t>
      </w:r>
      <w:r w:rsidR="00AF123C" w:rsidRPr="00D24911">
        <w:t xml:space="preserve"> </w:t>
      </w:r>
      <w:r w:rsidR="00E82168" w:rsidRPr="00D24911">
        <w:t>measured</w:t>
      </w:r>
      <w:r w:rsidR="00E82168" w:rsidRPr="004B3B0D">
        <w:t xml:space="preserve"> </w:t>
      </w:r>
      <w:r w:rsidR="00927BBB" w:rsidRPr="004B3B0D">
        <w:t>under the cost model</w:t>
      </w:r>
      <w:r w:rsidR="00D73F6F" w:rsidRPr="004B3B0D">
        <w:t>,</w:t>
      </w:r>
      <w:r w:rsidR="00551C6F" w:rsidRPr="004B3B0D">
        <w:t xml:space="preserve"> at</w:t>
      </w:r>
      <w:r w:rsidR="00D73F6F" w:rsidRPr="004B3B0D">
        <w:t xml:space="preserve"> least once every three years</w:t>
      </w:r>
      <w:r w:rsidRPr="004B3B0D">
        <w:t>.</w:t>
      </w:r>
      <w:bookmarkEnd w:id="55"/>
    </w:p>
    <w:p w14:paraId="52B8CED8" w14:textId="3A3D6B93" w:rsidR="0021037F" w:rsidRPr="004B3B0D" w:rsidRDefault="00491988">
      <w:pPr>
        <w:pStyle w:val="ListNumber"/>
        <w:ind w:left="357" w:hanging="357"/>
      </w:pPr>
      <w:r w:rsidRPr="004B3B0D">
        <w:t>S</w:t>
      </w:r>
      <w:r w:rsidR="00D73F6F" w:rsidRPr="004B3B0D">
        <w:t>tocktake</w:t>
      </w:r>
      <w:r w:rsidR="00C71FC4" w:rsidRPr="004B3B0D">
        <w:t>s</w:t>
      </w:r>
      <w:r w:rsidRPr="004B3B0D">
        <w:t xml:space="preserve"> required under paragraph </w:t>
      </w:r>
      <w:r w:rsidRPr="00740E56">
        <w:fldChar w:fldCharType="begin"/>
      </w:r>
      <w:r w:rsidRPr="004B3B0D">
        <w:instrText xml:space="preserve"> REF _Ref128149792 \r \h  \* MERGEFORMAT </w:instrText>
      </w:r>
      <w:r w:rsidRPr="00740E56">
        <w:fldChar w:fldCharType="separate"/>
      </w:r>
      <w:r w:rsidR="009D2C5B">
        <w:t>69</w:t>
      </w:r>
      <w:r w:rsidRPr="00740E56">
        <w:fldChar w:fldCharType="end"/>
      </w:r>
      <w:r w:rsidR="00C71FC4" w:rsidRPr="004B3B0D">
        <w:t xml:space="preserve"> may</w:t>
      </w:r>
      <w:r w:rsidR="00B27F0D">
        <w:t xml:space="preserve"> </w:t>
      </w:r>
      <w:r w:rsidR="00A47BDA" w:rsidRPr="004B3B0D">
        <w:t xml:space="preserve">be undertaken </w:t>
      </w:r>
      <w:r w:rsidR="00055404" w:rsidRPr="004B3B0D">
        <w:t xml:space="preserve">for subclasses of </w:t>
      </w:r>
      <w:r w:rsidRPr="004B3B0D">
        <w:t>property, plant and equipment</w:t>
      </w:r>
      <w:r w:rsidR="00055404" w:rsidRPr="004B3B0D">
        <w:t xml:space="preserve"> </w:t>
      </w:r>
      <w:r w:rsidR="00A47BDA" w:rsidRPr="004B3B0D">
        <w:t>on a rolling basis</w:t>
      </w:r>
      <w:r w:rsidR="00C71FC4" w:rsidRPr="004B3B0D">
        <w:t>.</w:t>
      </w:r>
    </w:p>
    <w:p w14:paraId="035ECD0D" w14:textId="1D586BC7" w:rsidR="0052438C" w:rsidRPr="004B3B0D" w:rsidRDefault="0052438C" w:rsidP="004B3B0D">
      <w:pPr>
        <w:pStyle w:val="Heading1"/>
      </w:pPr>
      <w:r w:rsidRPr="004B3B0D">
        <w:t xml:space="preserve">Recordkeeping </w:t>
      </w:r>
    </w:p>
    <w:p w14:paraId="58FCA7D4" w14:textId="6FEBB89D" w:rsidR="00816EFE" w:rsidRPr="004B3B0D" w:rsidRDefault="00816EFE" w:rsidP="004D1FC2">
      <w:pPr>
        <w:pStyle w:val="ListNumber"/>
        <w:ind w:left="357" w:hanging="357"/>
      </w:pPr>
      <w:bookmarkStart w:id="56" w:name="_Ref162271617"/>
      <w:r w:rsidRPr="004B3B0D">
        <w:t>An accountable officer is responsible for keeping records of non-financial assets of the agency and, at a minimum, must:</w:t>
      </w:r>
      <w:bookmarkEnd w:id="56"/>
    </w:p>
    <w:p w14:paraId="556F084A" w14:textId="01D12BA4" w:rsidR="008F2E2A" w:rsidRPr="00D24911" w:rsidRDefault="008F2E2A" w:rsidP="008F2E2A">
      <w:pPr>
        <w:pStyle w:val="ListNumber"/>
        <w:numPr>
          <w:ilvl w:val="1"/>
          <w:numId w:val="12"/>
        </w:numPr>
        <w:ind w:left="851"/>
      </w:pPr>
      <w:proofErr w:type="gramStart"/>
      <w:r w:rsidRPr="00D24911">
        <w:t>ensure</w:t>
      </w:r>
      <w:proofErr w:type="gramEnd"/>
      <w:r w:rsidRPr="00D24911">
        <w:t xml:space="preserve"> </w:t>
      </w:r>
      <w:r w:rsidR="00491988" w:rsidRPr="00D24911">
        <w:t xml:space="preserve">non-financial </w:t>
      </w:r>
      <w:r w:rsidRPr="00D24911">
        <w:t>assets acquired are recorded in appropriate systems</w:t>
      </w:r>
      <w:r w:rsidR="00E264B8" w:rsidRPr="00D24911">
        <w:t xml:space="preserve"> in accordance wi</w:t>
      </w:r>
      <w:r w:rsidR="00B86771" w:rsidRPr="00D24911">
        <w:t xml:space="preserve">th timeframes set out in end of financial year </w:t>
      </w:r>
      <w:r w:rsidR="00E264B8" w:rsidRPr="00D24911">
        <w:t>circular</w:t>
      </w:r>
      <w:r w:rsidR="00B86771" w:rsidRPr="00D24911">
        <w:t>s</w:t>
      </w:r>
      <w:r w:rsidR="00E264B8" w:rsidRPr="00D24911">
        <w:t>.</w:t>
      </w:r>
      <w:r w:rsidRPr="00D24911">
        <w:t xml:space="preserve"> </w:t>
      </w:r>
    </w:p>
    <w:p w14:paraId="021C15B5" w14:textId="78B2C2B8" w:rsidR="005076BF" w:rsidRPr="00EC75E7" w:rsidRDefault="005C312E">
      <w:pPr>
        <w:pStyle w:val="ListNumber"/>
        <w:numPr>
          <w:ilvl w:val="1"/>
          <w:numId w:val="12"/>
        </w:numPr>
        <w:ind w:left="851"/>
      </w:pPr>
      <w:bookmarkStart w:id="57" w:name="_Ref162271579"/>
      <w:r w:rsidRPr="00EC75E7">
        <w:t>maintain</w:t>
      </w:r>
      <w:r w:rsidR="00816EFE" w:rsidRPr="00EC75E7">
        <w:t xml:space="preserve"> a register of </w:t>
      </w:r>
      <w:r w:rsidR="00794FB3" w:rsidRPr="00EC75E7">
        <w:t xml:space="preserve">non-financial </w:t>
      </w:r>
      <w:r w:rsidR="00816EFE" w:rsidRPr="00EC75E7">
        <w:t xml:space="preserve">assets </w:t>
      </w:r>
      <w:r w:rsidR="00235EA7" w:rsidRPr="00EC75E7">
        <w:t>in accordance with Appendix B</w:t>
      </w:r>
      <w:bookmarkEnd w:id="57"/>
    </w:p>
    <w:p w14:paraId="4CA6EB84" w14:textId="4ADA3437" w:rsidR="00816EFE" w:rsidRPr="004B3B0D" w:rsidRDefault="008F2E2A" w:rsidP="0006101C">
      <w:pPr>
        <w:pStyle w:val="ListNumber"/>
        <w:numPr>
          <w:ilvl w:val="1"/>
          <w:numId w:val="12"/>
        </w:numPr>
        <w:ind w:left="851"/>
      </w:pPr>
      <w:r w:rsidRPr="004B3B0D">
        <w:t>reconcile</w:t>
      </w:r>
      <w:r w:rsidR="00816EFE" w:rsidRPr="004B3B0D">
        <w:t xml:space="preserve"> land assets to the Integrated Land Information System</w:t>
      </w:r>
      <w:r w:rsidR="003D765F" w:rsidRPr="004B3B0D">
        <w:t xml:space="preserve"> at a minimum annually</w:t>
      </w:r>
    </w:p>
    <w:p w14:paraId="466DE3E3" w14:textId="51907190" w:rsidR="005076BF" w:rsidRPr="004B3B0D" w:rsidRDefault="005076BF" w:rsidP="0006101C">
      <w:pPr>
        <w:pStyle w:val="ListNumber"/>
        <w:numPr>
          <w:ilvl w:val="1"/>
          <w:numId w:val="12"/>
        </w:numPr>
        <w:ind w:left="851"/>
      </w:pPr>
      <w:r w:rsidRPr="004B3B0D">
        <w:t>document approval</w:t>
      </w:r>
      <w:r w:rsidR="0041345F" w:rsidRPr="004B3B0D">
        <w:t>s</w:t>
      </w:r>
      <w:r w:rsidRPr="004B3B0D">
        <w:t xml:space="preserve"> to acquire and dispose of </w:t>
      </w:r>
      <w:r w:rsidR="00491988" w:rsidRPr="004B3B0D">
        <w:t xml:space="preserve">non-financial </w:t>
      </w:r>
      <w:r w:rsidRPr="004B3B0D">
        <w:t>assets, including the basis on which the approval</w:t>
      </w:r>
      <w:r w:rsidR="0041345F" w:rsidRPr="004B3B0D">
        <w:t>s</w:t>
      </w:r>
      <w:r w:rsidRPr="004B3B0D">
        <w:t xml:space="preserve"> were made and conditions</w:t>
      </w:r>
      <w:r w:rsidR="00F51DCF" w:rsidRPr="004B3B0D">
        <w:t xml:space="preserve"> </w:t>
      </w:r>
      <w:r w:rsidRPr="004B3B0D">
        <w:t>met</w:t>
      </w:r>
    </w:p>
    <w:p w14:paraId="2D987007" w14:textId="0F373EEC" w:rsidR="008737E4" w:rsidRPr="004B3B0D" w:rsidRDefault="008737E4" w:rsidP="0006101C">
      <w:pPr>
        <w:pStyle w:val="ListNumber"/>
        <w:numPr>
          <w:ilvl w:val="1"/>
          <w:numId w:val="12"/>
        </w:numPr>
        <w:ind w:left="851"/>
      </w:pPr>
      <w:bookmarkStart w:id="58" w:name="_Ref131606561"/>
      <w:r w:rsidRPr="004B3B0D">
        <w:t xml:space="preserve">develop and maintain </w:t>
      </w:r>
      <w:r w:rsidR="00F51DCF" w:rsidRPr="004B3B0D">
        <w:t>a</w:t>
      </w:r>
      <w:r w:rsidRPr="004B3B0D">
        <w:t xml:space="preserve"> policy on</w:t>
      </w:r>
      <w:r w:rsidR="00491988" w:rsidRPr="004B3B0D">
        <w:t xml:space="preserve"> non-financial</w:t>
      </w:r>
      <w:r w:rsidRPr="004B3B0D">
        <w:t xml:space="preserve"> asset </w:t>
      </w:r>
      <w:r w:rsidR="00ED100E" w:rsidRPr="004B3B0D">
        <w:t>measurement</w:t>
      </w:r>
      <w:r w:rsidRPr="004B3B0D">
        <w:t xml:space="preserve"> and valuation which outline</w:t>
      </w:r>
      <w:r w:rsidR="00F51DCF" w:rsidRPr="004B3B0D">
        <w:t>s</w:t>
      </w:r>
      <w:r w:rsidRPr="004B3B0D">
        <w:t xml:space="preserve"> at a minimum:</w:t>
      </w:r>
    </w:p>
    <w:p w14:paraId="4C0E8825" w14:textId="103E64C1" w:rsidR="008737E4" w:rsidRPr="004B3B0D" w:rsidRDefault="008737E4" w:rsidP="00F53325">
      <w:pPr>
        <w:pStyle w:val="ListNumber"/>
        <w:numPr>
          <w:ilvl w:val="2"/>
          <w:numId w:val="12"/>
        </w:numPr>
        <w:ind w:left="1276"/>
      </w:pPr>
      <w:r w:rsidRPr="004B3B0D">
        <w:t xml:space="preserve">an overview of </w:t>
      </w:r>
      <w:r w:rsidR="00491988" w:rsidRPr="004B3B0D">
        <w:t xml:space="preserve">non-financial </w:t>
      </w:r>
      <w:r w:rsidRPr="004B3B0D">
        <w:t>asset holdings of the agency</w:t>
      </w:r>
    </w:p>
    <w:p w14:paraId="6489D7D8" w14:textId="418D68B5" w:rsidR="008737E4" w:rsidRPr="004B3B0D" w:rsidRDefault="008737E4" w:rsidP="0006101C">
      <w:pPr>
        <w:pStyle w:val="ListNumber"/>
        <w:numPr>
          <w:ilvl w:val="2"/>
          <w:numId w:val="12"/>
        </w:numPr>
        <w:ind w:left="1276"/>
      </w:pPr>
      <w:r w:rsidRPr="004B3B0D">
        <w:t xml:space="preserve">a description of </w:t>
      </w:r>
      <w:r w:rsidR="00491988" w:rsidRPr="004B3B0D">
        <w:t xml:space="preserve">non-financial </w:t>
      </w:r>
      <w:r w:rsidRPr="004B3B0D">
        <w:t>asset classes or subclasses of</w:t>
      </w:r>
      <w:r w:rsidR="00491988" w:rsidRPr="004B3B0D">
        <w:t xml:space="preserve"> non-financial</w:t>
      </w:r>
      <w:r w:rsidRPr="004B3B0D">
        <w:t xml:space="preserve"> assets </w:t>
      </w:r>
    </w:p>
    <w:p w14:paraId="172A6299" w14:textId="68BB104D" w:rsidR="008737E4" w:rsidRPr="004B3B0D" w:rsidRDefault="008737E4" w:rsidP="0006101C">
      <w:pPr>
        <w:pStyle w:val="ListNumber"/>
        <w:numPr>
          <w:ilvl w:val="2"/>
          <w:numId w:val="12"/>
        </w:numPr>
        <w:ind w:left="1276"/>
      </w:pPr>
      <w:r w:rsidRPr="004B3B0D">
        <w:t xml:space="preserve">information on the following for each </w:t>
      </w:r>
      <w:r w:rsidR="00491988" w:rsidRPr="004B3B0D">
        <w:t xml:space="preserve">non-financial </w:t>
      </w:r>
      <w:r w:rsidRPr="004B3B0D">
        <w:t>asset class or subclass of</w:t>
      </w:r>
      <w:r w:rsidR="00491988" w:rsidRPr="004B3B0D">
        <w:t xml:space="preserve"> non-financial</w:t>
      </w:r>
      <w:r w:rsidRPr="004B3B0D">
        <w:t xml:space="preserve"> assets:</w:t>
      </w:r>
    </w:p>
    <w:p w14:paraId="501534FD" w14:textId="1B6D61D6" w:rsidR="008737E4" w:rsidRPr="004B3B0D" w:rsidRDefault="008737E4" w:rsidP="00F53325">
      <w:pPr>
        <w:pStyle w:val="ListParagraph"/>
        <w:numPr>
          <w:ilvl w:val="2"/>
          <w:numId w:val="67"/>
        </w:numPr>
        <w:spacing w:after="200" w:line="276" w:lineRule="auto"/>
        <w:ind w:left="1560"/>
        <w:contextualSpacing/>
      </w:pPr>
      <w:r w:rsidRPr="004B3B0D">
        <w:t xml:space="preserve">useful </w:t>
      </w:r>
      <w:r w:rsidR="00F51DCF" w:rsidRPr="004B3B0D">
        <w:t>life</w:t>
      </w:r>
      <w:r w:rsidRPr="004B3B0D">
        <w:t xml:space="preserve"> and how it was determined</w:t>
      </w:r>
    </w:p>
    <w:p w14:paraId="589EAA98" w14:textId="0A62A8B4" w:rsidR="008737E4" w:rsidRPr="004B3B0D" w:rsidRDefault="008737E4" w:rsidP="0006101C">
      <w:pPr>
        <w:pStyle w:val="ListParagraph"/>
        <w:numPr>
          <w:ilvl w:val="2"/>
          <w:numId w:val="67"/>
        </w:numPr>
        <w:spacing w:after="200" w:line="276" w:lineRule="auto"/>
        <w:ind w:left="1560"/>
        <w:contextualSpacing/>
      </w:pPr>
      <w:r w:rsidRPr="004B3B0D">
        <w:t>measurement basis (cost or revaluation model)</w:t>
      </w:r>
    </w:p>
    <w:p w14:paraId="5A037D82" w14:textId="77777777" w:rsidR="008737E4" w:rsidRPr="004B3B0D" w:rsidRDefault="008737E4" w:rsidP="0006101C">
      <w:pPr>
        <w:pStyle w:val="ListParagraph"/>
        <w:numPr>
          <w:ilvl w:val="2"/>
          <w:numId w:val="67"/>
        </w:numPr>
        <w:spacing w:after="200" w:line="276" w:lineRule="auto"/>
        <w:ind w:left="1560"/>
        <w:contextualSpacing/>
      </w:pPr>
      <w:r w:rsidRPr="004B3B0D">
        <w:t xml:space="preserve">valuation methodology applied (current replacement cost, market, income) </w:t>
      </w:r>
    </w:p>
    <w:p w14:paraId="52F2BA78" w14:textId="77777777" w:rsidR="008737E4" w:rsidRPr="004B3B0D" w:rsidRDefault="008737E4" w:rsidP="0006101C">
      <w:pPr>
        <w:pStyle w:val="ListParagraph"/>
        <w:numPr>
          <w:ilvl w:val="2"/>
          <w:numId w:val="67"/>
        </w:numPr>
        <w:spacing w:after="200" w:line="276" w:lineRule="auto"/>
        <w:ind w:left="1560"/>
        <w:contextualSpacing/>
      </w:pPr>
      <w:r w:rsidRPr="004B3B0D">
        <w:t>valuation cycles or timing and frequency of valuations</w:t>
      </w:r>
    </w:p>
    <w:p w14:paraId="44E86A0E" w14:textId="77777777" w:rsidR="008737E4" w:rsidRPr="004B3B0D" w:rsidRDefault="008737E4" w:rsidP="0006101C">
      <w:pPr>
        <w:pStyle w:val="ListParagraph"/>
        <w:numPr>
          <w:ilvl w:val="2"/>
          <w:numId w:val="67"/>
        </w:numPr>
        <w:spacing w:after="200" w:line="276" w:lineRule="auto"/>
        <w:ind w:left="1560"/>
        <w:contextualSpacing/>
      </w:pPr>
      <w:r w:rsidRPr="004B3B0D">
        <w:t xml:space="preserve">stocktake plan for </w:t>
      </w:r>
      <w:r w:rsidRPr="004B3B0D">
        <w:rPr>
          <w:rFonts w:eastAsia="Calibri"/>
          <w:iCs w:val="0"/>
        </w:rPr>
        <w:t xml:space="preserve">non-financial </w:t>
      </w:r>
      <w:r w:rsidRPr="004B3B0D">
        <w:t>assets measured under the cost model</w:t>
      </w:r>
    </w:p>
    <w:p w14:paraId="025BB08B" w14:textId="58922C65" w:rsidR="00816EFE" w:rsidRPr="004B3B0D" w:rsidRDefault="008737E4" w:rsidP="0006101C">
      <w:pPr>
        <w:pStyle w:val="ListParagraph"/>
        <w:numPr>
          <w:ilvl w:val="2"/>
          <w:numId w:val="12"/>
        </w:numPr>
        <w:spacing w:after="200" w:line="276" w:lineRule="auto"/>
        <w:ind w:left="1276"/>
        <w:contextualSpacing/>
      </w:pPr>
      <w:proofErr w:type="gramStart"/>
      <w:r w:rsidRPr="004B3B0D">
        <w:t>the</w:t>
      </w:r>
      <w:proofErr w:type="gramEnd"/>
      <w:r w:rsidRPr="004B3B0D">
        <w:t xml:space="preserve"> </w:t>
      </w:r>
      <w:r w:rsidRPr="004B3B0D">
        <w:rPr>
          <w:iCs w:val="0"/>
        </w:rPr>
        <w:t xml:space="preserve">review process for assessing </w:t>
      </w:r>
      <w:r w:rsidRPr="004B3B0D">
        <w:t xml:space="preserve">non-financial </w:t>
      </w:r>
      <w:r w:rsidRPr="004B3B0D">
        <w:rPr>
          <w:iCs w:val="0"/>
        </w:rPr>
        <w:t>asset</w:t>
      </w:r>
      <w:r w:rsidRPr="004B3B0D">
        <w:t>s</w:t>
      </w:r>
      <w:r w:rsidRPr="004B3B0D">
        <w:rPr>
          <w:iCs w:val="0"/>
        </w:rPr>
        <w:t xml:space="preserve"> for impairment</w:t>
      </w:r>
      <w:r w:rsidRPr="004B3B0D">
        <w:t>.</w:t>
      </w:r>
      <w:r w:rsidRPr="004B3B0D">
        <w:rPr>
          <w:iCs w:val="0"/>
        </w:rPr>
        <w:t xml:space="preserve"> </w:t>
      </w:r>
      <w:bookmarkEnd w:id="58"/>
    </w:p>
    <w:p w14:paraId="00FCB42E" w14:textId="30120AA8" w:rsidR="009561EB" w:rsidRPr="00EC75E7" w:rsidRDefault="009561EB" w:rsidP="00FA05C8">
      <w:pPr>
        <w:pStyle w:val="ListNumber"/>
        <w:ind w:left="357" w:hanging="357"/>
      </w:pPr>
      <w:r w:rsidRPr="00EC75E7">
        <w:t>A register of non-financial assets</w:t>
      </w:r>
      <w:r w:rsidR="00622D5D" w:rsidRPr="00EC75E7">
        <w:t xml:space="preserve"> and policy on non-financial asset measurement and valuation</w:t>
      </w:r>
      <w:r w:rsidRPr="00EC75E7">
        <w:t xml:space="preserve"> </w:t>
      </w:r>
      <w:r w:rsidR="00622D5D" w:rsidRPr="00EC75E7">
        <w:t xml:space="preserve">are </w:t>
      </w:r>
      <w:r w:rsidRPr="00EC75E7">
        <w:t xml:space="preserve">not required where an agency </w:t>
      </w:r>
      <w:r w:rsidR="00B27F0D" w:rsidRPr="00EC75E7">
        <w:t>does not have any active</w:t>
      </w:r>
      <w:r w:rsidRPr="00EC75E7">
        <w:t xml:space="preserve"> non-financial asset</w:t>
      </w:r>
      <w:r w:rsidR="00B27F0D" w:rsidRPr="00EC75E7">
        <w:t>s</w:t>
      </w:r>
      <w:r w:rsidRPr="00EC75E7">
        <w:t>.</w:t>
      </w:r>
    </w:p>
    <w:p w14:paraId="068D0A69" w14:textId="0CCCEBC6" w:rsidR="000B6ACC" w:rsidRPr="004B3B0D" w:rsidRDefault="00491988" w:rsidP="00061C10">
      <w:pPr>
        <w:pStyle w:val="ListNumber"/>
        <w:ind w:left="357" w:hanging="357"/>
      </w:pPr>
      <w:r w:rsidRPr="004B3B0D">
        <w:t>A</w:t>
      </w:r>
      <w:r w:rsidR="00AF123C" w:rsidRPr="004B3B0D">
        <w:t>gencies must seek endorsement</w:t>
      </w:r>
      <w:r w:rsidR="00061C10" w:rsidRPr="004B3B0D">
        <w:t xml:space="preserve"> for </w:t>
      </w:r>
      <w:r w:rsidR="00F51DCF" w:rsidRPr="004B3B0D">
        <w:t>its</w:t>
      </w:r>
      <w:r w:rsidR="000921A4" w:rsidRPr="004B3B0D">
        <w:t xml:space="preserve"> </w:t>
      </w:r>
      <w:r w:rsidR="00061C10" w:rsidRPr="004B3B0D">
        <w:t xml:space="preserve">accounting policy on </w:t>
      </w:r>
      <w:r w:rsidRPr="004B3B0D">
        <w:t xml:space="preserve">non-financial </w:t>
      </w:r>
      <w:r w:rsidR="00061C10" w:rsidRPr="004B3B0D">
        <w:t xml:space="preserve">asset </w:t>
      </w:r>
      <w:r w:rsidR="00ED100E" w:rsidRPr="004B3B0D">
        <w:t>measurement</w:t>
      </w:r>
      <w:r w:rsidR="000921A4" w:rsidRPr="004B3B0D">
        <w:t xml:space="preserve"> and valuation</w:t>
      </w:r>
      <w:r w:rsidRPr="004B3B0D">
        <w:t xml:space="preserve"> developed pursuant to paragraph </w:t>
      </w:r>
      <w:r w:rsidRPr="00740E56">
        <w:fldChar w:fldCharType="begin"/>
      </w:r>
      <w:r w:rsidRPr="004B3B0D">
        <w:instrText xml:space="preserve"> REF _Ref131606561 \r \h  \* MERGEFORMAT </w:instrText>
      </w:r>
      <w:r w:rsidRPr="00740E56">
        <w:fldChar w:fldCharType="separate"/>
      </w:r>
      <w:r w:rsidR="009D2C5B">
        <w:t>71.e</w:t>
      </w:r>
      <w:r w:rsidRPr="00740E56">
        <w:fldChar w:fldCharType="end"/>
      </w:r>
      <w:r w:rsidRPr="004B3B0D">
        <w:t xml:space="preserve">, </w:t>
      </w:r>
      <w:r w:rsidR="000921A4" w:rsidRPr="004B3B0D">
        <w:t xml:space="preserve">from the Department of Treasury and Finance </w:t>
      </w:r>
      <w:r w:rsidR="003D499E" w:rsidRPr="004B3B0D">
        <w:t>when initially developed and each time the policy is revised</w:t>
      </w:r>
      <w:r w:rsidR="00061C10" w:rsidRPr="004B3B0D">
        <w:t>.</w:t>
      </w:r>
    </w:p>
    <w:p w14:paraId="300E0C5A" w14:textId="70FB368F" w:rsidR="00AF123C" w:rsidRDefault="00491988">
      <w:pPr>
        <w:pStyle w:val="ListNumber"/>
        <w:ind w:left="357" w:hanging="357"/>
      </w:pPr>
      <w:bookmarkStart w:id="59" w:name="_Ref160538173"/>
      <w:r w:rsidRPr="004B3B0D">
        <w:t>A</w:t>
      </w:r>
      <w:r w:rsidR="00AF123C" w:rsidRPr="004B3B0D">
        <w:t>n agency must review its internal</w:t>
      </w:r>
      <w:r w:rsidR="000921A4" w:rsidRPr="004B3B0D">
        <w:t xml:space="preserve"> accounting </w:t>
      </w:r>
      <w:r w:rsidR="00AF123C" w:rsidRPr="004B3B0D">
        <w:t xml:space="preserve">policy on </w:t>
      </w:r>
      <w:r w:rsidRPr="004B3B0D">
        <w:t xml:space="preserve">non-financial </w:t>
      </w:r>
      <w:r w:rsidR="00AF123C" w:rsidRPr="004B3B0D">
        <w:t xml:space="preserve">asset </w:t>
      </w:r>
      <w:r w:rsidR="00ED100E" w:rsidRPr="004B3B0D">
        <w:t>measurement</w:t>
      </w:r>
      <w:r w:rsidR="00AF123C" w:rsidRPr="004B3B0D">
        <w:t xml:space="preserve"> and </w:t>
      </w:r>
      <w:r w:rsidR="00C66C5A" w:rsidRPr="004B3B0D">
        <w:t>valuation</w:t>
      </w:r>
      <w:r w:rsidRPr="004B3B0D">
        <w:t xml:space="preserve"> developed </w:t>
      </w:r>
      <w:r w:rsidRPr="00D24911">
        <w:t xml:space="preserve">pursuant to paragraph </w:t>
      </w:r>
      <w:r w:rsidRPr="00D24911">
        <w:fldChar w:fldCharType="begin"/>
      </w:r>
      <w:r w:rsidRPr="00D24911">
        <w:instrText xml:space="preserve"> REF _Ref131606561 \r \h  \* MERGEFORMAT </w:instrText>
      </w:r>
      <w:r w:rsidRPr="00D24911">
        <w:fldChar w:fldCharType="separate"/>
      </w:r>
      <w:r w:rsidR="009D2C5B">
        <w:t>71.e</w:t>
      </w:r>
      <w:r w:rsidRPr="00D24911">
        <w:fldChar w:fldCharType="end"/>
      </w:r>
      <w:r w:rsidRPr="00D24911">
        <w:t>,</w:t>
      </w:r>
      <w:r w:rsidR="00C66C5A" w:rsidRPr="00D24911">
        <w:t xml:space="preserve"> at a minimum</w:t>
      </w:r>
      <w:r w:rsidR="00BE3108" w:rsidRPr="00D24911">
        <w:t>,</w:t>
      </w:r>
      <w:r w:rsidR="00C66C5A" w:rsidRPr="00D24911">
        <w:t xml:space="preserve"> every 5 years or when a machinery of government change</w:t>
      </w:r>
      <w:r w:rsidR="00055404" w:rsidRPr="00D24911">
        <w:t xml:space="preserve"> affecting the agency</w:t>
      </w:r>
      <w:r w:rsidR="00B10272" w:rsidRPr="00D24911">
        <w:t>’s non-financial assets</w:t>
      </w:r>
      <w:r w:rsidR="00C66C5A" w:rsidRPr="00D24911">
        <w:t xml:space="preserve"> occurs.</w:t>
      </w:r>
      <w:bookmarkEnd w:id="59"/>
    </w:p>
    <w:p w14:paraId="501F4F93" w14:textId="3B97833B" w:rsidR="00EC4C95" w:rsidRPr="00D24911" w:rsidRDefault="00EC4C95">
      <w:pPr>
        <w:pStyle w:val="ListNumber"/>
        <w:ind w:left="357" w:hanging="357"/>
      </w:pPr>
      <w:r w:rsidRPr="00D24911">
        <w:t xml:space="preserve">Pursuant to paragraph </w:t>
      </w:r>
      <w:r w:rsidRPr="00D24911">
        <w:fldChar w:fldCharType="begin"/>
      </w:r>
      <w:r w:rsidRPr="00D24911">
        <w:instrText xml:space="preserve"> REF _Ref160538173 \r \h  \* MERGEFORMAT </w:instrText>
      </w:r>
      <w:r w:rsidRPr="00D24911">
        <w:fldChar w:fldCharType="separate"/>
      </w:r>
      <w:r w:rsidR="009D2C5B">
        <w:t>74</w:t>
      </w:r>
      <w:r w:rsidRPr="00D24911">
        <w:fldChar w:fldCharType="end"/>
      </w:r>
      <w:r w:rsidRPr="00D24911">
        <w:t>, all updates to an agency’s internal policy must be finalised by 30 June of the financial reporting period.</w:t>
      </w:r>
    </w:p>
    <w:p w14:paraId="369C11B8" w14:textId="74D605D0" w:rsidR="00F217E9" w:rsidRPr="004B3B0D" w:rsidRDefault="00F217E9" w:rsidP="0006101C">
      <w:pPr>
        <w:pStyle w:val="Heading1"/>
      </w:pPr>
      <w:r w:rsidRPr="004B3B0D">
        <w:t>Reporting</w:t>
      </w:r>
      <w:r w:rsidR="002D5441" w:rsidRPr="004B3B0D">
        <w:t xml:space="preserve"> and disclosures</w:t>
      </w:r>
    </w:p>
    <w:p w14:paraId="24003BD5" w14:textId="3B2A1728" w:rsidR="00F217E9" w:rsidRPr="004B3B0D" w:rsidRDefault="00FB4461">
      <w:pPr>
        <w:pStyle w:val="ListNumber"/>
        <w:ind w:left="357" w:hanging="357"/>
      </w:pPr>
      <w:r w:rsidRPr="004B3B0D">
        <w:t>Upon request, an accountable officer must provide Department of Treasury and F</w:t>
      </w:r>
      <w:r w:rsidR="002D5441" w:rsidRPr="004B3B0D">
        <w:t>inance a copy of the register of</w:t>
      </w:r>
      <w:r w:rsidR="00794FB3" w:rsidRPr="004B3B0D">
        <w:t xml:space="preserve"> non-financial </w:t>
      </w:r>
      <w:r w:rsidR="00C53328" w:rsidRPr="004B3B0D">
        <w:t>assets, accounting</w:t>
      </w:r>
      <w:r w:rsidR="002D5441" w:rsidRPr="004B3B0D">
        <w:t xml:space="preserve"> policy on</w:t>
      </w:r>
      <w:r w:rsidR="00C53328" w:rsidRPr="004B3B0D">
        <w:t xml:space="preserve"> </w:t>
      </w:r>
      <w:r w:rsidR="00A14E30" w:rsidRPr="004B3B0D">
        <w:t xml:space="preserve">non-financial </w:t>
      </w:r>
      <w:r w:rsidR="00C53328" w:rsidRPr="004B3B0D">
        <w:t xml:space="preserve">asset </w:t>
      </w:r>
      <w:r w:rsidR="00A14E30" w:rsidRPr="004B3B0D">
        <w:t>measurement</w:t>
      </w:r>
      <w:r w:rsidR="00C53328" w:rsidRPr="004B3B0D">
        <w:t xml:space="preserve"> and valuation, </w:t>
      </w:r>
      <w:r w:rsidR="002D5441" w:rsidRPr="004B3B0D">
        <w:t>and any other relevant information as necessary</w:t>
      </w:r>
      <w:r w:rsidR="008E386D" w:rsidRPr="004B3B0D">
        <w:t>.</w:t>
      </w:r>
    </w:p>
    <w:p w14:paraId="70664811" w14:textId="01F1206D" w:rsidR="002D5441" w:rsidRPr="004B3B0D" w:rsidRDefault="002D5441">
      <w:pPr>
        <w:pStyle w:val="ListNumber"/>
        <w:ind w:left="357" w:hanging="357"/>
      </w:pPr>
      <w:r w:rsidRPr="004B3B0D">
        <w:t xml:space="preserve">An accountable officer must disclose non-financial assets in accordance with the Treasurer’s Direction on agency (or </w:t>
      </w:r>
      <w:r w:rsidR="00FB6EB9">
        <w:t>GBD</w:t>
      </w:r>
      <w:r w:rsidRPr="004B3B0D">
        <w:t>) financial statements.</w:t>
      </w:r>
    </w:p>
    <w:p w14:paraId="0C3CC149" w14:textId="1C288F17" w:rsidR="00D133F4" w:rsidRPr="004B3B0D" w:rsidRDefault="00D133F4" w:rsidP="00343C61">
      <w:pPr>
        <w:pStyle w:val="Heading1"/>
      </w:pPr>
      <w:r w:rsidRPr="004B3B0D">
        <w:t>Change history</w:t>
      </w:r>
    </w:p>
    <w:tbl>
      <w:tblPr>
        <w:tblStyle w:val="NTGtable"/>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1418"/>
        <w:gridCol w:w="2805"/>
        <w:gridCol w:w="2976"/>
        <w:gridCol w:w="3202"/>
      </w:tblGrid>
      <w:tr w:rsidR="00667C4A" w:rsidRPr="004B3B0D" w14:paraId="234D6C84" w14:textId="77777777" w:rsidTr="00343C61">
        <w:trPr>
          <w:cnfStyle w:val="100000000000" w:firstRow="1" w:lastRow="0" w:firstColumn="0" w:lastColumn="0" w:oddVBand="0" w:evenVBand="0" w:oddHBand="0" w:evenHBand="0" w:firstRowFirstColumn="0" w:firstRowLastColumn="0" w:lastRowFirstColumn="0" w:lastRowLastColumn="0"/>
          <w:tblHeader/>
        </w:trPr>
        <w:tc>
          <w:tcPr>
            <w:tcW w:w="1418" w:type="dxa"/>
          </w:tcPr>
          <w:p w14:paraId="12DE696D" w14:textId="77777777" w:rsidR="00667C4A" w:rsidRPr="004B3B0D" w:rsidRDefault="00667C4A" w:rsidP="00667C4A">
            <w:r w:rsidRPr="004B3B0D">
              <w:t>Version</w:t>
            </w:r>
          </w:p>
        </w:tc>
        <w:tc>
          <w:tcPr>
            <w:tcW w:w="2805" w:type="dxa"/>
          </w:tcPr>
          <w:p w14:paraId="797F3AE2" w14:textId="77777777" w:rsidR="00667C4A" w:rsidRPr="004B3B0D" w:rsidRDefault="00667C4A" w:rsidP="00667C4A">
            <w:r w:rsidRPr="004B3B0D">
              <w:t>Date</w:t>
            </w:r>
          </w:p>
        </w:tc>
        <w:tc>
          <w:tcPr>
            <w:tcW w:w="2976" w:type="dxa"/>
          </w:tcPr>
          <w:p w14:paraId="2102EA76" w14:textId="77777777" w:rsidR="00667C4A" w:rsidRPr="004B3B0D" w:rsidRDefault="00667C4A" w:rsidP="00667C4A">
            <w:r w:rsidRPr="004B3B0D">
              <w:t>Author</w:t>
            </w:r>
          </w:p>
        </w:tc>
        <w:tc>
          <w:tcPr>
            <w:tcW w:w="3202" w:type="dxa"/>
          </w:tcPr>
          <w:p w14:paraId="07E97C2D" w14:textId="77777777" w:rsidR="00667C4A" w:rsidRPr="004B3B0D" w:rsidRDefault="00667C4A" w:rsidP="00667C4A">
            <w:r w:rsidRPr="004B3B0D">
              <w:t>Change details</w:t>
            </w:r>
          </w:p>
        </w:tc>
      </w:tr>
      <w:tr w:rsidR="00667C4A" w:rsidRPr="004B3B0D" w14:paraId="1530D9BE" w14:textId="77777777" w:rsidTr="00667C4A">
        <w:tc>
          <w:tcPr>
            <w:tcW w:w="1418" w:type="dxa"/>
          </w:tcPr>
          <w:p w14:paraId="6C48D732" w14:textId="77777777" w:rsidR="00667C4A" w:rsidRPr="004B3B0D" w:rsidRDefault="00667C4A" w:rsidP="00667C4A">
            <w:pPr>
              <w:spacing w:before="60" w:after="60"/>
            </w:pPr>
            <w:r w:rsidRPr="004B3B0D">
              <w:t>1.0</w:t>
            </w:r>
          </w:p>
        </w:tc>
        <w:tc>
          <w:tcPr>
            <w:tcW w:w="2805" w:type="dxa"/>
          </w:tcPr>
          <w:p w14:paraId="417491CD" w14:textId="5E66BBC2" w:rsidR="00667C4A" w:rsidRPr="004B3B0D" w:rsidRDefault="00A5280C" w:rsidP="00667C4A">
            <w:pPr>
              <w:spacing w:before="60" w:after="60"/>
            </w:pPr>
            <w:r>
              <w:t>July</w:t>
            </w:r>
            <w:r w:rsidR="00D35411">
              <w:t xml:space="preserve"> 2024</w:t>
            </w:r>
          </w:p>
        </w:tc>
        <w:tc>
          <w:tcPr>
            <w:tcW w:w="2976" w:type="dxa"/>
          </w:tcPr>
          <w:p w14:paraId="300A2A09" w14:textId="048F8377" w:rsidR="00667C4A" w:rsidRPr="004B3B0D" w:rsidRDefault="00667C4A" w:rsidP="00667C4A">
            <w:pPr>
              <w:spacing w:before="60" w:after="60"/>
            </w:pPr>
            <w:r w:rsidRPr="004B3B0D">
              <w:t>DTF Financial Policy</w:t>
            </w:r>
          </w:p>
        </w:tc>
        <w:tc>
          <w:tcPr>
            <w:tcW w:w="3202" w:type="dxa"/>
          </w:tcPr>
          <w:p w14:paraId="10FB5677" w14:textId="77777777" w:rsidR="00667C4A" w:rsidRPr="004B3B0D" w:rsidRDefault="00667C4A" w:rsidP="00667C4A">
            <w:pPr>
              <w:spacing w:before="60" w:after="60"/>
            </w:pPr>
            <w:r w:rsidRPr="004B3B0D">
              <w:t>Initial version</w:t>
            </w:r>
          </w:p>
        </w:tc>
      </w:tr>
    </w:tbl>
    <w:p w14:paraId="3A90E418" w14:textId="44360447" w:rsidR="00714D41" w:rsidRPr="004B3B0D" w:rsidRDefault="00714D41" w:rsidP="004B3B0D">
      <w:pPr>
        <w:pStyle w:val="Heading1"/>
        <w:keepNext w:val="0"/>
        <w:pageBreakBefore/>
        <w:jc w:val="right"/>
        <w:rPr>
          <w:sz w:val="32"/>
        </w:rPr>
      </w:pPr>
      <w:r w:rsidRPr="004B3B0D">
        <w:rPr>
          <w:sz w:val="32"/>
        </w:rPr>
        <w:t>APPENDIX A</w:t>
      </w:r>
    </w:p>
    <w:p w14:paraId="763A4B5D" w14:textId="17BCA19E" w:rsidR="00714D41" w:rsidRPr="004B3B0D" w:rsidRDefault="00714D41" w:rsidP="00714D41">
      <w:pPr>
        <w:pStyle w:val="Heading1"/>
      </w:pPr>
      <w:r w:rsidRPr="004B3B0D">
        <w:t>Content required for non-financial asset valuation</w:t>
      </w:r>
    </w:p>
    <w:p w14:paraId="4215BA36" w14:textId="77777777" w:rsidR="00714D41" w:rsidRPr="004B3B0D" w:rsidRDefault="00714D41" w:rsidP="00714D41">
      <w:pPr>
        <w:spacing w:before="240" w:after="120" w:line="300" w:lineRule="exact"/>
        <w:ind w:right="170"/>
        <w:jc w:val="both"/>
        <w:rPr>
          <w:rFonts w:eastAsia="Times New Roman" w:cs="Arial"/>
          <w:b/>
          <w:color w:val="808080" w:themeColor="background1" w:themeShade="80"/>
          <w:sz w:val="28"/>
          <w:szCs w:val="28"/>
          <w:lang w:eastAsia="en-AU"/>
        </w:rPr>
      </w:pPr>
      <w:r w:rsidRPr="004B3B0D">
        <w:rPr>
          <w:rFonts w:eastAsia="Times New Roman" w:cs="Arial"/>
          <w:b/>
          <w:color w:val="808080" w:themeColor="background1" w:themeShade="80"/>
          <w:sz w:val="28"/>
          <w:szCs w:val="28"/>
          <w:lang w:eastAsia="en-AU"/>
        </w:rPr>
        <w:t>Agency</w:t>
      </w:r>
    </w:p>
    <w:p w14:paraId="5695827B" w14:textId="66C8287E" w:rsidR="00714D41" w:rsidRPr="004B3B0D" w:rsidRDefault="00714D41" w:rsidP="00714D41">
      <w:pPr>
        <w:spacing w:before="240" w:after="120"/>
        <w:ind w:right="170"/>
      </w:pPr>
      <w:r w:rsidRPr="004B3B0D">
        <w:t xml:space="preserve">Table A below </w:t>
      </w:r>
      <w:r w:rsidR="000A13D2">
        <w:t>outlines</w:t>
      </w:r>
      <w:r w:rsidR="000A13D2" w:rsidRPr="004B3B0D">
        <w:t xml:space="preserve"> </w:t>
      </w:r>
      <w:r w:rsidRPr="004B3B0D">
        <w:t>the minimum information</w:t>
      </w:r>
      <w:r w:rsidR="00EB143D" w:rsidRPr="004B3B0D">
        <w:t xml:space="preserve"> that must be provided by</w:t>
      </w:r>
      <w:r w:rsidRPr="004B3B0D">
        <w:t xml:space="preserve"> an agency to </w:t>
      </w:r>
      <w:r w:rsidR="000A13D2">
        <w:t>an</w:t>
      </w:r>
      <w:r w:rsidR="000A13D2" w:rsidRPr="004B3B0D">
        <w:t xml:space="preserve"> </w:t>
      </w:r>
      <w:r w:rsidRPr="004B3B0D">
        <w:t xml:space="preserve">external valuer when seeking a valuation service for financial reporting purposes. </w:t>
      </w:r>
    </w:p>
    <w:p w14:paraId="40BB92DB" w14:textId="77777777" w:rsidR="00714D41" w:rsidRPr="004B3B0D" w:rsidRDefault="00714D41" w:rsidP="00714D41">
      <w:pPr>
        <w:spacing w:before="240" w:after="120"/>
        <w:ind w:right="170"/>
        <w:rPr>
          <w:rFonts w:eastAsia="Times New Roman" w:cs="Arial"/>
          <w:b/>
          <w:color w:val="808080" w:themeColor="background1" w:themeShade="80"/>
          <w:sz w:val="28"/>
          <w:szCs w:val="28"/>
          <w:lang w:eastAsia="en-AU"/>
        </w:rPr>
      </w:pPr>
      <w:r w:rsidRPr="004B3B0D">
        <w:rPr>
          <w:b/>
        </w:rPr>
        <w:t>Table A</w:t>
      </w:r>
    </w:p>
    <w:tbl>
      <w:tblPr>
        <w:tblStyle w:val="NTGtable"/>
        <w:tblW w:w="10060" w:type="dxa"/>
        <w:tblLook w:val="04A0" w:firstRow="1" w:lastRow="0" w:firstColumn="1" w:lastColumn="0" w:noHBand="0" w:noVBand="1"/>
        <w:tblDescription w:val="Change history details for this document."/>
      </w:tblPr>
      <w:tblGrid>
        <w:gridCol w:w="2427"/>
        <w:gridCol w:w="7633"/>
      </w:tblGrid>
      <w:tr w:rsidR="00714D41" w:rsidRPr="004B3B0D" w14:paraId="433DC47F" w14:textId="77777777" w:rsidTr="00C159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27" w:type="dxa"/>
            <w:vAlign w:val="center"/>
          </w:tcPr>
          <w:p w14:paraId="76FDC428" w14:textId="77777777" w:rsidR="00714D41" w:rsidRPr="004B3B0D" w:rsidRDefault="00714D41" w:rsidP="00C1599F">
            <w:r w:rsidRPr="004B3B0D">
              <w:t>Responsibility</w:t>
            </w:r>
          </w:p>
        </w:tc>
        <w:tc>
          <w:tcPr>
            <w:tcW w:w="7633" w:type="dxa"/>
            <w:vAlign w:val="center"/>
          </w:tcPr>
          <w:p w14:paraId="005B2241" w14:textId="77777777" w:rsidR="00714D41" w:rsidRPr="004B3B0D" w:rsidRDefault="00714D41" w:rsidP="00C1599F">
            <w:pPr>
              <w:cnfStyle w:val="100000000000" w:firstRow="1" w:lastRow="0" w:firstColumn="0" w:lastColumn="0" w:oddVBand="0" w:evenVBand="0" w:oddHBand="0" w:evenHBand="0" w:firstRowFirstColumn="0" w:firstRowLastColumn="0" w:lastRowFirstColumn="0" w:lastRowLastColumn="0"/>
            </w:pPr>
            <w:r w:rsidRPr="004B3B0D">
              <w:t>Minimum requirements</w:t>
            </w:r>
          </w:p>
        </w:tc>
      </w:tr>
      <w:tr w:rsidR="00714D41" w:rsidRPr="004B3B0D" w14:paraId="44ED8060" w14:textId="77777777" w:rsidTr="00C159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27" w:type="dxa"/>
            <w:vAlign w:val="center"/>
          </w:tcPr>
          <w:p w14:paraId="33A80E69" w14:textId="77777777" w:rsidR="00714D41" w:rsidRPr="004B3B0D" w:rsidRDefault="00714D41" w:rsidP="00C1599F"/>
        </w:tc>
        <w:tc>
          <w:tcPr>
            <w:tcW w:w="7633" w:type="dxa"/>
            <w:vAlign w:val="center"/>
          </w:tcPr>
          <w:p w14:paraId="513DA4F1" w14:textId="77777777" w:rsidR="00714D41" w:rsidRPr="004B3B0D" w:rsidRDefault="00714D41" w:rsidP="00C1599F">
            <w:pPr>
              <w:cnfStyle w:val="100000000000" w:firstRow="1" w:lastRow="0" w:firstColumn="0" w:lastColumn="0" w:oddVBand="0" w:evenVBand="0" w:oddHBand="0" w:evenHBand="0" w:firstRowFirstColumn="0" w:firstRowLastColumn="0" w:lastRowFirstColumn="0" w:lastRowLastColumn="0"/>
            </w:pPr>
          </w:p>
        </w:tc>
      </w:tr>
      <w:tr w:rsidR="00714D41" w:rsidRPr="004B3B0D" w14:paraId="725106BE" w14:textId="77777777" w:rsidTr="00C15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6662C002" w14:textId="77777777" w:rsidR="00714D41" w:rsidRPr="004B3B0D" w:rsidRDefault="00714D41" w:rsidP="00C1599F">
            <w:pPr>
              <w:spacing w:before="120"/>
              <w:rPr>
                <w:b/>
              </w:rPr>
            </w:pPr>
            <w:r w:rsidRPr="004B3B0D">
              <w:rPr>
                <w:b/>
              </w:rPr>
              <w:t>Purpose</w:t>
            </w:r>
          </w:p>
        </w:tc>
        <w:tc>
          <w:tcPr>
            <w:tcW w:w="7633" w:type="dxa"/>
          </w:tcPr>
          <w:p w14:paraId="756D0476" w14:textId="48E37B07" w:rsidR="00714D41" w:rsidRPr="004B3B0D" w:rsidRDefault="00714D41" w:rsidP="00714D41">
            <w:pPr>
              <w:pStyle w:val="ListParagraph"/>
              <w:numPr>
                <w:ilvl w:val="0"/>
                <w:numId w:val="163"/>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Purpose of valuation </w:t>
            </w:r>
            <w:r w:rsidRPr="004B3B0D">
              <w:rPr>
                <w:i/>
              </w:rPr>
              <w:t>(For example</w:t>
            </w:r>
            <w:r w:rsidR="00307405" w:rsidRPr="004B3B0D">
              <w:rPr>
                <w:i/>
              </w:rPr>
              <w:t>,</w:t>
            </w:r>
            <w:r w:rsidRPr="004B3B0D">
              <w:rPr>
                <w:i/>
              </w:rPr>
              <w:t xml:space="preserve"> valuation required for financial reporting purposes in accordance with Australian Accounting Standards and Treasurer’s Directions – Non financial assets</w:t>
            </w:r>
            <w:r w:rsidRPr="004B3B0D">
              <w:t>)</w:t>
            </w:r>
          </w:p>
        </w:tc>
      </w:tr>
      <w:tr w:rsidR="00714D41" w:rsidRPr="004B3B0D" w14:paraId="4499D811"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97CAC2C" w14:textId="77777777" w:rsidR="00714D41" w:rsidRPr="004B3B0D" w:rsidRDefault="00714D41" w:rsidP="00C1599F">
            <w:pPr>
              <w:spacing w:before="120"/>
              <w:rPr>
                <w:b/>
              </w:rPr>
            </w:pPr>
            <w:r w:rsidRPr="004B3B0D">
              <w:rPr>
                <w:b/>
              </w:rPr>
              <w:t>Timing</w:t>
            </w:r>
          </w:p>
        </w:tc>
        <w:tc>
          <w:tcPr>
            <w:tcW w:w="7633" w:type="dxa"/>
          </w:tcPr>
          <w:p w14:paraId="2EE5E548" w14:textId="77777777" w:rsidR="00714D41" w:rsidRPr="004B3B0D" w:rsidRDefault="00714D41" w:rsidP="00714D41">
            <w:pPr>
              <w:pStyle w:val="ListParagraph"/>
              <w:numPr>
                <w:ilvl w:val="0"/>
                <w:numId w:val="163"/>
              </w:numPr>
              <w:spacing w:before="0" w:after="0"/>
              <w:cnfStyle w:val="000000010000" w:firstRow="0" w:lastRow="0" w:firstColumn="0" w:lastColumn="0" w:oddVBand="0" w:evenVBand="0" w:oddHBand="0" w:evenHBand="1" w:firstRowFirstColumn="0" w:firstRowLastColumn="0" w:lastRowFirstColumn="0" w:lastRowLastColumn="0"/>
            </w:pPr>
            <w:r w:rsidRPr="004B3B0D">
              <w:t>Dates the draft and final reports are required</w:t>
            </w:r>
          </w:p>
        </w:tc>
      </w:tr>
      <w:tr w:rsidR="00714D41" w:rsidRPr="004B3B0D" w14:paraId="4F4C0952" w14:textId="77777777" w:rsidTr="00C1599F">
        <w:trPr>
          <w:cnfStyle w:val="000000100000" w:firstRow="0" w:lastRow="0" w:firstColumn="0" w:lastColumn="0" w:oddVBand="0" w:evenVBand="0" w:oddHBand="1" w:evenHBand="0" w:firstRowFirstColumn="0" w:firstRowLastColumn="0" w:lastRowFirstColumn="0" w:lastRowLastColumn="0"/>
          <w:trHeight w:val="3068"/>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5D02E701" w14:textId="77777777" w:rsidR="00714D41" w:rsidRPr="004B3B0D" w:rsidRDefault="00714D41" w:rsidP="00C1599F">
            <w:pPr>
              <w:spacing w:before="120"/>
              <w:rPr>
                <w:b/>
              </w:rPr>
            </w:pPr>
            <w:r w:rsidRPr="004B3B0D">
              <w:rPr>
                <w:b/>
              </w:rPr>
              <w:t xml:space="preserve">Scope </w:t>
            </w:r>
          </w:p>
        </w:tc>
        <w:tc>
          <w:tcPr>
            <w:tcW w:w="7633" w:type="dxa"/>
            <w:tcBorders>
              <w:bottom w:val="single" w:sz="4" w:space="0" w:color="auto"/>
            </w:tcBorders>
          </w:tcPr>
          <w:p w14:paraId="5365019B" w14:textId="77777777" w:rsidR="00714D41" w:rsidRPr="004B3B0D" w:rsidRDefault="00714D41" w:rsidP="00714D41">
            <w:pPr>
              <w:pStyle w:val="ListParagraph"/>
              <w:numPr>
                <w:ilvl w:val="0"/>
                <w:numId w:val="165"/>
              </w:numPr>
              <w:spacing w:before="0" w:after="0"/>
              <w:cnfStyle w:val="000000100000" w:firstRow="0" w:lastRow="0" w:firstColumn="0" w:lastColumn="0" w:oddVBand="0" w:evenVBand="0" w:oddHBand="1" w:evenHBand="0" w:firstRowFirstColumn="0" w:firstRowLastColumn="0" w:lastRowFirstColumn="0" w:lastRowLastColumn="0"/>
              <w:rPr>
                <w:b/>
              </w:rPr>
            </w:pPr>
            <w:r w:rsidRPr="004B3B0D">
              <w:t>Scope of services and other relevant information including but not limited to:</w:t>
            </w:r>
          </w:p>
          <w:p w14:paraId="26B2982A" w14:textId="103DC748" w:rsidR="00182C58" w:rsidRPr="004B3B0D" w:rsidRDefault="00714D41" w:rsidP="00714D41">
            <w:pPr>
              <w:pStyle w:val="ListParagraph"/>
              <w:numPr>
                <w:ilvl w:val="0"/>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valuation must comply with the </w:t>
            </w:r>
            <w:r w:rsidR="00BF56B5" w:rsidRPr="004B3B0D">
              <w:t xml:space="preserve">Northern Territory (NT) Treasurer’s Directions on non-financial assets and the </w:t>
            </w:r>
            <w:r w:rsidR="00182C58" w:rsidRPr="004B3B0D">
              <w:t xml:space="preserve">following </w:t>
            </w:r>
            <w:r w:rsidRPr="004B3B0D">
              <w:t>relevant Australian accounting standards</w:t>
            </w:r>
            <w:r w:rsidR="00307405" w:rsidRPr="004B3B0D">
              <w:t xml:space="preserve"> (</w:t>
            </w:r>
            <w:r w:rsidR="00307405" w:rsidRPr="004B3B0D">
              <w:rPr>
                <w:i/>
              </w:rPr>
              <w:t>agency to amend the list below as appropriate)</w:t>
            </w:r>
            <w:r w:rsidR="00182C58" w:rsidRPr="004B3B0D">
              <w:t>:</w:t>
            </w:r>
          </w:p>
          <w:p w14:paraId="588374A4" w14:textId="1D6F7BEC"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AASB 13 Fair Value Measurement (AASB 13)</w:t>
            </w:r>
          </w:p>
          <w:p w14:paraId="32F4A9EB" w14:textId="352D7366"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AASB 116 Property, Plant and Equipment</w:t>
            </w:r>
          </w:p>
          <w:p w14:paraId="2BB0EB06" w14:textId="11E8FAE2"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AASB 138 Intangible Assets</w:t>
            </w:r>
          </w:p>
          <w:p w14:paraId="31ED6633" w14:textId="3278A941"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AASB 136 Impairment of Assets</w:t>
            </w:r>
          </w:p>
          <w:p w14:paraId="5A01E3A6" w14:textId="3A7C13CB"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AASB 140 Investment Property </w:t>
            </w:r>
          </w:p>
          <w:p w14:paraId="06743F60" w14:textId="77777777" w:rsidR="00182C58" w:rsidRPr="004B3B0D" w:rsidRDefault="00714D41" w:rsidP="00714D41">
            <w:pPr>
              <w:pStyle w:val="ListParagraph"/>
              <w:numPr>
                <w:ilvl w:val="0"/>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site inspection</w:t>
            </w:r>
            <w:r w:rsidR="00BF56B5" w:rsidRPr="004B3B0D">
              <w:t xml:space="preserve"> requirements</w:t>
            </w:r>
            <w:r w:rsidR="00182C58" w:rsidRPr="004B3B0D">
              <w:t>:</w:t>
            </w:r>
            <w:r w:rsidR="00BF56B5" w:rsidRPr="004B3B0D">
              <w:t xml:space="preserve"> </w:t>
            </w:r>
          </w:p>
          <w:p w14:paraId="0AB1D887" w14:textId="77777777" w:rsidR="00182C58" w:rsidRPr="004B3B0D" w:rsidRDefault="00182C58"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whether via physical site visit, photos/videos of the assets and review of conditions report or combination of both</w:t>
            </w:r>
          </w:p>
          <w:p w14:paraId="1DC04A03" w14:textId="0A67FC62" w:rsidR="00714D41" w:rsidRPr="004B3B0D" w:rsidRDefault="00307405" w:rsidP="004B3B0D">
            <w:pPr>
              <w:pStyle w:val="ListParagraph"/>
              <w:numPr>
                <w:ilvl w:val="1"/>
                <w:numId w:val="164"/>
              </w:numPr>
              <w:spacing w:before="0" w:after="0"/>
              <w:cnfStyle w:val="000000100000" w:firstRow="0" w:lastRow="0" w:firstColumn="0" w:lastColumn="0" w:oddVBand="0" w:evenVBand="0" w:oddHBand="1" w:evenHBand="0" w:firstRowFirstColumn="0" w:firstRowLastColumn="0" w:lastRowFirstColumn="0" w:lastRowLastColumn="0"/>
              <w:rPr>
                <w:b/>
                <w:i/>
              </w:rPr>
            </w:pPr>
            <w:r w:rsidRPr="004B3B0D">
              <w:t>inspection of all or sample of assets (</w:t>
            </w:r>
            <w:r w:rsidRPr="004B3B0D">
              <w:rPr>
                <w:i/>
              </w:rPr>
              <w:t>when sampling method is opted, the sample must be a representative of the</w:t>
            </w:r>
            <w:r w:rsidR="00182C58" w:rsidRPr="004B3B0D">
              <w:rPr>
                <w:i/>
              </w:rPr>
              <w:t xml:space="preserve"> </w:t>
            </w:r>
            <w:r w:rsidRPr="004B3B0D">
              <w:rPr>
                <w:i/>
              </w:rPr>
              <w:t xml:space="preserve">total population of </w:t>
            </w:r>
            <w:r w:rsidR="00EB143D" w:rsidRPr="004B3B0D">
              <w:rPr>
                <w:i/>
              </w:rPr>
              <w:t xml:space="preserve">non-financial </w:t>
            </w:r>
            <w:r w:rsidRPr="004B3B0D">
              <w:rPr>
                <w:i/>
              </w:rPr>
              <w:t>assets subject to revaluation)</w:t>
            </w:r>
          </w:p>
          <w:p w14:paraId="74E4203D" w14:textId="0D648C5E" w:rsidR="00714D41" w:rsidRPr="004B3B0D" w:rsidRDefault="00714D41" w:rsidP="00714D41">
            <w:pPr>
              <w:pStyle w:val="ListParagraph"/>
              <w:numPr>
                <w:ilvl w:val="0"/>
                <w:numId w:val="164"/>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identify any legislation that is relevant or applicable to the </w:t>
            </w:r>
            <w:r w:rsidR="00EB143D" w:rsidRPr="004B3B0D">
              <w:t xml:space="preserve">non-financial </w:t>
            </w:r>
            <w:r w:rsidR="00307405" w:rsidRPr="004B3B0D">
              <w:t>assets subject to valuation (</w:t>
            </w:r>
            <w:r w:rsidR="00307405" w:rsidRPr="004B3B0D">
              <w:rPr>
                <w:i/>
              </w:rPr>
              <w:t xml:space="preserve">For example, Heritage Act) </w:t>
            </w:r>
          </w:p>
          <w:p w14:paraId="6EB5CB7A" w14:textId="5CB47851" w:rsidR="00307405" w:rsidRPr="004B3B0D" w:rsidRDefault="00714D41">
            <w:pPr>
              <w:pStyle w:val="ListParagraph"/>
              <w:numPr>
                <w:ilvl w:val="0"/>
                <w:numId w:val="164"/>
              </w:numPr>
              <w:spacing w:before="0" w:after="0"/>
              <w:cnfStyle w:val="000000100000" w:firstRow="0" w:lastRow="0" w:firstColumn="0" w:lastColumn="0" w:oddVBand="0" w:evenVBand="0" w:oddHBand="1" w:evenHBand="0" w:firstRowFirstColumn="0" w:firstRowLastColumn="0" w:lastRowFirstColumn="0" w:lastRowLastColumn="0"/>
            </w:pPr>
            <w:r w:rsidRPr="004B3B0D">
              <w:t>date of the valuation report</w:t>
            </w:r>
          </w:p>
        </w:tc>
      </w:tr>
      <w:tr w:rsidR="00714D41" w:rsidRPr="004B3B0D" w14:paraId="10C3E7EC"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330E6E53" w14:textId="77777777" w:rsidR="00714D41" w:rsidRPr="004B3B0D" w:rsidRDefault="00714D41" w:rsidP="00C1599F">
            <w:pPr>
              <w:spacing w:before="120"/>
              <w:rPr>
                <w:b/>
              </w:rPr>
            </w:pPr>
            <w:r w:rsidRPr="004B3B0D">
              <w:rPr>
                <w:b/>
              </w:rPr>
              <w:t>Valuation methodology</w:t>
            </w:r>
          </w:p>
        </w:tc>
        <w:tc>
          <w:tcPr>
            <w:tcW w:w="7633" w:type="dxa"/>
            <w:tcBorders>
              <w:bottom w:val="single" w:sz="4" w:space="0" w:color="auto"/>
            </w:tcBorders>
          </w:tcPr>
          <w:p w14:paraId="4BAB3055" w14:textId="77777777" w:rsidR="00714D41" w:rsidRPr="004B3B0D" w:rsidRDefault="00714D41" w:rsidP="00714D41">
            <w:pPr>
              <w:pStyle w:val="ListParagraph"/>
              <w:numPr>
                <w:ilvl w:val="0"/>
                <w:numId w:val="165"/>
              </w:numPr>
              <w:spacing w:after="0"/>
              <w:cnfStyle w:val="000000010000" w:firstRow="0" w:lastRow="0" w:firstColumn="0" w:lastColumn="0" w:oddVBand="0" w:evenVBand="0" w:oddHBand="0" w:evenHBand="1" w:firstRowFirstColumn="0" w:firstRowLastColumn="0" w:lastRowFirstColumn="0" w:lastRowLastColumn="0"/>
            </w:pPr>
            <w:r w:rsidRPr="004B3B0D">
              <w:t>Valuation methodology including but not limited to:</w:t>
            </w:r>
          </w:p>
          <w:p w14:paraId="0169FFFB" w14:textId="77777777" w:rsidR="00714D41" w:rsidRPr="004B3B0D" w:rsidRDefault="00714D41" w:rsidP="00714D41">
            <w:pPr>
              <w:pStyle w:val="ListParagraph"/>
              <w:numPr>
                <w:ilvl w:val="0"/>
                <w:numId w:val="161"/>
              </w:numPr>
              <w:spacing w:before="0" w:after="0"/>
              <w:cnfStyle w:val="000000010000" w:firstRow="0" w:lastRow="0" w:firstColumn="0" w:lastColumn="0" w:oddVBand="0" w:evenVBand="0" w:oddHBand="0" w:evenHBand="1" w:firstRowFirstColumn="0" w:firstRowLastColumn="0" w:lastRowFirstColumn="0" w:lastRowLastColumn="0"/>
              <w:rPr>
                <w:b/>
              </w:rPr>
            </w:pPr>
            <w:r w:rsidRPr="004B3B0D">
              <w:t>valuation approach (</w:t>
            </w:r>
            <w:r w:rsidRPr="004B3B0D">
              <w:rPr>
                <w:i/>
              </w:rPr>
              <w:t>cost, market or income</w:t>
            </w:r>
            <w:r w:rsidRPr="004B3B0D">
              <w:t xml:space="preserve">) expected to be used </w:t>
            </w:r>
          </w:p>
          <w:p w14:paraId="5A8DDE27" w14:textId="77777777" w:rsidR="00714D41" w:rsidRPr="004B3B0D" w:rsidRDefault="00714D41" w:rsidP="00714D41">
            <w:pPr>
              <w:pStyle w:val="ListParagraph"/>
              <w:numPr>
                <w:ilvl w:val="0"/>
                <w:numId w:val="161"/>
              </w:numPr>
              <w:spacing w:before="0" w:after="0"/>
              <w:cnfStyle w:val="000000010000" w:firstRow="0" w:lastRow="0" w:firstColumn="0" w:lastColumn="0" w:oddVBand="0" w:evenVBand="0" w:oddHBand="0" w:evenHBand="1" w:firstRowFirstColumn="0" w:firstRowLastColumn="0" w:lastRowFirstColumn="0" w:lastRowLastColumn="0"/>
              <w:rPr>
                <w:b/>
              </w:rPr>
            </w:pPr>
            <w:r w:rsidRPr="004B3B0D">
              <w:t>method of revaluation expected to be used (net method or gross method)</w:t>
            </w:r>
          </w:p>
          <w:p w14:paraId="0F907130" w14:textId="36173B4D" w:rsidR="00714D41" w:rsidRPr="004B3B0D" w:rsidRDefault="00714D41" w:rsidP="00714D41">
            <w:pPr>
              <w:pStyle w:val="ListParagraph"/>
              <w:numPr>
                <w:ilvl w:val="0"/>
                <w:numId w:val="161"/>
              </w:numPr>
              <w:spacing w:before="0" w:after="0"/>
              <w:cnfStyle w:val="000000010000" w:firstRow="0" w:lastRow="0" w:firstColumn="0" w:lastColumn="0" w:oddVBand="0" w:evenVBand="0" w:oddHBand="0" w:evenHBand="1" w:firstRowFirstColumn="0" w:firstRowLastColumn="0" w:lastRowFirstColumn="0" w:lastRowLastColumn="0"/>
              <w:rPr>
                <w:b/>
              </w:rPr>
            </w:pPr>
            <w:r w:rsidRPr="004B3B0D">
              <w:t xml:space="preserve">for the valuation of complex </w:t>
            </w:r>
            <w:r w:rsidR="00EB143D" w:rsidRPr="004B3B0D">
              <w:t xml:space="preserve">non-financial </w:t>
            </w:r>
            <w:r w:rsidRPr="004B3B0D">
              <w:t>assets, request fair values for individual significant components</w:t>
            </w:r>
          </w:p>
          <w:p w14:paraId="3352F669" w14:textId="77777777" w:rsidR="00714D41" w:rsidRPr="004B3B0D" w:rsidRDefault="00714D41" w:rsidP="00C1599F">
            <w:pPr>
              <w:pStyle w:val="ListParagraph"/>
              <w:spacing w:before="0" w:after="0"/>
              <w:ind w:left="720"/>
              <w:cnfStyle w:val="000000010000" w:firstRow="0" w:lastRow="0" w:firstColumn="0" w:lastColumn="0" w:oddVBand="0" w:evenVBand="0" w:oddHBand="0" w:evenHBand="1" w:firstRowFirstColumn="0" w:firstRowLastColumn="0" w:lastRowFirstColumn="0" w:lastRowLastColumn="0"/>
            </w:pPr>
          </w:p>
        </w:tc>
      </w:tr>
      <w:tr w:rsidR="00714D41" w:rsidRPr="004B3B0D" w14:paraId="17EF9736" w14:textId="77777777" w:rsidTr="00C15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46A5110A" w14:textId="77777777" w:rsidR="00714D41" w:rsidRPr="004B3B0D" w:rsidRDefault="00714D41" w:rsidP="00C1599F">
            <w:pPr>
              <w:spacing w:before="120"/>
              <w:rPr>
                <w:b/>
              </w:rPr>
            </w:pPr>
            <w:r w:rsidRPr="004B3B0D">
              <w:rPr>
                <w:b/>
              </w:rPr>
              <w:t>Assets details</w:t>
            </w:r>
          </w:p>
        </w:tc>
        <w:tc>
          <w:tcPr>
            <w:tcW w:w="7633" w:type="dxa"/>
            <w:tcBorders>
              <w:bottom w:val="single" w:sz="4" w:space="0" w:color="auto"/>
            </w:tcBorders>
          </w:tcPr>
          <w:p w14:paraId="458B9156" w14:textId="0F630C9E" w:rsidR="00714D41" w:rsidRPr="004B3B0D" w:rsidRDefault="00714D41" w:rsidP="00714D41">
            <w:pPr>
              <w:pStyle w:val="ListParagraph"/>
              <w:numPr>
                <w:ilvl w:val="0"/>
                <w:numId w:val="161"/>
              </w:numPr>
              <w:spacing w:before="0" w:after="0"/>
              <w:ind w:left="313" w:hanging="283"/>
              <w:cnfStyle w:val="000000100000" w:firstRow="0" w:lastRow="0" w:firstColumn="0" w:lastColumn="0" w:oddVBand="0" w:evenVBand="0" w:oddHBand="1" w:evenHBand="0" w:firstRowFirstColumn="0" w:firstRowLastColumn="0" w:lastRowFirstColumn="0" w:lastRowLastColumn="0"/>
              <w:rPr>
                <w:b/>
              </w:rPr>
            </w:pPr>
            <w:r w:rsidRPr="004B3B0D">
              <w:t xml:space="preserve">provision of a detailed schedule of </w:t>
            </w:r>
            <w:r w:rsidR="00EB143D" w:rsidRPr="004B3B0D">
              <w:t xml:space="preserve">non-financial </w:t>
            </w:r>
            <w:r w:rsidRPr="004B3B0D">
              <w:t>assets (by asset level and or by component) to be valued including the following information but not limited to:</w:t>
            </w:r>
          </w:p>
          <w:p w14:paraId="16536EE1" w14:textId="77777777"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asset name, description and asset id</w:t>
            </w:r>
          </w:p>
          <w:p w14:paraId="19D17107" w14:textId="775CC4DF"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pPr>
            <w:r w:rsidRPr="004B3B0D">
              <w:t xml:space="preserve">current use and location of the </w:t>
            </w:r>
            <w:r w:rsidR="00EB143D" w:rsidRPr="004B3B0D">
              <w:t xml:space="preserve">non-financial </w:t>
            </w:r>
            <w:r w:rsidRPr="004B3B0D">
              <w:t>asset</w:t>
            </w:r>
          </w:p>
          <w:p w14:paraId="12E9D15E" w14:textId="37B4AF7A"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date </w:t>
            </w:r>
            <w:r w:rsidR="00EB143D" w:rsidRPr="004B3B0D">
              <w:t xml:space="preserve">non-financial </w:t>
            </w:r>
            <w:r w:rsidRPr="004B3B0D">
              <w:t xml:space="preserve">asset </w:t>
            </w:r>
            <w:r w:rsidR="00EB143D" w:rsidRPr="004B3B0D">
              <w:t xml:space="preserve">was </w:t>
            </w:r>
            <w:r w:rsidRPr="004B3B0D">
              <w:t>acquire</w:t>
            </w:r>
            <w:r w:rsidR="00055404" w:rsidRPr="004B3B0D">
              <w:t>d</w:t>
            </w:r>
            <w:r w:rsidRPr="004B3B0D">
              <w:t xml:space="preserve"> or constructed</w:t>
            </w:r>
          </w:p>
          <w:p w14:paraId="2F11C2FD" w14:textId="05A3D197" w:rsidR="00714D41" w:rsidRPr="004B3B0D" w:rsidRDefault="00055404"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 xml:space="preserve">current </w:t>
            </w:r>
            <w:r w:rsidR="00714D41" w:rsidRPr="004B3B0D">
              <w:t>carrying amount of</w:t>
            </w:r>
            <w:r w:rsidR="00EB143D" w:rsidRPr="004B3B0D">
              <w:t xml:space="preserve"> the non-financial</w:t>
            </w:r>
            <w:r w:rsidR="00714D41" w:rsidRPr="004B3B0D">
              <w:t xml:space="preserve"> asset (cost, accumulated depreciation and written down value) </w:t>
            </w:r>
          </w:p>
          <w:p w14:paraId="1B99A8D7" w14:textId="2BEA4A57" w:rsidR="00547FF2" w:rsidRPr="004B3B0D" w:rsidRDefault="00547FF2"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original cost or fair value on acquisition of the</w:t>
            </w:r>
            <w:r w:rsidR="00EB143D" w:rsidRPr="004B3B0D">
              <w:t xml:space="preserve"> non-financial</w:t>
            </w:r>
            <w:r w:rsidRPr="004B3B0D">
              <w:t xml:space="preserve"> asset</w:t>
            </w:r>
            <w:r w:rsidR="00A57143" w:rsidRPr="004B3B0D">
              <w:t>, where applicable</w:t>
            </w:r>
          </w:p>
          <w:p w14:paraId="57723475" w14:textId="4DADB230"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current useful life and remaining useful life</w:t>
            </w:r>
          </w:p>
          <w:p w14:paraId="60D23176" w14:textId="0DC5ED9F" w:rsidR="00055404" w:rsidRPr="004B3B0D" w:rsidRDefault="00055404"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size/</w:t>
            </w:r>
            <w:r w:rsidR="00D3256B" w:rsidRPr="004B3B0D">
              <w:t>area</w:t>
            </w:r>
            <w:r w:rsidRPr="004B3B0D">
              <w:t xml:space="preserve"> </w:t>
            </w:r>
            <w:r w:rsidR="00547FF2" w:rsidRPr="004B3B0D">
              <w:t xml:space="preserve">of the </w:t>
            </w:r>
            <w:r w:rsidR="00EB143D" w:rsidRPr="004B3B0D">
              <w:t xml:space="preserve">non-financial </w:t>
            </w:r>
            <w:r w:rsidR="00547FF2" w:rsidRPr="004B3B0D">
              <w:t>asset, where applicable</w:t>
            </w:r>
          </w:p>
          <w:p w14:paraId="53535075" w14:textId="0351087D"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rPr>
                <w:b/>
              </w:rPr>
            </w:pPr>
            <w:r w:rsidRPr="004B3B0D">
              <w:t>characteristics, conditions of</w:t>
            </w:r>
            <w:r w:rsidR="00EB143D" w:rsidRPr="004B3B0D">
              <w:t xml:space="preserve"> non-financial</w:t>
            </w:r>
            <w:r w:rsidRPr="004B3B0D">
              <w:t xml:space="preserve"> asset to be taken into account, including existence of any contaminations, damage to property including but not limited to areas where there is a legal or constructive obligation</w:t>
            </w:r>
          </w:p>
          <w:p w14:paraId="3E427E2F" w14:textId="6C8396F0" w:rsidR="00714D41" w:rsidRPr="004B3B0D" w:rsidRDefault="00714D41" w:rsidP="00714D41">
            <w:pPr>
              <w:pStyle w:val="ListParagraph"/>
              <w:numPr>
                <w:ilvl w:val="0"/>
                <w:numId w:val="162"/>
              </w:numPr>
              <w:spacing w:before="0" w:after="0"/>
              <w:cnfStyle w:val="000000100000" w:firstRow="0" w:lastRow="0" w:firstColumn="0" w:lastColumn="0" w:oddVBand="0" w:evenVBand="0" w:oddHBand="1" w:evenHBand="0" w:firstRowFirstColumn="0" w:firstRowLastColumn="0" w:lastRowFirstColumn="0" w:lastRowLastColumn="0"/>
            </w:pPr>
            <w:r w:rsidRPr="004B3B0D">
              <w:t xml:space="preserve">details of any improvements on the property which are not included in the schedule of </w:t>
            </w:r>
            <w:r w:rsidR="00EB143D" w:rsidRPr="004B3B0D">
              <w:t xml:space="preserve">non-financial </w:t>
            </w:r>
            <w:r w:rsidRPr="004B3B0D">
              <w:t>assets including reasons for such exclusions (</w:t>
            </w:r>
            <w:r w:rsidRPr="004B3B0D">
              <w:rPr>
                <w:i/>
              </w:rPr>
              <w:t>for example, lessee’s improvement</w:t>
            </w:r>
            <w:r w:rsidRPr="004B3B0D">
              <w:t>)</w:t>
            </w:r>
          </w:p>
        </w:tc>
      </w:tr>
      <w:tr w:rsidR="00714D41" w:rsidRPr="004B3B0D" w14:paraId="3BBE4B3E"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5D88A6B1" w14:textId="77777777" w:rsidR="00714D41" w:rsidRPr="004B3B0D" w:rsidRDefault="00714D41" w:rsidP="00C1599F">
            <w:pPr>
              <w:spacing w:before="120"/>
              <w:rPr>
                <w:b/>
              </w:rPr>
            </w:pPr>
            <w:r w:rsidRPr="004B3B0D">
              <w:rPr>
                <w:b/>
              </w:rPr>
              <w:t>Other information</w:t>
            </w:r>
          </w:p>
        </w:tc>
        <w:tc>
          <w:tcPr>
            <w:tcW w:w="7633" w:type="dxa"/>
            <w:tcBorders>
              <w:bottom w:val="single" w:sz="4" w:space="0" w:color="auto"/>
            </w:tcBorders>
          </w:tcPr>
          <w:p w14:paraId="5E6FB75B" w14:textId="77777777" w:rsidR="00714D41" w:rsidRPr="004B3B0D" w:rsidRDefault="00714D41" w:rsidP="00714D41">
            <w:pPr>
              <w:pStyle w:val="ListParagraph"/>
              <w:numPr>
                <w:ilvl w:val="0"/>
                <w:numId w:val="161"/>
              </w:numPr>
              <w:spacing w:after="0"/>
              <w:ind w:left="313" w:hanging="283"/>
              <w:cnfStyle w:val="000000010000" w:firstRow="0" w:lastRow="0" w:firstColumn="0" w:lastColumn="0" w:oddVBand="0" w:evenVBand="0" w:oddHBand="0" w:evenHBand="1" w:firstRowFirstColumn="0" w:firstRowLastColumn="0" w:lastRowFirstColumn="0" w:lastRowLastColumn="0"/>
              <w:rPr>
                <w:b/>
              </w:rPr>
            </w:pPr>
            <w:r w:rsidRPr="004B3B0D">
              <w:t>provide information for the relevant disclosure requirements in accordance with AASB 13</w:t>
            </w:r>
          </w:p>
          <w:p w14:paraId="7ED9FCD7" w14:textId="19FE9FCC" w:rsidR="00714D41" w:rsidRPr="004B3B0D" w:rsidRDefault="00714D41" w:rsidP="00714D41">
            <w:pPr>
              <w:pStyle w:val="ListParagraph"/>
              <w:numPr>
                <w:ilvl w:val="0"/>
                <w:numId w:val="161"/>
              </w:numPr>
              <w:spacing w:after="0"/>
              <w:ind w:left="313" w:hanging="283"/>
              <w:cnfStyle w:val="000000010000" w:firstRow="0" w:lastRow="0" w:firstColumn="0" w:lastColumn="0" w:oddVBand="0" w:evenVBand="0" w:oddHBand="0" w:evenHBand="1" w:firstRowFirstColumn="0" w:firstRowLastColumn="0" w:lastRowFirstColumn="0" w:lastRowLastColumn="0"/>
              <w:rPr>
                <w:b/>
              </w:rPr>
            </w:pPr>
            <w:r w:rsidRPr="004B3B0D">
              <w:t>provide support and liaise with auditors</w:t>
            </w:r>
            <w:r w:rsidR="00D534D9">
              <w:t xml:space="preserve"> (where required by agency)</w:t>
            </w:r>
            <w:r w:rsidRPr="004B3B0D">
              <w:t xml:space="preserve"> with respect to any issues relating to </w:t>
            </w:r>
            <w:r w:rsidR="00EB143D" w:rsidRPr="004B3B0D">
              <w:t xml:space="preserve">non-financial </w:t>
            </w:r>
            <w:r w:rsidRPr="004B3B0D">
              <w:t>asset valuation, which may include the provision of source data, where applicable</w:t>
            </w:r>
          </w:p>
          <w:p w14:paraId="0BC5BBB2" w14:textId="77777777" w:rsidR="00714D41" w:rsidRPr="004B3B0D" w:rsidRDefault="00714D41" w:rsidP="00714D41">
            <w:pPr>
              <w:pStyle w:val="ListParagraph"/>
              <w:numPr>
                <w:ilvl w:val="0"/>
                <w:numId w:val="161"/>
              </w:numPr>
              <w:spacing w:after="0"/>
              <w:ind w:left="313" w:hanging="283"/>
              <w:cnfStyle w:val="000000010000" w:firstRow="0" w:lastRow="0" w:firstColumn="0" w:lastColumn="0" w:oddVBand="0" w:evenVBand="0" w:oddHBand="0" w:evenHBand="1" w:firstRowFirstColumn="0" w:firstRowLastColumn="0" w:lastRowFirstColumn="0" w:lastRowLastColumn="0"/>
            </w:pPr>
            <w:proofErr w:type="gramStart"/>
            <w:r w:rsidRPr="004B3B0D">
              <w:t>include</w:t>
            </w:r>
            <w:proofErr w:type="gramEnd"/>
            <w:r w:rsidRPr="004B3B0D">
              <w:t xml:space="preserve"> a statement that all data supplied to the valuer and the reports and data provided by the valuer to the agency is the property of the Territory Government. The agency should have full access to any supporting documentation, which will facilitate verifying reports provided by valuers, if required.</w:t>
            </w:r>
          </w:p>
        </w:tc>
      </w:tr>
    </w:tbl>
    <w:p w14:paraId="0E59707A" w14:textId="77777777" w:rsidR="00714D41" w:rsidRPr="004B3B0D" w:rsidRDefault="00714D41" w:rsidP="00714D41">
      <w:pPr>
        <w:tabs>
          <w:tab w:val="left" w:pos="4170"/>
        </w:tabs>
        <w:rPr>
          <w:sz w:val="2"/>
          <w:szCs w:val="2"/>
        </w:rPr>
      </w:pPr>
      <w:r w:rsidRPr="004B3B0D">
        <w:rPr>
          <w:sz w:val="2"/>
          <w:szCs w:val="2"/>
        </w:rPr>
        <w:tab/>
      </w:r>
    </w:p>
    <w:p w14:paraId="183CC1D4" w14:textId="77777777" w:rsidR="00714D41" w:rsidRPr="004B3B0D" w:rsidRDefault="00714D41" w:rsidP="00714D41">
      <w:pPr>
        <w:rPr>
          <w:sz w:val="2"/>
          <w:szCs w:val="2"/>
        </w:rPr>
      </w:pPr>
    </w:p>
    <w:p w14:paraId="6DE49CC2" w14:textId="792A8B88" w:rsidR="00714D41" w:rsidRPr="004B3B0D" w:rsidRDefault="00714D41" w:rsidP="00714D41">
      <w:pPr>
        <w:pageBreakBefore/>
        <w:rPr>
          <w:sz w:val="2"/>
          <w:szCs w:val="2"/>
        </w:rPr>
      </w:pPr>
    </w:p>
    <w:p w14:paraId="765EA7E6" w14:textId="77777777" w:rsidR="00714D41" w:rsidRPr="004B3B0D" w:rsidRDefault="00714D41" w:rsidP="00714D41">
      <w:pPr>
        <w:rPr>
          <w:sz w:val="2"/>
          <w:szCs w:val="2"/>
        </w:rPr>
      </w:pPr>
    </w:p>
    <w:p w14:paraId="285C1246" w14:textId="77777777" w:rsidR="00714D41" w:rsidRPr="004B3B0D" w:rsidRDefault="00714D41" w:rsidP="00714D41">
      <w:pPr>
        <w:spacing w:before="240" w:after="120" w:line="300" w:lineRule="exact"/>
        <w:ind w:right="170"/>
        <w:jc w:val="both"/>
        <w:rPr>
          <w:rFonts w:eastAsia="Times New Roman" w:cs="Arial"/>
          <w:b/>
          <w:color w:val="808080" w:themeColor="background1" w:themeShade="80"/>
          <w:sz w:val="28"/>
          <w:szCs w:val="28"/>
          <w:lang w:eastAsia="en-AU"/>
        </w:rPr>
      </w:pPr>
      <w:r w:rsidRPr="004B3B0D">
        <w:rPr>
          <w:rFonts w:eastAsia="Times New Roman" w:cs="Arial"/>
          <w:b/>
          <w:color w:val="808080" w:themeColor="background1" w:themeShade="80"/>
          <w:sz w:val="28"/>
          <w:szCs w:val="28"/>
          <w:lang w:eastAsia="en-AU"/>
        </w:rPr>
        <w:t>Valuer</w:t>
      </w:r>
    </w:p>
    <w:p w14:paraId="6F35DAAC" w14:textId="3423A6DB" w:rsidR="00714D41" w:rsidRPr="004B3B0D" w:rsidRDefault="00714D41" w:rsidP="00714D41">
      <w:pPr>
        <w:spacing w:before="240" w:after="120"/>
        <w:ind w:right="170"/>
        <w:rPr>
          <w:b/>
        </w:rPr>
      </w:pPr>
      <w:r w:rsidRPr="004B3B0D">
        <w:t xml:space="preserve">Table B </w:t>
      </w:r>
      <w:r w:rsidR="000A13D2">
        <w:t>outlines</w:t>
      </w:r>
      <w:r w:rsidRPr="004B3B0D">
        <w:t xml:space="preserve"> the minimum information that a valuation report provided by a</w:t>
      </w:r>
      <w:r w:rsidR="00547FF2" w:rsidRPr="004B3B0D">
        <w:t>n</w:t>
      </w:r>
      <w:r w:rsidRPr="004B3B0D">
        <w:t xml:space="preserve"> </w:t>
      </w:r>
      <w:r w:rsidR="00547FF2" w:rsidRPr="004B3B0D">
        <w:t xml:space="preserve">external </w:t>
      </w:r>
      <w:r w:rsidRPr="004B3B0D">
        <w:t>valuer for financial reporting purposes must contain.</w:t>
      </w:r>
    </w:p>
    <w:p w14:paraId="0012F120" w14:textId="77777777" w:rsidR="00714D41" w:rsidRPr="004B3B0D" w:rsidRDefault="00714D41" w:rsidP="00714D41">
      <w:pPr>
        <w:spacing w:before="240" w:after="120"/>
        <w:ind w:right="170"/>
        <w:rPr>
          <w:rFonts w:eastAsia="Times New Roman" w:cs="Arial"/>
          <w:b/>
          <w:color w:val="808080" w:themeColor="background1" w:themeShade="80"/>
          <w:sz w:val="28"/>
          <w:szCs w:val="28"/>
          <w:lang w:eastAsia="en-AU"/>
        </w:rPr>
      </w:pPr>
      <w:r w:rsidRPr="004B3B0D">
        <w:rPr>
          <w:b/>
        </w:rPr>
        <w:t>Table B</w:t>
      </w:r>
    </w:p>
    <w:tbl>
      <w:tblPr>
        <w:tblStyle w:val="NTGtable"/>
        <w:tblW w:w="10060" w:type="dxa"/>
        <w:tblLook w:val="04A0" w:firstRow="1" w:lastRow="0" w:firstColumn="1" w:lastColumn="0" w:noHBand="0" w:noVBand="1"/>
        <w:tblDescription w:val="Change history details for this document."/>
      </w:tblPr>
      <w:tblGrid>
        <w:gridCol w:w="2427"/>
        <w:gridCol w:w="7633"/>
      </w:tblGrid>
      <w:tr w:rsidR="00714D41" w:rsidRPr="004B3B0D" w14:paraId="7156D420" w14:textId="77777777" w:rsidTr="00C159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27" w:type="dxa"/>
            <w:vAlign w:val="center"/>
          </w:tcPr>
          <w:p w14:paraId="71B8F6D2" w14:textId="77777777" w:rsidR="00714D41" w:rsidRPr="004B3B0D" w:rsidRDefault="00714D41" w:rsidP="00C1599F">
            <w:r w:rsidRPr="004B3B0D">
              <w:t>Responsibility</w:t>
            </w:r>
          </w:p>
        </w:tc>
        <w:tc>
          <w:tcPr>
            <w:tcW w:w="7633" w:type="dxa"/>
            <w:vAlign w:val="center"/>
          </w:tcPr>
          <w:p w14:paraId="5FE1B7D8" w14:textId="77777777" w:rsidR="00714D41" w:rsidRPr="004B3B0D" w:rsidRDefault="00714D41" w:rsidP="00C1599F">
            <w:pPr>
              <w:cnfStyle w:val="100000000000" w:firstRow="1" w:lastRow="0" w:firstColumn="0" w:lastColumn="0" w:oddVBand="0" w:evenVBand="0" w:oddHBand="0" w:evenHBand="0" w:firstRowFirstColumn="0" w:firstRowLastColumn="0" w:lastRowFirstColumn="0" w:lastRowLastColumn="0"/>
            </w:pPr>
            <w:r w:rsidRPr="004B3B0D">
              <w:t>Minimum requirements</w:t>
            </w:r>
          </w:p>
        </w:tc>
      </w:tr>
      <w:tr w:rsidR="00714D41" w:rsidRPr="004B3B0D" w14:paraId="6BA2ACF4" w14:textId="77777777" w:rsidTr="00C159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27" w:type="dxa"/>
            <w:vAlign w:val="center"/>
          </w:tcPr>
          <w:p w14:paraId="2B14B6BA" w14:textId="77777777" w:rsidR="00714D41" w:rsidRPr="004B3B0D" w:rsidRDefault="00714D41" w:rsidP="00C1599F"/>
        </w:tc>
        <w:tc>
          <w:tcPr>
            <w:tcW w:w="7633" w:type="dxa"/>
            <w:vAlign w:val="center"/>
          </w:tcPr>
          <w:p w14:paraId="54B2D503" w14:textId="77777777" w:rsidR="00714D41" w:rsidRPr="004B3B0D" w:rsidRDefault="00714D41" w:rsidP="00C1599F">
            <w:pPr>
              <w:cnfStyle w:val="100000000000" w:firstRow="1" w:lastRow="0" w:firstColumn="0" w:lastColumn="0" w:oddVBand="0" w:evenVBand="0" w:oddHBand="0" w:evenHBand="0" w:firstRowFirstColumn="0" w:firstRowLastColumn="0" w:lastRowFirstColumn="0" w:lastRowLastColumn="0"/>
            </w:pPr>
          </w:p>
        </w:tc>
      </w:tr>
      <w:tr w:rsidR="00714D41" w:rsidRPr="004B3B0D" w14:paraId="10FA8A19" w14:textId="77777777" w:rsidTr="00C15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5AD1F6D0" w14:textId="77777777" w:rsidR="00714D41" w:rsidRPr="004B3B0D" w:rsidRDefault="00714D41" w:rsidP="00C1599F">
            <w:pPr>
              <w:spacing w:before="120"/>
              <w:rPr>
                <w:b/>
              </w:rPr>
            </w:pPr>
            <w:r w:rsidRPr="004B3B0D">
              <w:rPr>
                <w:b/>
              </w:rPr>
              <w:t>Date of valuation</w:t>
            </w:r>
          </w:p>
        </w:tc>
        <w:tc>
          <w:tcPr>
            <w:tcW w:w="7633" w:type="dxa"/>
          </w:tcPr>
          <w:p w14:paraId="60895E7B" w14:textId="398D524A" w:rsidR="00714D41" w:rsidRPr="004B3B0D" w:rsidRDefault="00714D41" w:rsidP="004B3B0D">
            <w:pPr>
              <w:pStyle w:val="ListParagraph"/>
              <w:numPr>
                <w:ilvl w:val="0"/>
                <w:numId w:val="163"/>
              </w:numPr>
              <w:spacing w:after="0"/>
              <w:cnfStyle w:val="000000100000" w:firstRow="0" w:lastRow="0" w:firstColumn="0" w:lastColumn="0" w:oddVBand="0" w:evenVBand="0" w:oddHBand="1" w:evenHBand="0" w:firstRowFirstColumn="0" w:firstRowLastColumn="0" w:lastRowFirstColumn="0" w:lastRowLastColumn="0"/>
              <w:rPr>
                <w:b/>
              </w:rPr>
            </w:pPr>
            <w:r w:rsidRPr="004B3B0D">
              <w:t>The effective date of the valuation</w:t>
            </w:r>
          </w:p>
        </w:tc>
      </w:tr>
      <w:tr w:rsidR="00714D41" w:rsidRPr="004B3B0D" w14:paraId="6F8F5EE8"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7690ACC2" w14:textId="77777777" w:rsidR="00714D41" w:rsidRPr="004B3B0D" w:rsidRDefault="00714D41" w:rsidP="00C1599F">
            <w:pPr>
              <w:spacing w:before="120"/>
              <w:rPr>
                <w:b/>
              </w:rPr>
            </w:pPr>
            <w:r w:rsidRPr="004B3B0D">
              <w:rPr>
                <w:b/>
              </w:rPr>
              <w:t>Valuation report and certificate</w:t>
            </w:r>
          </w:p>
        </w:tc>
        <w:tc>
          <w:tcPr>
            <w:tcW w:w="7633" w:type="dxa"/>
          </w:tcPr>
          <w:p w14:paraId="274079DA" w14:textId="77777777" w:rsidR="00714D41" w:rsidRPr="004B3B0D" w:rsidRDefault="00714D41" w:rsidP="00714D41">
            <w:pPr>
              <w:pStyle w:val="ListParagraph"/>
              <w:numPr>
                <w:ilvl w:val="0"/>
                <w:numId w:val="163"/>
              </w:numPr>
              <w:spacing w:before="0" w:after="0"/>
              <w:cnfStyle w:val="000000010000" w:firstRow="0" w:lastRow="0" w:firstColumn="0" w:lastColumn="0" w:oddVBand="0" w:evenVBand="0" w:oddHBand="0" w:evenHBand="1" w:firstRowFirstColumn="0" w:firstRowLastColumn="0" w:lastRowFirstColumn="0" w:lastRowLastColumn="0"/>
            </w:pPr>
            <w:r w:rsidRPr="004B3B0D">
              <w:t>Signed original report setting out the process, results, limitations, qualification of the valuer, valuation certificate and summary data</w:t>
            </w:r>
          </w:p>
        </w:tc>
      </w:tr>
      <w:tr w:rsidR="00714D41" w:rsidRPr="004B3B0D" w14:paraId="2CC00378" w14:textId="77777777" w:rsidTr="00C1599F">
        <w:trPr>
          <w:cnfStyle w:val="000000100000" w:firstRow="0" w:lastRow="0" w:firstColumn="0" w:lastColumn="0" w:oddVBand="0" w:evenVBand="0" w:oddHBand="1" w:evenHBand="0" w:firstRowFirstColumn="0" w:firstRowLastColumn="0" w:lastRowFirstColumn="0" w:lastRowLastColumn="0"/>
          <w:trHeight w:val="1738"/>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6A38EBC1" w14:textId="77777777" w:rsidR="00714D41" w:rsidRPr="004B3B0D" w:rsidRDefault="00714D41" w:rsidP="00C1599F">
            <w:pPr>
              <w:spacing w:before="120"/>
              <w:rPr>
                <w:b/>
              </w:rPr>
            </w:pPr>
            <w:r w:rsidRPr="004B3B0D">
              <w:rPr>
                <w:b/>
              </w:rPr>
              <w:t>Compliance</w:t>
            </w:r>
          </w:p>
        </w:tc>
        <w:tc>
          <w:tcPr>
            <w:tcW w:w="7633" w:type="dxa"/>
            <w:tcBorders>
              <w:bottom w:val="single" w:sz="4" w:space="0" w:color="auto"/>
            </w:tcBorders>
          </w:tcPr>
          <w:p w14:paraId="24B94686" w14:textId="77777777" w:rsidR="00714D41" w:rsidRPr="004B3B0D" w:rsidRDefault="00714D41" w:rsidP="00714D41">
            <w:pPr>
              <w:pStyle w:val="ListParagraph"/>
              <w:numPr>
                <w:ilvl w:val="0"/>
                <w:numId w:val="163"/>
              </w:numPr>
              <w:spacing w:before="0" w:after="0"/>
              <w:cnfStyle w:val="000000100000" w:firstRow="0" w:lastRow="0" w:firstColumn="0" w:lastColumn="0" w:oddVBand="0" w:evenVBand="0" w:oddHBand="1" w:evenHBand="0" w:firstRowFirstColumn="0" w:firstRowLastColumn="0" w:lastRowFirstColumn="0" w:lastRowLastColumn="0"/>
            </w:pPr>
            <w:r w:rsidRPr="004B3B0D">
              <w:t>A statement that valuation complies with the relevant Australian accounting standards, valuation industry standards and Northern Territory (NT) Treasurer’s Directions on non-financial assets</w:t>
            </w:r>
          </w:p>
          <w:p w14:paraId="72D33C5F" w14:textId="77777777" w:rsidR="00714D41" w:rsidRPr="004B3B0D" w:rsidRDefault="00714D41" w:rsidP="00714D41">
            <w:pPr>
              <w:pStyle w:val="ListParagraph"/>
              <w:numPr>
                <w:ilvl w:val="0"/>
                <w:numId w:val="163"/>
              </w:numPr>
              <w:spacing w:before="0" w:after="0"/>
              <w:cnfStyle w:val="000000100000" w:firstRow="0" w:lastRow="0" w:firstColumn="0" w:lastColumn="0" w:oddVBand="0" w:evenVBand="0" w:oddHBand="1" w:evenHBand="0" w:firstRowFirstColumn="0" w:firstRowLastColumn="0" w:lastRowFirstColumn="0" w:lastRowLastColumn="0"/>
            </w:pPr>
            <w:r w:rsidRPr="004B3B0D">
              <w:t>where the NT Treasurer’s Directions departs from valuation industry standards guidelines, a statement pointing out the variations in approach and whether the resulting valuation will differ significantly</w:t>
            </w:r>
          </w:p>
        </w:tc>
      </w:tr>
      <w:tr w:rsidR="00714D41" w:rsidRPr="004B3B0D" w14:paraId="06F9DAE0"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5D51EF47" w14:textId="77777777" w:rsidR="00714D41" w:rsidRPr="004B3B0D" w:rsidRDefault="00714D41" w:rsidP="00C1599F">
            <w:pPr>
              <w:spacing w:before="120"/>
              <w:rPr>
                <w:b/>
              </w:rPr>
            </w:pPr>
            <w:r w:rsidRPr="004B3B0D">
              <w:rPr>
                <w:b/>
              </w:rPr>
              <w:t>Conflict of interest declaration</w:t>
            </w:r>
          </w:p>
        </w:tc>
        <w:tc>
          <w:tcPr>
            <w:tcW w:w="7633" w:type="dxa"/>
            <w:tcBorders>
              <w:bottom w:val="single" w:sz="4" w:space="0" w:color="auto"/>
            </w:tcBorders>
          </w:tcPr>
          <w:p w14:paraId="2B556B15" w14:textId="77777777" w:rsidR="00714D41" w:rsidRPr="004B3B0D" w:rsidRDefault="00714D41" w:rsidP="00714D41">
            <w:pPr>
              <w:pStyle w:val="ListParagraph"/>
              <w:numPr>
                <w:ilvl w:val="0"/>
                <w:numId w:val="165"/>
              </w:numPr>
              <w:spacing w:after="0"/>
              <w:cnfStyle w:val="000000010000" w:firstRow="0" w:lastRow="0" w:firstColumn="0" w:lastColumn="0" w:oddVBand="0" w:evenVBand="0" w:oddHBand="0" w:evenHBand="1" w:firstRowFirstColumn="0" w:firstRowLastColumn="0" w:lastRowFirstColumn="0" w:lastRowLastColumn="0"/>
            </w:pPr>
            <w:r w:rsidRPr="004B3B0D">
              <w:t>A declaration that the valuer has no actual, perceived or potential conflicts of interest relevant to the performance of valuation services</w:t>
            </w:r>
          </w:p>
        </w:tc>
      </w:tr>
      <w:tr w:rsidR="00055404" w:rsidRPr="004B3B0D" w14:paraId="1410F9F9" w14:textId="77777777" w:rsidTr="00C15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5CBBEB3C" w14:textId="25C32620" w:rsidR="00055404" w:rsidRPr="004B3B0D" w:rsidRDefault="00055404" w:rsidP="00C1599F">
            <w:pPr>
              <w:spacing w:before="120"/>
              <w:rPr>
                <w:b/>
              </w:rPr>
            </w:pPr>
            <w:r w:rsidRPr="004B3B0D">
              <w:rPr>
                <w:b/>
              </w:rPr>
              <w:t>Key assumptions and methodology</w:t>
            </w:r>
          </w:p>
        </w:tc>
        <w:tc>
          <w:tcPr>
            <w:tcW w:w="7633" w:type="dxa"/>
            <w:tcBorders>
              <w:bottom w:val="single" w:sz="4" w:space="0" w:color="auto"/>
            </w:tcBorders>
          </w:tcPr>
          <w:p w14:paraId="7FCD1D41" w14:textId="4DF01ADC" w:rsidR="00055404" w:rsidRPr="004B3B0D" w:rsidRDefault="00055404" w:rsidP="00055404">
            <w:pPr>
              <w:pStyle w:val="ListParagraph"/>
              <w:numPr>
                <w:ilvl w:val="0"/>
                <w:numId w:val="165"/>
              </w:numPr>
              <w:spacing w:after="0"/>
              <w:cnfStyle w:val="000000100000" w:firstRow="0" w:lastRow="0" w:firstColumn="0" w:lastColumn="0" w:oddVBand="0" w:evenVBand="0" w:oddHBand="1" w:evenHBand="0" w:firstRowFirstColumn="0" w:firstRowLastColumn="0" w:lastRowFirstColumn="0" w:lastRowLastColumn="0"/>
            </w:pPr>
            <w:r w:rsidRPr="004B3B0D">
              <w:t>Information on key assumptions included but are not limited to:</w:t>
            </w:r>
          </w:p>
          <w:p w14:paraId="7AE83AAD" w14:textId="5F39917D"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 xml:space="preserve">whether the </w:t>
            </w:r>
            <w:r w:rsidR="00EB143D" w:rsidRPr="004B3B0D">
              <w:t xml:space="preserve">non-financial </w:t>
            </w:r>
            <w:r w:rsidRPr="004B3B0D">
              <w:t>asset was physically inspected</w:t>
            </w:r>
          </w:p>
          <w:p w14:paraId="3A1FE6A0" w14:textId="1D161E32"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list of assumptions, sources or information, market sales evidence (where applicable) and adjustments made</w:t>
            </w:r>
          </w:p>
          <w:p w14:paraId="74DF51A0" w14:textId="77777777"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the valuation technique (cost, market or income approach) and reason for the technique(s) used</w:t>
            </w:r>
          </w:p>
          <w:p w14:paraId="0E2F78EA" w14:textId="77777777"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reason(s) for any changes in valuation technique or methodology or inputs used</w:t>
            </w:r>
          </w:p>
          <w:p w14:paraId="4E3E5464" w14:textId="77777777"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significant assumptions used (for example, whether the principal or most advantageous market was used, restrictions that exist, who the market participants would be, and what they would take into account)</w:t>
            </w:r>
          </w:p>
          <w:p w14:paraId="2F43295B" w14:textId="77777777" w:rsidR="00055404" w:rsidRPr="004B3B0D" w:rsidRDefault="00055404" w:rsidP="00055404">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proofErr w:type="gramStart"/>
            <w:r w:rsidRPr="004B3B0D">
              <w:t>highest</w:t>
            </w:r>
            <w:proofErr w:type="gramEnd"/>
            <w:r w:rsidRPr="004B3B0D">
              <w:t xml:space="preserve"> and best use (whether this is on a standalone basis or within a group of other assets/liabilities and if so, what is included in that group) that is physically possible, legally permissible and financially feasible. </w:t>
            </w:r>
            <w:r w:rsidRPr="004B3B0D">
              <w:rPr>
                <w:i/>
              </w:rPr>
              <w:t>Highest and best use is determined from the perspective of market participants, even if the agency intends a different use. However, in the public sector, it must take into account the mandated legal and other socio-political restrictions imposed on the use of disposal of assets.</w:t>
            </w:r>
          </w:p>
          <w:p w14:paraId="303C4ADE" w14:textId="385B4267" w:rsidR="00055404" w:rsidRPr="004B3B0D" w:rsidRDefault="00055404" w:rsidP="004B3B0D">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data inputs used and their sources (for example, whether they are observable or not, and whether or not transportation costs have been included and why), and methods used to develop and substantiate unobservable data</w:t>
            </w:r>
          </w:p>
        </w:tc>
      </w:tr>
      <w:tr w:rsidR="00714D41" w:rsidRPr="004B3B0D" w14:paraId="75DD7606"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3A4E7979" w14:textId="5AA09A6D" w:rsidR="00714D41" w:rsidRPr="004B3B0D" w:rsidRDefault="00055404" w:rsidP="00C1599F">
            <w:pPr>
              <w:spacing w:before="120"/>
              <w:rPr>
                <w:b/>
              </w:rPr>
            </w:pPr>
            <w:r w:rsidRPr="004B3B0D">
              <w:rPr>
                <w:b/>
              </w:rPr>
              <w:t>Key assumptions and methodology (continued)</w:t>
            </w:r>
          </w:p>
        </w:tc>
        <w:tc>
          <w:tcPr>
            <w:tcW w:w="7633" w:type="dxa"/>
            <w:tcBorders>
              <w:bottom w:val="single" w:sz="4" w:space="0" w:color="auto"/>
            </w:tcBorders>
          </w:tcPr>
          <w:p w14:paraId="5E7D7BDA" w14:textId="77777777" w:rsidR="00714D41" w:rsidRPr="004B3B0D" w:rsidRDefault="00714D41" w:rsidP="00714D41">
            <w:pPr>
              <w:pStyle w:val="ListParagraph"/>
              <w:numPr>
                <w:ilvl w:val="0"/>
                <w:numId w:val="161"/>
              </w:numPr>
              <w:spacing w:before="0" w:after="0"/>
              <w:cnfStyle w:val="000000010000" w:firstRow="0" w:lastRow="0" w:firstColumn="0" w:lastColumn="0" w:oddVBand="0" w:evenVBand="0" w:oddHBand="0" w:evenHBand="1" w:firstRowFirstColumn="0" w:firstRowLastColumn="0" w:lastRowFirstColumn="0" w:lastRowLastColumn="0"/>
            </w:pPr>
            <w:r w:rsidRPr="004B3B0D">
              <w:t>where significant unobservable data inputs are used (or significant unobservable adjustments made to observable data), the rationale for doing so including describing the:</w:t>
            </w:r>
          </w:p>
          <w:p w14:paraId="0F054B0A" w14:textId="77777777" w:rsidR="00714D41" w:rsidRPr="004B3B0D" w:rsidRDefault="00714D41" w:rsidP="00714D41">
            <w:pPr>
              <w:pStyle w:val="ListParagraph"/>
              <w:numPr>
                <w:ilvl w:val="1"/>
                <w:numId w:val="161"/>
              </w:numPr>
              <w:spacing w:before="0" w:after="0"/>
              <w:cnfStyle w:val="000000010000" w:firstRow="0" w:lastRow="0" w:firstColumn="0" w:lastColumn="0" w:oddVBand="0" w:evenVBand="0" w:oddHBand="0" w:evenHBand="1" w:firstRowFirstColumn="0" w:firstRowLastColumn="0" w:lastRowFirstColumn="0" w:lastRowLastColumn="0"/>
            </w:pPr>
            <w:r w:rsidRPr="004B3B0D">
              <w:t>nature and possible variation in such data inputs</w:t>
            </w:r>
          </w:p>
          <w:p w14:paraId="591C873D" w14:textId="77777777" w:rsidR="00714D41" w:rsidRPr="004B3B0D" w:rsidRDefault="00714D41" w:rsidP="00714D41">
            <w:pPr>
              <w:pStyle w:val="ListParagraph"/>
              <w:numPr>
                <w:ilvl w:val="1"/>
                <w:numId w:val="161"/>
              </w:numPr>
              <w:spacing w:before="0" w:after="0"/>
              <w:cnfStyle w:val="000000010000" w:firstRow="0" w:lastRow="0" w:firstColumn="0" w:lastColumn="0" w:oddVBand="0" w:evenVBand="0" w:oddHBand="0" w:evenHBand="1" w:firstRowFirstColumn="0" w:firstRowLastColumn="0" w:lastRowFirstColumn="0" w:lastRowLastColumn="0"/>
            </w:pPr>
            <w:r w:rsidRPr="004B3B0D">
              <w:t>changes in fair values if an alternative amount is applied to the unobservable inputs</w:t>
            </w:r>
          </w:p>
          <w:p w14:paraId="367D0960" w14:textId="17CAB249" w:rsidR="00055404" w:rsidRPr="004B3B0D" w:rsidRDefault="00714D41" w:rsidP="00BF5E63">
            <w:pPr>
              <w:pStyle w:val="ListParagraph"/>
              <w:numPr>
                <w:ilvl w:val="0"/>
                <w:numId w:val="161"/>
              </w:numPr>
              <w:spacing w:before="0" w:after="0"/>
              <w:cnfStyle w:val="000000010000" w:firstRow="0" w:lastRow="0" w:firstColumn="0" w:lastColumn="0" w:oddVBand="0" w:evenVBand="0" w:oddHBand="0" w:evenHBand="1" w:firstRowFirstColumn="0" w:firstRowLastColumn="0" w:lastRowFirstColumn="0" w:lastRowLastColumn="0"/>
            </w:pPr>
            <w:proofErr w:type="gramStart"/>
            <w:r w:rsidRPr="004B3B0D">
              <w:t>other</w:t>
            </w:r>
            <w:proofErr w:type="gramEnd"/>
            <w:r w:rsidRPr="004B3B0D">
              <w:t xml:space="preserve"> relevant information how the valuation was conducted and how the fair values were derived</w:t>
            </w:r>
            <w:r w:rsidR="00547FF2" w:rsidRPr="004B3B0D">
              <w:t>.</w:t>
            </w:r>
          </w:p>
        </w:tc>
      </w:tr>
      <w:tr w:rsidR="00714D41" w:rsidRPr="004B3B0D" w14:paraId="1F033DC8" w14:textId="77777777" w:rsidTr="00C15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4C05AF54" w14:textId="77777777" w:rsidR="00714D41" w:rsidRPr="004B3B0D" w:rsidRDefault="00714D41" w:rsidP="00C1599F">
            <w:pPr>
              <w:spacing w:before="120"/>
              <w:rPr>
                <w:b/>
              </w:rPr>
            </w:pPr>
            <w:r w:rsidRPr="004B3B0D">
              <w:rPr>
                <w:b/>
              </w:rPr>
              <w:t>Electronic valuation report</w:t>
            </w:r>
          </w:p>
        </w:tc>
        <w:tc>
          <w:tcPr>
            <w:tcW w:w="7633" w:type="dxa"/>
          </w:tcPr>
          <w:p w14:paraId="1123F9C4" w14:textId="261452C0" w:rsidR="00714D41" w:rsidRPr="004B3B0D" w:rsidRDefault="00714D41" w:rsidP="00714D41">
            <w:pPr>
              <w:pStyle w:val="ListParagraph"/>
              <w:numPr>
                <w:ilvl w:val="0"/>
                <w:numId w:val="165"/>
              </w:numPr>
              <w:spacing w:before="0" w:after="0"/>
              <w:cnfStyle w:val="000000100000" w:firstRow="0" w:lastRow="0" w:firstColumn="0" w:lastColumn="0" w:oddVBand="0" w:evenVBand="0" w:oddHBand="1" w:evenHBand="0" w:firstRowFirstColumn="0" w:firstRowLastColumn="0" w:lastRowFirstColumn="0" w:lastRowLastColumn="0"/>
            </w:pPr>
            <w:r w:rsidRPr="004B3B0D">
              <w:t xml:space="preserve">Valuation report to be provided in either Microsoft Excel or an electronic database, listing each </w:t>
            </w:r>
            <w:r w:rsidR="00EB143D" w:rsidRPr="004B3B0D">
              <w:t xml:space="preserve">non-financial </w:t>
            </w:r>
            <w:r w:rsidRPr="004B3B0D">
              <w:t xml:space="preserve">asset and component, underlying assumptions and results </w:t>
            </w:r>
          </w:p>
          <w:p w14:paraId="2C319C49" w14:textId="501A184F" w:rsidR="00714D41" w:rsidRPr="004B3B0D" w:rsidRDefault="00714D41" w:rsidP="00714D41">
            <w:pPr>
              <w:pStyle w:val="ListParagraph"/>
              <w:numPr>
                <w:ilvl w:val="0"/>
                <w:numId w:val="165"/>
              </w:numPr>
              <w:spacing w:before="0" w:after="0"/>
              <w:cnfStyle w:val="000000100000" w:firstRow="0" w:lastRow="0" w:firstColumn="0" w:lastColumn="0" w:oddVBand="0" w:evenVBand="0" w:oddHBand="1" w:evenHBand="0" w:firstRowFirstColumn="0" w:firstRowLastColumn="0" w:lastRowFirstColumn="0" w:lastRowLastColumn="0"/>
            </w:pPr>
            <w:r w:rsidRPr="004B3B0D">
              <w:t>Detailed schedule of</w:t>
            </w:r>
            <w:r w:rsidR="00EB143D" w:rsidRPr="004B3B0D">
              <w:t xml:space="preserve"> non-financial</w:t>
            </w:r>
            <w:r w:rsidRPr="004B3B0D">
              <w:t xml:space="preserve"> assets revalued (by asset and or by component) including but not limited to: </w:t>
            </w:r>
          </w:p>
          <w:p w14:paraId="06456C52"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fair value of the asset</w:t>
            </w:r>
          </w:p>
          <w:p w14:paraId="30594A6D"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where cost approach is used, gross replacement cost, accumulated depreciation and written down value</w:t>
            </w:r>
          </w:p>
          <w:p w14:paraId="6C88F9C2" w14:textId="320A1A31"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revised useful economic life and remaining useful life</w:t>
            </w:r>
            <w:r w:rsidR="00194A83" w:rsidRPr="004B3B0D">
              <w:t xml:space="preserve"> (whether cost, market or income approach is used)</w:t>
            </w:r>
          </w:p>
          <w:p w14:paraId="5DE2703A"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residual value</w:t>
            </w:r>
          </w:p>
          <w:p w14:paraId="52F83883"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depreciation rate, depreciation expense and depreciation methodology applied</w:t>
            </w:r>
          </w:p>
          <w:p w14:paraId="179CD275"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valuation technique applied</w:t>
            </w:r>
          </w:p>
          <w:p w14:paraId="76429650"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fair value hierarchy level of input applied</w:t>
            </w:r>
          </w:p>
          <w:p w14:paraId="738D63A9" w14:textId="77777777"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r w:rsidRPr="004B3B0D">
              <w:t>significant inputs and sensitivity of valuations with respect to level 3 valuation inputs</w:t>
            </w:r>
          </w:p>
          <w:p w14:paraId="12353A1E" w14:textId="24CF8B32" w:rsidR="00714D41" w:rsidRPr="004B3B0D" w:rsidRDefault="00714D41" w:rsidP="00714D41">
            <w:pPr>
              <w:pStyle w:val="ListParagraph"/>
              <w:numPr>
                <w:ilvl w:val="0"/>
                <w:numId w:val="161"/>
              </w:numPr>
              <w:spacing w:before="0" w:after="0"/>
              <w:cnfStyle w:val="000000100000" w:firstRow="0" w:lastRow="0" w:firstColumn="0" w:lastColumn="0" w:oddVBand="0" w:evenVBand="0" w:oddHBand="1" w:evenHBand="0" w:firstRowFirstColumn="0" w:firstRowLastColumn="0" w:lastRowFirstColumn="0" w:lastRowLastColumn="0"/>
            </w:pPr>
            <w:proofErr w:type="gramStart"/>
            <w:r w:rsidRPr="004B3B0D">
              <w:t>include</w:t>
            </w:r>
            <w:proofErr w:type="gramEnd"/>
            <w:r w:rsidRPr="004B3B0D">
              <w:t xml:space="preserve"> explanations and commentary where there is a significant change to the fair value of </w:t>
            </w:r>
            <w:r w:rsidR="00EB143D" w:rsidRPr="004B3B0D">
              <w:t xml:space="preserve">non-financial </w:t>
            </w:r>
            <w:r w:rsidRPr="004B3B0D">
              <w:t>assets compared to its carrying amount</w:t>
            </w:r>
            <w:r w:rsidR="00547FF2" w:rsidRPr="004B3B0D">
              <w:t>.</w:t>
            </w:r>
          </w:p>
        </w:tc>
      </w:tr>
      <w:tr w:rsidR="00714D41" w:rsidRPr="004B3B0D" w14:paraId="6FB1C21C" w14:textId="77777777" w:rsidTr="00C15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Borders>
              <w:bottom w:val="single" w:sz="4" w:space="0" w:color="auto"/>
            </w:tcBorders>
          </w:tcPr>
          <w:p w14:paraId="5A65F3ED" w14:textId="77777777" w:rsidR="00714D41" w:rsidRPr="004B3B0D" w:rsidRDefault="00714D41" w:rsidP="00C1599F">
            <w:pPr>
              <w:spacing w:before="120"/>
              <w:rPr>
                <w:b/>
              </w:rPr>
            </w:pPr>
            <w:r w:rsidRPr="004B3B0D">
              <w:rPr>
                <w:b/>
              </w:rPr>
              <w:t>Other information</w:t>
            </w:r>
          </w:p>
        </w:tc>
        <w:tc>
          <w:tcPr>
            <w:tcW w:w="7633" w:type="dxa"/>
            <w:tcBorders>
              <w:bottom w:val="single" w:sz="4" w:space="0" w:color="auto"/>
            </w:tcBorders>
          </w:tcPr>
          <w:p w14:paraId="144BB5E0" w14:textId="77777777" w:rsidR="00714D41" w:rsidRPr="004B3B0D" w:rsidRDefault="00714D41" w:rsidP="00714D41">
            <w:pPr>
              <w:pStyle w:val="ListParagraph"/>
              <w:numPr>
                <w:ilvl w:val="0"/>
                <w:numId w:val="166"/>
              </w:numPr>
              <w:spacing w:after="0"/>
              <w:cnfStyle w:val="000000010000" w:firstRow="0" w:lastRow="0" w:firstColumn="0" w:lastColumn="0" w:oddVBand="0" w:evenVBand="0" w:oddHBand="0" w:evenHBand="1" w:firstRowFirstColumn="0" w:firstRowLastColumn="0" w:lastRowFirstColumn="0" w:lastRowLastColumn="0"/>
            </w:pPr>
            <w:r w:rsidRPr="004B3B0D">
              <w:t xml:space="preserve">Provide information to support the reasonableness of the valuations, whether there is an increase, decrease or no change. </w:t>
            </w:r>
          </w:p>
          <w:p w14:paraId="378CFFA2" w14:textId="77777777" w:rsidR="00714D41" w:rsidRPr="004B3B0D" w:rsidRDefault="00714D41" w:rsidP="00714D41">
            <w:pPr>
              <w:pStyle w:val="ListParagraph"/>
              <w:numPr>
                <w:ilvl w:val="1"/>
                <w:numId w:val="166"/>
              </w:numPr>
              <w:spacing w:after="0"/>
              <w:cnfStyle w:val="000000010000" w:firstRow="0" w:lastRow="0" w:firstColumn="0" w:lastColumn="0" w:oddVBand="0" w:evenVBand="0" w:oddHBand="0" w:evenHBand="1" w:firstRowFirstColumn="0" w:firstRowLastColumn="0" w:lastRowFirstColumn="0" w:lastRowLastColumn="0"/>
            </w:pPr>
            <w:r w:rsidRPr="004B3B0D">
              <w:t>This should include relevant information about past and predicted future trends in fair values for the type of assets valued, and comparisons to other fair values obtained during the reporting period</w:t>
            </w:r>
          </w:p>
          <w:p w14:paraId="3737B89A" w14:textId="65E68EC7" w:rsidR="00714D41" w:rsidRPr="004B3B0D" w:rsidRDefault="00714D41" w:rsidP="00714D41">
            <w:pPr>
              <w:pStyle w:val="ListParagraph"/>
              <w:numPr>
                <w:ilvl w:val="0"/>
                <w:numId w:val="166"/>
              </w:numPr>
              <w:spacing w:before="0" w:after="0"/>
              <w:cnfStyle w:val="000000010000" w:firstRow="0" w:lastRow="0" w:firstColumn="0" w:lastColumn="0" w:oddVBand="0" w:evenVBand="0" w:oddHBand="0" w:evenHBand="1" w:firstRowFirstColumn="0" w:firstRowLastColumn="0" w:lastRowFirstColumn="0" w:lastRowLastColumn="0"/>
            </w:pPr>
            <w:r w:rsidRPr="004B3B0D">
              <w:t xml:space="preserve">Liaise with auditors with respect to any issues relating to </w:t>
            </w:r>
            <w:r w:rsidR="00EB143D" w:rsidRPr="004B3B0D">
              <w:t xml:space="preserve">non-financial </w:t>
            </w:r>
            <w:r w:rsidRPr="004B3B0D">
              <w:t>asset valuation, which may include the provision of source data, where applicable.</w:t>
            </w:r>
          </w:p>
        </w:tc>
      </w:tr>
    </w:tbl>
    <w:p w14:paraId="1170A808" w14:textId="77777777" w:rsidR="00714D41" w:rsidRPr="004B3B0D" w:rsidRDefault="00714D41" w:rsidP="00714D41">
      <w:pPr>
        <w:spacing w:before="240" w:after="120" w:line="300" w:lineRule="exact"/>
        <w:ind w:right="170"/>
      </w:pPr>
    </w:p>
    <w:p w14:paraId="7B77FC69" w14:textId="7B5397DF" w:rsidR="00BB3C82" w:rsidRPr="004B3B0D" w:rsidRDefault="00BB3C82" w:rsidP="0041647A">
      <w:pPr>
        <w:pStyle w:val="ListNumber"/>
        <w:numPr>
          <w:ilvl w:val="0"/>
          <w:numId w:val="0"/>
        </w:numPr>
      </w:pPr>
    </w:p>
    <w:p w14:paraId="41BC36EC" w14:textId="77777777" w:rsidR="00714D41" w:rsidRPr="004B3B0D" w:rsidRDefault="00714D41" w:rsidP="0041647A">
      <w:pPr>
        <w:pStyle w:val="ListNumber"/>
        <w:numPr>
          <w:ilvl w:val="0"/>
          <w:numId w:val="0"/>
        </w:numPr>
      </w:pPr>
    </w:p>
    <w:p w14:paraId="6DC9C96C" w14:textId="79039891" w:rsidR="00357CDF" w:rsidRPr="004B3B0D" w:rsidRDefault="002614FF" w:rsidP="001C11D5">
      <w:pPr>
        <w:pStyle w:val="ListNumber"/>
        <w:pageBreakBefore/>
        <w:numPr>
          <w:ilvl w:val="0"/>
          <w:numId w:val="0"/>
        </w:numPr>
        <w:jc w:val="right"/>
        <w:rPr>
          <w:b/>
          <w:sz w:val="28"/>
          <w:szCs w:val="28"/>
          <w:u w:val="single"/>
        </w:rPr>
      </w:pPr>
      <w:r w:rsidRPr="004B3B0D">
        <w:rPr>
          <w:b/>
          <w:sz w:val="28"/>
          <w:szCs w:val="28"/>
          <w:u w:val="single"/>
        </w:rPr>
        <w:t>APPENDIX B</w:t>
      </w:r>
      <w:r w:rsidR="00357CDF" w:rsidRPr="004B3B0D">
        <w:rPr>
          <w:b/>
          <w:sz w:val="28"/>
          <w:szCs w:val="28"/>
          <w:u w:val="single"/>
        </w:rPr>
        <w:t xml:space="preserve"> </w:t>
      </w:r>
    </w:p>
    <w:p w14:paraId="18092ED8" w14:textId="229D628F" w:rsidR="00357CDF" w:rsidRPr="004B3B0D" w:rsidRDefault="00357CDF" w:rsidP="005C67F3">
      <w:pPr>
        <w:pStyle w:val="ListNumber"/>
        <w:numPr>
          <w:ilvl w:val="0"/>
          <w:numId w:val="0"/>
        </w:numPr>
        <w:rPr>
          <w:b/>
          <w:sz w:val="28"/>
          <w:szCs w:val="28"/>
        </w:rPr>
      </w:pPr>
      <w:r w:rsidRPr="004B3B0D">
        <w:rPr>
          <w:b/>
          <w:sz w:val="28"/>
          <w:szCs w:val="28"/>
        </w:rPr>
        <w:t xml:space="preserve">REGISTER OF </w:t>
      </w:r>
      <w:r w:rsidR="00611DF2" w:rsidRPr="004B3B0D">
        <w:rPr>
          <w:b/>
          <w:sz w:val="28"/>
          <w:szCs w:val="28"/>
        </w:rPr>
        <w:t>NON-</w:t>
      </w:r>
      <w:r w:rsidR="00794FB3" w:rsidRPr="004B3B0D">
        <w:rPr>
          <w:b/>
          <w:sz w:val="28"/>
          <w:szCs w:val="28"/>
        </w:rPr>
        <w:t xml:space="preserve">FINANCIAL </w:t>
      </w:r>
      <w:r w:rsidRPr="004B3B0D">
        <w:rPr>
          <w:b/>
          <w:sz w:val="28"/>
          <w:szCs w:val="28"/>
        </w:rPr>
        <w:t>ASSETS – INFORMATION REQUIREMENTS</w:t>
      </w:r>
    </w:p>
    <w:p w14:paraId="6552D54A" w14:textId="56C4F101" w:rsidR="00E67D5D" w:rsidRPr="004B3B0D" w:rsidRDefault="00BD34A8" w:rsidP="0041647A">
      <w:pPr>
        <w:pStyle w:val="ListNumber"/>
        <w:numPr>
          <w:ilvl w:val="0"/>
          <w:numId w:val="0"/>
        </w:numPr>
      </w:pPr>
      <w:r w:rsidRPr="004B3B0D">
        <w:t xml:space="preserve">The </w:t>
      </w:r>
      <w:r w:rsidR="00B02DB0" w:rsidRPr="004B3B0D">
        <w:t xml:space="preserve">following information </w:t>
      </w:r>
      <w:r w:rsidR="000A13D2">
        <w:t xml:space="preserve">must </w:t>
      </w:r>
      <w:r w:rsidR="00B02DB0" w:rsidRPr="004B3B0D">
        <w:t>at a minimum</w:t>
      </w:r>
      <w:r w:rsidR="000A13D2">
        <w:t>,</w:t>
      </w:r>
      <w:r w:rsidR="00B02DB0" w:rsidRPr="004B3B0D">
        <w:t xml:space="preserve"> be recorded in a </w:t>
      </w:r>
      <w:r w:rsidR="00570B71" w:rsidRPr="004B3B0D">
        <w:t>r</w:t>
      </w:r>
      <w:r w:rsidRPr="004B3B0D">
        <w:t xml:space="preserve">egister of </w:t>
      </w:r>
      <w:r w:rsidR="00570B71" w:rsidRPr="004B3B0D">
        <w:t>non-financial a</w:t>
      </w:r>
      <w:r w:rsidRPr="004B3B0D">
        <w:t>ssets for financial recording purposes:</w:t>
      </w:r>
    </w:p>
    <w:p w14:paraId="06ED2869" w14:textId="77777777" w:rsidR="00BD34A8" w:rsidRPr="004B3B0D" w:rsidRDefault="00BD34A8" w:rsidP="0006101C">
      <w:pPr>
        <w:pStyle w:val="ListNumber"/>
        <w:numPr>
          <w:ilvl w:val="0"/>
          <w:numId w:val="0"/>
        </w:numPr>
        <w:ind w:left="357"/>
        <w:rPr>
          <w:b/>
        </w:rPr>
      </w:pPr>
      <w:r w:rsidRPr="004B3B0D">
        <w:rPr>
          <w:b/>
        </w:rPr>
        <w:t>Description</w:t>
      </w:r>
    </w:p>
    <w:p w14:paraId="533405B5" w14:textId="17C0AEB0" w:rsidR="00BD34A8" w:rsidRPr="004B3B0D" w:rsidRDefault="00BD34A8" w:rsidP="00BD34A8">
      <w:pPr>
        <w:pStyle w:val="ListNumber"/>
        <w:numPr>
          <w:ilvl w:val="1"/>
          <w:numId w:val="12"/>
        </w:numPr>
      </w:pPr>
      <w:r w:rsidRPr="004B3B0D">
        <w:t xml:space="preserve">description of </w:t>
      </w:r>
      <w:r w:rsidR="008568B7" w:rsidRPr="004B3B0D">
        <w:t xml:space="preserve">non-financial </w:t>
      </w:r>
      <w:r w:rsidRPr="004B3B0D">
        <w:t>asset, including components (where appropriate)</w:t>
      </w:r>
    </w:p>
    <w:p w14:paraId="0DCBC820" w14:textId="2D362983" w:rsidR="00BD34A8" w:rsidRPr="004B3B0D" w:rsidRDefault="00BD34A8" w:rsidP="00BD34A8">
      <w:pPr>
        <w:pStyle w:val="ListNumber"/>
        <w:numPr>
          <w:ilvl w:val="1"/>
          <w:numId w:val="12"/>
        </w:numPr>
      </w:pPr>
      <w:r w:rsidRPr="004B3B0D">
        <w:t>date of acquisition</w:t>
      </w:r>
      <w:r w:rsidR="009B0770">
        <w:t>*</w:t>
      </w:r>
    </w:p>
    <w:p w14:paraId="747977AC" w14:textId="087C9153" w:rsidR="001E5B44" w:rsidRPr="004B3B0D" w:rsidRDefault="001E5B44" w:rsidP="00BD34A8">
      <w:pPr>
        <w:pStyle w:val="ListNumber"/>
        <w:numPr>
          <w:ilvl w:val="1"/>
          <w:numId w:val="12"/>
        </w:numPr>
      </w:pPr>
      <w:r w:rsidRPr="004B3B0D">
        <w:t xml:space="preserve">manufacturer’s identification numbers (for example, serial number) where applicable </w:t>
      </w:r>
    </w:p>
    <w:p w14:paraId="2DDFDB92" w14:textId="5F50F987" w:rsidR="001E5B44" w:rsidRPr="004B3B0D" w:rsidRDefault="001E5B44" w:rsidP="00BD34A8">
      <w:pPr>
        <w:pStyle w:val="ListNumber"/>
        <w:numPr>
          <w:ilvl w:val="1"/>
          <w:numId w:val="12"/>
        </w:numPr>
      </w:pPr>
      <w:r w:rsidRPr="004B3B0D">
        <w:t xml:space="preserve">agency identification number </w:t>
      </w:r>
    </w:p>
    <w:p w14:paraId="5DC91F28" w14:textId="77777777" w:rsidR="00BD34A8" w:rsidRPr="004B3B0D" w:rsidRDefault="00BD34A8" w:rsidP="00BD34A8">
      <w:pPr>
        <w:pStyle w:val="ListNumber"/>
        <w:numPr>
          <w:ilvl w:val="1"/>
          <w:numId w:val="12"/>
        </w:numPr>
      </w:pPr>
      <w:r w:rsidRPr="004B3B0D">
        <w:t>location</w:t>
      </w:r>
    </w:p>
    <w:p w14:paraId="07BD2FD4" w14:textId="5B0E1F54" w:rsidR="00BD34A8" w:rsidRPr="004B3B0D" w:rsidRDefault="00BD34A8" w:rsidP="00BD34A8">
      <w:pPr>
        <w:pStyle w:val="ListNumber"/>
        <w:numPr>
          <w:ilvl w:val="1"/>
          <w:numId w:val="12"/>
        </w:numPr>
      </w:pPr>
      <w:r w:rsidRPr="004B3B0D">
        <w:t>ownership</w:t>
      </w:r>
    </w:p>
    <w:p w14:paraId="02F76C5C" w14:textId="60005514" w:rsidR="008F2FF7" w:rsidRPr="004B3B0D" w:rsidRDefault="00000C44" w:rsidP="00BD34A8">
      <w:pPr>
        <w:pStyle w:val="ListNumber"/>
        <w:numPr>
          <w:ilvl w:val="1"/>
          <w:numId w:val="12"/>
        </w:numPr>
      </w:pPr>
      <w:r w:rsidRPr="004B3B0D">
        <w:t>source document reference (invoice, transfer of gift or donation documentation)</w:t>
      </w:r>
      <w:r w:rsidR="00011138" w:rsidRPr="004B3B0D">
        <w:t xml:space="preserve">, </w:t>
      </w:r>
      <w:r w:rsidR="00BB3C82" w:rsidRPr="004B3B0D">
        <w:t>where applicable</w:t>
      </w:r>
      <w:r w:rsidR="009B0770">
        <w:t>*</w:t>
      </w:r>
    </w:p>
    <w:p w14:paraId="47D4C27D" w14:textId="5B49CBB6" w:rsidR="00000C44" w:rsidRPr="004B3B0D" w:rsidRDefault="008F2FF7" w:rsidP="00BD34A8">
      <w:pPr>
        <w:pStyle w:val="ListNumber"/>
        <w:numPr>
          <w:ilvl w:val="1"/>
          <w:numId w:val="12"/>
        </w:numPr>
      </w:pPr>
      <w:r w:rsidRPr="004B3B0D">
        <w:t>size</w:t>
      </w:r>
      <w:r w:rsidR="00D3256B" w:rsidRPr="004B3B0D">
        <w:t>/area</w:t>
      </w:r>
      <w:r w:rsidRPr="004B3B0D">
        <w:t xml:space="preserve"> of the asset (where applicable) </w:t>
      </w:r>
      <w:r w:rsidR="00BB3C82" w:rsidRPr="004B3B0D">
        <w:t xml:space="preserve"> </w:t>
      </w:r>
    </w:p>
    <w:p w14:paraId="7FE099E0" w14:textId="77777777" w:rsidR="00BD34A8" w:rsidRPr="004B3B0D" w:rsidRDefault="00BD34A8" w:rsidP="00BD34A8">
      <w:pPr>
        <w:pStyle w:val="ListNumber"/>
        <w:numPr>
          <w:ilvl w:val="0"/>
          <w:numId w:val="0"/>
        </w:numPr>
        <w:ind w:left="357"/>
        <w:rPr>
          <w:b/>
        </w:rPr>
      </w:pPr>
      <w:r w:rsidRPr="004B3B0D">
        <w:rPr>
          <w:b/>
        </w:rPr>
        <w:t>Depreciation (where applicable)</w:t>
      </w:r>
    </w:p>
    <w:p w14:paraId="667C199D" w14:textId="77985801" w:rsidR="00BD34A8" w:rsidRPr="004B3B0D" w:rsidRDefault="00BD34A8" w:rsidP="00BD34A8">
      <w:pPr>
        <w:pStyle w:val="ListNumber"/>
        <w:numPr>
          <w:ilvl w:val="1"/>
          <w:numId w:val="12"/>
        </w:numPr>
      </w:pPr>
      <w:r w:rsidRPr="004B3B0D">
        <w:t>depreciation method</w:t>
      </w:r>
      <w:r w:rsidR="00000C44" w:rsidRPr="004B3B0D">
        <w:t xml:space="preserve"> and annual rate</w:t>
      </w:r>
    </w:p>
    <w:p w14:paraId="41EF83F6" w14:textId="77777777" w:rsidR="00BD34A8" w:rsidRPr="004B3B0D" w:rsidRDefault="00BD34A8" w:rsidP="00BD34A8">
      <w:pPr>
        <w:pStyle w:val="ListNumber"/>
        <w:numPr>
          <w:ilvl w:val="1"/>
          <w:numId w:val="12"/>
        </w:numPr>
      </w:pPr>
      <w:r w:rsidRPr="004B3B0D">
        <w:t xml:space="preserve">annual depreciation charge </w:t>
      </w:r>
    </w:p>
    <w:p w14:paraId="1CA64BBC" w14:textId="77777777" w:rsidR="00BD34A8" w:rsidRPr="004B3B0D" w:rsidRDefault="00BD34A8" w:rsidP="00BD34A8">
      <w:pPr>
        <w:pStyle w:val="ListNumber"/>
        <w:numPr>
          <w:ilvl w:val="1"/>
          <w:numId w:val="12"/>
        </w:numPr>
      </w:pPr>
      <w:r w:rsidRPr="004B3B0D">
        <w:t>accumulated depreciation</w:t>
      </w:r>
    </w:p>
    <w:p w14:paraId="32B43D32" w14:textId="7EF3FAE3" w:rsidR="00BD34A8" w:rsidRPr="004B3B0D" w:rsidRDefault="00BD34A8" w:rsidP="00BD34A8">
      <w:pPr>
        <w:pStyle w:val="ListNumber"/>
        <w:numPr>
          <w:ilvl w:val="1"/>
          <w:numId w:val="12"/>
        </w:numPr>
      </w:pPr>
      <w:r w:rsidRPr="004B3B0D">
        <w:t>carrying amount</w:t>
      </w:r>
      <w:r w:rsidR="00000C44" w:rsidRPr="004B3B0D">
        <w:t xml:space="preserve"> (written down value)</w:t>
      </w:r>
    </w:p>
    <w:p w14:paraId="479C6F18" w14:textId="77777777" w:rsidR="00BD34A8" w:rsidRPr="004B3B0D" w:rsidRDefault="00BD34A8" w:rsidP="00BD34A8">
      <w:pPr>
        <w:pStyle w:val="ListNumber"/>
        <w:numPr>
          <w:ilvl w:val="0"/>
          <w:numId w:val="0"/>
        </w:numPr>
        <w:ind w:left="357"/>
        <w:rPr>
          <w:b/>
        </w:rPr>
      </w:pPr>
      <w:r w:rsidRPr="004B3B0D">
        <w:rPr>
          <w:b/>
        </w:rPr>
        <w:t xml:space="preserve">Valuation and impairment </w:t>
      </w:r>
    </w:p>
    <w:p w14:paraId="575ED3F1" w14:textId="0F241D1A" w:rsidR="00BD34A8" w:rsidRPr="004B3B0D" w:rsidRDefault="00BD34A8" w:rsidP="00BD34A8">
      <w:pPr>
        <w:pStyle w:val="ListNumber"/>
        <w:numPr>
          <w:ilvl w:val="1"/>
          <w:numId w:val="12"/>
        </w:numPr>
      </w:pPr>
      <w:r w:rsidRPr="004B3B0D">
        <w:t>original cost or fair value on acquisition</w:t>
      </w:r>
      <w:r w:rsidR="008F2FF7" w:rsidRPr="004B3B0D">
        <w:t xml:space="preserve"> (where applicable)</w:t>
      </w:r>
      <w:r w:rsidR="009B0770">
        <w:t>*</w:t>
      </w:r>
    </w:p>
    <w:p w14:paraId="324E9CFF" w14:textId="114651BF" w:rsidR="00000C44" w:rsidRPr="004B3B0D" w:rsidRDefault="00000C44" w:rsidP="00BD34A8">
      <w:pPr>
        <w:pStyle w:val="ListNumber"/>
        <w:numPr>
          <w:ilvl w:val="1"/>
          <w:numId w:val="12"/>
        </w:numPr>
      </w:pPr>
      <w:r w:rsidRPr="004B3B0D">
        <w:t>valuation and basis of valuation</w:t>
      </w:r>
    </w:p>
    <w:p w14:paraId="51BAD9C9" w14:textId="5A7172E4" w:rsidR="00000C44" w:rsidRPr="004B3B0D" w:rsidRDefault="00000C44" w:rsidP="00BD34A8">
      <w:pPr>
        <w:pStyle w:val="ListNumber"/>
        <w:numPr>
          <w:ilvl w:val="1"/>
          <w:numId w:val="12"/>
        </w:numPr>
      </w:pPr>
      <w:r w:rsidRPr="004B3B0D">
        <w:t>name of valuer and date of valuation</w:t>
      </w:r>
    </w:p>
    <w:p w14:paraId="6BF5B7CA" w14:textId="3152031F" w:rsidR="00BD34A8" w:rsidRPr="004B3B0D" w:rsidRDefault="00BD34A8" w:rsidP="00BD34A8">
      <w:pPr>
        <w:pStyle w:val="ListNumber"/>
        <w:numPr>
          <w:ilvl w:val="1"/>
          <w:numId w:val="12"/>
        </w:numPr>
      </w:pPr>
      <w:r w:rsidRPr="004B3B0D">
        <w:t>expected useful life</w:t>
      </w:r>
    </w:p>
    <w:p w14:paraId="4C98A828" w14:textId="0E5A41D7" w:rsidR="00BD34A8" w:rsidRPr="004B3B0D" w:rsidRDefault="00BD34A8" w:rsidP="00BD34A8">
      <w:pPr>
        <w:pStyle w:val="ListNumber"/>
        <w:numPr>
          <w:ilvl w:val="1"/>
          <w:numId w:val="12"/>
        </w:numPr>
      </w:pPr>
      <w:r w:rsidRPr="004B3B0D">
        <w:t>residual value (where applicable)</w:t>
      </w:r>
    </w:p>
    <w:p w14:paraId="379C8EA7" w14:textId="4EFE6C1C" w:rsidR="00564F9C" w:rsidRPr="004B3B0D" w:rsidRDefault="00564F9C" w:rsidP="00BD34A8">
      <w:pPr>
        <w:pStyle w:val="ListNumber"/>
        <w:numPr>
          <w:ilvl w:val="1"/>
          <w:numId w:val="12"/>
        </w:numPr>
      </w:pPr>
      <w:r w:rsidRPr="004B3B0D">
        <w:t>accumulated impairment adjustments (where applicable)</w:t>
      </w:r>
    </w:p>
    <w:p w14:paraId="1777F667" w14:textId="77A0E9A5" w:rsidR="00BD34A8" w:rsidRPr="004B3B0D" w:rsidRDefault="00564F9C" w:rsidP="00BD34A8">
      <w:pPr>
        <w:pStyle w:val="ListNumber"/>
        <w:numPr>
          <w:ilvl w:val="0"/>
          <w:numId w:val="0"/>
        </w:numPr>
        <w:ind w:left="357"/>
        <w:rPr>
          <w:b/>
        </w:rPr>
      </w:pPr>
      <w:r w:rsidRPr="004B3B0D">
        <w:rPr>
          <w:b/>
        </w:rPr>
        <w:t>D</w:t>
      </w:r>
      <w:r w:rsidR="00BD34A8" w:rsidRPr="004B3B0D">
        <w:rPr>
          <w:b/>
        </w:rPr>
        <w:t>isposal</w:t>
      </w:r>
    </w:p>
    <w:p w14:paraId="70348829" w14:textId="77777777" w:rsidR="00BD34A8" w:rsidRPr="004B3B0D" w:rsidRDefault="00BD34A8" w:rsidP="00BD34A8">
      <w:pPr>
        <w:pStyle w:val="ListNumber"/>
        <w:numPr>
          <w:ilvl w:val="1"/>
          <w:numId w:val="12"/>
        </w:numPr>
      </w:pPr>
      <w:r w:rsidRPr="004B3B0D">
        <w:t>date of disposal</w:t>
      </w:r>
    </w:p>
    <w:p w14:paraId="2A587652" w14:textId="467B6366" w:rsidR="00BD34A8" w:rsidRPr="004B3B0D" w:rsidRDefault="00BD34A8" w:rsidP="00BD34A8">
      <w:pPr>
        <w:pStyle w:val="ListNumber"/>
        <w:numPr>
          <w:ilvl w:val="1"/>
          <w:numId w:val="12"/>
        </w:numPr>
      </w:pPr>
      <w:r w:rsidRPr="004B3B0D">
        <w:t>method of disposal</w:t>
      </w:r>
      <w:r w:rsidR="00564F9C" w:rsidRPr="004B3B0D">
        <w:t xml:space="preserve"> (for example sale, public auction, gift, write-off)</w:t>
      </w:r>
    </w:p>
    <w:p w14:paraId="06A120F1" w14:textId="536D7DB5" w:rsidR="00564F9C" w:rsidRPr="004B3B0D" w:rsidRDefault="00564F9C" w:rsidP="00BD34A8">
      <w:pPr>
        <w:pStyle w:val="ListNumber"/>
        <w:numPr>
          <w:ilvl w:val="1"/>
          <w:numId w:val="12"/>
        </w:numPr>
      </w:pPr>
      <w:r w:rsidRPr="004B3B0D">
        <w:t>disposal document reference (for example relevant receipt number, approval reference etc.)</w:t>
      </w:r>
      <w:r w:rsidR="00011138" w:rsidRPr="004B3B0D">
        <w:t>, where applicable</w:t>
      </w:r>
    </w:p>
    <w:p w14:paraId="16CD77C0" w14:textId="1CE6A67A" w:rsidR="00564F9C" w:rsidRPr="004B3B0D" w:rsidRDefault="00564F9C" w:rsidP="00BD34A8">
      <w:pPr>
        <w:pStyle w:val="ListNumber"/>
        <w:numPr>
          <w:ilvl w:val="1"/>
          <w:numId w:val="12"/>
        </w:numPr>
      </w:pPr>
      <w:r w:rsidRPr="004B3B0D">
        <w:t>carrying amount at the date of disposal</w:t>
      </w:r>
    </w:p>
    <w:p w14:paraId="578D4A52" w14:textId="2EB749E1" w:rsidR="00564F9C" w:rsidRPr="004B3B0D" w:rsidRDefault="00564F9C" w:rsidP="00BD34A8">
      <w:pPr>
        <w:pStyle w:val="ListNumber"/>
        <w:numPr>
          <w:ilvl w:val="1"/>
          <w:numId w:val="12"/>
        </w:numPr>
      </w:pPr>
      <w:r w:rsidRPr="004B3B0D">
        <w:t>proceeds of sale, auction or trade-in etc.; and gain or loss on disposal</w:t>
      </w:r>
    </w:p>
    <w:p w14:paraId="00DE1BE4" w14:textId="40D8CCB4" w:rsidR="00AE2233" w:rsidRDefault="00AE2233" w:rsidP="0006101C">
      <w:pPr>
        <w:pStyle w:val="ListNumber"/>
        <w:numPr>
          <w:ilvl w:val="0"/>
          <w:numId w:val="0"/>
        </w:numPr>
        <w:spacing w:after="200"/>
        <w:ind w:left="357"/>
      </w:pPr>
    </w:p>
    <w:p w14:paraId="7545FCC2" w14:textId="61136AE6" w:rsidR="00E67D5D" w:rsidRDefault="009B0770" w:rsidP="007B4B13">
      <w:pPr>
        <w:pStyle w:val="ListNumber"/>
        <w:numPr>
          <w:ilvl w:val="0"/>
          <w:numId w:val="0"/>
        </w:numPr>
        <w:spacing w:after="200"/>
        <w:rPr>
          <w:i/>
          <w:sz w:val="18"/>
          <w:szCs w:val="18"/>
        </w:rPr>
      </w:pPr>
      <w:r>
        <w:rPr>
          <w:b/>
        </w:rPr>
        <w:t>*</w:t>
      </w:r>
      <w:r w:rsidR="00355532" w:rsidRPr="007B4B13">
        <w:rPr>
          <w:i/>
          <w:sz w:val="18"/>
          <w:szCs w:val="18"/>
        </w:rPr>
        <w:t>Crown land</w:t>
      </w:r>
      <w:r w:rsidR="005B01D8">
        <w:rPr>
          <w:i/>
          <w:sz w:val="18"/>
          <w:szCs w:val="18"/>
        </w:rPr>
        <w:t xml:space="preserve"> recorded in an agency’s </w:t>
      </w:r>
      <w:r w:rsidR="00355532">
        <w:rPr>
          <w:i/>
          <w:sz w:val="18"/>
          <w:szCs w:val="18"/>
        </w:rPr>
        <w:t>register of non-financial assets</w:t>
      </w:r>
      <w:r w:rsidR="00355532" w:rsidRPr="007B4B13">
        <w:rPr>
          <w:i/>
          <w:sz w:val="18"/>
          <w:szCs w:val="18"/>
        </w:rPr>
        <w:t xml:space="preserve"> prior to 1 July 2024</w:t>
      </w:r>
      <w:r w:rsidR="001F76AF" w:rsidRPr="007B4B13">
        <w:rPr>
          <w:i/>
          <w:sz w:val="18"/>
          <w:szCs w:val="18"/>
        </w:rPr>
        <w:t xml:space="preserve"> </w:t>
      </w:r>
      <w:r w:rsidR="00355532" w:rsidRPr="001B4EC7">
        <w:rPr>
          <w:i/>
          <w:sz w:val="18"/>
          <w:szCs w:val="18"/>
        </w:rPr>
        <w:t xml:space="preserve">is exempt from this </w:t>
      </w:r>
      <w:r w:rsidR="00355532">
        <w:rPr>
          <w:i/>
          <w:sz w:val="18"/>
          <w:szCs w:val="18"/>
        </w:rPr>
        <w:t>requirement</w:t>
      </w:r>
      <w:r w:rsidR="00355532" w:rsidRPr="007B4B13">
        <w:rPr>
          <w:i/>
          <w:sz w:val="18"/>
          <w:szCs w:val="18"/>
        </w:rPr>
        <w:t xml:space="preserve"> unless</w:t>
      </w:r>
      <w:r w:rsidR="00AF4A3E">
        <w:rPr>
          <w:i/>
          <w:sz w:val="18"/>
          <w:szCs w:val="18"/>
        </w:rPr>
        <w:t xml:space="preserve"> land was</w:t>
      </w:r>
      <w:r w:rsidR="00355532" w:rsidRPr="007B4B13">
        <w:rPr>
          <w:i/>
          <w:sz w:val="18"/>
          <w:szCs w:val="18"/>
        </w:rPr>
        <w:t xml:space="preserve"> acquired from a party external to the Northern Territory Government</w:t>
      </w:r>
      <w:r w:rsidRPr="007B4B13">
        <w:rPr>
          <w:i/>
          <w:sz w:val="18"/>
          <w:szCs w:val="18"/>
        </w:rPr>
        <w:t>.</w:t>
      </w:r>
    </w:p>
    <w:p w14:paraId="40F8DBF0" w14:textId="052CEE89" w:rsidR="00A82237" w:rsidRPr="0006101C" w:rsidRDefault="00A82237" w:rsidP="007B4B13">
      <w:pPr>
        <w:pStyle w:val="ListNumber"/>
        <w:numPr>
          <w:ilvl w:val="0"/>
          <w:numId w:val="0"/>
        </w:numPr>
        <w:spacing w:after="200"/>
        <w:rPr>
          <w:b/>
        </w:rPr>
      </w:pPr>
      <w:r>
        <w:rPr>
          <w:i/>
          <w:sz w:val="18"/>
          <w:szCs w:val="18"/>
        </w:rPr>
        <w:t>Agencies may elect to group cultural and heritage assets into collections when recording assets in the register of non-financial assets.</w:t>
      </w:r>
    </w:p>
    <w:sectPr w:rsidR="00A82237" w:rsidRPr="0006101C" w:rsidSect="00B2229C">
      <w:headerReference w:type="default" r:id="rId9"/>
      <w:footerReference w:type="default" r:id="rId10"/>
      <w:headerReference w:type="first" r:id="rId11"/>
      <w:footerReference w:type="first" r:id="rId12"/>
      <w:pgSz w:w="11906" w:h="16838" w:code="9"/>
      <w:pgMar w:top="794" w:right="794" w:bottom="794" w:left="794" w:header="794" w:footer="50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A2918" w16cex:dateUtc="2024-04-29T04:41:00Z"/>
  <w16cex:commentExtensible w16cex:durableId="29DB474B" w16cex:dateUtc="2024-04-30T01:02:00Z"/>
  <w16cex:commentExtensible w16cex:durableId="29DB4760" w16cex:dateUtc="2024-04-30T01:03:00Z"/>
  <w16cex:commentExtensible w16cex:durableId="29DA4CF3" w16cex:dateUtc="2024-04-29T07:14:00Z"/>
  <w16cex:commentExtensible w16cex:durableId="29DB4876" w16cex:dateUtc="2024-04-30T01:07:00Z"/>
  <w16cex:commentExtensible w16cex:durableId="29DB4A6D" w16cex:dateUtc="2024-04-30T01:16:00Z"/>
  <w16cex:commentExtensible w16cex:durableId="29DA3306" w16cex:dateUtc="2024-04-29T05:23:00Z"/>
  <w16cex:commentExtensible w16cex:durableId="29DA3398" w16cex:dateUtc="2024-04-29T05:26:00Z"/>
  <w16cex:commentExtensible w16cex:durableId="29DB4B39" w16cex:dateUtc="2024-04-30T01:19:00Z"/>
  <w16cex:commentExtensible w16cex:durableId="29DA3404" w16cex:dateUtc="2024-04-29T05:28:00Z"/>
  <w16cex:commentExtensible w16cex:durableId="29DA34B2" w16cex:dateUtc="2024-04-29T05:31:00Z"/>
  <w16cex:commentExtensible w16cex:durableId="29DA3749" w16cex:dateUtc="2024-04-29T05:42:00Z"/>
  <w16cex:commentExtensible w16cex:durableId="29DB4C36" w16cex:dateUtc="2024-04-30T01:23:00Z"/>
  <w16cex:commentExtensible w16cex:durableId="29DA379C" w16cex:dateUtc="2024-04-29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A4399" w16cid:durableId="29DA2918"/>
  <w16cid:commentId w16cid:paraId="1BEB780A" w16cid:durableId="29DB474B"/>
  <w16cid:commentId w16cid:paraId="066A61F1" w16cid:durableId="29DB4760"/>
  <w16cid:commentId w16cid:paraId="24C5A94A" w16cid:durableId="29DA4CF3"/>
  <w16cid:commentId w16cid:paraId="10185B69" w16cid:durableId="29DB4876"/>
  <w16cid:commentId w16cid:paraId="318D8952" w16cid:durableId="29DB4A6D"/>
  <w16cid:commentId w16cid:paraId="532D6B33" w16cid:durableId="29DA3306"/>
  <w16cid:commentId w16cid:paraId="16F32529" w16cid:durableId="29DA3398"/>
  <w16cid:commentId w16cid:paraId="6107A18D" w16cid:durableId="29DB4B39"/>
  <w16cid:commentId w16cid:paraId="0F8AC082" w16cid:durableId="29DA3404"/>
  <w16cid:commentId w16cid:paraId="7C1C45C4" w16cid:durableId="29DA34B2"/>
  <w16cid:commentId w16cid:paraId="68F9BE65" w16cid:durableId="29DA3749"/>
  <w16cid:commentId w16cid:paraId="6871C506" w16cid:durableId="29DB4C36"/>
  <w16cid:commentId w16cid:paraId="7BF683E3" w16cid:durableId="29DA3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69EF" w14:textId="77777777" w:rsidR="00163B02" w:rsidRDefault="00163B02" w:rsidP="007332FF">
      <w:r>
        <w:separator/>
      </w:r>
    </w:p>
  </w:endnote>
  <w:endnote w:type="continuationSeparator" w:id="0">
    <w:p w14:paraId="004A0878" w14:textId="77777777" w:rsidR="00163B02" w:rsidRDefault="00163B0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D38F" w14:textId="77777777" w:rsidR="00163B02" w:rsidRDefault="00163B02"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163B02" w:rsidRPr="00132658" w14:paraId="642504FE" w14:textId="77777777" w:rsidTr="00D47DC7">
      <w:trPr>
        <w:cantSplit/>
        <w:trHeight w:hRule="exact" w:val="850"/>
      </w:trPr>
      <w:tc>
        <w:tcPr>
          <w:tcW w:w="10318" w:type="dxa"/>
          <w:vAlign w:val="bottom"/>
        </w:tcPr>
        <w:p w14:paraId="516F0052" w14:textId="77777777" w:rsidR="00163B02" w:rsidRDefault="00163B02"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2A6C2ECB" w14:textId="04F29221" w:rsidR="00163B02" w:rsidRPr="00CE6614" w:rsidRDefault="00B13FB2"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163B02">
                <w:rPr>
                  <w:rStyle w:val="PageNumber"/>
                </w:rPr>
                <w:t>1 July 2024</w:t>
              </w:r>
            </w:sdtContent>
          </w:sdt>
          <w:r w:rsidR="00163B02" w:rsidRPr="00CE6614">
            <w:rPr>
              <w:rStyle w:val="PageNumber"/>
            </w:rPr>
            <w:t xml:space="preserve"> | Version </w:t>
          </w:r>
          <w:r w:rsidR="00163B02">
            <w:rPr>
              <w:rStyle w:val="PageNumber"/>
            </w:rPr>
            <w:t>1.0</w:t>
          </w:r>
        </w:p>
        <w:p w14:paraId="134BF5E5" w14:textId="5EDC54A5" w:rsidR="00163B02" w:rsidRPr="00AC4488" w:rsidRDefault="00163B0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13FB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13FB2">
            <w:rPr>
              <w:rStyle w:val="PageNumber"/>
              <w:noProof/>
            </w:rPr>
            <w:t>17</w:t>
          </w:r>
          <w:r w:rsidRPr="00AC4488">
            <w:rPr>
              <w:rStyle w:val="PageNumber"/>
            </w:rPr>
            <w:fldChar w:fldCharType="end"/>
          </w:r>
        </w:p>
      </w:tc>
    </w:tr>
  </w:tbl>
  <w:p w14:paraId="7B3D63F4" w14:textId="77777777" w:rsidR="00163B02" w:rsidRPr="00B11C67" w:rsidRDefault="00163B02"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4E06" w14:textId="77777777" w:rsidR="00163B02" w:rsidRDefault="00163B02"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163B02" w:rsidRPr="00132658" w14:paraId="4C4EDE5A" w14:textId="77777777" w:rsidTr="00B2229C">
      <w:trPr>
        <w:cantSplit/>
        <w:trHeight w:hRule="exact" w:val="1000"/>
      </w:trPr>
      <w:tc>
        <w:tcPr>
          <w:tcW w:w="7767" w:type="dxa"/>
          <w:vAlign w:val="bottom"/>
        </w:tcPr>
        <w:p w14:paraId="586E2E72" w14:textId="77777777" w:rsidR="00163B02" w:rsidRDefault="00163B02"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15F8A568" w14:textId="33C367A0" w:rsidR="00163B02" w:rsidRPr="00CE6614" w:rsidRDefault="00B13FB2"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163B02">
                <w:rPr>
                  <w:rStyle w:val="PageNumber"/>
                </w:rPr>
                <w:t>1 July 2024</w:t>
              </w:r>
            </w:sdtContent>
          </w:sdt>
          <w:r w:rsidR="00163B02" w:rsidRPr="00CE6614">
            <w:rPr>
              <w:rStyle w:val="PageNumber"/>
            </w:rPr>
            <w:t xml:space="preserve"> | Version </w:t>
          </w:r>
          <w:r w:rsidR="00163B02">
            <w:rPr>
              <w:rStyle w:val="PageNumber"/>
            </w:rPr>
            <w:t>1.0</w:t>
          </w:r>
        </w:p>
        <w:p w14:paraId="7EEE4006" w14:textId="469570B1" w:rsidR="00163B02" w:rsidRPr="00CE30CF" w:rsidRDefault="00163B0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13FB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13FB2">
            <w:rPr>
              <w:rStyle w:val="PageNumber"/>
              <w:noProof/>
            </w:rPr>
            <w:t>17</w:t>
          </w:r>
          <w:r w:rsidRPr="00AC4488">
            <w:rPr>
              <w:rStyle w:val="PageNumber"/>
            </w:rPr>
            <w:fldChar w:fldCharType="end"/>
          </w:r>
        </w:p>
      </w:tc>
      <w:tc>
        <w:tcPr>
          <w:tcW w:w="2551" w:type="dxa"/>
          <w:vAlign w:val="bottom"/>
        </w:tcPr>
        <w:p w14:paraId="151B1DB1" w14:textId="77777777" w:rsidR="00163B02" w:rsidRPr="001E14EB" w:rsidRDefault="00163B02" w:rsidP="0071700C">
          <w:pPr>
            <w:spacing w:after="0"/>
            <w:jc w:val="right"/>
          </w:pPr>
          <w:r>
            <w:rPr>
              <w:noProof/>
              <w:lang w:eastAsia="en-AU"/>
            </w:rPr>
            <w:drawing>
              <wp:inline distT="0" distB="0" distL="0" distR="0" wp14:anchorId="48B50E5F" wp14:editId="64F5349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163B02" w:rsidRPr="00661BE1" w:rsidRDefault="00163B0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C9000" w14:textId="77777777" w:rsidR="00163B02" w:rsidRDefault="00163B02" w:rsidP="007332FF">
      <w:r>
        <w:separator/>
      </w:r>
    </w:p>
  </w:footnote>
  <w:footnote w:type="continuationSeparator" w:id="0">
    <w:p w14:paraId="2B9874A8" w14:textId="77777777" w:rsidR="00163B02" w:rsidRDefault="00163B0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23EA" w14:textId="3C621D5B" w:rsidR="00163B02" w:rsidRPr="00162207" w:rsidRDefault="00B13FB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63B02">
          <w:t>Treasurer’s Direction – Non-financial assets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1E1D" w14:textId="33013C79" w:rsidR="00163B02" w:rsidRDefault="00B13FB2"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163B02">
          <w:rPr>
            <w:rStyle w:val="TitleChar"/>
          </w:rPr>
          <w:t>Treasurer’s Direction – Non-financial assets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5E68B8"/>
    <w:lvl w:ilvl="0">
      <w:start w:val="1"/>
      <w:numFmt w:val="decimal"/>
      <w:lvlText w:val="%1."/>
      <w:lvlJc w:val="left"/>
      <w:pPr>
        <w:tabs>
          <w:tab w:val="num" w:pos="360"/>
        </w:tabs>
        <w:ind w:left="360" w:hanging="360"/>
      </w:pPr>
    </w:lvl>
  </w:abstractNum>
  <w:abstractNum w:abstractNumId="1"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2" w15:restartNumberingAfterBreak="0">
    <w:nsid w:val="038E05B7"/>
    <w:multiLevelType w:val="hybridMultilevel"/>
    <w:tmpl w:val="72CC7A68"/>
    <w:lvl w:ilvl="0" w:tplc="5E2AD9AA">
      <w:start w:val="1"/>
      <w:numFmt w:val="lowerLetter"/>
      <w:lvlText w:val="%1."/>
      <w:lvlJc w:val="left"/>
      <w:pPr>
        <w:ind w:left="2316" w:hanging="360"/>
      </w:pPr>
      <w:rPr>
        <w:sz w:val="22"/>
        <w:szCs w:val="22"/>
      </w:rPr>
    </w:lvl>
    <w:lvl w:ilvl="1" w:tplc="0C09001B">
      <w:start w:val="1"/>
      <w:numFmt w:val="lowerRoman"/>
      <w:lvlText w:val="%2."/>
      <w:lvlJc w:val="right"/>
      <w:pPr>
        <w:ind w:left="2316" w:hanging="360"/>
      </w:pPr>
    </w:lvl>
    <w:lvl w:ilvl="2" w:tplc="0C09001B" w:tentative="1">
      <w:start w:val="1"/>
      <w:numFmt w:val="lowerRoman"/>
      <w:lvlText w:val="%3."/>
      <w:lvlJc w:val="right"/>
      <w:pPr>
        <w:ind w:left="3036" w:hanging="180"/>
      </w:pPr>
    </w:lvl>
    <w:lvl w:ilvl="3" w:tplc="0C09000F" w:tentative="1">
      <w:start w:val="1"/>
      <w:numFmt w:val="decimal"/>
      <w:lvlText w:val="%4."/>
      <w:lvlJc w:val="left"/>
      <w:pPr>
        <w:ind w:left="3756" w:hanging="360"/>
      </w:pPr>
    </w:lvl>
    <w:lvl w:ilvl="4" w:tplc="0C090019" w:tentative="1">
      <w:start w:val="1"/>
      <w:numFmt w:val="lowerLetter"/>
      <w:lvlText w:val="%5."/>
      <w:lvlJc w:val="left"/>
      <w:pPr>
        <w:ind w:left="4476" w:hanging="360"/>
      </w:pPr>
    </w:lvl>
    <w:lvl w:ilvl="5" w:tplc="0C09001B" w:tentative="1">
      <w:start w:val="1"/>
      <w:numFmt w:val="lowerRoman"/>
      <w:lvlText w:val="%6."/>
      <w:lvlJc w:val="right"/>
      <w:pPr>
        <w:ind w:left="5196" w:hanging="180"/>
      </w:pPr>
    </w:lvl>
    <w:lvl w:ilvl="6" w:tplc="0C09000F" w:tentative="1">
      <w:start w:val="1"/>
      <w:numFmt w:val="decimal"/>
      <w:lvlText w:val="%7."/>
      <w:lvlJc w:val="left"/>
      <w:pPr>
        <w:ind w:left="5916" w:hanging="360"/>
      </w:pPr>
    </w:lvl>
    <w:lvl w:ilvl="7" w:tplc="0C090019" w:tentative="1">
      <w:start w:val="1"/>
      <w:numFmt w:val="lowerLetter"/>
      <w:lvlText w:val="%8."/>
      <w:lvlJc w:val="left"/>
      <w:pPr>
        <w:ind w:left="6636" w:hanging="360"/>
      </w:pPr>
    </w:lvl>
    <w:lvl w:ilvl="8" w:tplc="0C09001B" w:tentative="1">
      <w:start w:val="1"/>
      <w:numFmt w:val="lowerRoman"/>
      <w:lvlText w:val="%9."/>
      <w:lvlJc w:val="right"/>
      <w:pPr>
        <w:ind w:left="7356" w:hanging="180"/>
      </w:pPr>
    </w:lvl>
  </w:abstractNum>
  <w:abstractNum w:abstractNumId="3" w15:restartNumberingAfterBreak="0">
    <w:nsid w:val="03A505B9"/>
    <w:multiLevelType w:val="hybridMultilevel"/>
    <w:tmpl w:val="54AA9534"/>
    <w:lvl w:ilvl="0" w:tplc="0C090019">
      <w:start w:val="1"/>
      <w:numFmt w:val="lowerLetter"/>
      <w:lvlText w:val="%1."/>
      <w:lvlJc w:val="lef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 w15:restartNumberingAfterBreak="0">
    <w:nsid w:val="082360A0"/>
    <w:multiLevelType w:val="hybridMultilevel"/>
    <w:tmpl w:val="69346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814274"/>
    <w:multiLevelType w:val="hybridMultilevel"/>
    <w:tmpl w:val="8C644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E8711B7"/>
    <w:multiLevelType w:val="hybridMultilevel"/>
    <w:tmpl w:val="5756D2E4"/>
    <w:lvl w:ilvl="0" w:tplc="5E2AD9AA">
      <w:start w:val="1"/>
      <w:numFmt w:val="lowerLetter"/>
      <w:lvlText w:val="%1."/>
      <w:lvlJc w:val="left"/>
      <w:pPr>
        <w:ind w:left="144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0D27300"/>
    <w:multiLevelType w:val="multilevel"/>
    <w:tmpl w:val="9FC0045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5E93577"/>
    <w:multiLevelType w:val="multilevel"/>
    <w:tmpl w:val="4E6AC8F6"/>
    <w:name w:val="NTG Table Bullet List33222222"/>
    <w:numStyleLink w:val="Numberlist"/>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9CC4DCD"/>
    <w:multiLevelType w:val="hybridMultilevel"/>
    <w:tmpl w:val="761CA2DA"/>
    <w:lvl w:ilvl="0" w:tplc="B7F00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FD01F1D"/>
    <w:multiLevelType w:val="hybridMultilevel"/>
    <w:tmpl w:val="9126D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3204B03"/>
    <w:multiLevelType w:val="hybridMultilevel"/>
    <w:tmpl w:val="CA84B096"/>
    <w:lvl w:ilvl="0" w:tplc="0C090019">
      <w:start w:val="1"/>
      <w:numFmt w:val="lowerLetter"/>
      <w:lvlText w:val="%1."/>
      <w:lvlJc w:val="left"/>
      <w:pPr>
        <w:ind w:left="928" w:hanging="360"/>
      </w:pPr>
    </w:lvl>
    <w:lvl w:ilvl="1" w:tplc="0C09001B">
      <w:start w:val="1"/>
      <w:numFmt w:val="lowerRoman"/>
      <w:lvlText w:val="%2."/>
      <w:lvlJc w:val="righ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3" w15:restartNumberingAfterBreak="0">
    <w:nsid w:val="261C374E"/>
    <w:multiLevelType w:val="hybridMultilevel"/>
    <w:tmpl w:val="EAB24A00"/>
    <w:lvl w:ilvl="0" w:tplc="A994FDE4">
      <w:numFmt w:val="bullet"/>
      <w:lvlText w:val=""/>
      <w:lvlJc w:val="left"/>
      <w:pPr>
        <w:ind w:left="360" w:hanging="360"/>
      </w:pPr>
      <w:rPr>
        <w:rFonts w:ascii="Wingdings" w:eastAsia="Times New Roman" w:hAnsi="Wingdings" w:cs="Arial" w:hint="default"/>
        <w: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616883"/>
    <w:multiLevelType w:val="hybridMultilevel"/>
    <w:tmpl w:val="871A926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27CE4608"/>
    <w:multiLevelType w:val="multilevel"/>
    <w:tmpl w:val="3E5E177A"/>
    <w:name w:val="NTG Table Bullet List33222"/>
    <w:numStyleLink w:val="Tablenumberlist"/>
  </w:abstractNum>
  <w:abstractNum w:abstractNumId="27" w15:restartNumberingAfterBreak="0">
    <w:nsid w:val="27D83E4D"/>
    <w:multiLevelType w:val="multilevel"/>
    <w:tmpl w:val="3928FD02"/>
    <w:numStyleLink w:val="Bulletlist"/>
  </w:abstractNum>
  <w:abstractNum w:abstractNumId="28" w15:restartNumberingAfterBreak="0">
    <w:nsid w:val="2C905326"/>
    <w:multiLevelType w:val="hybridMultilevel"/>
    <w:tmpl w:val="48647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2F620142"/>
    <w:multiLevelType w:val="hybridMultilevel"/>
    <w:tmpl w:val="DFBCE3D0"/>
    <w:lvl w:ilvl="0" w:tplc="0C090019">
      <w:start w:val="1"/>
      <w:numFmt w:val="lowerLetter"/>
      <w:lvlText w:val="%1."/>
      <w:lvlJc w:val="left"/>
      <w:pPr>
        <w:ind w:left="928" w:hanging="360"/>
      </w:pPr>
    </w:lvl>
    <w:lvl w:ilvl="1" w:tplc="0C09001B">
      <w:start w:val="1"/>
      <w:numFmt w:val="lowerRoman"/>
      <w:lvlText w:val="%2."/>
      <w:lvlJc w:val="righ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3" w15:restartNumberingAfterBreak="0">
    <w:nsid w:val="2FFA5464"/>
    <w:multiLevelType w:val="hybridMultilevel"/>
    <w:tmpl w:val="6FF0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A022F6"/>
    <w:multiLevelType w:val="hybridMultilevel"/>
    <w:tmpl w:val="BABAEB06"/>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5" w15:restartNumberingAfterBreak="0">
    <w:nsid w:val="32DF44DA"/>
    <w:multiLevelType w:val="multilevel"/>
    <w:tmpl w:val="3E5E177A"/>
    <w:name w:val="NTG Table Bullet List3222323"/>
    <w:numStyleLink w:val="Tablenumberlist"/>
  </w:abstractNum>
  <w:abstractNum w:abstractNumId="36" w15:restartNumberingAfterBreak="0">
    <w:nsid w:val="335A43FA"/>
    <w:multiLevelType w:val="hybridMultilevel"/>
    <w:tmpl w:val="54AA9534"/>
    <w:lvl w:ilvl="0" w:tplc="0C090019">
      <w:start w:val="1"/>
      <w:numFmt w:val="lowerLetter"/>
      <w:lvlText w:val="%1."/>
      <w:lvlJc w:val="lef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7" w15:restartNumberingAfterBreak="0">
    <w:nsid w:val="33AA4F90"/>
    <w:multiLevelType w:val="hybridMultilevel"/>
    <w:tmpl w:val="05F26C80"/>
    <w:lvl w:ilvl="0" w:tplc="0C090019">
      <w:start w:val="1"/>
      <w:numFmt w:val="lowerLetter"/>
      <w:lvlText w:val="%1."/>
      <w:lvlJc w:val="left"/>
      <w:pPr>
        <w:ind w:left="1057" w:hanging="360"/>
      </w:p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38" w15:restartNumberingAfterBreak="0">
    <w:nsid w:val="33AC0BD5"/>
    <w:multiLevelType w:val="multilevel"/>
    <w:tmpl w:val="39746A98"/>
    <w:styleLink w:val="NTGTableNum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397326D9"/>
    <w:multiLevelType w:val="hybridMultilevel"/>
    <w:tmpl w:val="BABAEB06"/>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1" w15:restartNumberingAfterBreak="0">
    <w:nsid w:val="3A580932"/>
    <w:multiLevelType w:val="hybridMultilevel"/>
    <w:tmpl w:val="DDBAACD4"/>
    <w:lvl w:ilvl="0" w:tplc="A994FDE4">
      <w:numFmt w:val="bullet"/>
      <w:lvlText w:val=""/>
      <w:lvlJc w:val="left"/>
      <w:pPr>
        <w:ind w:left="360" w:hanging="360"/>
      </w:pPr>
      <w:rPr>
        <w:rFonts w:ascii="Wingdings" w:eastAsia="Times New Roman" w:hAnsi="Wingdings" w:cs="Aria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BE61945"/>
    <w:multiLevelType w:val="multilevel"/>
    <w:tmpl w:val="3928FD02"/>
    <w:name w:val="NTG Table Bullet List332222222222222222"/>
    <w:numStyleLink w:val="Bulletlist"/>
  </w:abstractNum>
  <w:abstractNum w:abstractNumId="43" w15:restartNumberingAfterBreak="0">
    <w:nsid w:val="44577E37"/>
    <w:multiLevelType w:val="hybridMultilevel"/>
    <w:tmpl w:val="BA74635E"/>
    <w:lvl w:ilvl="0" w:tplc="5E2AD9AA">
      <w:start w:val="1"/>
      <w:numFmt w:val="lowerLetter"/>
      <w:lvlText w:val="%1."/>
      <w:lvlJc w:val="left"/>
      <w:pPr>
        <w:ind w:left="144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54B0867"/>
    <w:multiLevelType w:val="hybridMultilevel"/>
    <w:tmpl w:val="2DE62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46" w15:restartNumberingAfterBreak="0">
    <w:nsid w:val="48314121"/>
    <w:multiLevelType w:val="hybridMultilevel"/>
    <w:tmpl w:val="7BD65BC0"/>
    <w:lvl w:ilvl="0" w:tplc="0C09001B">
      <w:start w:val="1"/>
      <w:numFmt w:val="lowerRoman"/>
      <w:lvlText w:val="%1."/>
      <w:lvlJc w:val="right"/>
      <w:pPr>
        <w:ind w:left="2472" w:hanging="360"/>
      </w:pPr>
      <w:rPr>
        <w:sz w:val="22"/>
        <w:szCs w:val="22"/>
      </w:rPr>
    </w:lvl>
    <w:lvl w:ilvl="1" w:tplc="0C09001B">
      <w:start w:val="1"/>
      <w:numFmt w:val="lowerRoman"/>
      <w:lvlText w:val="%2."/>
      <w:lvlJc w:val="right"/>
      <w:pPr>
        <w:ind w:left="2472" w:hanging="360"/>
      </w:pPr>
    </w:lvl>
    <w:lvl w:ilvl="2" w:tplc="0C09001B" w:tentative="1">
      <w:start w:val="1"/>
      <w:numFmt w:val="lowerRoman"/>
      <w:lvlText w:val="%3."/>
      <w:lvlJc w:val="right"/>
      <w:pPr>
        <w:ind w:left="3192" w:hanging="180"/>
      </w:pPr>
    </w:lvl>
    <w:lvl w:ilvl="3" w:tplc="0C09000F" w:tentative="1">
      <w:start w:val="1"/>
      <w:numFmt w:val="decimal"/>
      <w:lvlText w:val="%4."/>
      <w:lvlJc w:val="left"/>
      <w:pPr>
        <w:ind w:left="3912" w:hanging="360"/>
      </w:pPr>
    </w:lvl>
    <w:lvl w:ilvl="4" w:tplc="0C090019" w:tentative="1">
      <w:start w:val="1"/>
      <w:numFmt w:val="lowerLetter"/>
      <w:lvlText w:val="%5."/>
      <w:lvlJc w:val="left"/>
      <w:pPr>
        <w:ind w:left="4632" w:hanging="360"/>
      </w:pPr>
    </w:lvl>
    <w:lvl w:ilvl="5" w:tplc="0C09001B" w:tentative="1">
      <w:start w:val="1"/>
      <w:numFmt w:val="lowerRoman"/>
      <w:lvlText w:val="%6."/>
      <w:lvlJc w:val="right"/>
      <w:pPr>
        <w:ind w:left="5352" w:hanging="180"/>
      </w:pPr>
    </w:lvl>
    <w:lvl w:ilvl="6" w:tplc="0C09000F" w:tentative="1">
      <w:start w:val="1"/>
      <w:numFmt w:val="decimal"/>
      <w:lvlText w:val="%7."/>
      <w:lvlJc w:val="left"/>
      <w:pPr>
        <w:ind w:left="6072" w:hanging="360"/>
      </w:pPr>
    </w:lvl>
    <w:lvl w:ilvl="7" w:tplc="0C090019" w:tentative="1">
      <w:start w:val="1"/>
      <w:numFmt w:val="lowerLetter"/>
      <w:lvlText w:val="%8."/>
      <w:lvlJc w:val="left"/>
      <w:pPr>
        <w:ind w:left="6792" w:hanging="360"/>
      </w:pPr>
    </w:lvl>
    <w:lvl w:ilvl="8" w:tplc="0C09001B" w:tentative="1">
      <w:start w:val="1"/>
      <w:numFmt w:val="lowerRoman"/>
      <w:lvlText w:val="%9."/>
      <w:lvlJc w:val="right"/>
      <w:pPr>
        <w:ind w:left="7512" w:hanging="180"/>
      </w:p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A1C619E"/>
    <w:multiLevelType w:val="hybridMultilevel"/>
    <w:tmpl w:val="05F26C80"/>
    <w:lvl w:ilvl="0" w:tplc="0C090019">
      <w:start w:val="1"/>
      <w:numFmt w:val="lowerLetter"/>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BFD7797"/>
    <w:multiLevelType w:val="hybridMultilevel"/>
    <w:tmpl w:val="BABAEB06"/>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1" w15:restartNumberingAfterBreak="0">
    <w:nsid w:val="4C440486"/>
    <w:multiLevelType w:val="hybridMultilevel"/>
    <w:tmpl w:val="942ABCCA"/>
    <w:lvl w:ilvl="0" w:tplc="0C09000B">
      <w:start w:val="1"/>
      <w:numFmt w:val="bullet"/>
      <w:lvlText w:val=""/>
      <w:lvlJc w:val="left"/>
      <w:pPr>
        <w:ind w:left="1041" w:hanging="360"/>
      </w:pPr>
      <w:rPr>
        <w:rFonts w:ascii="Wingdings" w:hAnsi="Wingdings"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5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4EE61AA1"/>
    <w:multiLevelType w:val="hybridMultilevel"/>
    <w:tmpl w:val="05F26C80"/>
    <w:lvl w:ilvl="0" w:tplc="0C090019">
      <w:start w:val="1"/>
      <w:numFmt w:val="lowerLetter"/>
      <w:lvlText w:val="%1."/>
      <w:lvlJc w:val="left"/>
      <w:pPr>
        <w:ind w:left="1057" w:hanging="360"/>
      </w:p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55" w15:restartNumberingAfterBreak="0">
    <w:nsid w:val="53842BC6"/>
    <w:multiLevelType w:val="multilevel"/>
    <w:tmpl w:val="0C78A7AC"/>
    <w:numStyleLink w:val="Tablebulletlist"/>
  </w:abstractNum>
  <w:abstractNum w:abstractNumId="5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55E038CC"/>
    <w:multiLevelType w:val="hybridMultilevel"/>
    <w:tmpl w:val="72CC7A68"/>
    <w:lvl w:ilvl="0" w:tplc="5E2AD9AA">
      <w:start w:val="1"/>
      <w:numFmt w:val="lowerLetter"/>
      <w:lvlText w:val="%1."/>
      <w:lvlJc w:val="left"/>
      <w:pPr>
        <w:ind w:left="1440" w:hanging="360"/>
      </w:pPr>
      <w:rPr>
        <w:sz w:val="22"/>
        <w:szCs w:val="22"/>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59" w15:restartNumberingAfterBreak="0">
    <w:nsid w:val="56DA2CAE"/>
    <w:multiLevelType w:val="multilevel"/>
    <w:tmpl w:val="3E5E177A"/>
    <w:name w:val="NTG Table Bullet List332222222222222"/>
    <w:numStyleLink w:val="Tablenumberlist"/>
  </w:abstractNum>
  <w:abstractNum w:abstractNumId="60" w15:restartNumberingAfterBreak="0">
    <w:nsid w:val="583359D9"/>
    <w:multiLevelType w:val="multilevel"/>
    <w:tmpl w:val="3E5E177A"/>
    <w:name w:val="NTG Table Bullet List332222222"/>
    <w:numStyleLink w:val="Tablenumberlist"/>
  </w:abstractNum>
  <w:abstractNum w:abstractNumId="61" w15:restartNumberingAfterBreak="0">
    <w:nsid w:val="588A6147"/>
    <w:multiLevelType w:val="hybridMultilevel"/>
    <w:tmpl w:val="4DCE6F98"/>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2" w15:restartNumberingAfterBreak="0">
    <w:nsid w:val="59402516"/>
    <w:multiLevelType w:val="hybridMultilevel"/>
    <w:tmpl w:val="F16C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9C8256E"/>
    <w:multiLevelType w:val="hybridMultilevel"/>
    <w:tmpl w:val="194A86FE"/>
    <w:lvl w:ilvl="0" w:tplc="A994FDE4">
      <w:numFmt w:val="bullet"/>
      <w:lvlText w:val=""/>
      <w:lvlJc w:val="left"/>
      <w:pPr>
        <w:ind w:left="720" w:hanging="360"/>
      </w:pPr>
      <w:rPr>
        <w:rFonts w:ascii="Wingdings" w:eastAsia="Times New Roman" w:hAnsi="Wingdings" w:cs="Arial" w:hint="default"/>
        <w:b/>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B9A5FFE"/>
    <w:multiLevelType w:val="multilevel"/>
    <w:tmpl w:val="0C78A7AC"/>
    <w:name w:val="NTG Table Bullet List33222222222222"/>
    <w:numStyleLink w:val="Tablebulletlist"/>
  </w:abstractNum>
  <w:abstractNum w:abstractNumId="65" w15:restartNumberingAfterBreak="0">
    <w:nsid w:val="5C615083"/>
    <w:multiLevelType w:val="hybridMultilevel"/>
    <w:tmpl w:val="BABAEB06"/>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6" w15:restartNumberingAfterBreak="0">
    <w:nsid w:val="5CDA6156"/>
    <w:multiLevelType w:val="hybridMultilevel"/>
    <w:tmpl w:val="C7FEFD62"/>
    <w:lvl w:ilvl="0" w:tplc="A994FDE4">
      <w:numFmt w:val="bullet"/>
      <w:lvlText w:val=""/>
      <w:lvlJc w:val="left"/>
      <w:pPr>
        <w:ind w:left="360" w:hanging="360"/>
      </w:pPr>
      <w:rPr>
        <w:rFonts w:ascii="Wingdings" w:eastAsia="Times New Roman" w:hAnsi="Wingdings" w:cs="Arial" w:hint="default"/>
        <w: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D444259"/>
    <w:multiLevelType w:val="multilevel"/>
    <w:tmpl w:val="0C78A7AC"/>
    <w:name w:val="NTG Table Bullet List332222"/>
    <w:numStyleLink w:val="Tablebulletlist"/>
  </w:abstractNum>
  <w:abstractNum w:abstractNumId="68" w15:restartNumberingAfterBreak="0">
    <w:nsid w:val="5DF84E43"/>
    <w:multiLevelType w:val="hybridMultilevel"/>
    <w:tmpl w:val="51B858DA"/>
    <w:lvl w:ilvl="0" w:tplc="0C09001B">
      <w:start w:val="1"/>
      <w:numFmt w:val="lowerRoman"/>
      <w:lvlText w:val="%1."/>
      <w:lvlJc w:val="righ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69" w15:restartNumberingAfterBreak="0">
    <w:nsid w:val="5F5877F3"/>
    <w:multiLevelType w:val="hybridMultilevel"/>
    <w:tmpl w:val="CB40D5DC"/>
    <w:lvl w:ilvl="0" w:tplc="D06A1E7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16414E4"/>
    <w:multiLevelType w:val="hybridMultilevel"/>
    <w:tmpl w:val="4CC807D6"/>
    <w:lvl w:ilvl="0" w:tplc="0C09000B">
      <w:start w:val="1"/>
      <w:numFmt w:val="bullet"/>
      <w:lvlText w:val=""/>
      <w:lvlJc w:val="left"/>
      <w:pPr>
        <w:ind w:left="1033" w:hanging="360"/>
      </w:pPr>
      <w:rPr>
        <w:rFonts w:ascii="Wingdings" w:hAnsi="Wingdings"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71" w15:restartNumberingAfterBreak="0">
    <w:nsid w:val="616417BB"/>
    <w:multiLevelType w:val="multilevel"/>
    <w:tmpl w:val="0B9251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794"/>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63835C3C"/>
    <w:multiLevelType w:val="hybridMultilevel"/>
    <w:tmpl w:val="05F26C80"/>
    <w:lvl w:ilvl="0" w:tplc="0C090019">
      <w:start w:val="1"/>
      <w:numFmt w:val="lowerLetter"/>
      <w:lvlText w:val="%1."/>
      <w:lvlJc w:val="left"/>
      <w:pPr>
        <w:ind w:left="1057" w:hanging="360"/>
      </w:p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73" w15:restartNumberingAfterBreak="0">
    <w:nsid w:val="69262556"/>
    <w:multiLevelType w:val="multilevel"/>
    <w:tmpl w:val="3E5E177A"/>
    <w:name w:val="NTG Table Bullet List3322222222222222"/>
    <w:numStyleLink w:val="Tablenumberlist"/>
  </w:abstractNum>
  <w:abstractNum w:abstractNumId="74" w15:restartNumberingAfterBreak="0">
    <w:nsid w:val="6D981EC3"/>
    <w:multiLevelType w:val="hybridMultilevel"/>
    <w:tmpl w:val="B3D6CDAE"/>
    <w:lvl w:ilvl="0" w:tplc="658E9960">
      <w:start w:val="1"/>
      <w:numFmt w:val="bullet"/>
      <w:lvlText w:val="-"/>
      <w:lvlJc w:val="left"/>
      <w:pPr>
        <w:ind w:left="1004" w:hanging="360"/>
      </w:pPr>
      <w:rPr>
        <w:rFonts w:ascii="Times New Roman" w:eastAsia="Times New Roman" w:hAnsi="Times New Roman"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5" w15:restartNumberingAfterBreak="0">
    <w:nsid w:val="6E933D75"/>
    <w:multiLevelType w:val="hybridMultilevel"/>
    <w:tmpl w:val="7AC4405A"/>
    <w:lvl w:ilvl="0" w:tplc="3634E802">
      <w:start w:val="1"/>
      <w:numFmt w:val="lowerLetter"/>
      <w:lvlText w:val="%1."/>
      <w:lvlJc w:val="left"/>
      <w:pPr>
        <w:ind w:left="1057" w:hanging="360"/>
      </w:pPr>
      <w:rPr>
        <w:b w:val="0"/>
      </w:r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76" w15:restartNumberingAfterBreak="0">
    <w:nsid w:val="6F6D72C3"/>
    <w:multiLevelType w:val="hybridMultilevel"/>
    <w:tmpl w:val="CA84B096"/>
    <w:lvl w:ilvl="0" w:tplc="0C090019">
      <w:start w:val="1"/>
      <w:numFmt w:val="lowerLetter"/>
      <w:lvlText w:val="%1."/>
      <w:lvlJc w:val="left"/>
      <w:pPr>
        <w:ind w:left="928" w:hanging="360"/>
      </w:pPr>
    </w:lvl>
    <w:lvl w:ilvl="1" w:tplc="0C09001B">
      <w:start w:val="1"/>
      <w:numFmt w:val="lowerRoman"/>
      <w:lvlText w:val="%2."/>
      <w:lvlJc w:val="righ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7" w15:restartNumberingAfterBreak="0">
    <w:nsid w:val="6FF54BE5"/>
    <w:multiLevelType w:val="hybridMultilevel"/>
    <w:tmpl w:val="05F26C80"/>
    <w:lvl w:ilvl="0" w:tplc="0C090019">
      <w:start w:val="1"/>
      <w:numFmt w:val="lowerLetter"/>
      <w:lvlText w:val="%1."/>
      <w:lvlJc w:val="left"/>
      <w:pPr>
        <w:ind w:left="1057" w:hanging="360"/>
      </w:p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78" w15:restartNumberingAfterBreak="0">
    <w:nsid w:val="724350F2"/>
    <w:multiLevelType w:val="hybridMultilevel"/>
    <w:tmpl w:val="5A087E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9" w15:restartNumberingAfterBreak="0">
    <w:nsid w:val="724D3C07"/>
    <w:multiLevelType w:val="hybridMultilevel"/>
    <w:tmpl w:val="5756D2E4"/>
    <w:lvl w:ilvl="0" w:tplc="5E2AD9AA">
      <w:start w:val="1"/>
      <w:numFmt w:val="lowerLetter"/>
      <w:lvlText w:val="%1."/>
      <w:lvlJc w:val="left"/>
      <w:pPr>
        <w:ind w:left="144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42D218B"/>
    <w:multiLevelType w:val="hybridMultilevel"/>
    <w:tmpl w:val="54AA9534"/>
    <w:lvl w:ilvl="0" w:tplc="0C090019">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15:restartNumberingAfterBreak="0">
    <w:nsid w:val="7453664D"/>
    <w:multiLevelType w:val="multilevel"/>
    <w:tmpl w:val="0C78A7AC"/>
    <w:name w:val="NTG Table Bullet List3322222222222222222"/>
    <w:numStyleLink w:val="Tablebulletlist"/>
  </w:abstractNum>
  <w:abstractNum w:abstractNumId="82" w15:restartNumberingAfterBreak="0">
    <w:nsid w:val="76141D1E"/>
    <w:multiLevelType w:val="multilevel"/>
    <w:tmpl w:val="0C78A7AC"/>
    <w:name w:val="NTG Table Bullet List332222222222"/>
    <w:numStyleLink w:val="Tablebulletlist"/>
  </w:abstractNum>
  <w:abstractNum w:abstractNumId="83" w15:restartNumberingAfterBreak="0">
    <w:nsid w:val="781A56F1"/>
    <w:multiLevelType w:val="hybridMultilevel"/>
    <w:tmpl w:val="05F26C80"/>
    <w:lvl w:ilvl="0" w:tplc="0C090019">
      <w:start w:val="1"/>
      <w:numFmt w:val="lowerLetter"/>
      <w:lvlText w:val="%1."/>
      <w:lvlJc w:val="left"/>
      <w:pPr>
        <w:ind w:left="1057" w:hanging="360"/>
      </w:p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8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5" w15:restartNumberingAfterBreak="0">
    <w:nsid w:val="7B3F66C4"/>
    <w:multiLevelType w:val="hybridMultilevel"/>
    <w:tmpl w:val="D92C1BE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E444043"/>
    <w:multiLevelType w:val="hybridMultilevel"/>
    <w:tmpl w:val="10B4498A"/>
    <w:lvl w:ilvl="0" w:tplc="0C09001B">
      <w:start w:val="1"/>
      <w:numFmt w:val="lowerRoman"/>
      <w:lvlText w:val="%1."/>
      <w:lvlJc w:val="righ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8" w15:restartNumberingAfterBreak="0">
    <w:nsid w:val="7FBC1511"/>
    <w:multiLevelType w:val="multilevel"/>
    <w:tmpl w:val="FB767EFA"/>
    <w:lvl w:ilvl="0">
      <w:start w:val="1"/>
      <w:numFmt w:val="decimal"/>
      <w:pStyle w:val="ListNumber"/>
      <w:lvlText w:val="%1."/>
      <w:lvlJc w:val="left"/>
      <w:pPr>
        <w:ind w:left="5841" w:hanging="454"/>
      </w:pPr>
      <w:rPr>
        <w:rFonts w:hint="default"/>
        <w:b w:val="0"/>
      </w:rPr>
    </w:lvl>
    <w:lvl w:ilvl="1">
      <w:start w:val="1"/>
      <w:numFmt w:val="lowerLetter"/>
      <w:lvlText w:val="%2."/>
      <w:lvlJc w:val="left"/>
      <w:pPr>
        <w:ind w:left="1305" w:hanging="454"/>
      </w:pPr>
      <w:rPr>
        <w:rFonts w:hint="default"/>
        <w:b w:val="0"/>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39"/>
  </w:num>
  <w:num w:numId="2">
    <w:abstractNumId w:val="21"/>
  </w:num>
  <w:num w:numId="3">
    <w:abstractNumId w:val="84"/>
  </w:num>
  <w:num w:numId="4">
    <w:abstractNumId w:val="49"/>
  </w:num>
  <w:num w:numId="5">
    <w:abstractNumId w:val="29"/>
  </w:num>
  <w:num w:numId="6">
    <w:abstractNumId w:val="15"/>
  </w:num>
  <w:num w:numId="7">
    <w:abstractNumId w:val="55"/>
  </w:num>
  <w:num w:numId="8">
    <w:abstractNumId w:val="27"/>
  </w:num>
  <w:num w:numId="9">
    <w:abstractNumId w:val="53"/>
  </w:num>
  <w:num w:numId="10">
    <w:abstractNumId w:val="1"/>
  </w:num>
  <w:num w:numId="11">
    <w:abstractNumId w:val="58"/>
  </w:num>
  <w:num w:numId="12">
    <w:abstractNumId w:val="88"/>
  </w:num>
  <w:num w:numId="13">
    <w:abstractNumId w:val="45"/>
  </w:num>
  <w:num w:numId="14">
    <w:abstractNumId w:val="65"/>
  </w:num>
  <w:num w:numId="15">
    <w:abstractNumId w:val="74"/>
  </w:num>
  <w:num w:numId="16">
    <w:abstractNumId w:val="80"/>
  </w:num>
  <w:num w:numId="17">
    <w:abstractNumId w:val="25"/>
  </w:num>
  <w:num w:numId="18">
    <w:abstractNumId w:val="79"/>
  </w:num>
  <w:num w:numId="19">
    <w:abstractNumId w:val="38"/>
  </w:num>
  <w:num w:numId="20">
    <w:abstractNumId w:val="75"/>
  </w:num>
  <w:num w:numId="21">
    <w:abstractNumId w:val="72"/>
  </w:num>
  <w:num w:numId="22">
    <w:abstractNumId w:val="43"/>
  </w:num>
  <w:num w:numId="23">
    <w:abstractNumId w:val="7"/>
  </w:num>
  <w:num w:numId="24">
    <w:abstractNumId w:val="54"/>
  </w:num>
  <w:num w:numId="25">
    <w:abstractNumId w:val="50"/>
  </w:num>
  <w:num w:numId="26">
    <w:abstractNumId w:val="83"/>
  </w:num>
  <w:num w:numId="27">
    <w:abstractNumId w:val="2"/>
  </w:num>
  <w:num w:numId="28">
    <w:abstractNumId w:val="57"/>
  </w:num>
  <w:num w:numId="29">
    <w:abstractNumId w:val="16"/>
  </w:num>
  <w:num w:numId="30">
    <w:abstractNumId w:val="37"/>
  </w:num>
  <w:num w:numId="31">
    <w:abstractNumId w:val="69"/>
  </w:num>
  <w:num w:numId="32">
    <w:abstractNumId w:val="0"/>
  </w:num>
  <w:num w:numId="33">
    <w:abstractNumId w:val="40"/>
  </w:num>
  <w:num w:numId="34">
    <w:abstractNumId w:val="88"/>
  </w:num>
  <w:num w:numId="35">
    <w:abstractNumId w:val="88"/>
  </w:num>
  <w:num w:numId="36">
    <w:abstractNumId w:val="34"/>
  </w:num>
  <w:num w:numId="37">
    <w:abstractNumId w:val="88"/>
  </w:num>
  <w:num w:numId="38">
    <w:abstractNumId w:val="88"/>
  </w:num>
  <w:num w:numId="39">
    <w:abstractNumId w:val="71"/>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3"/>
  </w:num>
  <w:num w:numId="44">
    <w:abstractNumId w:val="88"/>
  </w:num>
  <w:num w:numId="45">
    <w:abstractNumId w:val="88"/>
  </w:num>
  <w:num w:numId="46">
    <w:abstractNumId w:val="78"/>
  </w:num>
  <w:num w:numId="47">
    <w:abstractNumId w:val="88"/>
  </w:num>
  <w:num w:numId="48">
    <w:abstractNumId w:val="88"/>
  </w:num>
  <w:num w:numId="49">
    <w:abstractNumId w:val="88"/>
  </w:num>
  <w:num w:numId="50">
    <w:abstractNumId w:val="88"/>
  </w:num>
  <w:num w:numId="51">
    <w:abstractNumId w:val="88"/>
  </w:num>
  <w:num w:numId="52">
    <w:abstractNumId w:val="88"/>
  </w:num>
  <w:num w:numId="53">
    <w:abstractNumId w:val="88"/>
  </w:num>
  <w:num w:numId="54">
    <w:abstractNumId w:val="88"/>
  </w:num>
  <w:num w:numId="55">
    <w:abstractNumId w:val="88"/>
  </w:num>
  <w:num w:numId="56">
    <w:abstractNumId w:val="88"/>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88"/>
  </w:num>
  <w:num w:numId="60">
    <w:abstractNumId w:val="88"/>
  </w:num>
  <w:num w:numId="61">
    <w:abstractNumId w:val="88"/>
  </w:num>
  <w:num w:numId="62">
    <w:abstractNumId w:val="88"/>
  </w:num>
  <w:num w:numId="63">
    <w:abstractNumId w:val="88"/>
  </w:num>
  <w:num w:numId="64">
    <w:abstractNumId w:val="88"/>
  </w:num>
  <w:num w:numId="65">
    <w:abstractNumId w:val="88"/>
  </w:num>
  <w:num w:numId="66">
    <w:abstractNumId w:val="51"/>
  </w:num>
  <w:num w:numId="67">
    <w:abstractNumId w:val="41"/>
  </w:num>
  <w:num w:numId="68">
    <w:abstractNumId w:val="88"/>
  </w:num>
  <w:num w:numId="69">
    <w:abstractNumId w:val="88"/>
  </w:num>
  <w:num w:numId="70">
    <w:abstractNumId w:val="88"/>
  </w:num>
  <w:num w:numId="71">
    <w:abstractNumId w:val="88"/>
  </w:num>
  <w:num w:numId="72">
    <w:abstractNumId w:val="88"/>
  </w:num>
  <w:num w:numId="73">
    <w:abstractNumId w:val="88"/>
  </w:num>
  <w:num w:numId="74">
    <w:abstractNumId w:val="58"/>
  </w:num>
  <w:num w:numId="75">
    <w:abstractNumId w:val="88"/>
  </w:num>
  <w:num w:numId="76">
    <w:abstractNumId w:val="88"/>
  </w:num>
  <w:num w:numId="77">
    <w:abstractNumId w:val="88"/>
  </w:num>
  <w:num w:numId="78">
    <w:abstractNumId w:val="88"/>
  </w:num>
  <w:num w:numId="79">
    <w:abstractNumId w:val="88"/>
  </w:num>
  <w:num w:numId="80">
    <w:abstractNumId w:val="88"/>
  </w:num>
  <w:num w:numId="81">
    <w:abstractNumId w:val="88"/>
  </w:num>
  <w:num w:numId="82">
    <w:abstractNumId w:val="88"/>
  </w:num>
  <w:num w:numId="83">
    <w:abstractNumId w:val="88"/>
  </w:num>
  <w:num w:numId="84">
    <w:abstractNumId w:val="88"/>
  </w:num>
  <w:num w:numId="85">
    <w:abstractNumId w:val="77"/>
  </w:num>
  <w:num w:numId="86">
    <w:abstractNumId w:val="46"/>
  </w:num>
  <w:num w:numId="87">
    <w:abstractNumId w:val="88"/>
  </w:num>
  <w:num w:numId="88">
    <w:abstractNumId w:val="88"/>
  </w:num>
  <w:num w:numId="89">
    <w:abstractNumId w:val="88"/>
  </w:num>
  <w:num w:numId="90">
    <w:abstractNumId w:val="85"/>
  </w:num>
  <w:num w:numId="91">
    <w:abstractNumId w:val="88"/>
  </w:num>
  <w:num w:numId="92">
    <w:abstractNumId w:val="5"/>
  </w:num>
  <w:num w:numId="93">
    <w:abstractNumId w:val="88"/>
  </w:num>
  <w:num w:numId="94">
    <w:abstractNumId w:val="88"/>
  </w:num>
  <w:num w:numId="95">
    <w:abstractNumId w:val="88"/>
  </w:num>
  <w:num w:numId="96">
    <w:abstractNumId w:val="88"/>
  </w:num>
  <w:num w:numId="97">
    <w:abstractNumId w:val="88"/>
  </w:num>
  <w:num w:numId="98">
    <w:abstractNumId w:val="88"/>
  </w:num>
  <w:num w:numId="9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8"/>
  </w:num>
  <w:num w:numId="101">
    <w:abstractNumId w:val="88"/>
  </w:num>
  <w:num w:numId="102">
    <w:abstractNumId w:val="88"/>
  </w:num>
  <w:num w:numId="103">
    <w:abstractNumId w:val="76"/>
  </w:num>
  <w:num w:numId="104">
    <w:abstractNumId w:val="88"/>
  </w:num>
  <w:num w:numId="105">
    <w:abstractNumId w:val="44"/>
  </w:num>
  <w:num w:numId="106">
    <w:abstractNumId w:val="88"/>
  </w:num>
  <w:num w:numId="107">
    <w:abstractNumId w:val="88"/>
  </w:num>
  <w:num w:numId="108">
    <w:abstractNumId w:val="86"/>
  </w:num>
  <w:num w:numId="109">
    <w:abstractNumId w:val="88"/>
  </w:num>
  <w:num w:numId="110">
    <w:abstractNumId w:val="88"/>
  </w:num>
  <w:num w:numId="111">
    <w:abstractNumId w:val="36"/>
  </w:num>
  <w:num w:numId="112">
    <w:abstractNumId w:val="88"/>
  </w:num>
  <w:num w:numId="113">
    <w:abstractNumId w:val="88"/>
  </w:num>
  <w:num w:numId="114">
    <w:abstractNumId w:val="22"/>
  </w:num>
  <w:num w:numId="115">
    <w:abstractNumId w:val="88"/>
  </w:num>
  <w:num w:numId="116">
    <w:abstractNumId w:val="88"/>
  </w:num>
  <w:num w:numId="117">
    <w:abstractNumId w:val="68"/>
  </w:num>
  <w:num w:numId="118">
    <w:abstractNumId w:val="88"/>
  </w:num>
  <w:num w:numId="119">
    <w:abstractNumId w:val="88"/>
  </w:num>
  <w:num w:numId="120">
    <w:abstractNumId w:val="88"/>
  </w:num>
  <w:num w:numId="121">
    <w:abstractNumId w:val="88"/>
  </w:num>
  <w:num w:numId="122">
    <w:abstractNumId w:val="88"/>
  </w:num>
  <w:num w:numId="123">
    <w:abstractNumId w:val="88"/>
  </w:num>
  <w:num w:numId="124">
    <w:abstractNumId w:val="88"/>
  </w:num>
  <w:num w:numId="125">
    <w:abstractNumId w:val="88"/>
  </w:num>
  <w:num w:numId="126">
    <w:abstractNumId w:val="88"/>
  </w:num>
  <w:num w:numId="127">
    <w:abstractNumId w:val="88"/>
  </w:num>
  <w:num w:numId="128">
    <w:abstractNumId w:val="88"/>
  </w:num>
  <w:num w:numId="129">
    <w:abstractNumId w:val="88"/>
  </w:num>
  <w:num w:numId="130">
    <w:abstractNumId w:val="88"/>
  </w:num>
  <w:num w:numId="131">
    <w:abstractNumId w:val="88"/>
  </w:num>
  <w:num w:numId="132">
    <w:abstractNumId w:val="88"/>
  </w:num>
  <w:num w:numId="133">
    <w:abstractNumId w:val="88"/>
  </w:num>
  <w:num w:numId="134">
    <w:abstractNumId w:val="88"/>
  </w:num>
  <w:num w:numId="135">
    <w:abstractNumId w:val="88"/>
  </w:num>
  <w:num w:numId="136">
    <w:abstractNumId w:val="88"/>
  </w:num>
  <w:num w:numId="137">
    <w:abstractNumId w:val="88"/>
  </w:num>
  <w:num w:numId="138">
    <w:abstractNumId w:val="88"/>
  </w:num>
  <w:num w:numId="139">
    <w:abstractNumId w:val="88"/>
  </w:num>
  <w:num w:numId="140">
    <w:abstractNumId w:val="88"/>
  </w:num>
  <w:num w:numId="141">
    <w:abstractNumId w:val="88"/>
  </w:num>
  <w:num w:numId="142">
    <w:abstractNumId w:val="88"/>
  </w:num>
  <w:num w:numId="143">
    <w:abstractNumId w:val="88"/>
  </w:num>
  <w:num w:numId="144">
    <w:abstractNumId w:val="88"/>
  </w:num>
  <w:num w:numId="145">
    <w:abstractNumId w:val="88"/>
  </w:num>
  <w:num w:numId="146">
    <w:abstractNumId w:val="88"/>
  </w:num>
  <w:num w:numId="147">
    <w:abstractNumId w:val="88"/>
  </w:num>
  <w:num w:numId="148">
    <w:abstractNumId w:val="61"/>
  </w:num>
  <w:num w:numId="149">
    <w:abstractNumId w:val="88"/>
  </w:num>
  <w:num w:numId="150">
    <w:abstractNumId w:val="88"/>
  </w:num>
  <w:num w:numId="151">
    <w:abstractNumId w:val="32"/>
  </w:num>
  <w:num w:numId="152">
    <w:abstractNumId w:val="88"/>
  </w:num>
  <w:num w:numId="153">
    <w:abstractNumId w:val="3"/>
  </w:num>
  <w:num w:numId="154">
    <w:abstractNumId w:val="88"/>
  </w:num>
  <w:num w:numId="155">
    <w:abstractNumId w:val="88"/>
  </w:num>
  <w:num w:numId="156">
    <w:abstractNumId w:val="88"/>
  </w:num>
  <w:num w:numId="157">
    <w:abstractNumId w:val="62"/>
  </w:num>
  <w:num w:numId="158">
    <w:abstractNumId w:val="88"/>
  </w:num>
  <w:num w:numId="159">
    <w:abstractNumId w:val="88"/>
  </w:num>
  <w:num w:numId="160">
    <w:abstractNumId w:val="88"/>
  </w:num>
  <w:num w:numId="161">
    <w:abstractNumId w:val="28"/>
  </w:num>
  <w:num w:numId="162">
    <w:abstractNumId w:val="70"/>
  </w:num>
  <w:num w:numId="163">
    <w:abstractNumId w:val="66"/>
  </w:num>
  <w:num w:numId="164">
    <w:abstractNumId w:val="20"/>
  </w:num>
  <w:num w:numId="165">
    <w:abstractNumId w:val="23"/>
  </w:num>
  <w:num w:numId="166">
    <w:abstractNumId w:val="63"/>
  </w:num>
  <w:num w:numId="167">
    <w:abstractNumId w:val="88"/>
  </w:num>
  <w:num w:numId="168">
    <w:abstractNumId w:val="88"/>
  </w:num>
  <w:num w:numId="169">
    <w:abstractNumId w:val="88"/>
  </w:num>
  <w:num w:numId="170">
    <w:abstractNumId w:val="88"/>
  </w:num>
  <w:num w:numId="171">
    <w:abstractNumId w:val="88"/>
  </w:num>
  <w:num w:numId="172">
    <w:abstractNumId w:val="88"/>
  </w:num>
  <w:num w:numId="173">
    <w:abstractNumId w:val="88"/>
  </w:num>
  <w:num w:numId="174">
    <w:abstractNumId w:val="88"/>
  </w:num>
  <w:num w:numId="175">
    <w:abstractNumId w:val="88"/>
  </w:num>
  <w:num w:numId="176">
    <w:abstractNumId w:val="88"/>
  </w:num>
  <w:num w:numId="177">
    <w:abstractNumId w:val="88"/>
  </w:num>
  <w:num w:numId="178">
    <w:abstractNumId w:val="88"/>
  </w:num>
  <w:num w:numId="179">
    <w:abstractNumId w:val="88"/>
  </w:num>
  <w:num w:numId="180">
    <w:abstractNumId w:val="88"/>
  </w:num>
  <w:num w:numId="181">
    <w:abstractNumId w:val="88"/>
  </w:num>
  <w:num w:numId="182">
    <w:abstractNumId w:val="88"/>
  </w:num>
  <w:num w:numId="183">
    <w:abstractNumId w:val="88"/>
  </w:num>
  <w:num w:numId="184">
    <w:abstractNumId w:val="88"/>
  </w:num>
  <w:num w:numId="185">
    <w:abstractNumId w:val="48"/>
  </w:num>
  <w:num w:numId="186">
    <w:abstractNumId w:val="88"/>
  </w:num>
  <w:num w:numId="187">
    <w:abstractNumId w:val="88"/>
  </w:num>
  <w:num w:numId="188">
    <w:abstractNumId w:val="88"/>
  </w:num>
  <w:num w:numId="189">
    <w:abstractNumId w:val="8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9C"/>
    <w:rsid w:val="00000C44"/>
    <w:rsid w:val="00001DDF"/>
    <w:rsid w:val="0000322D"/>
    <w:rsid w:val="000036AF"/>
    <w:rsid w:val="000045FF"/>
    <w:rsid w:val="00007670"/>
    <w:rsid w:val="00007D6E"/>
    <w:rsid w:val="00010665"/>
    <w:rsid w:val="00011138"/>
    <w:rsid w:val="0001163E"/>
    <w:rsid w:val="000119EB"/>
    <w:rsid w:val="00013AAC"/>
    <w:rsid w:val="00017468"/>
    <w:rsid w:val="0002393A"/>
    <w:rsid w:val="00023A7D"/>
    <w:rsid w:val="00023E76"/>
    <w:rsid w:val="00024D5B"/>
    <w:rsid w:val="00025B20"/>
    <w:rsid w:val="00027DB8"/>
    <w:rsid w:val="00030052"/>
    <w:rsid w:val="00030B91"/>
    <w:rsid w:val="00031100"/>
    <w:rsid w:val="000317E0"/>
    <w:rsid w:val="00031A96"/>
    <w:rsid w:val="00033CDB"/>
    <w:rsid w:val="000351D2"/>
    <w:rsid w:val="00040BF3"/>
    <w:rsid w:val="00041E1E"/>
    <w:rsid w:val="0004211C"/>
    <w:rsid w:val="000426B5"/>
    <w:rsid w:val="00044A86"/>
    <w:rsid w:val="0004570E"/>
    <w:rsid w:val="00046C59"/>
    <w:rsid w:val="0005002B"/>
    <w:rsid w:val="00050A96"/>
    <w:rsid w:val="00051362"/>
    <w:rsid w:val="00051F45"/>
    <w:rsid w:val="00052953"/>
    <w:rsid w:val="0005341A"/>
    <w:rsid w:val="00053CED"/>
    <w:rsid w:val="00055404"/>
    <w:rsid w:val="00055A95"/>
    <w:rsid w:val="00055BB7"/>
    <w:rsid w:val="00056DEF"/>
    <w:rsid w:val="00056EDC"/>
    <w:rsid w:val="00060EEA"/>
    <w:rsid w:val="00060F1D"/>
    <w:rsid w:val="0006101C"/>
    <w:rsid w:val="00061BAD"/>
    <w:rsid w:val="00061C10"/>
    <w:rsid w:val="0006463B"/>
    <w:rsid w:val="0006635A"/>
    <w:rsid w:val="00067EC8"/>
    <w:rsid w:val="000705A4"/>
    <w:rsid w:val="000720BE"/>
    <w:rsid w:val="0007259C"/>
    <w:rsid w:val="000727BE"/>
    <w:rsid w:val="000741C5"/>
    <w:rsid w:val="00074265"/>
    <w:rsid w:val="00077CF3"/>
    <w:rsid w:val="000801B3"/>
    <w:rsid w:val="00080202"/>
    <w:rsid w:val="00080DCD"/>
    <w:rsid w:val="00080E22"/>
    <w:rsid w:val="00082573"/>
    <w:rsid w:val="00082A12"/>
    <w:rsid w:val="00083D03"/>
    <w:rsid w:val="000840A3"/>
    <w:rsid w:val="00084667"/>
    <w:rsid w:val="00084ACD"/>
    <w:rsid w:val="00085062"/>
    <w:rsid w:val="00085565"/>
    <w:rsid w:val="00086A5F"/>
    <w:rsid w:val="00087F17"/>
    <w:rsid w:val="00087F27"/>
    <w:rsid w:val="000911EF"/>
    <w:rsid w:val="00091B73"/>
    <w:rsid w:val="000921A4"/>
    <w:rsid w:val="0009393D"/>
    <w:rsid w:val="000962C5"/>
    <w:rsid w:val="00097865"/>
    <w:rsid w:val="00097985"/>
    <w:rsid w:val="000A00AC"/>
    <w:rsid w:val="000A13D2"/>
    <w:rsid w:val="000A3B21"/>
    <w:rsid w:val="000A4317"/>
    <w:rsid w:val="000A4AC2"/>
    <w:rsid w:val="000A4AFC"/>
    <w:rsid w:val="000A4BC8"/>
    <w:rsid w:val="000A5222"/>
    <w:rsid w:val="000A559C"/>
    <w:rsid w:val="000A6601"/>
    <w:rsid w:val="000B0BFA"/>
    <w:rsid w:val="000B1152"/>
    <w:rsid w:val="000B1FB2"/>
    <w:rsid w:val="000B24AC"/>
    <w:rsid w:val="000B2CA1"/>
    <w:rsid w:val="000B3EE1"/>
    <w:rsid w:val="000B59E3"/>
    <w:rsid w:val="000B5BBA"/>
    <w:rsid w:val="000B6ACC"/>
    <w:rsid w:val="000B7891"/>
    <w:rsid w:val="000B7E68"/>
    <w:rsid w:val="000C05E0"/>
    <w:rsid w:val="000C0E91"/>
    <w:rsid w:val="000C2382"/>
    <w:rsid w:val="000C24F2"/>
    <w:rsid w:val="000C25C2"/>
    <w:rsid w:val="000C3E39"/>
    <w:rsid w:val="000C41D6"/>
    <w:rsid w:val="000C43F9"/>
    <w:rsid w:val="000C6B69"/>
    <w:rsid w:val="000D1F29"/>
    <w:rsid w:val="000D3202"/>
    <w:rsid w:val="000D5945"/>
    <w:rsid w:val="000D633D"/>
    <w:rsid w:val="000E324C"/>
    <w:rsid w:val="000E342B"/>
    <w:rsid w:val="000E3ED2"/>
    <w:rsid w:val="000E4AA2"/>
    <w:rsid w:val="000E5DD2"/>
    <w:rsid w:val="000F0559"/>
    <w:rsid w:val="000F2958"/>
    <w:rsid w:val="000F3850"/>
    <w:rsid w:val="000F5525"/>
    <w:rsid w:val="000F5731"/>
    <w:rsid w:val="000F604F"/>
    <w:rsid w:val="00100331"/>
    <w:rsid w:val="00101132"/>
    <w:rsid w:val="00104E7F"/>
    <w:rsid w:val="0010693C"/>
    <w:rsid w:val="00107F64"/>
    <w:rsid w:val="001101BA"/>
    <w:rsid w:val="001137EC"/>
    <w:rsid w:val="00113B69"/>
    <w:rsid w:val="001150EB"/>
    <w:rsid w:val="001152F5"/>
    <w:rsid w:val="00115739"/>
    <w:rsid w:val="00117743"/>
    <w:rsid w:val="00117F5B"/>
    <w:rsid w:val="00122108"/>
    <w:rsid w:val="00123068"/>
    <w:rsid w:val="001232B7"/>
    <w:rsid w:val="00123425"/>
    <w:rsid w:val="00125458"/>
    <w:rsid w:val="00125C9B"/>
    <w:rsid w:val="00132658"/>
    <w:rsid w:val="00134D74"/>
    <w:rsid w:val="001358D2"/>
    <w:rsid w:val="00137D2A"/>
    <w:rsid w:val="00140A87"/>
    <w:rsid w:val="00140C75"/>
    <w:rsid w:val="00140CF2"/>
    <w:rsid w:val="00142722"/>
    <w:rsid w:val="00142874"/>
    <w:rsid w:val="00144558"/>
    <w:rsid w:val="0014499B"/>
    <w:rsid w:val="0014632E"/>
    <w:rsid w:val="001468E2"/>
    <w:rsid w:val="00146B73"/>
    <w:rsid w:val="00150DC0"/>
    <w:rsid w:val="0015394D"/>
    <w:rsid w:val="0015591B"/>
    <w:rsid w:val="00156CD4"/>
    <w:rsid w:val="0016153B"/>
    <w:rsid w:val="00162207"/>
    <w:rsid w:val="001629AB"/>
    <w:rsid w:val="001632D4"/>
    <w:rsid w:val="00163B02"/>
    <w:rsid w:val="00163B07"/>
    <w:rsid w:val="00163F0A"/>
    <w:rsid w:val="00164A3E"/>
    <w:rsid w:val="00164B0F"/>
    <w:rsid w:val="00165900"/>
    <w:rsid w:val="00166FF6"/>
    <w:rsid w:val="00167EA8"/>
    <w:rsid w:val="001702BB"/>
    <w:rsid w:val="00171DE4"/>
    <w:rsid w:val="00175057"/>
    <w:rsid w:val="00176123"/>
    <w:rsid w:val="0017757B"/>
    <w:rsid w:val="00181620"/>
    <w:rsid w:val="0018185C"/>
    <w:rsid w:val="00182C58"/>
    <w:rsid w:val="00187130"/>
    <w:rsid w:val="0019143C"/>
    <w:rsid w:val="00192B6D"/>
    <w:rsid w:val="0019430C"/>
    <w:rsid w:val="00194A83"/>
    <w:rsid w:val="00194D45"/>
    <w:rsid w:val="00194EE9"/>
    <w:rsid w:val="001957AD"/>
    <w:rsid w:val="001968A6"/>
    <w:rsid w:val="00196F8E"/>
    <w:rsid w:val="001A0D2D"/>
    <w:rsid w:val="001A1A8C"/>
    <w:rsid w:val="001A2B7F"/>
    <w:rsid w:val="001A3AFD"/>
    <w:rsid w:val="001A496C"/>
    <w:rsid w:val="001A576A"/>
    <w:rsid w:val="001B07D8"/>
    <w:rsid w:val="001B14C6"/>
    <w:rsid w:val="001B28DA"/>
    <w:rsid w:val="001B2B6C"/>
    <w:rsid w:val="001B30B3"/>
    <w:rsid w:val="001B4067"/>
    <w:rsid w:val="001B4EC7"/>
    <w:rsid w:val="001B760D"/>
    <w:rsid w:val="001C07ED"/>
    <w:rsid w:val="001C0BC8"/>
    <w:rsid w:val="001C11D5"/>
    <w:rsid w:val="001C138F"/>
    <w:rsid w:val="001C38F3"/>
    <w:rsid w:val="001C4C8E"/>
    <w:rsid w:val="001C7153"/>
    <w:rsid w:val="001D01C4"/>
    <w:rsid w:val="001D4F99"/>
    <w:rsid w:val="001D528F"/>
    <w:rsid w:val="001D52B0"/>
    <w:rsid w:val="001D5A18"/>
    <w:rsid w:val="001D6E2E"/>
    <w:rsid w:val="001D7CA4"/>
    <w:rsid w:val="001E057F"/>
    <w:rsid w:val="001E0E0F"/>
    <w:rsid w:val="001E144D"/>
    <w:rsid w:val="001E14EB"/>
    <w:rsid w:val="001E1726"/>
    <w:rsid w:val="001E42CA"/>
    <w:rsid w:val="001E55F9"/>
    <w:rsid w:val="001E56B1"/>
    <w:rsid w:val="001E5B44"/>
    <w:rsid w:val="001E6D60"/>
    <w:rsid w:val="001F095C"/>
    <w:rsid w:val="001F1347"/>
    <w:rsid w:val="001F201E"/>
    <w:rsid w:val="001F23D3"/>
    <w:rsid w:val="001F59E6"/>
    <w:rsid w:val="001F59F6"/>
    <w:rsid w:val="001F76AF"/>
    <w:rsid w:val="001F7CE9"/>
    <w:rsid w:val="00200001"/>
    <w:rsid w:val="00200914"/>
    <w:rsid w:val="00200FB0"/>
    <w:rsid w:val="002028B1"/>
    <w:rsid w:val="0020376D"/>
    <w:rsid w:val="00203F1C"/>
    <w:rsid w:val="00204885"/>
    <w:rsid w:val="00205E7B"/>
    <w:rsid w:val="00206936"/>
    <w:rsid w:val="00206C6F"/>
    <w:rsid w:val="00206FBD"/>
    <w:rsid w:val="002073DD"/>
    <w:rsid w:val="00207746"/>
    <w:rsid w:val="0021037F"/>
    <w:rsid w:val="00212A11"/>
    <w:rsid w:val="002131AE"/>
    <w:rsid w:val="002165E3"/>
    <w:rsid w:val="00220693"/>
    <w:rsid w:val="00221F83"/>
    <w:rsid w:val="00222A00"/>
    <w:rsid w:val="0022340D"/>
    <w:rsid w:val="0022395A"/>
    <w:rsid w:val="00230031"/>
    <w:rsid w:val="00230A21"/>
    <w:rsid w:val="00231FC1"/>
    <w:rsid w:val="00233301"/>
    <w:rsid w:val="00234994"/>
    <w:rsid w:val="00235C01"/>
    <w:rsid w:val="00235EA7"/>
    <w:rsid w:val="00236196"/>
    <w:rsid w:val="002377DD"/>
    <w:rsid w:val="0024037E"/>
    <w:rsid w:val="00240515"/>
    <w:rsid w:val="002415A9"/>
    <w:rsid w:val="00242F67"/>
    <w:rsid w:val="0024431F"/>
    <w:rsid w:val="0024455A"/>
    <w:rsid w:val="00246286"/>
    <w:rsid w:val="00247343"/>
    <w:rsid w:val="00247869"/>
    <w:rsid w:val="00251B52"/>
    <w:rsid w:val="00252CCD"/>
    <w:rsid w:val="00254D81"/>
    <w:rsid w:val="00254F1C"/>
    <w:rsid w:val="00255DC8"/>
    <w:rsid w:val="0025667A"/>
    <w:rsid w:val="00260C7A"/>
    <w:rsid w:val="002614FF"/>
    <w:rsid w:val="002619B1"/>
    <w:rsid w:val="00262B39"/>
    <w:rsid w:val="00263CE9"/>
    <w:rsid w:val="002654A9"/>
    <w:rsid w:val="00265C56"/>
    <w:rsid w:val="002662D8"/>
    <w:rsid w:val="0026632F"/>
    <w:rsid w:val="0027038E"/>
    <w:rsid w:val="0027167B"/>
    <w:rsid w:val="002716CD"/>
    <w:rsid w:val="002719B9"/>
    <w:rsid w:val="002729F5"/>
    <w:rsid w:val="00274D4B"/>
    <w:rsid w:val="00276063"/>
    <w:rsid w:val="002803AE"/>
    <w:rsid w:val="002806F5"/>
    <w:rsid w:val="00280B2B"/>
    <w:rsid w:val="00280FD1"/>
    <w:rsid w:val="00281577"/>
    <w:rsid w:val="002818AE"/>
    <w:rsid w:val="00284726"/>
    <w:rsid w:val="002857F2"/>
    <w:rsid w:val="00287D73"/>
    <w:rsid w:val="002909D2"/>
    <w:rsid w:val="00291227"/>
    <w:rsid w:val="002926BC"/>
    <w:rsid w:val="002926D6"/>
    <w:rsid w:val="00292F4F"/>
    <w:rsid w:val="00293A72"/>
    <w:rsid w:val="0029422A"/>
    <w:rsid w:val="0029496A"/>
    <w:rsid w:val="00295E90"/>
    <w:rsid w:val="00296FF2"/>
    <w:rsid w:val="00297F70"/>
    <w:rsid w:val="002A0160"/>
    <w:rsid w:val="002A0A07"/>
    <w:rsid w:val="002A23D2"/>
    <w:rsid w:val="002A30C3"/>
    <w:rsid w:val="002A36A1"/>
    <w:rsid w:val="002A5711"/>
    <w:rsid w:val="002A5FB0"/>
    <w:rsid w:val="002A6F6A"/>
    <w:rsid w:val="002A7712"/>
    <w:rsid w:val="002B2CF7"/>
    <w:rsid w:val="002B3468"/>
    <w:rsid w:val="002B3667"/>
    <w:rsid w:val="002B38F7"/>
    <w:rsid w:val="002B463F"/>
    <w:rsid w:val="002B4F50"/>
    <w:rsid w:val="002B5591"/>
    <w:rsid w:val="002B6AA4"/>
    <w:rsid w:val="002B7F75"/>
    <w:rsid w:val="002C092D"/>
    <w:rsid w:val="002C0F79"/>
    <w:rsid w:val="002C16F9"/>
    <w:rsid w:val="002C184E"/>
    <w:rsid w:val="002C1FE9"/>
    <w:rsid w:val="002C227B"/>
    <w:rsid w:val="002C420A"/>
    <w:rsid w:val="002C6274"/>
    <w:rsid w:val="002C6D58"/>
    <w:rsid w:val="002C72C9"/>
    <w:rsid w:val="002C7321"/>
    <w:rsid w:val="002C7D4D"/>
    <w:rsid w:val="002C7FBB"/>
    <w:rsid w:val="002D1860"/>
    <w:rsid w:val="002D3A47"/>
    <w:rsid w:val="002D3A57"/>
    <w:rsid w:val="002D422E"/>
    <w:rsid w:val="002D5441"/>
    <w:rsid w:val="002D6524"/>
    <w:rsid w:val="002D7D05"/>
    <w:rsid w:val="002E136E"/>
    <w:rsid w:val="002E1DFE"/>
    <w:rsid w:val="002E20C8"/>
    <w:rsid w:val="002E271E"/>
    <w:rsid w:val="002E29C6"/>
    <w:rsid w:val="002E4290"/>
    <w:rsid w:val="002E503A"/>
    <w:rsid w:val="002E5D31"/>
    <w:rsid w:val="002E66A6"/>
    <w:rsid w:val="002F0DB1"/>
    <w:rsid w:val="002F1EC1"/>
    <w:rsid w:val="002F2885"/>
    <w:rsid w:val="002F38C6"/>
    <w:rsid w:val="002F3DED"/>
    <w:rsid w:val="002F4320"/>
    <w:rsid w:val="002F45A1"/>
    <w:rsid w:val="0030203D"/>
    <w:rsid w:val="0030263A"/>
    <w:rsid w:val="003037F9"/>
    <w:rsid w:val="00304E66"/>
    <w:rsid w:val="0030583E"/>
    <w:rsid w:val="00306E1D"/>
    <w:rsid w:val="00306E23"/>
    <w:rsid w:val="00307405"/>
    <w:rsid w:val="00307FE1"/>
    <w:rsid w:val="00310A9C"/>
    <w:rsid w:val="00312CC4"/>
    <w:rsid w:val="003130D4"/>
    <w:rsid w:val="003164A0"/>
    <w:rsid w:val="003164BA"/>
    <w:rsid w:val="00317F4D"/>
    <w:rsid w:val="00321905"/>
    <w:rsid w:val="00322270"/>
    <w:rsid w:val="00322577"/>
    <w:rsid w:val="00322BA2"/>
    <w:rsid w:val="003258E6"/>
    <w:rsid w:val="003269DC"/>
    <w:rsid w:val="00327836"/>
    <w:rsid w:val="00327892"/>
    <w:rsid w:val="00331784"/>
    <w:rsid w:val="00332000"/>
    <w:rsid w:val="00333AE9"/>
    <w:rsid w:val="0033643D"/>
    <w:rsid w:val="00340080"/>
    <w:rsid w:val="00340BF5"/>
    <w:rsid w:val="00342283"/>
    <w:rsid w:val="0034273A"/>
    <w:rsid w:val="003435EA"/>
    <w:rsid w:val="00343A54"/>
    <w:rsid w:val="00343A87"/>
    <w:rsid w:val="00343C61"/>
    <w:rsid w:val="00344613"/>
    <w:rsid w:val="00344A36"/>
    <w:rsid w:val="003456F4"/>
    <w:rsid w:val="00345747"/>
    <w:rsid w:val="00345E87"/>
    <w:rsid w:val="00346FD4"/>
    <w:rsid w:val="0034756F"/>
    <w:rsid w:val="00347FB6"/>
    <w:rsid w:val="003504FD"/>
    <w:rsid w:val="00350881"/>
    <w:rsid w:val="00352845"/>
    <w:rsid w:val="00353496"/>
    <w:rsid w:val="00353983"/>
    <w:rsid w:val="00355532"/>
    <w:rsid w:val="003574E6"/>
    <w:rsid w:val="00357CDF"/>
    <w:rsid w:val="00357D55"/>
    <w:rsid w:val="00360B3A"/>
    <w:rsid w:val="00361066"/>
    <w:rsid w:val="00363513"/>
    <w:rsid w:val="00364198"/>
    <w:rsid w:val="003657E5"/>
    <w:rsid w:val="0036589C"/>
    <w:rsid w:val="00365C2C"/>
    <w:rsid w:val="00367040"/>
    <w:rsid w:val="00367047"/>
    <w:rsid w:val="00371312"/>
    <w:rsid w:val="00371DC7"/>
    <w:rsid w:val="003729C7"/>
    <w:rsid w:val="00374F44"/>
    <w:rsid w:val="00375C6C"/>
    <w:rsid w:val="00376ED9"/>
    <w:rsid w:val="00377B21"/>
    <w:rsid w:val="00382A7F"/>
    <w:rsid w:val="003836CD"/>
    <w:rsid w:val="00385BB8"/>
    <w:rsid w:val="00386FAB"/>
    <w:rsid w:val="00390862"/>
    <w:rsid w:val="00390CE3"/>
    <w:rsid w:val="00390FA9"/>
    <w:rsid w:val="00394876"/>
    <w:rsid w:val="00394AAF"/>
    <w:rsid w:val="00394CE5"/>
    <w:rsid w:val="00396059"/>
    <w:rsid w:val="003962BC"/>
    <w:rsid w:val="00397B96"/>
    <w:rsid w:val="003A46B9"/>
    <w:rsid w:val="003A5B2D"/>
    <w:rsid w:val="003A6341"/>
    <w:rsid w:val="003A697A"/>
    <w:rsid w:val="003A7949"/>
    <w:rsid w:val="003A7A8D"/>
    <w:rsid w:val="003B1539"/>
    <w:rsid w:val="003B1968"/>
    <w:rsid w:val="003B2780"/>
    <w:rsid w:val="003B31EF"/>
    <w:rsid w:val="003B38DF"/>
    <w:rsid w:val="003B4943"/>
    <w:rsid w:val="003B67FD"/>
    <w:rsid w:val="003B6A61"/>
    <w:rsid w:val="003B71C2"/>
    <w:rsid w:val="003C02E2"/>
    <w:rsid w:val="003C04F1"/>
    <w:rsid w:val="003C2198"/>
    <w:rsid w:val="003C2364"/>
    <w:rsid w:val="003C370D"/>
    <w:rsid w:val="003C4941"/>
    <w:rsid w:val="003C7E20"/>
    <w:rsid w:val="003D0F63"/>
    <w:rsid w:val="003D1C8C"/>
    <w:rsid w:val="003D33DE"/>
    <w:rsid w:val="003D4042"/>
    <w:rsid w:val="003D42C0"/>
    <w:rsid w:val="003D499E"/>
    <w:rsid w:val="003D4A8F"/>
    <w:rsid w:val="003D562F"/>
    <w:rsid w:val="003D5689"/>
    <w:rsid w:val="003D5B29"/>
    <w:rsid w:val="003D765F"/>
    <w:rsid w:val="003D7818"/>
    <w:rsid w:val="003D7944"/>
    <w:rsid w:val="003D7ABE"/>
    <w:rsid w:val="003E2445"/>
    <w:rsid w:val="003E2A4C"/>
    <w:rsid w:val="003E375F"/>
    <w:rsid w:val="003E3BB2"/>
    <w:rsid w:val="003E5988"/>
    <w:rsid w:val="003E65E9"/>
    <w:rsid w:val="003F189E"/>
    <w:rsid w:val="003F3410"/>
    <w:rsid w:val="003F5B58"/>
    <w:rsid w:val="003F76D3"/>
    <w:rsid w:val="0040222A"/>
    <w:rsid w:val="00402ADA"/>
    <w:rsid w:val="00403EB1"/>
    <w:rsid w:val="004047BC"/>
    <w:rsid w:val="00404A68"/>
    <w:rsid w:val="00406B5F"/>
    <w:rsid w:val="00406C16"/>
    <w:rsid w:val="00406EF1"/>
    <w:rsid w:val="004100F7"/>
    <w:rsid w:val="00410BEF"/>
    <w:rsid w:val="0041345F"/>
    <w:rsid w:val="00414CB3"/>
    <w:rsid w:val="0041563D"/>
    <w:rsid w:val="0041647A"/>
    <w:rsid w:val="004168ED"/>
    <w:rsid w:val="00416DF8"/>
    <w:rsid w:val="0041738C"/>
    <w:rsid w:val="00420BB2"/>
    <w:rsid w:val="004218A8"/>
    <w:rsid w:val="00421FFF"/>
    <w:rsid w:val="00424B02"/>
    <w:rsid w:val="00426908"/>
    <w:rsid w:val="00426E25"/>
    <w:rsid w:val="0042761C"/>
    <w:rsid w:val="00427C6A"/>
    <w:rsid w:val="00427C7A"/>
    <w:rsid w:val="00427D9C"/>
    <w:rsid w:val="00427E7E"/>
    <w:rsid w:val="0043122A"/>
    <w:rsid w:val="0043132A"/>
    <w:rsid w:val="00431AC7"/>
    <w:rsid w:val="0043364A"/>
    <w:rsid w:val="0043465D"/>
    <w:rsid w:val="00435082"/>
    <w:rsid w:val="00443B6E"/>
    <w:rsid w:val="00445A7F"/>
    <w:rsid w:val="00446537"/>
    <w:rsid w:val="00450636"/>
    <w:rsid w:val="0045420A"/>
    <w:rsid w:val="004554D4"/>
    <w:rsid w:val="00455F06"/>
    <w:rsid w:val="0045719D"/>
    <w:rsid w:val="004578AF"/>
    <w:rsid w:val="0046125A"/>
    <w:rsid w:val="00461744"/>
    <w:rsid w:val="00464412"/>
    <w:rsid w:val="00466185"/>
    <w:rsid w:val="00466303"/>
    <w:rsid w:val="00466755"/>
    <w:rsid w:val="004668A7"/>
    <w:rsid w:val="00466D96"/>
    <w:rsid w:val="00467288"/>
    <w:rsid w:val="00467747"/>
    <w:rsid w:val="00467A1D"/>
    <w:rsid w:val="00467D11"/>
    <w:rsid w:val="00470017"/>
    <w:rsid w:val="00470807"/>
    <w:rsid w:val="0047105A"/>
    <w:rsid w:val="00473C98"/>
    <w:rsid w:val="00474965"/>
    <w:rsid w:val="00480159"/>
    <w:rsid w:val="00481792"/>
    <w:rsid w:val="00482DF8"/>
    <w:rsid w:val="00482EC9"/>
    <w:rsid w:val="00483E26"/>
    <w:rsid w:val="00485EFF"/>
    <w:rsid w:val="004864DE"/>
    <w:rsid w:val="0048738C"/>
    <w:rsid w:val="00491395"/>
    <w:rsid w:val="00491988"/>
    <w:rsid w:val="004934ED"/>
    <w:rsid w:val="00494BE5"/>
    <w:rsid w:val="00497685"/>
    <w:rsid w:val="004A014A"/>
    <w:rsid w:val="004A0EBA"/>
    <w:rsid w:val="004A2538"/>
    <w:rsid w:val="004A2D20"/>
    <w:rsid w:val="004A331E"/>
    <w:rsid w:val="004A3395"/>
    <w:rsid w:val="004A5B06"/>
    <w:rsid w:val="004A6FE1"/>
    <w:rsid w:val="004B0C15"/>
    <w:rsid w:val="004B102A"/>
    <w:rsid w:val="004B2C58"/>
    <w:rsid w:val="004B2FBA"/>
    <w:rsid w:val="004B2FF4"/>
    <w:rsid w:val="004B338E"/>
    <w:rsid w:val="004B35EA"/>
    <w:rsid w:val="004B3B0D"/>
    <w:rsid w:val="004B5263"/>
    <w:rsid w:val="004B5CDE"/>
    <w:rsid w:val="004B69E4"/>
    <w:rsid w:val="004B745A"/>
    <w:rsid w:val="004C0CF4"/>
    <w:rsid w:val="004C0E2D"/>
    <w:rsid w:val="004C1274"/>
    <w:rsid w:val="004C2467"/>
    <w:rsid w:val="004C2B40"/>
    <w:rsid w:val="004C4104"/>
    <w:rsid w:val="004C6C39"/>
    <w:rsid w:val="004C7929"/>
    <w:rsid w:val="004D075F"/>
    <w:rsid w:val="004D17E3"/>
    <w:rsid w:val="004D1B76"/>
    <w:rsid w:val="004D1FC2"/>
    <w:rsid w:val="004D200B"/>
    <w:rsid w:val="004D344E"/>
    <w:rsid w:val="004D3674"/>
    <w:rsid w:val="004D464A"/>
    <w:rsid w:val="004D708D"/>
    <w:rsid w:val="004D711A"/>
    <w:rsid w:val="004D729A"/>
    <w:rsid w:val="004E019E"/>
    <w:rsid w:val="004E06EC"/>
    <w:rsid w:val="004E0A3F"/>
    <w:rsid w:val="004E15C6"/>
    <w:rsid w:val="004E2CB7"/>
    <w:rsid w:val="004E5204"/>
    <w:rsid w:val="004E54C3"/>
    <w:rsid w:val="004E799B"/>
    <w:rsid w:val="004F016A"/>
    <w:rsid w:val="004F3681"/>
    <w:rsid w:val="004F3F83"/>
    <w:rsid w:val="004F4EA2"/>
    <w:rsid w:val="004F56A2"/>
    <w:rsid w:val="00500738"/>
    <w:rsid w:val="00500F94"/>
    <w:rsid w:val="005012A6"/>
    <w:rsid w:val="00502FB3"/>
    <w:rsid w:val="00503DE9"/>
    <w:rsid w:val="0050530C"/>
    <w:rsid w:val="005055F6"/>
    <w:rsid w:val="00505DEA"/>
    <w:rsid w:val="005076BF"/>
    <w:rsid w:val="00507782"/>
    <w:rsid w:val="00510F33"/>
    <w:rsid w:val="00512A04"/>
    <w:rsid w:val="00513F16"/>
    <w:rsid w:val="005141D7"/>
    <w:rsid w:val="0051445F"/>
    <w:rsid w:val="00520499"/>
    <w:rsid w:val="00520601"/>
    <w:rsid w:val="00520C9A"/>
    <w:rsid w:val="0052438C"/>
    <w:rsid w:val="005249F5"/>
    <w:rsid w:val="005260E6"/>
    <w:rsid w:val="005260F7"/>
    <w:rsid w:val="005328E6"/>
    <w:rsid w:val="00534579"/>
    <w:rsid w:val="00534854"/>
    <w:rsid w:val="005377A2"/>
    <w:rsid w:val="00543BD1"/>
    <w:rsid w:val="005446E9"/>
    <w:rsid w:val="00545A92"/>
    <w:rsid w:val="00547904"/>
    <w:rsid w:val="00547FF2"/>
    <w:rsid w:val="00550263"/>
    <w:rsid w:val="0055083C"/>
    <w:rsid w:val="005514BC"/>
    <w:rsid w:val="00551C6F"/>
    <w:rsid w:val="0055213C"/>
    <w:rsid w:val="0055367B"/>
    <w:rsid w:val="00553BA6"/>
    <w:rsid w:val="00556113"/>
    <w:rsid w:val="00556E16"/>
    <w:rsid w:val="00557737"/>
    <w:rsid w:val="005606DD"/>
    <w:rsid w:val="00563095"/>
    <w:rsid w:val="005632C5"/>
    <w:rsid w:val="00564C12"/>
    <w:rsid w:val="00564F9C"/>
    <w:rsid w:val="005654B8"/>
    <w:rsid w:val="0056772A"/>
    <w:rsid w:val="00570B71"/>
    <w:rsid w:val="00570D94"/>
    <w:rsid w:val="00570EF7"/>
    <w:rsid w:val="005714FD"/>
    <w:rsid w:val="00573442"/>
    <w:rsid w:val="00573FD9"/>
    <w:rsid w:val="0057424D"/>
    <w:rsid w:val="0057428A"/>
    <w:rsid w:val="005762CC"/>
    <w:rsid w:val="005766DD"/>
    <w:rsid w:val="005773E8"/>
    <w:rsid w:val="00581DEF"/>
    <w:rsid w:val="00582D3D"/>
    <w:rsid w:val="00587118"/>
    <w:rsid w:val="00590040"/>
    <w:rsid w:val="005945BF"/>
    <w:rsid w:val="0059515D"/>
    <w:rsid w:val="00595386"/>
    <w:rsid w:val="005968DE"/>
    <w:rsid w:val="00597234"/>
    <w:rsid w:val="00597D8C"/>
    <w:rsid w:val="005A0317"/>
    <w:rsid w:val="005A11F4"/>
    <w:rsid w:val="005A33FE"/>
    <w:rsid w:val="005A4A95"/>
    <w:rsid w:val="005A4AC0"/>
    <w:rsid w:val="005A539B"/>
    <w:rsid w:val="005A5569"/>
    <w:rsid w:val="005A5FDF"/>
    <w:rsid w:val="005A6A71"/>
    <w:rsid w:val="005A6DB0"/>
    <w:rsid w:val="005B01D8"/>
    <w:rsid w:val="005B0FB7"/>
    <w:rsid w:val="005B122A"/>
    <w:rsid w:val="005B1272"/>
    <w:rsid w:val="005B1FCB"/>
    <w:rsid w:val="005B2C15"/>
    <w:rsid w:val="005B3EF9"/>
    <w:rsid w:val="005B44BB"/>
    <w:rsid w:val="005B47DE"/>
    <w:rsid w:val="005B58CB"/>
    <w:rsid w:val="005B5A01"/>
    <w:rsid w:val="005B5AC2"/>
    <w:rsid w:val="005C1FEE"/>
    <w:rsid w:val="005C2833"/>
    <w:rsid w:val="005C312E"/>
    <w:rsid w:val="005C6541"/>
    <w:rsid w:val="005C67F3"/>
    <w:rsid w:val="005C7D0F"/>
    <w:rsid w:val="005D0F0B"/>
    <w:rsid w:val="005D34F1"/>
    <w:rsid w:val="005D5F84"/>
    <w:rsid w:val="005D682C"/>
    <w:rsid w:val="005D7228"/>
    <w:rsid w:val="005D763E"/>
    <w:rsid w:val="005D78AB"/>
    <w:rsid w:val="005E140E"/>
    <w:rsid w:val="005E144D"/>
    <w:rsid w:val="005E1500"/>
    <w:rsid w:val="005E16BC"/>
    <w:rsid w:val="005E16F5"/>
    <w:rsid w:val="005E207B"/>
    <w:rsid w:val="005E341A"/>
    <w:rsid w:val="005E3A43"/>
    <w:rsid w:val="005F0B17"/>
    <w:rsid w:val="005F4309"/>
    <w:rsid w:val="005F6602"/>
    <w:rsid w:val="005F7060"/>
    <w:rsid w:val="005F77C7"/>
    <w:rsid w:val="005F79D5"/>
    <w:rsid w:val="005F7A26"/>
    <w:rsid w:val="005F7E57"/>
    <w:rsid w:val="00605482"/>
    <w:rsid w:val="0060569D"/>
    <w:rsid w:val="00605974"/>
    <w:rsid w:val="00607759"/>
    <w:rsid w:val="00610D48"/>
    <w:rsid w:val="00611291"/>
    <w:rsid w:val="00611DCC"/>
    <w:rsid w:val="00611DF2"/>
    <w:rsid w:val="00613533"/>
    <w:rsid w:val="00615A2E"/>
    <w:rsid w:val="0061627C"/>
    <w:rsid w:val="0062019A"/>
    <w:rsid w:val="00620675"/>
    <w:rsid w:val="00621539"/>
    <w:rsid w:val="006221EC"/>
    <w:rsid w:val="00622910"/>
    <w:rsid w:val="00622D5D"/>
    <w:rsid w:val="00624648"/>
    <w:rsid w:val="00624701"/>
    <w:rsid w:val="00624E00"/>
    <w:rsid w:val="006254B6"/>
    <w:rsid w:val="00627097"/>
    <w:rsid w:val="00627D46"/>
    <w:rsid w:val="00627FC8"/>
    <w:rsid w:val="006326D0"/>
    <w:rsid w:val="00633BE9"/>
    <w:rsid w:val="006368A1"/>
    <w:rsid w:val="0063707C"/>
    <w:rsid w:val="00637FDF"/>
    <w:rsid w:val="006423EF"/>
    <w:rsid w:val="006433C3"/>
    <w:rsid w:val="0064571F"/>
    <w:rsid w:val="00650F5B"/>
    <w:rsid w:val="006529CA"/>
    <w:rsid w:val="0065429D"/>
    <w:rsid w:val="00654C87"/>
    <w:rsid w:val="0065546E"/>
    <w:rsid w:val="00655F7B"/>
    <w:rsid w:val="00657642"/>
    <w:rsid w:val="006612AF"/>
    <w:rsid w:val="006622D1"/>
    <w:rsid w:val="0066420C"/>
    <w:rsid w:val="006643B5"/>
    <w:rsid w:val="00665DF7"/>
    <w:rsid w:val="00666741"/>
    <w:rsid w:val="006670D7"/>
    <w:rsid w:val="00667C4A"/>
    <w:rsid w:val="006719EA"/>
    <w:rsid w:val="00671F13"/>
    <w:rsid w:val="00673D73"/>
    <w:rsid w:val="0067400A"/>
    <w:rsid w:val="00677B9B"/>
    <w:rsid w:val="00681123"/>
    <w:rsid w:val="006825E5"/>
    <w:rsid w:val="006847AD"/>
    <w:rsid w:val="006847B3"/>
    <w:rsid w:val="006849C5"/>
    <w:rsid w:val="006860E1"/>
    <w:rsid w:val="006907D9"/>
    <w:rsid w:val="0069114B"/>
    <w:rsid w:val="0069328D"/>
    <w:rsid w:val="006934E1"/>
    <w:rsid w:val="006944C1"/>
    <w:rsid w:val="006949BE"/>
    <w:rsid w:val="00694EDC"/>
    <w:rsid w:val="00695605"/>
    <w:rsid w:val="006A0F37"/>
    <w:rsid w:val="006A1575"/>
    <w:rsid w:val="006A167C"/>
    <w:rsid w:val="006A1ED1"/>
    <w:rsid w:val="006A35BF"/>
    <w:rsid w:val="006A3C4B"/>
    <w:rsid w:val="006A6594"/>
    <w:rsid w:val="006A6650"/>
    <w:rsid w:val="006A6B14"/>
    <w:rsid w:val="006A7311"/>
    <w:rsid w:val="006A756A"/>
    <w:rsid w:val="006B0266"/>
    <w:rsid w:val="006B1F63"/>
    <w:rsid w:val="006B2BEF"/>
    <w:rsid w:val="006B31F1"/>
    <w:rsid w:val="006B4213"/>
    <w:rsid w:val="006B4A67"/>
    <w:rsid w:val="006B4C74"/>
    <w:rsid w:val="006B4D29"/>
    <w:rsid w:val="006B6363"/>
    <w:rsid w:val="006C0EC2"/>
    <w:rsid w:val="006C1C06"/>
    <w:rsid w:val="006C1D75"/>
    <w:rsid w:val="006C2440"/>
    <w:rsid w:val="006C39EA"/>
    <w:rsid w:val="006D0982"/>
    <w:rsid w:val="006D138A"/>
    <w:rsid w:val="006D2D1A"/>
    <w:rsid w:val="006D3C5E"/>
    <w:rsid w:val="006D66F7"/>
    <w:rsid w:val="006E484F"/>
    <w:rsid w:val="006E6368"/>
    <w:rsid w:val="006F3158"/>
    <w:rsid w:val="006F39B2"/>
    <w:rsid w:val="006F53C3"/>
    <w:rsid w:val="00701829"/>
    <w:rsid w:val="00701D1F"/>
    <w:rsid w:val="007028A8"/>
    <w:rsid w:val="0070451F"/>
    <w:rsid w:val="00705C9D"/>
    <w:rsid w:val="00705F13"/>
    <w:rsid w:val="0070624C"/>
    <w:rsid w:val="0071000F"/>
    <w:rsid w:val="00714D41"/>
    <w:rsid w:val="00714F1D"/>
    <w:rsid w:val="00715225"/>
    <w:rsid w:val="00715389"/>
    <w:rsid w:val="0071700C"/>
    <w:rsid w:val="00717E04"/>
    <w:rsid w:val="00720662"/>
    <w:rsid w:val="00720CC6"/>
    <w:rsid w:val="0072232C"/>
    <w:rsid w:val="0072257F"/>
    <w:rsid w:val="0072278F"/>
    <w:rsid w:val="00722DDB"/>
    <w:rsid w:val="007233A0"/>
    <w:rsid w:val="00724728"/>
    <w:rsid w:val="00724F98"/>
    <w:rsid w:val="00726C18"/>
    <w:rsid w:val="00726F5E"/>
    <w:rsid w:val="007307F5"/>
    <w:rsid w:val="00730B9B"/>
    <w:rsid w:val="0073182E"/>
    <w:rsid w:val="007332FF"/>
    <w:rsid w:val="00734328"/>
    <w:rsid w:val="00736964"/>
    <w:rsid w:val="007408F5"/>
    <w:rsid w:val="00740E56"/>
    <w:rsid w:val="00741EAE"/>
    <w:rsid w:val="00742E6F"/>
    <w:rsid w:val="00743A11"/>
    <w:rsid w:val="007444A7"/>
    <w:rsid w:val="00745E14"/>
    <w:rsid w:val="0074735C"/>
    <w:rsid w:val="00751371"/>
    <w:rsid w:val="00751928"/>
    <w:rsid w:val="007544AD"/>
    <w:rsid w:val="00755122"/>
    <w:rsid w:val="00755248"/>
    <w:rsid w:val="00755990"/>
    <w:rsid w:val="007560C0"/>
    <w:rsid w:val="00756CB2"/>
    <w:rsid w:val="00757063"/>
    <w:rsid w:val="0075772A"/>
    <w:rsid w:val="00760E7A"/>
    <w:rsid w:val="0076190B"/>
    <w:rsid w:val="007623AD"/>
    <w:rsid w:val="00763136"/>
    <w:rsid w:val="0076355D"/>
    <w:rsid w:val="00763A2D"/>
    <w:rsid w:val="0076439F"/>
    <w:rsid w:val="00766562"/>
    <w:rsid w:val="007676A4"/>
    <w:rsid w:val="00771354"/>
    <w:rsid w:val="007720AE"/>
    <w:rsid w:val="00772DBE"/>
    <w:rsid w:val="00773A27"/>
    <w:rsid w:val="007745D2"/>
    <w:rsid w:val="00774942"/>
    <w:rsid w:val="00777795"/>
    <w:rsid w:val="00780786"/>
    <w:rsid w:val="007809C8"/>
    <w:rsid w:val="00780BC1"/>
    <w:rsid w:val="007826CF"/>
    <w:rsid w:val="00783A57"/>
    <w:rsid w:val="00783F1F"/>
    <w:rsid w:val="00783F2D"/>
    <w:rsid w:val="0078446A"/>
    <w:rsid w:val="00784C92"/>
    <w:rsid w:val="007859CD"/>
    <w:rsid w:val="00785C24"/>
    <w:rsid w:val="007867BD"/>
    <w:rsid w:val="00786F5F"/>
    <w:rsid w:val="007907E4"/>
    <w:rsid w:val="00790921"/>
    <w:rsid w:val="0079148C"/>
    <w:rsid w:val="007921AA"/>
    <w:rsid w:val="00792A53"/>
    <w:rsid w:val="00794FB3"/>
    <w:rsid w:val="00796461"/>
    <w:rsid w:val="007A2E03"/>
    <w:rsid w:val="007A3ABD"/>
    <w:rsid w:val="007A5D25"/>
    <w:rsid w:val="007A6957"/>
    <w:rsid w:val="007A6A4F"/>
    <w:rsid w:val="007B03F5"/>
    <w:rsid w:val="007B093E"/>
    <w:rsid w:val="007B34CB"/>
    <w:rsid w:val="007B37F7"/>
    <w:rsid w:val="007B4B13"/>
    <w:rsid w:val="007B5C09"/>
    <w:rsid w:val="007B5DA2"/>
    <w:rsid w:val="007B72E2"/>
    <w:rsid w:val="007B7C6B"/>
    <w:rsid w:val="007B7C8C"/>
    <w:rsid w:val="007C06B1"/>
    <w:rsid w:val="007C08D1"/>
    <w:rsid w:val="007C0966"/>
    <w:rsid w:val="007C19A5"/>
    <w:rsid w:val="007C19E7"/>
    <w:rsid w:val="007C2EBB"/>
    <w:rsid w:val="007C5CFD"/>
    <w:rsid w:val="007C5E18"/>
    <w:rsid w:val="007C5F7C"/>
    <w:rsid w:val="007C6D9F"/>
    <w:rsid w:val="007C73AA"/>
    <w:rsid w:val="007C7A6C"/>
    <w:rsid w:val="007D1546"/>
    <w:rsid w:val="007D3F9E"/>
    <w:rsid w:val="007D4893"/>
    <w:rsid w:val="007D4FDB"/>
    <w:rsid w:val="007E3292"/>
    <w:rsid w:val="007E358D"/>
    <w:rsid w:val="007E6BE0"/>
    <w:rsid w:val="007E70CF"/>
    <w:rsid w:val="007E74A4"/>
    <w:rsid w:val="007F1B6F"/>
    <w:rsid w:val="007F263F"/>
    <w:rsid w:val="007F3EF5"/>
    <w:rsid w:val="008015A8"/>
    <w:rsid w:val="0080766E"/>
    <w:rsid w:val="0081017F"/>
    <w:rsid w:val="00811169"/>
    <w:rsid w:val="008141E8"/>
    <w:rsid w:val="00815297"/>
    <w:rsid w:val="00816EFE"/>
    <w:rsid w:val="008170DB"/>
    <w:rsid w:val="008171BF"/>
    <w:rsid w:val="00817BA1"/>
    <w:rsid w:val="00820DEB"/>
    <w:rsid w:val="00823022"/>
    <w:rsid w:val="0082541C"/>
    <w:rsid w:val="0082634E"/>
    <w:rsid w:val="00827B07"/>
    <w:rsid w:val="00830D58"/>
    <w:rsid w:val="008313C4"/>
    <w:rsid w:val="00833E94"/>
    <w:rsid w:val="00835434"/>
    <w:rsid w:val="00835512"/>
    <w:rsid w:val="008358C0"/>
    <w:rsid w:val="00835FEE"/>
    <w:rsid w:val="00836A95"/>
    <w:rsid w:val="00836B19"/>
    <w:rsid w:val="00842675"/>
    <w:rsid w:val="00842838"/>
    <w:rsid w:val="0084332B"/>
    <w:rsid w:val="00843D12"/>
    <w:rsid w:val="0084490F"/>
    <w:rsid w:val="00845EAE"/>
    <w:rsid w:val="0084788D"/>
    <w:rsid w:val="00850677"/>
    <w:rsid w:val="00852538"/>
    <w:rsid w:val="00852EE3"/>
    <w:rsid w:val="00853202"/>
    <w:rsid w:val="00854968"/>
    <w:rsid w:val="00854EC1"/>
    <w:rsid w:val="0085667D"/>
    <w:rsid w:val="008567F1"/>
    <w:rsid w:val="008568B7"/>
    <w:rsid w:val="0085797F"/>
    <w:rsid w:val="00857A6F"/>
    <w:rsid w:val="00857C11"/>
    <w:rsid w:val="008615FC"/>
    <w:rsid w:val="00861DC3"/>
    <w:rsid w:val="008635A0"/>
    <w:rsid w:val="008640F8"/>
    <w:rsid w:val="008664E1"/>
    <w:rsid w:val="00867019"/>
    <w:rsid w:val="00870FB5"/>
    <w:rsid w:val="00872EF1"/>
    <w:rsid w:val="008735A9"/>
    <w:rsid w:val="008737E4"/>
    <w:rsid w:val="008765D1"/>
    <w:rsid w:val="00877BC5"/>
    <w:rsid w:val="00877D20"/>
    <w:rsid w:val="00881C48"/>
    <w:rsid w:val="00884391"/>
    <w:rsid w:val="008859F7"/>
    <w:rsid w:val="00885B80"/>
    <w:rsid w:val="00885C30"/>
    <w:rsid w:val="00885E9B"/>
    <w:rsid w:val="0089005F"/>
    <w:rsid w:val="00890666"/>
    <w:rsid w:val="00890991"/>
    <w:rsid w:val="00890DFC"/>
    <w:rsid w:val="0089368E"/>
    <w:rsid w:val="00893C96"/>
    <w:rsid w:val="00894ABA"/>
    <w:rsid w:val="0089500A"/>
    <w:rsid w:val="00897C94"/>
    <w:rsid w:val="008A0019"/>
    <w:rsid w:val="008A14DD"/>
    <w:rsid w:val="008A2AF8"/>
    <w:rsid w:val="008A400F"/>
    <w:rsid w:val="008A452A"/>
    <w:rsid w:val="008A4B30"/>
    <w:rsid w:val="008A4F04"/>
    <w:rsid w:val="008A536C"/>
    <w:rsid w:val="008A5D8B"/>
    <w:rsid w:val="008A6D28"/>
    <w:rsid w:val="008A7C12"/>
    <w:rsid w:val="008B03CE"/>
    <w:rsid w:val="008B1915"/>
    <w:rsid w:val="008B4DDD"/>
    <w:rsid w:val="008B529E"/>
    <w:rsid w:val="008C17FB"/>
    <w:rsid w:val="008C1873"/>
    <w:rsid w:val="008C1961"/>
    <w:rsid w:val="008C34DF"/>
    <w:rsid w:val="008C5BD6"/>
    <w:rsid w:val="008C6A89"/>
    <w:rsid w:val="008C70BB"/>
    <w:rsid w:val="008C7267"/>
    <w:rsid w:val="008D1B00"/>
    <w:rsid w:val="008D28D0"/>
    <w:rsid w:val="008D2C51"/>
    <w:rsid w:val="008D53F5"/>
    <w:rsid w:val="008D57B8"/>
    <w:rsid w:val="008E03FC"/>
    <w:rsid w:val="008E11F0"/>
    <w:rsid w:val="008E386D"/>
    <w:rsid w:val="008E3AB1"/>
    <w:rsid w:val="008E510B"/>
    <w:rsid w:val="008E5DEB"/>
    <w:rsid w:val="008E6B59"/>
    <w:rsid w:val="008F15E4"/>
    <w:rsid w:val="008F18FA"/>
    <w:rsid w:val="008F2E2A"/>
    <w:rsid w:val="008F2FF7"/>
    <w:rsid w:val="008F5810"/>
    <w:rsid w:val="008F5934"/>
    <w:rsid w:val="00900473"/>
    <w:rsid w:val="00900884"/>
    <w:rsid w:val="00902B13"/>
    <w:rsid w:val="00902E5A"/>
    <w:rsid w:val="00902FA5"/>
    <w:rsid w:val="0090328A"/>
    <w:rsid w:val="00903A16"/>
    <w:rsid w:val="00905D09"/>
    <w:rsid w:val="009065C1"/>
    <w:rsid w:val="00911941"/>
    <w:rsid w:val="00911DB1"/>
    <w:rsid w:val="00911E54"/>
    <w:rsid w:val="009130AD"/>
    <w:rsid w:val="00914578"/>
    <w:rsid w:val="009163C1"/>
    <w:rsid w:val="00917B77"/>
    <w:rsid w:val="0092024D"/>
    <w:rsid w:val="0092183A"/>
    <w:rsid w:val="00925146"/>
    <w:rsid w:val="00925F0F"/>
    <w:rsid w:val="00927BBB"/>
    <w:rsid w:val="00930EC6"/>
    <w:rsid w:val="00932F6B"/>
    <w:rsid w:val="00933EF5"/>
    <w:rsid w:val="00935856"/>
    <w:rsid w:val="00935FE7"/>
    <w:rsid w:val="009362C3"/>
    <w:rsid w:val="00937D67"/>
    <w:rsid w:val="00940740"/>
    <w:rsid w:val="00942937"/>
    <w:rsid w:val="00942C19"/>
    <w:rsid w:val="009444F0"/>
    <w:rsid w:val="0094608A"/>
    <w:rsid w:val="00946751"/>
    <w:rsid w:val="009468BC"/>
    <w:rsid w:val="0094714C"/>
    <w:rsid w:val="00947FAE"/>
    <w:rsid w:val="00950938"/>
    <w:rsid w:val="009535BD"/>
    <w:rsid w:val="00955061"/>
    <w:rsid w:val="009561EB"/>
    <w:rsid w:val="009568BF"/>
    <w:rsid w:val="009574F7"/>
    <w:rsid w:val="009579A4"/>
    <w:rsid w:val="0096035B"/>
    <w:rsid w:val="009616DF"/>
    <w:rsid w:val="00962BAB"/>
    <w:rsid w:val="00963B1D"/>
    <w:rsid w:val="0096542F"/>
    <w:rsid w:val="00967E00"/>
    <w:rsid w:val="00967FA7"/>
    <w:rsid w:val="009700B1"/>
    <w:rsid w:val="009703CC"/>
    <w:rsid w:val="00970CF2"/>
    <w:rsid w:val="00971645"/>
    <w:rsid w:val="00971E73"/>
    <w:rsid w:val="0097250D"/>
    <w:rsid w:val="00972875"/>
    <w:rsid w:val="00973687"/>
    <w:rsid w:val="00974DF0"/>
    <w:rsid w:val="00977919"/>
    <w:rsid w:val="00983000"/>
    <w:rsid w:val="00984601"/>
    <w:rsid w:val="0098500E"/>
    <w:rsid w:val="009870FA"/>
    <w:rsid w:val="00990478"/>
    <w:rsid w:val="009921C3"/>
    <w:rsid w:val="009924FA"/>
    <w:rsid w:val="00993D36"/>
    <w:rsid w:val="009952D3"/>
    <w:rsid w:val="0099551D"/>
    <w:rsid w:val="009955AB"/>
    <w:rsid w:val="009A1433"/>
    <w:rsid w:val="009A1999"/>
    <w:rsid w:val="009A3534"/>
    <w:rsid w:val="009A3A8E"/>
    <w:rsid w:val="009A4A9C"/>
    <w:rsid w:val="009A5897"/>
    <w:rsid w:val="009A5F24"/>
    <w:rsid w:val="009B0770"/>
    <w:rsid w:val="009B0B3E"/>
    <w:rsid w:val="009B1913"/>
    <w:rsid w:val="009B1F64"/>
    <w:rsid w:val="009B22CB"/>
    <w:rsid w:val="009B41BF"/>
    <w:rsid w:val="009B4EEA"/>
    <w:rsid w:val="009B62E7"/>
    <w:rsid w:val="009B6657"/>
    <w:rsid w:val="009B6966"/>
    <w:rsid w:val="009C1D96"/>
    <w:rsid w:val="009C271A"/>
    <w:rsid w:val="009C3218"/>
    <w:rsid w:val="009C54E2"/>
    <w:rsid w:val="009C67D8"/>
    <w:rsid w:val="009C6CF9"/>
    <w:rsid w:val="009C707D"/>
    <w:rsid w:val="009D0EB5"/>
    <w:rsid w:val="009D14F9"/>
    <w:rsid w:val="009D1DBA"/>
    <w:rsid w:val="009D236F"/>
    <w:rsid w:val="009D2A9A"/>
    <w:rsid w:val="009D2B74"/>
    <w:rsid w:val="009D2C5B"/>
    <w:rsid w:val="009D4C35"/>
    <w:rsid w:val="009D4C8D"/>
    <w:rsid w:val="009D6091"/>
    <w:rsid w:val="009D63FF"/>
    <w:rsid w:val="009D6C2F"/>
    <w:rsid w:val="009D6E6E"/>
    <w:rsid w:val="009D75AD"/>
    <w:rsid w:val="009D7C25"/>
    <w:rsid w:val="009E175D"/>
    <w:rsid w:val="009E3CC2"/>
    <w:rsid w:val="009E41E9"/>
    <w:rsid w:val="009E471F"/>
    <w:rsid w:val="009E612E"/>
    <w:rsid w:val="009E7682"/>
    <w:rsid w:val="009F06BD"/>
    <w:rsid w:val="009F0793"/>
    <w:rsid w:val="009F0F9B"/>
    <w:rsid w:val="009F2A4D"/>
    <w:rsid w:val="009F4CD0"/>
    <w:rsid w:val="009F544C"/>
    <w:rsid w:val="009F5CE1"/>
    <w:rsid w:val="009F77A0"/>
    <w:rsid w:val="00A00828"/>
    <w:rsid w:val="00A00B62"/>
    <w:rsid w:val="00A03290"/>
    <w:rsid w:val="00A0387E"/>
    <w:rsid w:val="00A0514E"/>
    <w:rsid w:val="00A05B08"/>
    <w:rsid w:val="00A05BFD"/>
    <w:rsid w:val="00A05D83"/>
    <w:rsid w:val="00A06997"/>
    <w:rsid w:val="00A07490"/>
    <w:rsid w:val="00A07FD2"/>
    <w:rsid w:val="00A10655"/>
    <w:rsid w:val="00A113DC"/>
    <w:rsid w:val="00A12431"/>
    <w:rsid w:val="00A12B64"/>
    <w:rsid w:val="00A1338A"/>
    <w:rsid w:val="00A14268"/>
    <w:rsid w:val="00A14E30"/>
    <w:rsid w:val="00A15E6F"/>
    <w:rsid w:val="00A1767D"/>
    <w:rsid w:val="00A2028D"/>
    <w:rsid w:val="00A21751"/>
    <w:rsid w:val="00A22C38"/>
    <w:rsid w:val="00A22EFA"/>
    <w:rsid w:val="00A25193"/>
    <w:rsid w:val="00A256AA"/>
    <w:rsid w:val="00A26578"/>
    <w:rsid w:val="00A26C23"/>
    <w:rsid w:val="00A26E80"/>
    <w:rsid w:val="00A30588"/>
    <w:rsid w:val="00A30600"/>
    <w:rsid w:val="00A315E0"/>
    <w:rsid w:val="00A31AE8"/>
    <w:rsid w:val="00A335D3"/>
    <w:rsid w:val="00A34877"/>
    <w:rsid w:val="00A34B87"/>
    <w:rsid w:val="00A367A8"/>
    <w:rsid w:val="00A3739D"/>
    <w:rsid w:val="00A37DDA"/>
    <w:rsid w:val="00A40033"/>
    <w:rsid w:val="00A4327E"/>
    <w:rsid w:val="00A44747"/>
    <w:rsid w:val="00A44CF8"/>
    <w:rsid w:val="00A45005"/>
    <w:rsid w:val="00A45DB9"/>
    <w:rsid w:val="00A47BDA"/>
    <w:rsid w:val="00A50E6E"/>
    <w:rsid w:val="00A52092"/>
    <w:rsid w:val="00A5280C"/>
    <w:rsid w:val="00A53414"/>
    <w:rsid w:val="00A5540A"/>
    <w:rsid w:val="00A567EE"/>
    <w:rsid w:val="00A57143"/>
    <w:rsid w:val="00A60979"/>
    <w:rsid w:val="00A62054"/>
    <w:rsid w:val="00A62804"/>
    <w:rsid w:val="00A62FE6"/>
    <w:rsid w:val="00A63FFB"/>
    <w:rsid w:val="00A64D5D"/>
    <w:rsid w:val="00A65D8F"/>
    <w:rsid w:val="00A67DF2"/>
    <w:rsid w:val="00A70DD8"/>
    <w:rsid w:val="00A72B4C"/>
    <w:rsid w:val="00A72E16"/>
    <w:rsid w:val="00A75868"/>
    <w:rsid w:val="00A75F28"/>
    <w:rsid w:val="00A76790"/>
    <w:rsid w:val="00A7723B"/>
    <w:rsid w:val="00A778EF"/>
    <w:rsid w:val="00A805B5"/>
    <w:rsid w:val="00A805D2"/>
    <w:rsid w:val="00A82237"/>
    <w:rsid w:val="00A82379"/>
    <w:rsid w:val="00A83C6F"/>
    <w:rsid w:val="00A85D0C"/>
    <w:rsid w:val="00A90EFA"/>
    <w:rsid w:val="00A919BA"/>
    <w:rsid w:val="00A925EC"/>
    <w:rsid w:val="00A929AA"/>
    <w:rsid w:val="00A92B6B"/>
    <w:rsid w:val="00A9490D"/>
    <w:rsid w:val="00A94B1F"/>
    <w:rsid w:val="00A964BA"/>
    <w:rsid w:val="00A97A3A"/>
    <w:rsid w:val="00A97E3A"/>
    <w:rsid w:val="00AA04E6"/>
    <w:rsid w:val="00AA32FA"/>
    <w:rsid w:val="00AA4C1D"/>
    <w:rsid w:val="00AA4FDE"/>
    <w:rsid w:val="00AA541E"/>
    <w:rsid w:val="00AA59AB"/>
    <w:rsid w:val="00AA7560"/>
    <w:rsid w:val="00AB27CD"/>
    <w:rsid w:val="00AB5320"/>
    <w:rsid w:val="00AB59A8"/>
    <w:rsid w:val="00AB5F07"/>
    <w:rsid w:val="00AB6527"/>
    <w:rsid w:val="00AB6B10"/>
    <w:rsid w:val="00AB6B56"/>
    <w:rsid w:val="00AB78A8"/>
    <w:rsid w:val="00AC03CF"/>
    <w:rsid w:val="00AC26AF"/>
    <w:rsid w:val="00AC297E"/>
    <w:rsid w:val="00AC3313"/>
    <w:rsid w:val="00AC53BD"/>
    <w:rsid w:val="00AC5913"/>
    <w:rsid w:val="00AC7D96"/>
    <w:rsid w:val="00AD0262"/>
    <w:rsid w:val="00AD0DA4"/>
    <w:rsid w:val="00AD4169"/>
    <w:rsid w:val="00AD6B47"/>
    <w:rsid w:val="00AD70C6"/>
    <w:rsid w:val="00AD73D9"/>
    <w:rsid w:val="00AE2233"/>
    <w:rsid w:val="00AE25C6"/>
    <w:rsid w:val="00AE2A90"/>
    <w:rsid w:val="00AE306C"/>
    <w:rsid w:val="00AE4324"/>
    <w:rsid w:val="00AE4C92"/>
    <w:rsid w:val="00AE5178"/>
    <w:rsid w:val="00AE776A"/>
    <w:rsid w:val="00AF123C"/>
    <w:rsid w:val="00AF1EA9"/>
    <w:rsid w:val="00AF28C1"/>
    <w:rsid w:val="00AF3BB8"/>
    <w:rsid w:val="00AF4A3E"/>
    <w:rsid w:val="00AF4A9D"/>
    <w:rsid w:val="00AF5100"/>
    <w:rsid w:val="00AF641B"/>
    <w:rsid w:val="00B0119B"/>
    <w:rsid w:val="00B011C1"/>
    <w:rsid w:val="00B02DB0"/>
    <w:rsid w:val="00B02EF1"/>
    <w:rsid w:val="00B04CCB"/>
    <w:rsid w:val="00B04FB0"/>
    <w:rsid w:val="00B07A0E"/>
    <w:rsid w:val="00B07C97"/>
    <w:rsid w:val="00B10272"/>
    <w:rsid w:val="00B11A58"/>
    <w:rsid w:val="00B11C67"/>
    <w:rsid w:val="00B13138"/>
    <w:rsid w:val="00B13FB2"/>
    <w:rsid w:val="00B14257"/>
    <w:rsid w:val="00B15754"/>
    <w:rsid w:val="00B16002"/>
    <w:rsid w:val="00B170FB"/>
    <w:rsid w:val="00B17315"/>
    <w:rsid w:val="00B2046E"/>
    <w:rsid w:val="00B20E8B"/>
    <w:rsid w:val="00B2229C"/>
    <w:rsid w:val="00B2230C"/>
    <w:rsid w:val="00B226ED"/>
    <w:rsid w:val="00B23AF6"/>
    <w:rsid w:val="00B23C8B"/>
    <w:rsid w:val="00B257E1"/>
    <w:rsid w:val="00B2599A"/>
    <w:rsid w:val="00B27AC4"/>
    <w:rsid w:val="00B27F0D"/>
    <w:rsid w:val="00B325A8"/>
    <w:rsid w:val="00B3265C"/>
    <w:rsid w:val="00B33AE7"/>
    <w:rsid w:val="00B33F54"/>
    <w:rsid w:val="00B342DF"/>
    <w:rsid w:val="00B343CC"/>
    <w:rsid w:val="00B35FB3"/>
    <w:rsid w:val="00B36687"/>
    <w:rsid w:val="00B36C3A"/>
    <w:rsid w:val="00B40589"/>
    <w:rsid w:val="00B440F4"/>
    <w:rsid w:val="00B5084A"/>
    <w:rsid w:val="00B52158"/>
    <w:rsid w:val="00B521D1"/>
    <w:rsid w:val="00B552A7"/>
    <w:rsid w:val="00B55A2A"/>
    <w:rsid w:val="00B56EBC"/>
    <w:rsid w:val="00B5780F"/>
    <w:rsid w:val="00B606A1"/>
    <w:rsid w:val="00B614F7"/>
    <w:rsid w:val="00B61566"/>
    <w:rsid w:val="00B61B26"/>
    <w:rsid w:val="00B6318C"/>
    <w:rsid w:val="00B63E15"/>
    <w:rsid w:val="00B64423"/>
    <w:rsid w:val="00B65E6B"/>
    <w:rsid w:val="00B667B2"/>
    <w:rsid w:val="00B675B2"/>
    <w:rsid w:val="00B727AB"/>
    <w:rsid w:val="00B80CDC"/>
    <w:rsid w:val="00B81261"/>
    <w:rsid w:val="00B8223E"/>
    <w:rsid w:val="00B825E8"/>
    <w:rsid w:val="00B82CE4"/>
    <w:rsid w:val="00B832AE"/>
    <w:rsid w:val="00B849F6"/>
    <w:rsid w:val="00B86678"/>
    <w:rsid w:val="00B86771"/>
    <w:rsid w:val="00B90895"/>
    <w:rsid w:val="00B910F5"/>
    <w:rsid w:val="00B92F9B"/>
    <w:rsid w:val="00B93284"/>
    <w:rsid w:val="00B940CC"/>
    <w:rsid w:val="00B941B3"/>
    <w:rsid w:val="00B94389"/>
    <w:rsid w:val="00B949F4"/>
    <w:rsid w:val="00B95CC9"/>
    <w:rsid w:val="00B96513"/>
    <w:rsid w:val="00B96A60"/>
    <w:rsid w:val="00BA0165"/>
    <w:rsid w:val="00BA1412"/>
    <w:rsid w:val="00BA1D47"/>
    <w:rsid w:val="00BA24C6"/>
    <w:rsid w:val="00BA2D3B"/>
    <w:rsid w:val="00BA2F2A"/>
    <w:rsid w:val="00BA2FF9"/>
    <w:rsid w:val="00BA4BB6"/>
    <w:rsid w:val="00BA66F0"/>
    <w:rsid w:val="00BA6867"/>
    <w:rsid w:val="00BB00E4"/>
    <w:rsid w:val="00BB0512"/>
    <w:rsid w:val="00BB0763"/>
    <w:rsid w:val="00BB2239"/>
    <w:rsid w:val="00BB2AE7"/>
    <w:rsid w:val="00BB2EC4"/>
    <w:rsid w:val="00BB3C82"/>
    <w:rsid w:val="00BB5B80"/>
    <w:rsid w:val="00BB6464"/>
    <w:rsid w:val="00BC0087"/>
    <w:rsid w:val="00BC1BB8"/>
    <w:rsid w:val="00BC28D6"/>
    <w:rsid w:val="00BC2A26"/>
    <w:rsid w:val="00BC3B65"/>
    <w:rsid w:val="00BC3D52"/>
    <w:rsid w:val="00BC5309"/>
    <w:rsid w:val="00BC7788"/>
    <w:rsid w:val="00BD34A8"/>
    <w:rsid w:val="00BD686B"/>
    <w:rsid w:val="00BD7FE1"/>
    <w:rsid w:val="00BE26A3"/>
    <w:rsid w:val="00BE2A35"/>
    <w:rsid w:val="00BE3108"/>
    <w:rsid w:val="00BE37CA"/>
    <w:rsid w:val="00BE6144"/>
    <w:rsid w:val="00BE635A"/>
    <w:rsid w:val="00BE6995"/>
    <w:rsid w:val="00BE7351"/>
    <w:rsid w:val="00BE7F5C"/>
    <w:rsid w:val="00BF07A9"/>
    <w:rsid w:val="00BF17E9"/>
    <w:rsid w:val="00BF2ABB"/>
    <w:rsid w:val="00BF2B02"/>
    <w:rsid w:val="00BF5099"/>
    <w:rsid w:val="00BF56B5"/>
    <w:rsid w:val="00BF5E63"/>
    <w:rsid w:val="00C01499"/>
    <w:rsid w:val="00C026C2"/>
    <w:rsid w:val="00C02F58"/>
    <w:rsid w:val="00C04387"/>
    <w:rsid w:val="00C050C6"/>
    <w:rsid w:val="00C05CCF"/>
    <w:rsid w:val="00C065F3"/>
    <w:rsid w:val="00C07F8F"/>
    <w:rsid w:val="00C102D9"/>
    <w:rsid w:val="00C10B5E"/>
    <w:rsid w:val="00C10F10"/>
    <w:rsid w:val="00C13638"/>
    <w:rsid w:val="00C1599F"/>
    <w:rsid w:val="00C15D4D"/>
    <w:rsid w:val="00C16B10"/>
    <w:rsid w:val="00C16E32"/>
    <w:rsid w:val="00C175DC"/>
    <w:rsid w:val="00C246A7"/>
    <w:rsid w:val="00C24E7F"/>
    <w:rsid w:val="00C25F1D"/>
    <w:rsid w:val="00C2750D"/>
    <w:rsid w:val="00C30171"/>
    <w:rsid w:val="00C309D8"/>
    <w:rsid w:val="00C334D3"/>
    <w:rsid w:val="00C3418C"/>
    <w:rsid w:val="00C34A29"/>
    <w:rsid w:val="00C3641D"/>
    <w:rsid w:val="00C413D0"/>
    <w:rsid w:val="00C41442"/>
    <w:rsid w:val="00C418CD"/>
    <w:rsid w:val="00C41C0A"/>
    <w:rsid w:val="00C43519"/>
    <w:rsid w:val="00C4425C"/>
    <w:rsid w:val="00C4456E"/>
    <w:rsid w:val="00C45263"/>
    <w:rsid w:val="00C45605"/>
    <w:rsid w:val="00C45F83"/>
    <w:rsid w:val="00C51537"/>
    <w:rsid w:val="00C52BC3"/>
    <w:rsid w:val="00C53328"/>
    <w:rsid w:val="00C53E16"/>
    <w:rsid w:val="00C61AFA"/>
    <w:rsid w:val="00C61D64"/>
    <w:rsid w:val="00C62099"/>
    <w:rsid w:val="00C62A34"/>
    <w:rsid w:val="00C640F3"/>
    <w:rsid w:val="00C64873"/>
    <w:rsid w:val="00C64EA3"/>
    <w:rsid w:val="00C650D6"/>
    <w:rsid w:val="00C66C5A"/>
    <w:rsid w:val="00C6757E"/>
    <w:rsid w:val="00C67D60"/>
    <w:rsid w:val="00C7125C"/>
    <w:rsid w:val="00C71FC4"/>
    <w:rsid w:val="00C72405"/>
    <w:rsid w:val="00C72867"/>
    <w:rsid w:val="00C72F12"/>
    <w:rsid w:val="00C7330D"/>
    <w:rsid w:val="00C7334E"/>
    <w:rsid w:val="00C73CBC"/>
    <w:rsid w:val="00C74985"/>
    <w:rsid w:val="00C75E81"/>
    <w:rsid w:val="00C8059C"/>
    <w:rsid w:val="00C81592"/>
    <w:rsid w:val="00C815A6"/>
    <w:rsid w:val="00C83BB6"/>
    <w:rsid w:val="00C86609"/>
    <w:rsid w:val="00C90564"/>
    <w:rsid w:val="00C92B4C"/>
    <w:rsid w:val="00C954F6"/>
    <w:rsid w:val="00CA1D24"/>
    <w:rsid w:val="00CA1FC7"/>
    <w:rsid w:val="00CA36A0"/>
    <w:rsid w:val="00CA422F"/>
    <w:rsid w:val="00CA4BBF"/>
    <w:rsid w:val="00CA5CAE"/>
    <w:rsid w:val="00CA6180"/>
    <w:rsid w:val="00CA6798"/>
    <w:rsid w:val="00CA6BC5"/>
    <w:rsid w:val="00CA6C02"/>
    <w:rsid w:val="00CB1C32"/>
    <w:rsid w:val="00CC46D9"/>
    <w:rsid w:val="00CC571B"/>
    <w:rsid w:val="00CC5D74"/>
    <w:rsid w:val="00CC61CD"/>
    <w:rsid w:val="00CC6C02"/>
    <w:rsid w:val="00CC737B"/>
    <w:rsid w:val="00CD28D2"/>
    <w:rsid w:val="00CD2D3A"/>
    <w:rsid w:val="00CD36E0"/>
    <w:rsid w:val="00CD5011"/>
    <w:rsid w:val="00CE4140"/>
    <w:rsid w:val="00CE43FF"/>
    <w:rsid w:val="00CE640F"/>
    <w:rsid w:val="00CE68D4"/>
    <w:rsid w:val="00CE76BC"/>
    <w:rsid w:val="00CF1900"/>
    <w:rsid w:val="00CF3BE2"/>
    <w:rsid w:val="00CF3F37"/>
    <w:rsid w:val="00CF540E"/>
    <w:rsid w:val="00CF618C"/>
    <w:rsid w:val="00CF6890"/>
    <w:rsid w:val="00D0027D"/>
    <w:rsid w:val="00D00F70"/>
    <w:rsid w:val="00D02F07"/>
    <w:rsid w:val="00D04099"/>
    <w:rsid w:val="00D07B9A"/>
    <w:rsid w:val="00D10B11"/>
    <w:rsid w:val="00D1123C"/>
    <w:rsid w:val="00D11602"/>
    <w:rsid w:val="00D12C5B"/>
    <w:rsid w:val="00D133F4"/>
    <w:rsid w:val="00D151D1"/>
    <w:rsid w:val="00D15321"/>
    <w:rsid w:val="00D15D88"/>
    <w:rsid w:val="00D163A3"/>
    <w:rsid w:val="00D20678"/>
    <w:rsid w:val="00D20A9B"/>
    <w:rsid w:val="00D2231E"/>
    <w:rsid w:val="00D23FD0"/>
    <w:rsid w:val="00D24911"/>
    <w:rsid w:val="00D27D49"/>
    <w:rsid w:val="00D27EBE"/>
    <w:rsid w:val="00D306D5"/>
    <w:rsid w:val="00D3112E"/>
    <w:rsid w:val="00D3256B"/>
    <w:rsid w:val="00D326F6"/>
    <w:rsid w:val="00D35411"/>
    <w:rsid w:val="00D35C14"/>
    <w:rsid w:val="00D36A49"/>
    <w:rsid w:val="00D36A6D"/>
    <w:rsid w:val="00D37F7F"/>
    <w:rsid w:val="00D4408A"/>
    <w:rsid w:val="00D45482"/>
    <w:rsid w:val="00D46812"/>
    <w:rsid w:val="00D47536"/>
    <w:rsid w:val="00D47DC7"/>
    <w:rsid w:val="00D5045A"/>
    <w:rsid w:val="00D517C6"/>
    <w:rsid w:val="00D52388"/>
    <w:rsid w:val="00D534D9"/>
    <w:rsid w:val="00D53F21"/>
    <w:rsid w:val="00D5501C"/>
    <w:rsid w:val="00D56580"/>
    <w:rsid w:val="00D57B4C"/>
    <w:rsid w:val="00D61AA6"/>
    <w:rsid w:val="00D65E01"/>
    <w:rsid w:val="00D66139"/>
    <w:rsid w:val="00D670DC"/>
    <w:rsid w:val="00D70D5D"/>
    <w:rsid w:val="00D7135D"/>
    <w:rsid w:val="00D7147E"/>
    <w:rsid w:val="00D71733"/>
    <w:rsid w:val="00D71D84"/>
    <w:rsid w:val="00D72464"/>
    <w:rsid w:val="00D726A1"/>
    <w:rsid w:val="00D72A57"/>
    <w:rsid w:val="00D73164"/>
    <w:rsid w:val="00D73F6F"/>
    <w:rsid w:val="00D75120"/>
    <w:rsid w:val="00D768EB"/>
    <w:rsid w:val="00D773AE"/>
    <w:rsid w:val="00D81E17"/>
    <w:rsid w:val="00D82CC6"/>
    <w:rsid w:val="00D82D1E"/>
    <w:rsid w:val="00D83095"/>
    <w:rsid w:val="00D832D9"/>
    <w:rsid w:val="00D83E54"/>
    <w:rsid w:val="00D83FFC"/>
    <w:rsid w:val="00D84D74"/>
    <w:rsid w:val="00D855F5"/>
    <w:rsid w:val="00D86521"/>
    <w:rsid w:val="00D8735D"/>
    <w:rsid w:val="00D874E1"/>
    <w:rsid w:val="00D90F00"/>
    <w:rsid w:val="00D92174"/>
    <w:rsid w:val="00D92736"/>
    <w:rsid w:val="00D92D04"/>
    <w:rsid w:val="00D939AD"/>
    <w:rsid w:val="00D9480E"/>
    <w:rsid w:val="00D95193"/>
    <w:rsid w:val="00D95D78"/>
    <w:rsid w:val="00D96804"/>
    <w:rsid w:val="00D975C0"/>
    <w:rsid w:val="00DA1FC0"/>
    <w:rsid w:val="00DA298C"/>
    <w:rsid w:val="00DA2AF2"/>
    <w:rsid w:val="00DA3EBC"/>
    <w:rsid w:val="00DA45D1"/>
    <w:rsid w:val="00DA4E9E"/>
    <w:rsid w:val="00DA5285"/>
    <w:rsid w:val="00DA6B9D"/>
    <w:rsid w:val="00DA7142"/>
    <w:rsid w:val="00DA7812"/>
    <w:rsid w:val="00DB08A5"/>
    <w:rsid w:val="00DB0B8A"/>
    <w:rsid w:val="00DB1870"/>
    <w:rsid w:val="00DB191D"/>
    <w:rsid w:val="00DB294E"/>
    <w:rsid w:val="00DB4D08"/>
    <w:rsid w:val="00DB4F91"/>
    <w:rsid w:val="00DB5B8B"/>
    <w:rsid w:val="00DB5C6A"/>
    <w:rsid w:val="00DB6D0A"/>
    <w:rsid w:val="00DC0185"/>
    <w:rsid w:val="00DC06BE"/>
    <w:rsid w:val="00DC0AC0"/>
    <w:rsid w:val="00DC0B33"/>
    <w:rsid w:val="00DC1F0F"/>
    <w:rsid w:val="00DC2D6B"/>
    <w:rsid w:val="00DC3117"/>
    <w:rsid w:val="00DC3D56"/>
    <w:rsid w:val="00DC4D40"/>
    <w:rsid w:val="00DC4E2A"/>
    <w:rsid w:val="00DC5DD9"/>
    <w:rsid w:val="00DC6D2D"/>
    <w:rsid w:val="00DD0FC9"/>
    <w:rsid w:val="00DD15F3"/>
    <w:rsid w:val="00DD1BD0"/>
    <w:rsid w:val="00DD2E74"/>
    <w:rsid w:val="00DD38AE"/>
    <w:rsid w:val="00DD4014"/>
    <w:rsid w:val="00DD4A87"/>
    <w:rsid w:val="00DD4E59"/>
    <w:rsid w:val="00DE0112"/>
    <w:rsid w:val="00DE1CC6"/>
    <w:rsid w:val="00DE1DDF"/>
    <w:rsid w:val="00DE2282"/>
    <w:rsid w:val="00DE233A"/>
    <w:rsid w:val="00DE33B5"/>
    <w:rsid w:val="00DE5E18"/>
    <w:rsid w:val="00DE5F04"/>
    <w:rsid w:val="00DE7654"/>
    <w:rsid w:val="00DF0487"/>
    <w:rsid w:val="00DF532E"/>
    <w:rsid w:val="00DF5EA4"/>
    <w:rsid w:val="00DF5EA6"/>
    <w:rsid w:val="00DF61AC"/>
    <w:rsid w:val="00DF76EE"/>
    <w:rsid w:val="00E02681"/>
    <w:rsid w:val="00E02792"/>
    <w:rsid w:val="00E034D8"/>
    <w:rsid w:val="00E04CC0"/>
    <w:rsid w:val="00E06186"/>
    <w:rsid w:val="00E06642"/>
    <w:rsid w:val="00E0686B"/>
    <w:rsid w:val="00E101B2"/>
    <w:rsid w:val="00E11393"/>
    <w:rsid w:val="00E1318C"/>
    <w:rsid w:val="00E15816"/>
    <w:rsid w:val="00E160D5"/>
    <w:rsid w:val="00E169F0"/>
    <w:rsid w:val="00E16C49"/>
    <w:rsid w:val="00E20586"/>
    <w:rsid w:val="00E221A8"/>
    <w:rsid w:val="00E239FF"/>
    <w:rsid w:val="00E24B22"/>
    <w:rsid w:val="00E264B8"/>
    <w:rsid w:val="00E27D7B"/>
    <w:rsid w:val="00E30556"/>
    <w:rsid w:val="00E30981"/>
    <w:rsid w:val="00E30D7D"/>
    <w:rsid w:val="00E33136"/>
    <w:rsid w:val="00E33662"/>
    <w:rsid w:val="00E33757"/>
    <w:rsid w:val="00E341BB"/>
    <w:rsid w:val="00E34D7C"/>
    <w:rsid w:val="00E35130"/>
    <w:rsid w:val="00E3723D"/>
    <w:rsid w:val="00E41B72"/>
    <w:rsid w:val="00E429AE"/>
    <w:rsid w:val="00E44C89"/>
    <w:rsid w:val="00E457A6"/>
    <w:rsid w:val="00E4664C"/>
    <w:rsid w:val="00E47CA7"/>
    <w:rsid w:val="00E5004D"/>
    <w:rsid w:val="00E50BF1"/>
    <w:rsid w:val="00E50D7A"/>
    <w:rsid w:val="00E525AE"/>
    <w:rsid w:val="00E53047"/>
    <w:rsid w:val="00E53270"/>
    <w:rsid w:val="00E537B4"/>
    <w:rsid w:val="00E5427D"/>
    <w:rsid w:val="00E54F9E"/>
    <w:rsid w:val="00E57DDE"/>
    <w:rsid w:val="00E61BA2"/>
    <w:rsid w:val="00E61EF1"/>
    <w:rsid w:val="00E62573"/>
    <w:rsid w:val="00E62EC4"/>
    <w:rsid w:val="00E63864"/>
    <w:rsid w:val="00E6403F"/>
    <w:rsid w:val="00E66280"/>
    <w:rsid w:val="00E67D5D"/>
    <w:rsid w:val="00E7221D"/>
    <w:rsid w:val="00E73395"/>
    <w:rsid w:val="00E75451"/>
    <w:rsid w:val="00E75EA9"/>
    <w:rsid w:val="00E76AD6"/>
    <w:rsid w:val="00E770C4"/>
    <w:rsid w:val="00E82168"/>
    <w:rsid w:val="00E8225A"/>
    <w:rsid w:val="00E82752"/>
    <w:rsid w:val="00E8497B"/>
    <w:rsid w:val="00E8497F"/>
    <w:rsid w:val="00E84C1B"/>
    <w:rsid w:val="00E84C5A"/>
    <w:rsid w:val="00E861DB"/>
    <w:rsid w:val="00E87ADB"/>
    <w:rsid w:val="00E908F1"/>
    <w:rsid w:val="00E914F9"/>
    <w:rsid w:val="00E92038"/>
    <w:rsid w:val="00E93406"/>
    <w:rsid w:val="00E94076"/>
    <w:rsid w:val="00E956C5"/>
    <w:rsid w:val="00E95897"/>
    <w:rsid w:val="00E95C39"/>
    <w:rsid w:val="00E95DC8"/>
    <w:rsid w:val="00E95E1E"/>
    <w:rsid w:val="00EA0D21"/>
    <w:rsid w:val="00EA14D9"/>
    <w:rsid w:val="00EA2446"/>
    <w:rsid w:val="00EA2C39"/>
    <w:rsid w:val="00EA475D"/>
    <w:rsid w:val="00EA4F7D"/>
    <w:rsid w:val="00EA58A1"/>
    <w:rsid w:val="00EB0A3C"/>
    <w:rsid w:val="00EB0A96"/>
    <w:rsid w:val="00EB143D"/>
    <w:rsid w:val="00EB1FFC"/>
    <w:rsid w:val="00EB5C17"/>
    <w:rsid w:val="00EB77F9"/>
    <w:rsid w:val="00EB7F38"/>
    <w:rsid w:val="00EC02A4"/>
    <w:rsid w:val="00EC13A4"/>
    <w:rsid w:val="00EC32D2"/>
    <w:rsid w:val="00EC4C95"/>
    <w:rsid w:val="00EC5769"/>
    <w:rsid w:val="00EC75E7"/>
    <w:rsid w:val="00EC7D00"/>
    <w:rsid w:val="00ED0304"/>
    <w:rsid w:val="00ED100E"/>
    <w:rsid w:val="00ED1FE5"/>
    <w:rsid w:val="00ED4A95"/>
    <w:rsid w:val="00ED4FF7"/>
    <w:rsid w:val="00ED5B7B"/>
    <w:rsid w:val="00ED692F"/>
    <w:rsid w:val="00ED74FC"/>
    <w:rsid w:val="00EE1459"/>
    <w:rsid w:val="00EE260E"/>
    <w:rsid w:val="00EE29A9"/>
    <w:rsid w:val="00EE38FA"/>
    <w:rsid w:val="00EE3E2C"/>
    <w:rsid w:val="00EE3E56"/>
    <w:rsid w:val="00EE4BE1"/>
    <w:rsid w:val="00EE5D23"/>
    <w:rsid w:val="00EE620D"/>
    <w:rsid w:val="00EE6E16"/>
    <w:rsid w:val="00EE750D"/>
    <w:rsid w:val="00EE7967"/>
    <w:rsid w:val="00EF0254"/>
    <w:rsid w:val="00EF241A"/>
    <w:rsid w:val="00EF38A0"/>
    <w:rsid w:val="00EF3CA4"/>
    <w:rsid w:val="00EF4039"/>
    <w:rsid w:val="00EF49A8"/>
    <w:rsid w:val="00EF4D5E"/>
    <w:rsid w:val="00EF73DC"/>
    <w:rsid w:val="00EF7857"/>
    <w:rsid w:val="00EF7859"/>
    <w:rsid w:val="00EF7CF1"/>
    <w:rsid w:val="00F00117"/>
    <w:rsid w:val="00F00151"/>
    <w:rsid w:val="00F014DA"/>
    <w:rsid w:val="00F014F2"/>
    <w:rsid w:val="00F02591"/>
    <w:rsid w:val="00F0337F"/>
    <w:rsid w:val="00F04C57"/>
    <w:rsid w:val="00F053BD"/>
    <w:rsid w:val="00F06EEC"/>
    <w:rsid w:val="00F106C6"/>
    <w:rsid w:val="00F106F7"/>
    <w:rsid w:val="00F11115"/>
    <w:rsid w:val="00F1467B"/>
    <w:rsid w:val="00F1537E"/>
    <w:rsid w:val="00F1558C"/>
    <w:rsid w:val="00F1796A"/>
    <w:rsid w:val="00F17F8C"/>
    <w:rsid w:val="00F217E9"/>
    <w:rsid w:val="00F241E2"/>
    <w:rsid w:val="00F25180"/>
    <w:rsid w:val="00F27B2A"/>
    <w:rsid w:val="00F30A9D"/>
    <w:rsid w:val="00F30AE1"/>
    <w:rsid w:val="00F35008"/>
    <w:rsid w:val="00F35D2A"/>
    <w:rsid w:val="00F36C0C"/>
    <w:rsid w:val="00F40B13"/>
    <w:rsid w:val="00F40DA2"/>
    <w:rsid w:val="00F44ED8"/>
    <w:rsid w:val="00F515E0"/>
    <w:rsid w:val="00F51DCF"/>
    <w:rsid w:val="00F51ECE"/>
    <w:rsid w:val="00F52990"/>
    <w:rsid w:val="00F53003"/>
    <w:rsid w:val="00F53325"/>
    <w:rsid w:val="00F55483"/>
    <w:rsid w:val="00F5696E"/>
    <w:rsid w:val="00F569DB"/>
    <w:rsid w:val="00F56B98"/>
    <w:rsid w:val="00F6054F"/>
    <w:rsid w:val="00F60EFF"/>
    <w:rsid w:val="00F63807"/>
    <w:rsid w:val="00F6393D"/>
    <w:rsid w:val="00F65002"/>
    <w:rsid w:val="00F65C16"/>
    <w:rsid w:val="00F66CC0"/>
    <w:rsid w:val="00F67D2D"/>
    <w:rsid w:val="00F73D04"/>
    <w:rsid w:val="00F74198"/>
    <w:rsid w:val="00F75449"/>
    <w:rsid w:val="00F754B5"/>
    <w:rsid w:val="00F763F7"/>
    <w:rsid w:val="00F81017"/>
    <w:rsid w:val="00F845E5"/>
    <w:rsid w:val="00F858F2"/>
    <w:rsid w:val="00F860CC"/>
    <w:rsid w:val="00F866F0"/>
    <w:rsid w:val="00F87C26"/>
    <w:rsid w:val="00F90983"/>
    <w:rsid w:val="00F909EE"/>
    <w:rsid w:val="00F91ABB"/>
    <w:rsid w:val="00F93683"/>
    <w:rsid w:val="00F94398"/>
    <w:rsid w:val="00F967B4"/>
    <w:rsid w:val="00F9700B"/>
    <w:rsid w:val="00FA05C8"/>
    <w:rsid w:val="00FA0881"/>
    <w:rsid w:val="00FA1507"/>
    <w:rsid w:val="00FA1DDE"/>
    <w:rsid w:val="00FA2C32"/>
    <w:rsid w:val="00FA38BE"/>
    <w:rsid w:val="00FA5267"/>
    <w:rsid w:val="00FB2B56"/>
    <w:rsid w:val="00FB3A51"/>
    <w:rsid w:val="00FB4461"/>
    <w:rsid w:val="00FB508E"/>
    <w:rsid w:val="00FB55D5"/>
    <w:rsid w:val="00FB6271"/>
    <w:rsid w:val="00FB66E1"/>
    <w:rsid w:val="00FB6EB9"/>
    <w:rsid w:val="00FC0423"/>
    <w:rsid w:val="00FC0CED"/>
    <w:rsid w:val="00FC0FAF"/>
    <w:rsid w:val="00FC1299"/>
    <w:rsid w:val="00FC12BF"/>
    <w:rsid w:val="00FC2C60"/>
    <w:rsid w:val="00FC4A46"/>
    <w:rsid w:val="00FC6530"/>
    <w:rsid w:val="00FD1CCC"/>
    <w:rsid w:val="00FD1FEA"/>
    <w:rsid w:val="00FD2C10"/>
    <w:rsid w:val="00FD3E6F"/>
    <w:rsid w:val="00FD51B9"/>
    <w:rsid w:val="00FD5204"/>
    <w:rsid w:val="00FD5849"/>
    <w:rsid w:val="00FD5C30"/>
    <w:rsid w:val="00FD7307"/>
    <w:rsid w:val="00FD7BD3"/>
    <w:rsid w:val="00FE03E4"/>
    <w:rsid w:val="00FE1F15"/>
    <w:rsid w:val="00FE27DF"/>
    <w:rsid w:val="00FE2A39"/>
    <w:rsid w:val="00FE79F4"/>
    <w:rsid w:val="00FE7EF3"/>
    <w:rsid w:val="00FE7F22"/>
    <w:rsid w:val="00FF2001"/>
    <w:rsid w:val="00FF236C"/>
    <w:rsid w:val="00FF2681"/>
    <w:rsid w:val="00FF39CF"/>
    <w:rsid w:val="00FF4190"/>
    <w:rsid w:val="00FF5753"/>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EF7C25"/>
  <w15:docId w15:val="{509FF083-EEC0-4A0E-A777-342FA531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095"/>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evel 1 bullet,Business Requirements,Bullet List Paragraph,Bullet Main,List Paragraph1,List Paragraph11,List Paragraph111,L,F5 List Paragraph,Dot pt,CV text,Medium Grid 1 - Accent 21,Numbered Paragraph,List Paragraph2,NFP GP Bulleted Lis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paragraph" w:customStyle="1" w:styleId="Default">
    <w:name w:val="Default"/>
    <w:rsid w:val="008E6B59"/>
    <w:pPr>
      <w:autoSpaceDE w:val="0"/>
      <w:autoSpaceDN w:val="0"/>
      <w:adjustRightInd w:val="0"/>
      <w:spacing w:after="0"/>
    </w:pPr>
    <w:rPr>
      <w:rFonts w:ascii="Lato" w:hAnsi="Lato" w:cs="Lato"/>
      <w:color w:val="000000"/>
      <w:sz w:val="24"/>
      <w:szCs w:val="24"/>
    </w:rPr>
  </w:style>
  <w:style w:type="paragraph" w:styleId="CommentSubject">
    <w:name w:val="annotation subject"/>
    <w:basedOn w:val="CommentText"/>
    <w:next w:val="CommentText"/>
    <w:link w:val="CommentSubjectChar"/>
    <w:uiPriority w:val="99"/>
    <w:semiHidden/>
    <w:unhideWhenUsed/>
    <w:rsid w:val="001968A6"/>
    <w:rPr>
      <w:rFonts w:ascii="Lato" w:hAnsi="Lato"/>
      <w:b/>
      <w:bCs/>
    </w:rPr>
  </w:style>
  <w:style w:type="character" w:customStyle="1" w:styleId="CommentSubjectChar">
    <w:name w:val="Comment Subject Char"/>
    <w:basedOn w:val="CommentTextChar"/>
    <w:link w:val="CommentSubject"/>
    <w:uiPriority w:val="99"/>
    <w:semiHidden/>
    <w:rsid w:val="001968A6"/>
    <w:rPr>
      <w:rFonts w:ascii="Lato" w:hAnsi="Lato"/>
      <w:b/>
      <w:bCs/>
      <w:sz w:val="20"/>
      <w:szCs w:val="20"/>
    </w:rPr>
  </w:style>
  <w:style w:type="numbering" w:customStyle="1" w:styleId="NTGTableNumList">
    <w:name w:val="NTG Table Num List"/>
    <w:uiPriority w:val="99"/>
    <w:rsid w:val="001C7153"/>
    <w:pPr>
      <w:numPr>
        <w:numId w:val="19"/>
      </w:numPr>
    </w:pPr>
  </w:style>
  <w:style w:type="paragraph" w:customStyle="1" w:styleId="NTGTableText">
    <w:name w:val="NTG Table Text"/>
    <w:basedOn w:val="Normal"/>
    <w:qFormat/>
    <w:rsid w:val="00E67D5D"/>
    <w:pPr>
      <w:spacing w:before="40" w:after="40"/>
    </w:pPr>
    <w:rPr>
      <w:rFonts w:ascii="Arial" w:eastAsia="Times New Roman" w:hAnsi="Arial"/>
      <w:szCs w:val="20"/>
    </w:rPr>
  </w:style>
  <w:style w:type="character" w:customStyle="1" w:styleId="ListParagraphChar">
    <w:name w:val="List Paragraph Char"/>
    <w:aliases w:val="Level 1 bullet Char,Business Requirements Char,Bullet List Paragraph Char,Bullet Main Char,List Paragraph1 Char,List Paragraph11 Char,List Paragraph111 Char,L Char,F5 List Paragraph Char,Dot pt Char,CV text Char,List Paragraph2 Char"/>
    <w:basedOn w:val="DefaultParagraphFont"/>
    <w:link w:val="ListParagraph"/>
    <w:uiPriority w:val="34"/>
    <w:locked/>
    <w:rsid w:val="005C312E"/>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9151350">
      <w:bodyDiv w:val="1"/>
      <w:marLeft w:val="0"/>
      <w:marRight w:val="0"/>
      <w:marTop w:val="0"/>
      <w:marBottom w:val="0"/>
      <w:divBdr>
        <w:top w:val="none" w:sz="0" w:space="0" w:color="auto"/>
        <w:left w:val="none" w:sz="0" w:space="0" w:color="auto"/>
        <w:bottom w:val="none" w:sz="0" w:space="0" w:color="auto"/>
        <w:right w:val="none" w:sz="0" w:space="0" w:color="auto"/>
      </w:divBdr>
    </w:div>
    <w:div w:id="565338436">
      <w:bodyDiv w:val="1"/>
      <w:marLeft w:val="0"/>
      <w:marRight w:val="0"/>
      <w:marTop w:val="0"/>
      <w:marBottom w:val="0"/>
      <w:divBdr>
        <w:top w:val="none" w:sz="0" w:space="0" w:color="auto"/>
        <w:left w:val="none" w:sz="0" w:space="0" w:color="auto"/>
        <w:bottom w:val="none" w:sz="0" w:space="0" w:color="auto"/>
        <w:right w:val="none" w:sz="0" w:space="0" w:color="auto"/>
      </w:divBdr>
    </w:div>
    <w:div w:id="16177593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32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B6336E-E2A4-46A9-9E12-305D6422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TotalTime>
  <Pages>17</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Treasurer’s Direction – Non-financial assets</vt:lpstr>
    </vt:vector>
  </TitlesOfParts>
  <Company>TREASURY AND FINANCE</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 – Non-financial assets</dc:title>
  <dc:subject/>
  <dc:creator>Department of Treasury and Finance</dc:creator>
  <cp:keywords/>
  <dc:description/>
  <cp:lastModifiedBy>Adwoa Tetteh</cp:lastModifiedBy>
  <cp:revision>79</cp:revision>
  <cp:lastPrinted>2024-05-24T04:03:00Z</cp:lastPrinted>
  <dcterms:created xsi:type="dcterms:W3CDTF">2024-05-07T03:06:00Z</dcterms:created>
  <dcterms:modified xsi:type="dcterms:W3CDTF">2024-05-31T02:12:00Z</dcterms:modified>
</cp:coreProperties>
</file>