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3CA" w:rsidRPr="00677BD8" w:rsidRDefault="00E973CA" w:rsidP="00CD46A0">
      <w:pPr>
        <w:autoSpaceDE w:val="0"/>
        <w:autoSpaceDN w:val="0"/>
        <w:adjustRightInd w:val="0"/>
        <w:spacing w:before="1080" w:after="480"/>
        <w:ind w:left="425"/>
        <w:rPr>
          <w:rFonts w:ascii="Arial" w:hAnsi="Arial" w:cs="Arial"/>
          <w:sz w:val="72"/>
          <w:szCs w:val="72"/>
        </w:rPr>
      </w:pPr>
      <w:smartTag w:uri="urn:schemas-microsoft-com:office:smarttags" w:element="State">
        <w:smartTag w:uri="urn:schemas-microsoft-com:office:smarttags" w:element="place">
          <w:r w:rsidRPr="00677BD8">
            <w:rPr>
              <w:rFonts w:ascii="Arial" w:hAnsi="Arial" w:cs="Arial"/>
              <w:sz w:val="72"/>
              <w:szCs w:val="72"/>
            </w:rPr>
            <w:t>Northern Territory</w:t>
          </w:r>
        </w:smartTag>
      </w:smartTag>
      <w:r w:rsidR="00927CEB" w:rsidRPr="00677BD8">
        <w:rPr>
          <w:rFonts w:ascii="Arial" w:hAnsi="Arial" w:cs="Arial"/>
          <w:sz w:val="72"/>
          <w:szCs w:val="72"/>
        </w:rPr>
        <w:t xml:space="preserve"> </w:t>
      </w:r>
      <w:r w:rsidRPr="00677BD8">
        <w:rPr>
          <w:rFonts w:ascii="Arial" w:hAnsi="Arial" w:cs="Arial"/>
          <w:sz w:val="72"/>
          <w:szCs w:val="72"/>
        </w:rPr>
        <w:t>Population Projections</w:t>
      </w:r>
    </w:p>
    <w:p w:rsidR="00677BD8" w:rsidRPr="00FC267B" w:rsidRDefault="00FC267B" w:rsidP="00CD46A0">
      <w:pPr>
        <w:autoSpaceDE w:val="0"/>
        <w:autoSpaceDN w:val="0"/>
        <w:adjustRightInd w:val="0"/>
        <w:spacing w:after="9720"/>
        <w:ind w:left="425"/>
        <w:rPr>
          <w:rFonts w:ascii="Arial" w:hAnsi="Arial" w:cs="Arial"/>
          <w:sz w:val="52"/>
          <w:szCs w:val="72"/>
        </w:rPr>
      </w:pPr>
      <w:r w:rsidRPr="00FC267B">
        <w:rPr>
          <w:rFonts w:ascii="Arial" w:hAnsi="Arial" w:cs="Arial"/>
          <w:sz w:val="52"/>
          <w:szCs w:val="72"/>
        </w:rPr>
        <w:t xml:space="preserve">Interim – Update (2013 Release) </w:t>
      </w:r>
    </w:p>
    <w:p w:rsidR="00791FD5" w:rsidRPr="00677BD8" w:rsidRDefault="00791FD5" w:rsidP="005759A0">
      <w:pPr>
        <w:autoSpaceDE w:val="0"/>
        <w:autoSpaceDN w:val="0"/>
        <w:adjustRightInd w:val="0"/>
        <w:spacing w:after="120"/>
        <w:ind w:left="426"/>
        <w:rPr>
          <w:rFonts w:ascii="Arial" w:hAnsi="Arial" w:cs="Arial"/>
          <w:color w:val="000000"/>
          <w:sz w:val="32"/>
          <w:szCs w:val="32"/>
        </w:rPr>
      </w:pPr>
      <w:r w:rsidRPr="00677BD8">
        <w:rPr>
          <w:rFonts w:ascii="Arial" w:hAnsi="Arial" w:cs="Arial"/>
          <w:color w:val="000000"/>
          <w:sz w:val="32"/>
          <w:szCs w:val="32"/>
        </w:rPr>
        <w:t>Northern Territory 201</w:t>
      </w:r>
      <w:r>
        <w:rPr>
          <w:rFonts w:ascii="Arial" w:hAnsi="Arial" w:cs="Arial"/>
          <w:color w:val="000000"/>
          <w:sz w:val="32"/>
          <w:szCs w:val="32"/>
        </w:rPr>
        <w:t>1</w:t>
      </w:r>
      <w:r w:rsidRPr="00677BD8">
        <w:rPr>
          <w:rFonts w:ascii="Arial" w:hAnsi="Arial" w:cs="Arial"/>
          <w:color w:val="000000"/>
          <w:sz w:val="32"/>
          <w:szCs w:val="32"/>
        </w:rPr>
        <w:t>-4</w:t>
      </w:r>
      <w:r>
        <w:rPr>
          <w:rFonts w:ascii="Arial" w:hAnsi="Arial" w:cs="Arial"/>
          <w:color w:val="000000"/>
          <w:sz w:val="32"/>
          <w:szCs w:val="32"/>
        </w:rPr>
        <w:t>1</w:t>
      </w:r>
    </w:p>
    <w:p w:rsidR="00791FD5" w:rsidRPr="00677BD8" w:rsidRDefault="00791FD5" w:rsidP="005759A0">
      <w:pPr>
        <w:spacing w:after="120"/>
        <w:ind w:left="426"/>
        <w:rPr>
          <w:rFonts w:ascii="Arial" w:hAnsi="Arial" w:cs="Arial"/>
          <w:color w:val="000000"/>
          <w:sz w:val="32"/>
          <w:szCs w:val="32"/>
        </w:rPr>
      </w:pPr>
      <w:r>
        <w:rPr>
          <w:rFonts w:ascii="Arial" w:hAnsi="Arial" w:cs="Arial"/>
          <w:color w:val="000000"/>
          <w:sz w:val="32"/>
          <w:szCs w:val="32"/>
        </w:rPr>
        <w:t>Interim Projections based on the 2011 Census</w:t>
      </w:r>
    </w:p>
    <w:p w:rsidR="00E973CA" w:rsidRPr="00F63B9F" w:rsidRDefault="00E973CA" w:rsidP="00CD46A0">
      <w:pPr>
        <w:spacing w:after="160" w:line="240" w:lineRule="atLeast"/>
        <w:rPr>
          <w:rFonts w:ascii="Arial" w:hAnsi="Arial" w:cs="Arial"/>
          <w:color w:val="000000"/>
          <w:sz w:val="22"/>
          <w:szCs w:val="22"/>
        </w:rPr>
      </w:pPr>
      <w:r w:rsidRPr="00927CEB">
        <w:rPr>
          <w:rFonts w:ascii="Arial" w:hAnsi="Arial" w:cs="Arial"/>
          <w:color w:val="000000"/>
          <w:sz w:val="22"/>
          <w:szCs w:val="22"/>
        </w:rPr>
        <w:br w:type="page"/>
      </w:r>
      <w:r w:rsidRPr="00F63B9F">
        <w:rPr>
          <w:rFonts w:ascii="Arial" w:hAnsi="Arial" w:cs="Arial"/>
          <w:color w:val="000000"/>
          <w:sz w:val="22"/>
          <w:szCs w:val="22"/>
        </w:rPr>
        <w:lastRenderedPageBreak/>
        <w:t>Date of publication</w:t>
      </w:r>
      <w:r w:rsidR="00836785" w:rsidRPr="00F63B9F">
        <w:rPr>
          <w:rFonts w:ascii="Arial" w:hAnsi="Arial" w:cs="Arial"/>
          <w:color w:val="000000"/>
          <w:sz w:val="22"/>
          <w:szCs w:val="22"/>
        </w:rPr>
        <w:t>:</w:t>
      </w:r>
      <w:r w:rsidRPr="00F63B9F">
        <w:rPr>
          <w:rFonts w:ascii="Arial" w:hAnsi="Arial" w:cs="Arial"/>
          <w:color w:val="000000"/>
          <w:sz w:val="22"/>
          <w:szCs w:val="22"/>
        </w:rPr>
        <w:t xml:space="preserve"> </w:t>
      </w:r>
      <w:r w:rsidR="00FC2ABD" w:rsidRPr="00F63B9F">
        <w:rPr>
          <w:rFonts w:ascii="Arial" w:hAnsi="Arial" w:cs="Arial"/>
          <w:color w:val="000000"/>
          <w:sz w:val="22"/>
          <w:szCs w:val="22"/>
        </w:rPr>
        <w:t>March 2013.</w:t>
      </w:r>
    </w:p>
    <w:p w:rsidR="00E973CA" w:rsidRPr="00F63B9F" w:rsidRDefault="00E973CA" w:rsidP="00F63B9F">
      <w:pPr>
        <w:spacing w:after="160" w:line="240" w:lineRule="atLeast"/>
        <w:rPr>
          <w:rFonts w:ascii="Arial" w:hAnsi="Arial" w:cs="Arial"/>
          <w:color w:val="000000"/>
          <w:sz w:val="22"/>
          <w:szCs w:val="22"/>
        </w:rPr>
      </w:pPr>
      <w:r w:rsidRPr="00F63B9F">
        <w:rPr>
          <w:rFonts w:ascii="Arial" w:hAnsi="Arial" w:cs="Arial"/>
          <w:color w:val="000000"/>
          <w:sz w:val="22"/>
          <w:szCs w:val="22"/>
        </w:rPr>
        <w:t xml:space="preserve">Suggested citation Northern Territory </w:t>
      </w:r>
      <w:r w:rsidR="000F7394" w:rsidRPr="00F63B9F">
        <w:rPr>
          <w:rFonts w:ascii="Arial" w:hAnsi="Arial" w:cs="Arial"/>
          <w:color w:val="000000"/>
          <w:sz w:val="22"/>
          <w:szCs w:val="22"/>
        </w:rPr>
        <w:t xml:space="preserve">Department of </w:t>
      </w:r>
      <w:r w:rsidRPr="00F63B9F">
        <w:rPr>
          <w:rFonts w:ascii="Arial" w:hAnsi="Arial" w:cs="Arial"/>
          <w:color w:val="000000"/>
          <w:sz w:val="22"/>
          <w:szCs w:val="22"/>
        </w:rPr>
        <w:t>Treasury</w:t>
      </w:r>
      <w:r w:rsidR="000F7394" w:rsidRPr="00F63B9F">
        <w:rPr>
          <w:rFonts w:ascii="Arial" w:hAnsi="Arial" w:cs="Arial"/>
          <w:color w:val="000000"/>
          <w:sz w:val="22"/>
          <w:szCs w:val="22"/>
        </w:rPr>
        <w:t xml:space="preserve"> and Finance</w:t>
      </w:r>
      <w:r w:rsidRPr="00F63B9F">
        <w:rPr>
          <w:rFonts w:ascii="Arial" w:hAnsi="Arial" w:cs="Arial"/>
          <w:color w:val="000000"/>
          <w:sz w:val="22"/>
          <w:szCs w:val="22"/>
        </w:rPr>
        <w:t>,</w:t>
      </w:r>
      <w:r w:rsidR="00C80CB6" w:rsidRPr="00F63B9F">
        <w:rPr>
          <w:rFonts w:ascii="Arial" w:hAnsi="Arial" w:cs="Arial"/>
          <w:color w:val="000000"/>
          <w:sz w:val="22"/>
          <w:szCs w:val="22"/>
        </w:rPr>
        <w:t xml:space="preserve"> </w:t>
      </w:r>
      <w:r w:rsidRPr="00F63B9F">
        <w:rPr>
          <w:rFonts w:ascii="Arial" w:hAnsi="Arial" w:cs="Arial"/>
          <w:color w:val="000000"/>
          <w:sz w:val="22"/>
          <w:szCs w:val="22"/>
        </w:rPr>
        <w:t xml:space="preserve">Northern Territory Population Projections, </w:t>
      </w:r>
      <w:r w:rsidR="00791FD5" w:rsidRPr="00F63B9F">
        <w:rPr>
          <w:rFonts w:ascii="Arial" w:hAnsi="Arial" w:cs="Arial"/>
          <w:color w:val="000000"/>
          <w:sz w:val="22"/>
          <w:szCs w:val="22"/>
        </w:rPr>
        <w:t>2013</w:t>
      </w:r>
      <w:r w:rsidR="00D26B74" w:rsidRPr="00F63B9F">
        <w:rPr>
          <w:rFonts w:ascii="Arial" w:hAnsi="Arial" w:cs="Arial"/>
          <w:color w:val="000000"/>
          <w:sz w:val="22"/>
          <w:szCs w:val="22"/>
        </w:rPr>
        <w:t>: Darwin</w:t>
      </w:r>
    </w:p>
    <w:p w:rsidR="00E973CA" w:rsidRPr="00F63B9F" w:rsidRDefault="00AB316D" w:rsidP="00F63B9F">
      <w:pPr>
        <w:spacing w:after="160" w:line="240" w:lineRule="atLeast"/>
        <w:rPr>
          <w:rFonts w:ascii="Arial" w:hAnsi="Arial" w:cs="Arial"/>
          <w:color w:val="000000"/>
          <w:sz w:val="22"/>
          <w:szCs w:val="22"/>
        </w:rPr>
      </w:pPr>
      <w:r w:rsidRPr="00F63B9F">
        <w:rPr>
          <w:rFonts w:ascii="Arial" w:hAnsi="Arial" w:cs="Arial"/>
          <w:color w:val="000000"/>
          <w:sz w:val="22"/>
          <w:szCs w:val="22"/>
        </w:rPr>
        <w:t>Website</w:t>
      </w:r>
      <w:r w:rsidR="00E973CA" w:rsidRPr="00F63B9F">
        <w:rPr>
          <w:rFonts w:ascii="Arial" w:hAnsi="Arial" w:cs="Arial"/>
          <w:color w:val="000000"/>
          <w:sz w:val="22"/>
          <w:szCs w:val="22"/>
        </w:rPr>
        <w:t xml:space="preserve"> address </w:t>
      </w:r>
      <w:hyperlink r:id="rId11" w:tooltip="Department of Treasury and finance website" w:history="1">
        <w:r w:rsidR="00EF30FE" w:rsidRPr="00DE15D6">
          <w:rPr>
            <w:rStyle w:val="Hyperlink"/>
            <w:rFonts w:ascii="Arial" w:hAnsi="Arial" w:cs="Arial"/>
            <w:sz w:val="22"/>
            <w:szCs w:val="22"/>
          </w:rPr>
          <w:t>www.treasury.nt.gov.au/</w:t>
        </w:r>
      </w:hyperlink>
      <w:r w:rsidR="00E973CA" w:rsidRPr="00F63B9F">
        <w:rPr>
          <w:rFonts w:ascii="Arial" w:hAnsi="Arial" w:cs="Arial"/>
          <w:color w:val="000000"/>
          <w:sz w:val="22"/>
          <w:szCs w:val="22"/>
        </w:rPr>
        <w:t xml:space="preserve"> </w:t>
      </w:r>
    </w:p>
    <w:p w:rsidR="00E973CA" w:rsidRPr="00F63B9F" w:rsidRDefault="00E973CA" w:rsidP="00F63B9F">
      <w:pPr>
        <w:spacing w:after="160" w:line="240" w:lineRule="atLeast"/>
        <w:rPr>
          <w:rFonts w:ascii="Arial" w:hAnsi="Arial" w:cs="Arial"/>
          <w:color w:val="000000"/>
          <w:sz w:val="22"/>
          <w:szCs w:val="22"/>
        </w:rPr>
      </w:pPr>
      <w:r w:rsidRPr="00F63B9F">
        <w:rPr>
          <w:rFonts w:ascii="Arial" w:hAnsi="Arial" w:cs="Arial"/>
          <w:color w:val="000000"/>
          <w:sz w:val="22"/>
          <w:szCs w:val="22"/>
        </w:rPr>
        <w:t>Acknowledgements:</w:t>
      </w:r>
    </w:p>
    <w:p w:rsidR="00E973CA" w:rsidRPr="00F63B9F" w:rsidRDefault="00E973CA" w:rsidP="00F63B9F">
      <w:pPr>
        <w:spacing w:after="160" w:line="240" w:lineRule="atLeast"/>
        <w:rPr>
          <w:rFonts w:ascii="Arial" w:hAnsi="Arial" w:cs="Arial"/>
          <w:color w:val="000000"/>
          <w:sz w:val="22"/>
          <w:szCs w:val="22"/>
        </w:rPr>
      </w:pPr>
      <w:r w:rsidRPr="00F63B9F">
        <w:rPr>
          <w:rFonts w:ascii="Arial" w:hAnsi="Arial" w:cs="Arial"/>
          <w:color w:val="000000"/>
          <w:sz w:val="22"/>
          <w:szCs w:val="22"/>
        </w:rPr>
        <w:t xml:space="preserve">Northern Territory </w:t>
      </w:r>
      <w:r w:rsidR="000F7394" w:rsidRPr="00F63B9F">
        <w:rPr>
          <w:rFonts w:ascii="Arial" w:hAnsi="Arial" w:cs="Arial"/>
          <w:color w:val="000000"/>
          <w:sz w:val="22"/>
          <w:szCs w:val="22"/>
        </w:rPr>
        <w:t xml:space="preserve">Department of </w:t>
      </w:r>
      <w:r w:rsidRPr="00F63B9F">
        <w:rPr>
          <w:rFonts w:ascii="Arial" w:hAnsi="Arial" w:cs="Arial"/>
          <w:color w:val="000000"/>
          <w:sz w:val="22"/>
          <w:szCs w:val="22"/>
        </w:rPr>
        <w:t>Treasury</w:t>
      </w:r>
      <w:r w:rsidR="000F7394" w:rsidRPr="00F63B9F">
        <w:rPr>
          <w:rFonts w:ascii="Arial" w:hAnsi="Arial" w:cs="Arial"/>
          <w:color w:val="000000"/>
          <w:sz w:val="22"/>
          <w:szCs w:val="22"/>
        </w:rPr>
        <w:t xml:space="preserve"> and Finance (DTF)</w:t>
      </w:r>
      <w:r w:rsidRPr="00F63B9F">
        <w:rPr>
          <w:rFonts w:ascii="Arial" w:hAnsi="Arial" w:cs="Arial"/>
          <w:color w:val="000000"/>
          <w:sz w:val="22"/>
          <w:szCs w:val="22"/>
        </w:rPr>
        <w:t xml:space="preserve"> acknowledges the expertise of </w:t>
      </w:r>
      <w:r w:rsidR="003B3868" w:rsidRPr="00F63B9F">
        <w:rPr>
          <w:rFonts w:ascii="Arial" w:hAnsi="Arial" w:cs="Arial"/>
          <w:color w:val="000000"/>
          <w:sz w:val="22"/>
          <w:szCs w:val="22"/>
        </w:rPr>
        <w:t>T</w:t>
      </w:r>
      <w:r w:rsidRPr="00F63B9F">
        <w:rPr>
          <w:rFonts w:ascii="Arial" w:hAnsi="Arial" w:cs="Arial"/>
          <w:color w:val="000000"/>
          <w:sz w:val="22"/>
          <w:szCs w:val="22"/>
        </w:rPr>
        <w:t xml:space="preserve">he </w:t>
      </w:r>
      <w:r w:rsidR="004964C1" w:rsidRPr="00F63B9F">
        <w:rPr>
          <w:rFonts w:ascii="Arial" w:hAnsi="Arial" w:cs="Arial"/>
          <w:color w:val="000000"/>
          <w:sz w:val="22"/>
          <w:szCs w:val="22"/>
        </w:rPr>
        <w:t>Northern Institute</w:t>
      </w:r>
      <w:r w:rsidRPr="00F63B9F">
        <w:rPr>
          <w:rFonts w:ascii="Arial" w:hAnsi="Arial" w:cs="Arial"/>
          <w:color w:val="000000"/>
          <w:sz w:val="22"/>
          <w:szCs w:val="22"/>
        </w:rPr>
        <w:t>, Charles Darwin University (CDU) in preparing these projections, especially</w:t>
      </w:r>
      <w:r w:rsidR="00647C9C" w:rsidRPr="00F63B9F">
        <w:rPr>
          <w:rFonts w:ascii="Arial" w:hAnsi="Arial" w:cs="Arial"/>
          <w:color w:val="000000"/>
          <w:sz w:val="22"/>
          <w:szCs w:val="22"/>
        </w:rPr>
        <w:t xml:space="preserve"> </w:t>
      </w:r>
      <w:r w:rsidR="003B3868" w:rsidRPr="00F63B9F">
        <w:rPr>
          <w:rFonts w:ascii="Arial" w:hAnsi="Arial" w:cs="Arial"/>
          <w:color w:val="000000"/>
          <w:sz w:val="22"/>
          <w:szCs w:val="22"/>
        </w:rPr>
        <w:t>Dr</w:t>
      </w:r>
      <w:r w:rsidR="00647C9C" w:rsidRPr="00F63B9F">
        <w:rPr>
          <w:rFonts w:ascii="Arial" w:hAnsi="Arial" w:cs="Arial"/>
          <w:color w:val="000000"/>
          <w:sz w:val="22"/>
          <w:szCs w:val="22"/>
        </w:rPr>
        <w:t xml:space="preserve"> Andrew Taylor</w:t>
      </w:r>
      <w:r w:rsidR="00791FD5" w:rsidRPr="00F63B9F">
        <w:rPr>
          <w:rFonts w:ascii="Arial" w:hAnsi="Arial" w:cs="Arial"/>
          <w:color w:val="000000"/>
          <w:sz w:val="22"/>
          <w:szCs w:val="22"/>
        </w:rPr>
        <w:t>.</w:t>
      </w:r>
    </w:p>
    <w:p w:rsidR="00570783" w:rsidRPr="00B92B2E" w:rsidRDefault="00E973CA" w:rsidP="00F63B9F">
      <w:pPr>
        <w:spacing w:after="240"/>
        <w:rPr>
          <w:rFonts w:ascii="Arial" w:hAnsi="Arial" w:cs="Arial"/>
          <w:b/>
          <w:sz w:val="44"/>
          <w:szCs w:val="44"/>
        </w:rPr>
      </w:pPr>
      <w:r w:rsidRPr="00927CEB">
        <w:rPr>
          <w:rFonts w:ascii="Arial" w:hAnsi="Arial" w:cs="Arial"/>
          <w:color w:val="000000"/>
          <w:sz w:val="22"/>
          <w:szCs w:val="22"/>
        </w:rPr>
        <w:br w:type="page"/>
      </w:r>
      <w:r w:rsidR="00570783" w:rsidRPr="00B92B2E">
        <w:rPr>
          <w:rFonts w:ascii="Arial" w:hAnsi="Arial" w:cs="Arial"/>
          <w:b/>
          <w:sz w:val="44"/>
          <w:szCs w:val="44"/>
        </w:rPr>
        <w:t>Contents</w:t>
      </w:r>
    </w:p>
    <w:p w:rsidR="00F957B4" w:rsidRPr="00D23E30" w:rsidRDefault="00570783" w:rsidP="00097850">
      <w:pPr>
        <w:pStyle w:val="TOC1"/>
        <w:rPr>
          <w:lang w:val="en-AU" w:eastAsia="en-AU"/>
        </w:rPr>
      </w:pPr>
      <w:r w:rsidRPr="00A95FF4">
        <w:fldChar w:fldCharType="begin"/>
      </w:r>
      <w:r w:rsidRPr="00A95FF4">
        <w:instrText xml:space="preserve"> TOC \o "1-3" \h \z \u </w:instrText>
      </w:r>
      <w:r w:rsidRPr="00A95FF4">
        <w:fldChar w:fldCharType="separate"/>
      </w:r>
      <w:hyperlink w:anchor="_Toc303162894" w:history="1">
        <w:r w:rsidR="00F957B4" w:rsidRPr="00D23E30">
          <w:rPr>
            <w:rStyle w:val="Hyperlink"/>
            <w:color w:val="auto"/>
            <w:u w:val="none"/>
          </w:rPr>
          <w:t>Introduction</w:t>
        </w:r>
        <w:r w:rsidR="00F957B4" w:rsidRPr="00D23E30">
          <w:rPr>
            <w:webHidden/>
          </w:rPr>
          <w:tab/>
        </w:r>
        <w:r w:rsidR="00F957B4" w:rsidRPr="00D23E30">
          <w:rPr>
            <w:webHidden/>
          </w:rPr>
          <w:fldChar w:fldCharType="begin"/>
        </w:r>
        <w:r w:rsidR="00F957B4" w:rsidRPr="00D23E30">
          <w:rPr>
            <w:webHidden/>
          </w:rPr>
          <w:instrText xml:space="preserve"> PAGEREF _Toc303162894 \h </w:instrText>
        </w:r>
        <w:r w:rsidR="00F957B4" w:rsidRPr="00D23E30">
          <w:rPr>
            <w:webHidden/>
          </w:rPr>
        </w:r>
        <w:r w:rsidR="00F957B4" w:rsidRPr="00D23E30">
          <w:rPr>
            <w:webHidden/>
          </w:rPr>
          <w:fldChar w:fldCharType="separate"/>
        </w:r>
        <w:r w:rsidR="001F1C58">
          <w:rPr>
            <w:webHidden/>
          </w:rPr>
          <w:t>4</w:t>
        </w:r>
        <w:r w:rsidR="00F957B4" w:rsidRPr="00D23E30">
          <w:rPr>
            <w:webHidden/>
          </w:rPr>
          <w:fldChar w:fldCharType="end"/>
        </w:r>
      </w:hyperlink>
    </w:p>
    <w:p w:rsidR="00F957B4" w:rsidRPr="00D23E30" w:rsidRDefault="00244C1C" w:rsidP="00097850">
      <w:pPr>
        <w:pStyle w:val="TOC1"/>
        <w:rPr>
          <w:rStyle w:val="Hyperlink"/>
          <w:color w:val="auto"/>
          <w:u w:val="none"/>
        </w:rPr>
      </w:pPr>
      <w:hyperlink w:anchor="_Toc303162895" w:history="1">
        <w:r w:rsidR="00F957B4" w:rsidRPr="00D23E30">
          <w:rPr>
            <w:rStyle w:val="Hyperlink"/>
            <w:color w:val="auto"/>
            <w:u w:val="none"/>
          </w:rPr>
          <w:t>Output</w:t>
        </w:r>
        <w:r w:rsidR="003B3868" w:rsidRPr="00D23E30">
          <w:rPr>
            <w:rStyle w:val="Hyperlink"/>
            <w:color w:val="auto"/>
            <w:u w:val="none"/>
          </w:rPr>
          <w:t>s</w:t>
        </w:r>
        <w:r w:rsidR="00F957B4" w:rsidRPr="00D23E30">
          <w:rPr>
            <w:rStyle w:val="Hyperlink"/>
            <w:color w:val="auto"/>
            <w:u w:val="none"/>
          </w:rPr>
          <w:t xml:space="preserve"> on the Website</w:t>
        </w:r>
        <w:r w:rsidR="00F957B4" w:rsidRPr="00D23E30">
          <w:rPr>
            <w:rStyle w:val="Hyperlink"/>
            <w:webHidden/>
            <w:color w:val="auto"/>
            <w:u w:val="none"/>
          </w:rPr>
          <w:tab/>
        </w:r>
        <w:r w:rsidR="00F957B4" w:rsidRPr="00D23E30">
          <w:rPr>
            <w:rStyle w:val="Hyperlink"/>
            <w:webHidden/>
            <w:color w:val="auto"/>
            <w:u w:val="none"/>
          </w:rPr>
          <w:fldChar w:fldCharType="begin"/>
        </w:r>
        <w:r w:rsidR="00F957B4" w:rsidRPr="00D23E30">
          <w:rPr>
            <w:rStyle w:val="Hyperlink"/>
            <w:webHidden/>
            <w:color w:val="auto"/>
            <w:u w:val="none"/>
          </w:rPr>
          <w:instrText xml:space="preserve"> PAGEREF _Toc303162895 \h </w:instrText>
        </w:r>
        <w:r w:rsidR="00F957B4" w:rsidRPr="00D23E30">
          <w:rPr>
            <w:rStyle w:val="Hyperlink"/>
            <w:webHidden/>
            <w:color w:val="auto"/>
            <w:u w:val="none"/>
          </w:rPr>
        </w:r>
        <w:r w:rsidR="00F957B4" w:rsidRPr="00D23E30">
          <w:rPr>
            <w:rStyle w:val="Hyperlink"/>
            <w:webHidden/>
            <w:color w:val="auto"/>
            <w:u w:val="none"/>
          </w:rPr>
          <w:fldChar w:fldCharType="separate"/>
        </w:r>
        <w:r w:rsidR="001F1C58">
          <w:rPr>
            <w:rStyle w:val="Hyperlink"/>
            <w:webHidden/>
            <w:color w:val="auto"/>
            <w:u w:val="none"/>
          </w:rPr>
          <w:t>5</w:t>
        </w:r>
        <w:r w:rsidR="00F957B4" w:rsidRPr="00D23E30">
          <w:rPr>
            <w:rStyle w:val="Hyperlink"/>
            <w:webHidden/>
            <w:color w:val="auto"/>
            <w:u w:val="none"/>
          </w:rPr>
          <w:fldChar w:fldCharType="end"/>
        </w:r>
      </w:hyperlink>
    </w:p>
    <w:p w:rsidR="00430D49" w:rsidRPr="00D23E30" w:rsidRDefault="00A95FF4" w:rsidP="00097850">
      <w:pPr>
        <w:pStyle w:val="TOC1"/>
        <w:rPr>
          <w:rStyle w:val="Hyperlink"/>
          <w:color w:val="auto"/>
          <w:u w:val="none"/>
        </w:rPr>
      </w:pPr>
      <w:r w:rsidRPr="00D23E30">
        <w:rPr>
          <w:rStyle w:val="Hyperlink"/>
          <w:color w:val="auto"/>
          <w:u w:val="none"/>
        </w:rPr>
        <w:t>How to Use These Projections</w:t>
      </w:r>
      <w:r w:rsidRPr="00D23E30">
        <w:rPr>
          <w:rStyle w:val="Hyperlink"/>
          <w:webHidden/>
          <w:color w:val="auto"/>
          <w:u w:val="none"/>
        </w:rPr>
        <w:tab/>
      </w:r>
      <w:r w:rsidR="00D23E30" w:rsidRPr="00D23E30">
        <w:rPr>
          <w:rStyle w:val="Hyperlink"/>
          <w:color w:val="auto"/>
          <w:u w:val="none"/>
        </w:rPr>
        <w:t>7</w:t>
      </w:r>
    </w:p>
    <w:p w:rsidR="00F957B4" w:rsidRPr="00D23E30" w:rsidRDefault="00244C1C" w:rsidP="00097850">
      <w:pPr>
        <w:pStyle w:val="TOC1"/>
        <w:rPr>
          <w:lang w:val="en-AU" w:eastAsia="en-AU"/>
        </w:rPr>
      </w:pPr>
      <w:hyperlink w:anchor="_Toc303162896" w:history="1">
        <w:r w:rsidR="00F957B4" w:rsidRPr="00D23E30">
          <w:rPr>
            <w:rStyle w:val="Hyperlink"/>
            <w:rFonts w:eastAsia="Calibri"/>
            <w:color w:val="auto"/>
            <w:u w:val="none"/>
          </w:rPr>
          <w:t>Overview of Territory Population Growth</w:t>
        </w:r>
        <w:r w:rsidR="00F957B4" w:rsidRPr="00D23E30">
          <w:rPr>
            <w:webHidden/>
          </w:rPr>
          <w:tab/>
        </w:r>
      </w:hyperlink>
      <w:r w:rsidR="00D23E30" w:rsidRPr="00D23E30">
        <w:rPr>
          <w:rStyle w:val="Hyperlink"/>
          <w:color w:val="auto"/>
          <w:u w:val="none"/>
        </w:rPr>
        <w:t>8</w:t>
      </w:r>
    </w:p>
    <w:p w:rsidR="00F957B4" w:rsidRPr="00D23E30" w:rsidRDefault="00244C1C" w:rsidP="00097850">
      <w:pPr>
        <w:pStyle w:val="TOC1"/>
        <w:rPr>
          <w:lang w:val="en-AU" w:eastAsia="en-AU"/>
        </w:rPr>
      </w:pPr>
      <w:hyperlink w:anchor="_Toc303162897" w:history="1">
        <w:r w:rsidR="00F957B4" w:rsidRPr="00D23E30">
          <w:rPr>
            <w:rStyle w:val="Hyperlink"/>
            <w:rFonts w:eastAsia="Calibri"/>
            <w:color w:val="auto"/>
            <w:u w:val="none"/>
          </w:rPr>
          <w:t>NTPOP Population Projections Model</w:t>
        </w:r>
        <w:r w:rsidR="00F957B4" w:rsidRPr="00D23E30">
          <w:rPr>
            <w:webHidden/>
          </w:rPr>
          <w:tab/>
        </w:r>
      </w:hyperlink>
      <w:r w:rsidR="00D23E30" w:rsidRPr="00D23E30">
        <w:rPr>
          <w:rStyle w:val="Hyperlink"/>
          <w:color w:val="auto"/>
          <w:u w:val="none"/>
        </w:rPr>
        <w:t>10</w:t>
      </w:r>
    </w:p>
    <w:p w:rsidR="00F957B4" w:rsidRPr="00D23E30" w:rsidRDefault="00244C1C" w:rsidP="00097850">
      <w:pPr>
        <w:pStyle w:val="TOC1"/>
        <w:rPr>
          <w:lang w:val="en-AU" w:eastAsia="en-AU"/>
        </w:rPr>
      </w:pPr>
      <w:hyperlink w:anchor="_Toc303162899" w:history="1">
        <w:r w:rsidR="00F957B4" w:rsidRPr="00D23E30">
          <w:rPr>
            <w:rStyle w:val="Hyperlink"/>
            <w:rFonts w:eastAsia="Calibri"/>
            <w:color w:val="auto"/>
            <w:u w:val="none"/>
          </w:rPr>
          <w:t>Overview of Results</w:t>
        </w:r>
        <w:r w:rsidR="00F957B4" w:rsidRPr="00D23E30">
          <w:rPr>
            <w:webHidden/>
          </w:rPr>
          <w:tab/>
        </w:r>
      </w:hyperlink>
      <w:r w:rsidR="00D23E30" w:rsidRPr="00D23E30">
        <w:rPr>
          <w:rStyle w:val="Hyperlink"/>
          <w:color w:val="auto"/>
          <w:u w:val="none"/>
        </w:rPr>
        <w:t>12</w:t>
      </w:r>
    </w:p>
    <w:p w:rsidR="00097850" w:rsidRPr="00D23E30" w:rsidRDefault="00097850" w:rsidP="00097850">
      <w:pPr>
        <w:pStyle w:val="TOC1"/>
        <w:rPr>
          <w:rStyle w:val="Hyperlink"/>
          <w:color w:val="auto"/>
          <w:u w:val="none"/>
        </w:rPr>
      </w:pPr>
      <w:r w:rsidRPr="00D23E30">
        <w:rPr>
          <w:rStyle w:val="Hyperlink"/>
          <w:color w:val="auto"/>
          <w:u w:val="none"/>
        </w:rPr>
        <w:t>Appendix 1: Alternative Net Interstate Migration Scenarios for the Northern Territory</w:t>
      </w:r>
      <w:r w:rsidRPr="00D23E30">
        <w:rPr>
          <w:rStyle w:val="Hyperlink"/>
          <w:color w:val="auto"/>
          <w:u w:val="none"/>
        </w:rPr>
        <w:tab/>
        <w:t>2</w:t>
      </w:r>
      <w:r w:rsidR="00D23E30" w:rsidRPr="00D23E30">
        <w:rPr>
          <w:rStyle w:val="Hyperlink"/>
          <w:color w:val="auto"/>
          <w:u w:val="none"/>
        </w:rPr>
        <w:t>2</w:t>
      </w:r>
    </w:p>
    <w:p w:rsidR="00F957B4" w:rsidRPr="00D23E30" w:rsidRDefault="00244C1C" w:rsidP="00097850">
      <w:pPr>
        <w:pStyle w:val="TOC1"/>
        <w:rPr>
          <w:rStyle w:val="Hyperlink"/>
          <w:color w:val="auto"/>
          <w:u w:val="none"/>
        </w:rPr>
      </w:pPr>
      <w:hyperlink w:anchor="_Toc303162900" w:history="1">
        <w:r w:rsidR="00097850" w:rsidRPr="00D23E30">
          <w:rPr>
            <w:rStyle w:val="Hyperlink"/>
            <w:color w:val="auto"/>
            <w:u w:val="none"/>
          </w:rPr>
          <w:t>Appendix 2: Technical Details of the NTPOP Population Projections Model</w:t>
        </w:r>
        <w:r w:rsidR="00097850" w:rsidRPr="00D23E30">
          <w:rPr>
            <w:rStyle w:val="Hyperlink"/>
            <w:webHidden/>
            <w:color w:val="auto"/>
            <w:u w:val="none"/>
          </w:rPr>
          <w:tab/>
          <w:t>2</w:t>
        </w:r>
      </w:hyperlink>
      <w:r w:rsidR="00D23E30" w:rsidRPr="00D23E30">
        <w:rPr>
          <w:rStyle w:val="Hyperlink"/>
          <w:color w:val="auto"/>
          <w:u w:val="none"/>
        </w:rPr>
        <w:t>5</w:t>
      </w:r>
    </w:p>
    <w:p w:rsidR="00F957B4" w:rsidRPr="00A95FF4" w:rsidRDefault="00244C1C" w:rsidP="00097850">
      <w:pPr>
        <w:pStyle w:val="TOC1"/>
        <w:rPr>
          <w:lang w:val="en-AU" w:eastAsia="en-AU"/>
        </w:rPr>
      </w:pPr>
      <w:hyperlink w:anchor="_Toc303162901" w:history="1"/>
    </w:p>
    <w:p w:rsidR="00570783" w:rsidRDefault="00570783" w:rsidP="00570783">
      <w:pPr>
        <w:pStyle w:val="Heading1"/>
      </w:pPr>
      <w:r w:rsidRPr="00A95FF4">
        <w:fldChar w:fldCharType="end"/>
      </w:r>
    </w:p>
    <w:p w:rsidR="00E973CA" w:rsidRPr="00B92B2E" w:rsidRDefault="00E973CA" w:rsidP="00F63B9F">
      <w:pPr>
        <w:spacing w:after="240"/>
        <w:rPr>
          <w:rFonts w:ascii="Arial" w:hAnsi="Arial" w:cs="Arial"/>
          <w:b/>
          <w:sz w:val="44"/>
          <w:szCs w:val="44"/>
        </w:rPr>
      </w:pPr>
      <w:r w:rsidRPr="00927CEB">
        <w:rPr>
          <w:rFonts w:ascii="Arial" w:hAnsi="Arial" w:cs="Arial"/>
          <w:sz w:val="22"/>
          <w:szCs w:val="22"/>
        </w:rPr>
        <w:br w:type="page"/>
      </w:r>
      <w:bookmarkStart w:id="0" w:name="_Toc303162894"/>
      <w:r w:rsidRPr="00B92B2E">
        <w:rPr>
          <w:rFonts w:ascii="Arial" w:hAnsi="Arial" w:cs="Arial"/>
          <w:b/>
          <w:sz w:val="44"/>
          <w:szCs w:val="44"/>
        </w:rPr>
        <w:t>Introduction</w:t>
      </w:r>
      <w:bookmarkEnd w:id="0"/>
    </w:p>
    <w:p w:rsidR="005D1779" w:rsidRPr="00F63B9F" w:rsidRDefault="00E973CA" w:rsidP="00F63B9F">
      <w:pPr>
        <w:spacing w:after="160" w:line="240" w:lineRule="atLeast"/>
        <w:rPr>
          <w:rFonts w:ascii="Arial" w:hAnsi="Arial" w:cs="Arial"/>
          <w:color w:val="000000"/>
          <w:sz w:val="22"/>
          <w:szCs w:val="22"/>
        </w:rPr>
      </w:pPr>
      <w:r w:rsidRPr="00F63B9F">
        <w:rPr>
          <w:rFonts w:ascii="Arial" w:hAnsi="Arial" w:cs="Arial"/>
          <w:color w:val="000000"/>
          <w:sz w:val="22"/>
          <w:szCs w:val="22"/>
        </w:rPr>
        <w:t>This report provides an overview of the Northern Territory Population Projections</w:t>
      </w:r>
      <w:r w:rsidR="00D26B74" w:rsidRPr="00F63B9F">
        <w:rPr>
          <w:rFonts w:ascii="Arial" w:hAnsi="Arial" w:cs="Arial"/>
          <w:color w:val="000000"/>
          <w:sz w:val="22"/>
          <w:szCs w:val="22"/>
        </w:rPr>
        <w:t>,</w:t>
      </w:r>
      <w:r w:rsidRPr="00F63B9F">
        <w:rPr>
          <w:rFonts w:ascii="Arial" w:hAnsi="Arial" w:cs="Arial"/>
          <w:color w:val="000000"/>
          <w:sz w:val="22"/>
          <w:szCs w:val="22"/>
        </w:rPr>
        <w:t xml:space="preserve"> </w:t>
      </w:r>
      <w:r w:rsidR="005D1779" w:rsidRPr="00F63B9F">
        <w:rPr>
          <w:rFonts w:ascii="Arial" w:hAnsi="Arial" w:cs="Arial"/>
          <w:color w:val="000000"/>
          <w:sz w:val="22"/>
          <w:szCs w:val="22"/>
        </w:rPr>
        <w:t>Interim</w:t>
      </w:r>
      <w:r w:rsidR="005D1779" w:rsidRPr="00F63B9F">
        <w:rPr>
          <w:rFonts w:ascii="Arial" w:hAnsi="Arial" w:cs="Arial"/>
          <w:color w:val="000000"/>
          <w:sz w:val="22"/>
          <w:szCs w:val="22"/>
        </w:rPr>
        <w:noBreakHyphen/>
      </w:r>
      <w:r w:rsidR="006147C2" w:rsidRPr="00F63B9F">
        <w:rPr>
          <w:rFonts w:ascii="Arial" w:hAnsi="Arial" w:cs="Arial"/>
          <w:color w:val="000000"/>
          <w:sz w:val="22"/>
          <w:szCs w:val="22"/>
        </w:rPr>
        <w:t>Update (2013 Release), incorporating 2011 Census resu</w:t>
      </w:r>
      <w:r w:rsidR="005D1779" w:rsidRPr="00F63B9F">
        <w:rPr>
          <w:rFonts w:ascii="Arial" w:hAnsi="Arial" w:cs="Arial"/>
          <w:color w:val="000000"/>
          <w:sz w:val="22"/>
          <w:szCs w:val="22"/>
        </w:rPr>
        <w:t>lts and covering the years 2011</w:t>
      </w:r>
      <w:r w:rsidR="005D1779" w:rsidRPr="00F63B9F">
        <w:rPr>
          <w:rFonts w:ascii="Arial" w:hAnsi="Arial" w:cs="Arial"/>
          <w:color w:val="000000"/>
          <w:sz w:val="22"/>
          <w:szCs w:val="22"/>
        </w:rPr>
        <w:noBreakHyphen/>
      </w:r>
      <w:r w:rsidR="006147C2" w:rsidRPr="00F63B9F">
        <w:rPr>
          <w:rFonts w:ascii="Arial" w:hAnsi="Arial" w:cs="Arial"/>
          <w:color w:val="000000"/>
          <w:sz w:val="22"/>
          <w:szCs w:val="22"/>
        </w:rPr>
        <w:t xml:space="preserve">2041. The report </w:t>
      </w:r>
      <w:r w:rsidR="00D26B74" w:rsidRPr="00F63B9F">
        <w:rPr>
          <w:rFonts w:ascii="Arial" w:hAnsi="Arial" w:cs="Arial"/>
          <w:color w:val="000000"/>
          <w:sz w:val="22"/>
          <w:szCs w:val="22"/>
        </w:rPr>
        <w:t>inclu</w:t>
      </w:r>
      <w:r w:rsidR="006147C2" w:rsidRPr="00F63B9F">
        <w:rPr>
          <w:rFonts w:ascii="Arial" w:hAnsi="Arial" w:cs="Arial"/>
          <w:color w:val="000000"/>
          <w:sz w:val="22"/>
          <w:szCs w:val="22"/>
        </w:rPr>
        <w:t>des</w:t>
      </w:r>
      <w:r w:rsidR="00D26B74" w:rsidRPr="00F63B9F">
        <w:rPr>
          <w:rFonts w:ascii="Arial" w:hAnsi="Arial" w:cs="Arial"/>
          <w:color w:val="000000"/>
          <w:sz w:val="22"/>
          <w:szCs w:val="22"/>
        </w:rPr>
        <w:t xml:space="preserve"> </w:t>
      </w:r>
      <w:r w:rsidRPr="00F63B9F">
        <w:rPr>
          <w:rFonts w:ascii="Arial" w:hAnsi="Arial" w:cs="Arial"/>
          <w:color w:val="000000"/>
          <w:sz w:val="22"/>
          <w:szCs w:val="22"/>
        </w:rPr>
        <w:t>the process of development</w:t>
      </w:r>
      <w:r w:rsidR="00D26B74" w:rsidRPr="00F63B9F">
        <w:rPr>
          <w:rFonts w:ascii="Arial" w:hAnsi="Arial" w:cs="Arial"/>
          <w:color w:val="000000"/>
          <w:sz w:val="22"/>
          <w:szCs w:val="22"/>
        </w:rPr>
        <w:t xml:space="preserve"> and results</w:t>
      </w:r>
      <w:r w:rsidRPr="00F63B9F">
        <w:rPr>
          <w:rFonts w:ascii="Arial" w:hAnsi="Arial" w:cs="Arial"/>
          <w:color w:val="000000"/>
          <w:sz w:val="22"/>
          <w:szCs w:val="22"/>
        </w:rPr>
        <w:t xml:space="preserve">. </w:t>
      </w:r>
    </w:p>
    <w:p w:rsidR="003156F7" w:rsidRPr="00F63B9F" w:rsidRDefault="004964C1" w:rsidP="00F63B9F">
      <w:pPr>
        <w:spacing w:after="160" w:line="240" w:lineRule="atLeast"/>
        <w:rPr>
          <w:rFonts w:ascii="Arial" w:hAnsi="Arial" w:cs="Arial"/>
          <w:color w:val="000000"/>
          <w:sz w:val="22"/>
          <w:szCs w:val="22"/>
        </w:rPr>
      </w:pPr>
      <w:r w:rsidRPr="00F63B9F">
        <w:rPr>
          <w:rFonts w:ascii="Arial" w:hAnsi="Arial" w:cs="Arial"/>
          <w:color w:val="000000"/>
          <w:sz w:val="22"/>
          <w:szCs w:val="22"/>
        </w:rPr>
        <w:t xml:space="preserve">Population projections outlined in this report were developed using the NTPOP model. </w:t>
      </w:r>
      <w:r w:rsidR="003156F7" w:rsidRPr="00F63B9F">
        <w:rPr>
          <w:rFonts w:ascii="Arial" w:hAnsi="Arial" w:cs="Arial"/>
          <w:color w:val="000000"/>
          <w:sz w:val="22"/>
          <w:szCs w:val="22"/>
        </w:rPr>
        <w:t>The projections are calculations of the future estimate</w:t>
      </w:r>
      <w:r w:rsidR="005D1779" w:rsidRPr="00F63B9F">
        <w:rPr>
          <w:rFonts w:ascii="Arial" w:hAnsi="Arial" w:cs="Arial"/>
          <w:color w:val="000000"/>
          <w:sz w:val="22"/>
          <w:szCs w:val="22"/>
        </w:rPr>
        <w:t xml:space="preserve">s of </w:t>
      </w:r>
      <w:r w:rsidR="006147C2" w:rsidRPr="00F63B9F">
        <w:rPr>
          <w:rFonts w:ascii="Arial" w:hAnsi="Arial" w:cs="Arial"/>
          <w:color w:val="000000"/>
          <w:sz w:val="22"/>
          <w:szCs w:val="22"/>
        </w:rPr>
        <w:t xml:space="preserve">Northern Territory residents based </w:t>
      </w:r>
      <w:r w:rsidR="003156F7" w:rsidRPr="00F63B9F">
        <w:rPr>
          <w:rFonts w:ascii="Arial" w:hAnsi="Arial" w:cs="Arial"/>
          <w:color w:val="000000"/>
          <w:sz w:val="22"/>
          <w:szCs w:val="22"/>
        </w:rPr>
        <w:t xml:space="preserve">on historical trends in fertility, mortality and migration. </w:t>
      </w:r>
      <w:r w:rsidR="006147C2" w:rsidRPr="00F63B9F">
        <w:rPr>
          <w:rFonts w:ascii="Arial" w:hAnsi="Arial" w:cs="Arial"/>
          <w:color w:val="000000"/>
          <w:sz w:val="22"/>
          <w:szCs w:val="22"/>
        </w:rPr>
        <w:t xml:space="preserve">Like the ABS definition of </w:t>
      </w:r>
      <w:r w:rsidR="003D0669" w:rsidRPr="00F63B9F">
        <w:rPr>
          <w:rFonts w:ascii="Arial" w:hAnsi="Arial" w:cs="Arial"/>
          <w:color w:val="000000"/>
          <w:sz w:val="22"/>
          <w:szCs w:val="22"/>
        </w:rPr>
        <w:t>estimated resident population (</w:t>
      </w:r>
      <w:r w:rsidR="006147C2" w:rsidRPr="00F63B9F">
        <w:rPr>
          <w:rFonts w:ascii="Arial" w:hAnsi="Arial" w:cs="Arial"/>
          <w:color w:val="000000"/>
          <w:sz w:val="22"/>
          <w:szCs w:val="22"/>
        </w:rPr>
        <w:t>ERP</w:t>
      </w:r>
      <w:r w:rsidR="003D0669" w:rsidRPr="00F63B9F">
        <w:rPr>
          <w:rFonts w:ascii="Arial" w:hAnsi="Arial" w:cs="Arial"/>
          <w:color w:val="000000"/>
          <w:sz w:val="22"/>
          <w:szCs w:val="22"/>
        </w:rPr>
        <w:t>)</w:t>
      </w:r>
      <w:r w:rsidR="006147C2" w:rsidRPr="00F63B9F">
        <w:rPr>
          <w:rFonts w:ascii="Arial" w:hAnsi="Arial" w:cs="Arial"/>
          <w:color w:val="000000"/>
          <w:sz w:val="22"/>
          <w:szCs w:val="22"/>
        </w:rPr>
        <w:t xml:space="preserve">, the term residents used here </w:t>
      </w:r>
      <w:r w:rsidR="003156F7" w:rsidRPr="00F63B9F">
        <w:rPr>
          <w:rFonts w:ascii="Arial" w:hAnsi="Arial" w:cs="Arial"/>
          <w:color w:val="000000"/>
          <w:sz w:val="22"/>
          <w:szCs w:val="22"/>
        </w:rPr>
        <w:t>excludes people in the Territory whose usual residence is another sta</w:t>
      </w:r>
      <w:r w:rsidR="00F80365">
        <w:rPr>
          <w:rFonts w:ascii="Arial" w:hAnsi="Arial" w:cs="Arial"/>
          <w:color w:val="000000"/>
          <w:sz w:val="22"/>
          <w:szCs w:val="22"/>
        </w:rPr>
        <w:t>te or country, for example, fly-in fly-</w:t>
      </w:r>
      <w:r w:rsidR="003156F7" w:rsidRPr="00F63B9F">
        <w:rPr>
          <w:rFonts w:ascii="Arial" w:hAnsi="Arial" w:cs="Arial"/>
          <w:color w:val="000000"/>
          <w:sz w:val="22"/>
          <w:szCs w:val="22"/>
        </w:rPr>
        <w:t>out workers, business visitors and tourists. Accordingly, the projected population does not necessarily represent the service population for Northern Territory Government agencies.</w:t>
      </w:r>
    </w:p>
    <w:p w:rsidR="00791FD5" w:rsidRDefault="00E973CA" w:rsidP="00EF30FE">
      <w:pPr>
        <w:rPr>
          <w:rFonts w:ascii="Arial" w:hAnsi="Arial" w:cs="Arial"/>
          <w:color w:val="000000"/>
          <w:sz w:val="22"/>
          <w:szCs w:val="22"/>
        </w:rPr>
      </w:pPr>
      <w:r w:rsidRPr="00F63B9F">
        <w:rPr>
          <w:rFonts w:ascii="Arial" w:hAnsi="Arial" w:cs="Arial"/>
          <w:color w:val="000000"/>
          <w:sz w:val="22"/>
          <w:szCs w:val="22"/>
        </w:rPr>
        <w:t xml:space="preserve">A summary of the projection results is included in this report but for the complete set of projected population numbers, users should refer to the electronic Excel spreadsheets available through the </w:t>
      </w:r>
      <w:r w:rsidR="000F7394" w:rsidRPr="00F63B9F">
        <w:rPr>
          <w:rFonts w:ascii="Arial" w:hAnsi="Arial" w:cs="Arial"/>
          <w:color w:val="000000"/>
          <w:sz w:val="22"/>
          <w:szCs w:val="22"/>
        </w:rPr>
        <w:t>Department of Treasury and Finance (DTF</w:t>
      </w:r>
      <w:r w:rsidRPr="00F63B9F">
        <w:rPr>
          <w:rFonts w:ascii="Arial" w:hAnsi="Arial" w:cs="Arial"/>
          <w:color w:val="000000"/>
          <w:sz w:val="22"/>
          <w:szCs w:val="22"/>
        </w:rPr>
        <w:t>)</w:t>
      </w:r>
      <w:r w:rsidR="00647C9C" w:rsidRPr="00F63B9F">
        <w:rPr>
          <w:rFonts w:ascii="Arial" w:hAnsi="Arial" w:cs="Arial"/>
          <w:color w:val="000000"/>
          <w:sz w:val="22"/>
          <w:szCs w:val="22"/>
        </w:rPr>
        <w:t xml:space="preserve"> </w:t>
      </w:r>
      <w:r w:rsidRPr="00F63B9F">
        <w:rPr>
          <w:rFonts w:ascii="Arial" w:hAnsi="Arial" w:cs="Arial"/>
          <w:color w:val="000000"/>
          <w:sz w:val="22"/>
          <w:szCs w:val="22"/>
        </w:rPr>
        <w:t xml:space="preserve">website at </w:t>
      </w:r>
      <w:hyperlink r:id="rId12" w:history="1">
        <w:r w:rsidR="00244C1C">
          <w:rPr>
            <w:rStyle w:val="Hyperlink"/>
            <w:rFonts w:ascii="Arial" w:hAnsi="Arial" w:cs="Arial"/>
            <w:sz w:val="22"/>
            <w:szCs w:val="22"/>
          </w:rPr>
          <w:t>https://treasury.nt.gov.au/dtf/economic-group/population-projections</w:t>
        </w:r>
      </w:hyperlink>
      <w:r w:rsidR="008F21C6" w:rsidRPr="00EF30FE">
        <w:rPr>
          <w:rFonts w:ascii="Arial" w:hAnsi="Arial" w:cs="Arial"/>
          <w:color w:val="000000"/>
          <w:sz w:val="22"/>
          <w:szCs w:val="22"/>
        </w:rPr>
        <w:t>.</w:t>
      </w:r>
      <w:r w:rsidR="004964C1" w:rsidRPr="00F63B9F">
        <w:rPr>
          <w:rFonts w:ascii="Arial" w:hAnsi="Arial" w:cs="Arial"/>
          <w:color w:val="000000"/>
          <w:sz w:val="22"/>
          <w:szCs w:val="22"/>
        </w:rPr>
        <w:t xml:space="preserve"> </w:t>
      </w:r>
    </w:p>
    <w:p w:rsidR="00EF30FE" w:rsidRPr="00EF30FE" w:rsidRDefault="00EF30FE" w:rsidP="00EF30FE"/>
    <w:p w:rsidR="00791FD5" w:rsidRPr="00F63B9F" w:rsidRDefault="00791FD5" w:rsidP="00F63B9F">
      <w:pPr>
        <w:spacing w:after="160" w:line="240" w:lineRule="atLeast"/>
        <w:rPr>
          <w:rFonts w:ascii="Arial" w:hAnsi="Arial" w:cs="Arial"/>
          <w:color w:val="000000"/>
          <w:sz w:val="22"/>
          <w:szCs w:val="22"/>
        </w:rPr>
      </w:pPr>
      <w:r w:rsidRPr="00F63B9F">
        <w:rPr>
          <w:rFonts w:ascii="Arial" w:hAnsi="Arial" w:cs="Arial"/>
          <w:color w:val="000000"/>
          <w:sz w:val="22"/>
          <w:szCs w:val="22"/>
        </w:rPr>
        <w:t xml:space="preserve">The projections update the </w:t>
      </w:r>
      <w:r w:rsidR="006147C2" w:rsidRPr="00F63B9F">
        <w:rPr>
          <w:rFonts w:ascii="Arial" w:hAnsi="Arial" w:cs="Arial"/>
          <w:color w:val="000000"/>
          <w:sz w:val="22"/>
          <w:szCs w:val="22"/>
        </w:rPr>
        <w:t xml:space="preserve">previous report, </w:t>
      </w:r>
      <w:r w:rsidRPr="00F63B9F">
        <w:rPr>
          <w:rFonts w:ascii="Arial" w:hAnsi="Arial" w:cs="Arial"/>
          <w:color w:val="000000"/>
          <w:sz w:val="22"/>
          <w:szCs w:val="22"/>
        </w:rPr>
        <w:t xml:space="preserve">Northern Territory Population Projections, </w:t>
      </w:r>
      <w:r w:rsidR="00450CA9" w:rsidRPr="00F63B9F">
        <w:rPr>
          <w:rFonts w:ascii="Arial" w:hAnsi="Arial" w:cs="Arial"/>
          <w:color w:val="000000"/>
          <w:sz w:val="22"/>
          <w:szCs w:val="22"/>
        </w:rPr>
        <w:t>2010</w:t>
      </w:r>
      <w:r w:rsidR="00EF30FE">
        <w:rPr>
          <w:rFonts w:ascii="Arial" w:hAnsi="Arial" w:cs="Arial"/>
          <w:color w:val="000000"/>
          <w:sz w:val="22"/>
          <w:szCs w:val="22"/>
        </w:rPr>
        <w:noBreakHyphen/>
      </w:r>
      <w:r w:rsidR="00450CA9" w:rsidRPr="00F63B9F">
        <w:rPr>
          <w:rFonts w:ascii="Arial" w:hAnsi="Arial" w:cs="Arial"/>
          <w:color w:val="000000"/>
          <w:sz w:val="22"/>
          <w:szCs w:val="22"/>
        </w:rPr>
        <w:t>2040</w:t>
      </w:r>
      <w:r w:rsidR="00016832" w:rsidRPr="00F63B9F">
        <w:rPr>
          <w:rFonts w:ascii="Arial" w:hAnsi="Arial" w:cs="Arial"/>
          <w:color w:val="000000"/>
          <w:sz w:val="22"/>
          <w:szCs w:val="22"/>
        </w:rPr>
        <w:t>,</w:t>
      </w:r>
      <w:r w:rsidR="00450CA9" w:rsidRPr="00F63B9F">
        <w:rPr>
          <w:rFonts w:ascii="Arial" w:hAnsi="Arial" w:cs="Arial"/>
          <w:color w:val="000000"/>
          <w:sz w:val="22"/>
          <w:szCs w:val="22"/>
        </w:rPr>
        <w:t xml:space="preserve"> </w:t>
      </w:r>
      <w:r w:rsidRPr="00F63B9F">
        <w:rPr>
          <w:rFonts w:ascii="Arial" w:hAnsi="Arial" w:cs="Arial"/>
          <w:color w:val="000000"/>
          <w:sz w:val="22"/>
          <w:szCs w:val="22"/>
        </w:rPr>
        <w:t xml:space="preserve">to incorporate preliminary data from the 2011 Census and </w:t>
      </w:r>
      <w:r w:rsidR="00016832" w:rsidRPr="00F63B9F">
        <w:rPr>
          <w:rFonts w:ascii="Arial" w:hAnsi="Arial" w:cs="Arial"/>
          <w:color w:val="000000"/>
          <w:sz w:val="22"/>
          <w:szCs w:val="22"/>
        </w:rPr>
        <w:t>also to update and improve some inpu</w:t>
      </w:r>
      <w:r w:rsidR="005759A0">
        <w:rPr>
          <w:rFonts w:ascii="Arial" w:hAnsi="Arial" w:cs="Arial"/>
          <w:color w:val="000000"/>
          <w:sz w:val="22"/>
          <w:szCs w:val="22"/>
        </w:rPr>
        <w:t>t</w:t>
      </w:r>
      <w:r w:rsidRPr="00F63B9F">
        <w:rPr>
          <w:rFonts w:ascii="Arial" w:hAnsi="Arial" w:cs="Arial"/>
          <w:color w:val="000000"/>
          <w:sz w:val="22"/>
          <w:szCs w:val="22"/>
        </w:rPr>
        <w:t xml:space="preserve"> assumptions. They are an interim update prior to a </w:t>
      </w:r>
      <w:r w:rsidR="00016832" w:rsidRPr="00F63B9F">
        <w:rPr>
          <w:rFonts w:ascii="Arial" w:hAnsi="Arial" w:cs="Arial"/>
          <w:color w:val="000000"/>
          <w:sz w:val="22"/>
          <w:szCs w:val="22"/>
        </w:rPr>
        <w:t xml:space="preserve">more comprehensive </w:t>
      </w:r>
      <w:r w:rsidRPr="00F63B9F">
        <w:rPr>
          <w:rFonts w:ascii="Arial" w:hAnsi="Arial" w:cs="Arial"/>
          <w:color w:val="000000"/>
          <w:sz w:val="22"/>
          <w:szCs w:val="22"/>
        </w:rPr>
        <w:t xml:space="preserve">revision of the projections, which will follow </w:t>
      </w:r>
      <w:r w:rsidR="004D13B6" w:rsidRPr="00F63B9F">
        <w:rPr>
          <w:rFonts w:ascii="Arial" w:hAnsi="Arial" w:cs="Arial"/>
          <w:color w:val="000000"/>
          <w:sz w:val="22"/>
          <w:szCs w:val="22"/>
        </w:rPr>
        <w:t xml:space="preserve">the </w:t>
      </w:r>
      <w:r w:rsidRPr="00F63B9F">
        <w:rPr>
          <w:rFonts w:ascii="Arial" w:hAnsi="Arial" w:cs="Arial"/>
          <w:color w:val="000000"/>
          <w:sz w:val="22"/>
          <w:szCs w:val="22"/>
        </w:rPr>
        <w:t>release, by the Australian Bureau of Statistics (ABS), of final ERP figures and other demographic data based on the 2011 Census</w:t>
      </w:r>
      <w:r w:rsidR="005D1779" w:rsidRPr="00F63B9F">
        <w:rPr>
          <w:rFonts w:ascii="Arial" w:hAnsi="Arial" w:cs="Arial"/>
          <w:color w:val="000000"/>
          <w:sz w:val="22"/>
          <w:szCs w:val="22"/>
        </w:rPr>
        <w:t xml:space="preserve">. </w:t>
      </w:r>
      <w:r w:rsidRPr="00F63B9F">
        <w:rPr>
          <w:rFonts w:ascii="Arial" w:hAnsi="Arial" w:cs="Arial"/>
          <w:color w:val="000000"/>
          <w:sz w:val="22"/>
          <w:szCs w:val="22"/>
        </w:rPr>
        <w:t xml:space="preserve">The projections were developed in collaboration with The Northern Institute at Charles Darwin University.  </w:t>
      </w:r>
    </w:p>
    <w:p w:rsidR="00E973CA" w:rsidRPr="00F63B9F" w:rsidRDefault="00E973CA" w:rsidP="00F63B9F">
      <w:pPr>
        <w:spacing w:after="160" w:line="240" w:lineRule="atLeast"/>
        <w:rPr>
          <w:rFonts w:ascii="Arial" w:hAnsi="Arial" w:cs="Arial"/>
          <w:color w:val="000000"/>
          <w:sz w:val="22"/>
          <w:szCs w:val="22"/>
        </w:rPr>
      </w:pPr>
      <w:r w:rsidRPr="00F63B9F">
        <w:rPr>
          <w:rFonts w:ascii="Arial" w:hAnsi="Arial" w:cs="Arial"/>
          <w:color w:val="000000"/>
          <w:sz w:val="22"/>
          <w:szCs w:val="22"/>
        </w:rPr>
        <w:t>This report include</w:t>
      </w:r>
      <w:r w:rsidR="004964C1" w:rsidRPr="00F63B9F">
        <w:rPr>
          <w:rFonts w:ascii="Arial" w:hAnsi="Arial" w:cs="Arial"/>
          <w:color w:val="000000"/>
          <w:sz w:val="22"/>
          <w:szCs w:val="22"/>
        </w:rPr>
        <w:t>s</w:t>
      </w:r>
      <w:r w:rsidRPr="00F63B9F">
        <w:rPr>
          <w:rFonts w:ascii="Arial" w:hAnsi="Arial" w:cs="Arial"/>
          <w:color w:val="000000"/>
          <w:sz w:val="22"/>
          <w:szCs w:val="22"/>
        </w:rPr>
        <w:t xml:space="preserve"> information on two sets of population projections:</w:t>
      </w:r>
    </w:p>
    <w:p w:rsidR="00E973CA" w:rsidRPr="00F63B9F" w:rsidRDefault="00E973CA" w:rsidP="00F63B9F">
      <w:pPr>
        <w:numPr>
          <w:ilvl w:val="0"/>
          <w:numId w:val="29"/>
        </w:numPr>
        <w:spacing w:after="160" w:line="240" w:lineRule="atLeast"/>
        <w:rPr>
          <w:rFonts w:ascii="Arial" w:hAnsi="Arial" w:cs="Arial"/>
          <w:color w:val="000000"/>
          <w:sz w:val="22"/>
          <w:szCs w:val="22"/>
        </w:rPr>
      </w:pPr>
      <w:r w:rsidRPr="00F63B9F">
        <w:rPr>
          <w:rFonts w:ascii="Arial" w:hAnsi="Arial" w:cs="Arial"/>
          <w:color w:val="000000"/>
          <w:sz w:val="22"/>
          <w:szCs w:val="22"/>
        </w:rPr>
        <w:t xml:space="preserve">residents of the whole of the Northern Territory from </w:t>
      </w:r>
      <w:r w:rsidR="00791FD5" w:rsidRPr="00F63B9F">
        <w:rPr>
          <w:rFonts w:ascii="Arial" w:hAnsi="Arial" w:cs="Arial"/>
          <w:color w:val="000000"/>
          <w:sz w:val="22"/>
          <w:szCs w:val="22"/>
        </w:rPr>
        <w:t>2011</w:t>
      </w:r>
      <w:r w:rsidR="00647C9C" w:rsidRPr="00F63B9F">
        <w:rPr>
          <w:rFonts w:ascii="Arial" w:hAnsi="Arial" w:cs="Arial"/>
          <w:color w:val="000000"/>
          <w:sz w:val="22"/>
          <w:szCs w:val="22"/>
        </w:rPr>
        <w:t xml:space="preserve"> </w:t>
      </w:r>
      <w:r w:rsidRPr="00F63B9F">
        <w:rPr>
          <w:rFonts w:ascii="Arial" w:hAnsi="Arial" w:cs="Arial"/>
          <w:color w:val="000000"/>
          <w:sz w:val="22"/>
          <w:szCs w:val="22"/>
        </w:rPr>
        <w:t xml:space="preserve">to </w:t>
      </w:r>
      <w:r w:rsidR="00791FD5" w:rsidRPr="00F63B9F">
        <w:rPr>
          <w:rFonts w:ascii="Arial" w:hAnsi="Arial" w:cs="Arial"/>
          <w:color w:val="000000"/>
          <w:sz w:val="22"/>
          <w:szCs w:val="22"/>
        </w:rPr>
        <w:t>2041</w:t>
      </w:r>
      <w:r w:rsidRPr="00F63B9F">
        <w:rPr>
          <w:rFonts w:ascii="Arial" w:hAnsi="Arial" w:cs="Arial"/>
          <w:color w:val="000000"/>
          <w:sz w:val="22"/>
          <w:szCs w:val="22"/>
        </w:rPr>
        <w:t>, disaggregated by individual year of age, sex and Indigenous status; and</w:t>
      </w:r>
    </w:p>
    <w:p w:rsidR="00791FD5" w:rsidRPr="00F63B9F" w:rsidRDefault="00791FD5" w:rsidP="00F63B9F">
      <w:pPr>
        <w:numPr>
          <w:ilvl w:val="0"/>
          <w:numId w:val="29"/>
        </w:numPr>
        <w:spacing w:after="160" w:line="240" w:lineRule="atLeast"/>
        <w:rPr>
          <w:rFonts w:ascii="Arial" w:hAnsi="Arial" w:cs="Arial"/>
          <w:color w:val="000000"/>
          <w:sz w:val="22"/>
          <w:szCs w:val="22"/>
        </w:rPr>
      </w:pPr>
      <w:r w:rsidRPr="00F63B9F">
        <w:rPr>
          <w:rFonts w:ascii="Arial" w:hAnsi="Arial" w:cs="Arial"/>
          <w:color w:val="000000"/>
          <w:sz w:val="22"/>
          <w:szCs w:val="22"/>
        </w:rPr>
        <w:t xml:space="preserve">residents of each of the Greater Darwin region and the Rest of the Northern Territory (NT). These sub-NT level projections are made available for 2011, 2016, 2021 and 2026 </w:t>
      </w:r>
      <w:r w:rsidR="00450CA9" w:rsidRPr="00F63B9F">
        <w:rPr>
          <w:rFonts w:ascii="Arial" w:hAnsi="Arial" w:cs="Arial"/>
          <w:color w:val="000000"/>
          <w:sz w:val="22"/>
          <w:szCs w:val="22"/>
        </w:rPr>
        <w:t xml:space="preserve">and are </w:t>
      </w:r>
      <w:r w:rsidRPr="00F63B9F">
        <w:rPr>
          <w:rFonts w:ascii="Arial" w:hAnsi="Arial" w:cs="Arial"/>
          <w:color w:val="000000"/>
          <w:sz w:val="22"/>
          <w:szCs w:val="22"/>
        </w:rPr>
        <w:t>disaggregated by five-year age groups, sex and Indigenous status.</w:t>
      </w:r>
    </w:p>
    <w:p w:rsidR="00791FD5" w:rsidRPr="00F63B9F" w:rsidRDefault="00791FD5" w:rsidP="00F63B9F">
      <w:pPr>
        <w:spacing w:before="240" w:after="160" w:line="240" w:lineRule="atLeast"/>
        <w:rPr>
          <w:rFonts w:ascii="Arial" w:hAnsi="Arial" w:cs="Arial"/>
          <w:color w:val="000000"/>
          <w:sz w:val="22"/>
          <w:szCs w:val="22"/>
        </w:rPr>
      </w:pPr>
      <w:r w:rsidRPr="00F63B9F">
        <w:rPr>
          <w:rFonts w:ascii="Arial" w:hAnsi="Arial" w:cs="Arial"/>
          <w:color w:val="000000"/>
          <w:sz w:val="22"/>
          <w:szCs w:val="22"/>
        </w:rPr>
        <w:t>The Greater Darwin and Rest of NT regions align with the ABS Statistical Area Level 4 regions of Darwin (</w:t>
      </w:r>
      <w:r w:rsidR="00450CA9" w:rsidRPr="00F63B9F">
        <w:rPr>
          <w:rFonts w:ascii="Arial" w:hAnsi="Arial" w:cs="Arial"/>
          <w:color w:val="000000"/>
          <w:sz w:val="22"/>
          <w:szCs w:val="22"/>
        </w:rPr>
        <w:t xml:space="preserve">which includes </w:t>
      </w:r>
      <w:r w:rsidRPr="00F63B9F">
        <w:rPr>
          <w:rFonts w:ascii="Arial" w:hAnsi="Arial" w:cs="Arial"/>
          <w:color w:val="000000"/>
          <w:sz w:val="22"/>
          <w:szCs w:val="22"/>
        </w:rPr>
        <w:t>Darwin City, Darwin Suburbs, Palmerston and Litchfield) and NT – Outback</w:t>
      </w:r>
      <w:r w:rsidR="000F7394" w:rsidRPr="00F63B9F">
        <w:rPr>
          <w:rFonts w:ascii="Arial" w:hAnsi="Arial" w:cs="Arial"/>
          <w:color w:val="000000"/>
          <w:sz w:val="22"/>
          <w:szCs w:val="22"/>
        </w:rPr>
        <w:t xml:space="preserve"> (remainder of the NT).</w:t>
      </w:r>
    </w:p>
    <w:p w:rsidR="00791FD5" w:rsidRPr="00F63B9F" w:rsidRDefault="003A7497" w:rsidP="00F63B9F">
      <w:pPr>
        <w:spacing w:after="160" w:line="240" w:lineRule="atLeast"/>
        <w:rPr>
          <w:rFonts w:ascii="Arial" w:hAnsi="Arial" w:cs="Arial"/>
          <w:color w:val="000000"/>
          <w:sz w:val="22"/>
          <w:szCs w:val="22"/>
        </w:rPr>
      </w:pPr>
      <w:r w:rsidRPr="00F63B9F">
        <w:rPr>
          <w:rFonts w:ascii="Arial" w:hAnsi="Arial" w:cs="Arial"/>
          <w:color w:val="000000"/>
          <w:sz w:val="22"/>
          <w:szCs w:val="22"/>
        </w:rPr>
        <w:t xml:space="preserve">Population </w:t>
      </w:r>
      <w:r w:rsidR="00E973CA" w:rsidRPr="00F63B9F">
        <w:rPr>
          <w:rFonts w:ascii="Arial" w:hAnsi="Arial" w:cs="Arial"/>
          <w:color w:val="000000"/>
          <w:sz w:val="22"/>
          <w:szCs w:val="22"/>
        </w:rPr>
        <w:t>projections are formulated using the cohort-component method and values reflect the consequence</w:t>
      </w:r>
      <w:r w:rsidR="009C24A0" w:rsidRPr="00F63B9F">
        <w:rPr>
          <w:rFonts w:ascii="Arial" w:hAnsi="Arial" w:cs="Arial"/>
          <w:color w:val="000000"/>
          <w:sz w:val="22"/>
          <w:szCs w:val="22"/>
        </w:rPr>
        <w:t>s</w:t>
      </w:r>
      <w:r w:rsidR="00E973CA" w:rsidRPr="00F63B9F">
        <w:rPr>
          <w:rFonts w:ascii="Arial" w:hAnsi="Arial" w:cs="Arial"/>
          <w:color w:val="000000"/>
          <w:sz w:val="22"/>
          <w:szCs w:val="22"/>
        </w:rPr>
        <w:t xml:space="preserve"> of applying certain assumptions about the future direction and levels of fertility, mortality and migration. </w:t>
      </w:r>
      <w:r w:rsidR="008419D9" w:rsidRPr="00F63B9F">
        <w:rPr>
          <w:rFonts w:ascii="Arial" w:hAnsi="Arial" w:cs="Arial"/>
          <w:color w:val="000000"/>
          <w:sz w:val="22"/>
          <w:szCs w:val="22"/>
        </w:rPr>
        <w:t xml:space="preserve">Therefore, projections </w:t>
      </w:r>
      <w:r w:rsidR="00E973CA" w:rsidRPr="00F63B9F">
        <w:rPr>
          <w:rFonts w:ascii="Arial" w:hAnsi="Arial" w:cs="Arial"/>
          <w:color w:val="000000"/>
          <w:sz w:val="22"/>
          <w:szCs w:val="22"/>
        </w:rPr>
        <w:t>should not be interpreted as accurate forecasts or predictions</w:t>
      </w:r>
      <w:r w:rsidR="008419D9" w:rsidRPr="00F63B9F">
        <w:rPr>
          <w:rFonts w:ascii="Arial" w:hAnsi="Arial" w:cs="Arial"/>
          <w:color w:val="000000"/>
          <w:sz w:val="22"/>
          <w:szCs w:val="22"/>
        </w:rPr>
        <w:t xml:space="preserve"> but rather an indication of population change over time</w:t>
      </w:r>
      <w:r w:rsidR="00653FD4" w:rsidRPr="00F63B9F">
        <w:rPr>
          <w:rFonts w:ascii="Arial" w:hAnsi="Arial" w:cs="Arial"/>
          <w:color w:val="000000"/>
          <w:sz w:val="22"/>
          <w:szCs w:val="22"/>
        </w:rPr>
        <w:t>,</w:t>
      </w:r>
      <w:r w:rsidR="008419D9" w:rsidRPr="00F63B9F">
        <w:rPr>
          <w:rFonts w:ascii="Arial" w:hAnsi="Arial" w:cs="Arial"/>
          <w:color w:val="000000"/>
          <w:sz w:val="22"/>
          <w:szCs w:val="22"/>
        </w:rPr>
        <w:t xml:space="preserve"> given a set of assumptions</w:t>
      </w:r>
      <w:r w:rsidR="00E973CA" w:rsidRPr="00F63B9F">
        <w:rPr>
          <w:rFonts w:ascii="Arial" w:hAnsi="Arial" w:cs="Arial"/>
          <w:color w:val="000000"/>
          <w:sz w:val="22"/>
          <w:szCs w:val="22"/>
        </w:rPr>
        <w:t>.  All population projections should be used with caution</w:t>
      </w:r>
      <w:r w:rsidR="0058446C" w:rsidRPr="00F63B9F">
        <w:rPr>
          <w:rFonts w:ascii="Arial" w:hAnsi="Arial" w:cs="Arial"/>
          <w:color w:val="000000"/>
          <w:sz w:val="22"/>
          <w:szCs w:val="22"/>
        </w:rPr>
        <w:t>, i</w:t>
      </w:r>
      <w:r w:rsidR="00E973CA" w:rsidRPr="00F63B9F">
        <w:rPr>
          <w:rFonts w:ascii="Arial" w:hAnsi="Arial" w:cs="Arial"/>
          <w:color w:val="000000"/>
          <w:sz w:val="22"/>
          <w:szCs w:val="22"/>
        </w:rPr>
        <w:t xml:space="preserve">n particular, the </w:t>
      </w:r>
      <w:r w:rsidR="00791FD5" w:rsidRPr="00F63B9F">
        <w:rPr>
          <w:rFonts w:ascii="Arial" w:hAnsi="Arial" w:cs="Arial"/>
          <w:color w:val="000000"/>
          <w:sz w:val="22"/>
          <w:szCs w:val="22"/>
        </w:rPr>
        <w:t>sub-NT level projections where base input data is less accurate and the migration flows are more complex requiring intra-region, interstate and international migration to be taken into account.</w:t>
      </w:r>
    </w:p>
    <w:p w:rsidR="00E973CA" w:rsidRPr="00F63B9F" w:rsidRDefault="00791FD5" w:rsidP="00F63B9F">
      <w:pPr>
        <w:spacing w:after="160" w:line="240" w:lineRule="atLeast"/>
        <w:rPr>
          <w:rFonts w:ascii="Arial" w:hAnsi="Arial" w:cs="Arial"/>
          <w:color w:val="000000"/>
          <w:sz w:val="22"/>
          <w:szCs w:val="22"/>
        </w:rPr>
      </w:pPr>
      <w:r w:rsidRPr="00F63B9F">
        <w:rPr>
          <w:rFonts w:ascii="Arial" w:hAnsi="Arial" w:cs="Arial"/>
          <w:color w:val="000000"/>
          <w:sz w:val="22"/>
          <w:szCs w:val="22"/>
        </w:rPr>
        <w:t xml:space="preserve">ABS expects to release final ERPs based on the 2011 Census in August 2013. Following release of these results, </w:t>
      </w:r>
      <w:r w:rsidR="00016832" w:rsidRPr="00F63B9F">
        <w:rPr>
          <w:rFonts w:ascii="Arial" w:hAnsi="Arial" w:cs="Arial"/>
          <w:color w:val="000000"/>
          <w:sz w:val="22"/>
          <w:szCs w:val="22"/>
        </w:rPr>
        <w:t>the main 2011-2041 Census based projections will be produced</w:t>
      </w:r>
      <w:r w:rsidR="005D1779" w:rsidRPr="00F63B9F">
        <w:rPr>
          <w:rFonts w:ascii="Arial" w:hAnsi="Arial" w:cs="Arial"/>
          <w:color w:val="000000"/>
          <w:sz w:val="22"/>
          <w:szCs w:val="22"/>
        </w:rPr>
        <w:t xml:space="preserve">. The main 2011 Census based release </w:t>
      </w:r>
      <w:r w:rsidR="00016832" w:rsidRPr="00F63B9F">
        <w:rPr>
          <w:rFonts w:ascii="Arial" w:hAnsi="Arial" w:cs="Arial"/>
          <w:color w:val="000000"/>
          <w:sz w:val="22"/>
          <w:szCs w:val="22"/>
        </w:rPr>
        <w:t xml:space="preserve">will reconsider all parameter inputs. </w:t>
      </w:r>
    </w:p>
    <w:p w:rsidR="00E973CA" w:rsidRPr="00B92B2E" w:rsidRDefault="00D61E86" w:rsidP="00F63B9F">
      <w:pPr>
        <w:spacing w:after="240"/>
        <w:rPr>
          <w:rFonts w:ascii="Arial" w:hAnsi="Arial" w:cs="Arial"/>
          <w:b/>
          <w:sz w:val="44"/>
          <w:szCs w:val="44"/>
        </w:rPr>
      </w:pPr>
      <w:bookmarkStart w:id="1" w:name="_Toc303162895"/>
      <w:r>
        <w:rPr>
          <w:rFonts w:ascii="Arial" w:hAnsi="Arial" w:cs="Arial"/>
          <w:b/>
          <w:sz w:val="40"/>
          <w:szCs w:val="40"/>
        </w:rPr>
        <w:br w:type="page"/>
      </w:r>
      <w:bookmarkStart w:id="2" w:name="_GoBack"/>
      <w:bookmarkEnd w:id="2"/>
      <w:r w:rsidR="00E973CA" w:rsidRPr="00B92B2E">
        <w:rPr>
          <w:rFonts w:ascii="Arial" w:hAnsi="Arial" w:cs="Arial"/>
          <w:b/>
          <w:sz w:val="44"/>
          <w:szCs w:val="44"/>
        </w:rPr>
        <w:t>Output</w:t>
      </w:r>
      <w:r w:rsidR="00016832" w:rsidRPr="00B92B2E">
        <w:rPr>
          <w:rFonts w:ascii="Arial" w:hAnsi="Arial" w:cs="Arial"/>
          <w:b/>
          <w:sz w:val="44"/>
          <w:szCs w:val="44"/>
        </w:rPr>
        <w:t>s</w:t>
      </w:r>
      <w:r w:rsidR="00E973CA" w:rsidRPr="00B92B2E">
        <w:rPr>
          <w:rFonts w:ascii="Arial" w:hAnsi="Arial" w:cs="Arial"/>
          <w:b/>
          <w:sz w:val="44"/>
          <w:szCs w:val="44"/>
        </w:rPr>
        <w:t xml:space="preserve"> on the Website</w:t>
      </w:r>
      <w:bookmarkEnd w:id="1"/>
    </w:p>
    <w:p w:rsidR="00E973CA" w:rsidRPr="00F63B9F" w:rsidRDefault="00E973CA" w:rsidP="00F63B9F">
      <w:pPr>
        <w:spacing w:after="160" w:line="240" w:lineRule="atLeast"/>
        <w:rPr>
          <w:rFonts w:ascii="Arial" w:hAnsi="Arial" w:cs="Arial"/>
          <w:color w:val="000000"/>
          <w:sz w:val="22"/>
          <w:szCs w:val="22"/>
        </w:rPr>
      </w:pPr>
      <w:r w:rsidRPr="00F63B9F">
        <w:rPr>
          <w:rFonts w:ascii="Arial" w:hAnsi="Arial" w:cs="Arial"/>
          <w:color w:val="000000"/>
          <w:sz w:val="22"/>
          <w:szCs w:val="22"/>
        </w:rPr>
        <w:t xml:space="preserve">The detailed projection results are available through the </w:t>
      </w:r>
      <w:r w:rsidR="000F7394" w:rsidRPr="00F63B9F">
        <w:rPr>
          <w:rFonts w:ascii="Arial" w:hAnsi="Arial" w:cs="Arial"/>
          <w:color w:val="000000"/>
          <w:sz w:val="22"/>
          <w:szCs w:val="22"/>
        </w:rPr>
        <w:t xml:space="preserve">DTF </w:t>
      </w:r>
      <w:r w:rsidRPr="00F63B9F">
        <w:rPr>
          <w:rFonts w:ascii="Arial" w:hAnsi="Arial" w:cs="Arial"/>
          <w:color w:val="000000"/>
          <w:sz w:val="22"/>
          <w:szCs w:val="22"/>
        </w:rPr>
        <w:t>website,</w:t>
      </w:r>
      <w:r w:rsidR="003A7497" w:rsidRPr="00F63B9F">
        <w:rPr>
          <w:rFonts w:ascii="Arial" w:hAnsi="Arial" w:cs="Arial"/>
          <w:color w:val="000000"/>
          <w:sz w:val="22"/>
          <w:szCs w:val="22"/>
        </w:rPr>
        <w:t xml:space="preserve"> </w:t>
      </w:r>
      <w:hyperlink r:id="rId13" w:history="1">
        <w:r w:rsidR="00244C1C">
          <w:rPr>
            <w:rStyle w:val="Hyperlink"/>
            <w:rFonts w:ascii="Arial" w:hAnsi="Arial" w:cs="Arial"/>
            <w:sz w:val="22"/>
            <w:szCs w:val="22"/>
          </w:rPr>
          <w:t>https://treasury.nt.gov.au/dtf/economic-group/population-projections</w:t>
        </w:r>
      </w:hyperlink>
      <w:r w:rsidR="003A7497" w:rsidRPr="00F63B9F">
        <w:rPr>
          <w:rFonts w:ascii="Arial" w:hAnsi="Arial" w:cs="Arial"/>
          <w:color w:val="000000"/>
          <w:sz w:val="22"/>
          <w:szCs w:val="22"/>
        </w:rPr>
        <w:t>.</w:t>
      </w:r>
      <w:r w:rsidRPr="00F63B9F">
        <w:rPr>
          <w:rFonts w:ascii="Arial" w:hAnsi="Arial" w:cs="Arial"/>
          <w:color w:val="000000"/>
          <w:sz w:val="22"/>
          <w:szCs w:val="22"/>
        </w:rPr>
        <w:t xml:space="preserve"> A mathematical description of the projection model NTPOP is also provided on the website (Wilson, T, Mathematical details of the NTPOP projection model, School for Social and Policy Research, </w:t>
      </w:r>
      <w:smartTag w:uri="urn:schemas-microsoft-com:office:smarttags" w:element="PlaceName">
        <w:r w:rsidRPr="00F63B9F">
          <w:rPr>
            <w:rFonts w:ascii="Arial" w:hAnsi="Arial" w:cs="Arial"/>
            <w:color w:val="000000"/>
            <w:sz w:val="22"/>
            <w:szCs w:val="22"/>
          </w:rPr>
          <w:t>Charles</w:t>
        </w:r>
      </w:smartTag>
      <w:r w:rsidRPr="00F63B9F">
        <w:rPr>
          <w:rFonts w:ascii="Arial" w:hAnsi="Arial" w:cs="Arial"/>
          <w:color w:val="000000"/>
          <w:sz w:val="22"/>
          <w:szCs w:val="22"/>
        </w:rPr>
        <w:t xml:space="preserve"> </w:t>
      </w:r>
      <w:smartTag w:uri="urn:schemas-microsoft-com:office:smarttags" w:element="PlaceName">
        <w:r w:rsidRPr="00F63B9F">
          <w:rPr>
            <w:rFonts w:ascii="Arial" w:hAnsi="Arial" w:cs="Arial"/>
            <w:color w:val="000000"/>
            <w:sz w:val="22"/>
            <w:szCs w:val="22"/>
          </w:rPr>
          <w:t>Darwin</w:t>
        </w:r>
      </w:smartTag>
      <w:r w:rsidRPr="00F63B9F">
        <w:rPr>
          <w:rFonts w:ascii="Arial" w:hAnsi="Arial" w:cs="Arial"/>
          <w:color w:val="000000"/>
          <w:sz w:val="22"/>
          <w:szCs w:val="22"/>
        </w:rPr>
        <w:t xml:space="preserve"> </w:t>
      </w:r>
      <w:smartTag w:uri="urn:schemas-microsoft-com:office:smarttags" w:element="PlaceType">
        <w:r w:rsidRPr="00F63B9F">
          <w:rPr>
            <w:rFonts w:ascii="Arial" w:hAnsi="Arial" w:cs="Arial"/>
            <w:color w:val="000000"/>
            <w:sz w:val="22"/>
            <w:szCs w:val="22"/>
          </w:rPr>
          <w:t>University</w:t>
        </w:r>
      </w:smartTag>
      <w:r w:rsidRPr="00F63B9F">
        <w:rPr>
          <w:rFonts w:ascii="Arial" w:hAnsi="Arial" w:cs="Arial"/>
          <w:color w:val="000000"/>
          <w:sz w:val="22"/>
          <w:szCs w:val="22"/>
        </w:rPr>
        <w:t xml:space="preserve">, </w:t>
      </w:r>
      <w:smartTag w:uri="urn:schemas-microsoft-com:office:smarttags" w:element="City">
        <w:smartTag w:uri="urn:schemas-microsoft-com:office:smarttags" w:element="place">
          <w:r w:rsidRPr="00F63B9F">
            <w:rPr>
              <w:rFonts w:ascii="Arial" w:hAnsi="Arial" w:cs="Arial"/>
              <w:color w:val="000000"/>
              <w:sz w:val="22"/>
              <w:szCs w:val="22"/>
            </w:rPr>
            <w:t>Darwin</w:t>
          </w:r>
        </w:smartTag>
      </w:smartTag>
      <w:r w:rsidRPr="00F63B9F">
        <w:rPr>
          <w:rFonts w:ascii="Arial" w:hAnsi="Arial" w:cs="Arial"/>
          <w:color w:val="000000"/>
          <w:sz w:val="22"/>
          <w:szCs w:val="22"/>
        </w:rPr>
        <w:t>).</w:t>
      </w:r>
    </w:p>
    <w:p w:rsidR="008419D9" w:rsidRPr="00F63B9F" w:rsidRDefault="00E973CA" w:rsidP="00F63B9F">
      <w:pPr>
        <w:spacing w:after="160" w:line="240" w:lineRule="atLeast"/>
        <w:rPr>
          <w:rFonts w:ascii="Arial" w:hAnsi="Arial" w:cs="Arial"/>
          <w:color w:val="000000"/>
          <w:sz w:val="22"/>
          <w:szCs w:val="22"/>
        </w:rPr>
      </w:pPr>
      <w:r w:rsidRPr="00F63B9F">
        <w:rPr>
          <w:rFonts w:ascii="Arial" w:hAnsi="Arial" w:cs="Arial"/>
          <w:color w:val="000000"/>
          <w:sz w:val="22"/>
          <w:szCs w:val="22"/>
        </w:rPr>
        <w:t>There are three standard output Excel files for each scenario</w:t>
      </w:r>
      <w:r w:rsidR="008419D9" w:rsidRPr="00F63B9F">
        <w:rPr>
          <w:rFonts w:ascii="Arial" w:hAnsi="Arial" w:cs="Arial"/>
          <w:color w:val="000000"/>
          <w:sz w:val="22"/>
          <w:szCs w:val="22"/>
        </w:rPr>
        <w:t xml:space="preserve"> including:</w:t>
      </w:r>
    </w:p>
    <w:p w:rsidR="00F63B9F" w:rsidRDefault="00D8737F" w:rsidP="00F63B9F">
      <w:pPr>
        <w:numPr>
          <w:ilvl w:val="0"/>
          <w:numId w:val="29"/>
        </w:numPr>
        <w:spacing w:after="160" w:line="240" w:lineRule="atLeast"/>
        <w:rPr>
          <w:rFonts w:ascii="Arial" w:hAnsi="Arial" w:cs="Arial"/>
          <w:color w:val="000000"/>
          <w:sz w:val="22"/>
          <w:szCs w:val="22"/>
        </w:rPr>
      </w:pPr>
      <w:r w:rsidRPr="00F63B9F">
        <w:rPr>
          <w:rFonts w:ascii="Arial" w:hAnsi="Arial" w:cs="Arial"/>
          <w:color w:val="000000"/>
          <w:sz w:val="22"/>
          <w:szCs w:val="22"/>
        </w:rPr>
        <w:t xml:space="preserve">NTPOP summary, </w:t>
      </w:r>
      <w:r w:rsidR="0058446C" w:rsidRPr="00F63B9F">
        <w:rPr>
          <w:rFonts w:ascii="Arial" w:hAnsi="Arial" w:cs="Arial"/>
          <w:color w:val="000000"/>
          <w:sz w:val="22"/>
          <w:szCs w:val="22"/>
        </w:rPr>
        <w:t>2011-2041</w:t>
      </w:r>
    </w:p>
    <w:p w:rsidR="00F63B9F" w:rsidRDefault="008419D9" w:rsidP="00F63B9F">
      <w:pPr>
        <w:numPr>
          <w:ilvl w:val="0"/>
          <w:numId w:val="29"/>
        </w:numPr>
        <w:spacing w:after="160" w:line="240" w:lineRule="atLeast"/>
        <w:rPr>
          <w:rFonts w:ascii="Arial" w:hAnsi="Arial" w:cs="Arial"/>
          <w:color w:val="000000"/>
          <w:sz w:val="22"/>
          <w:szCs w:val="22"/>
        </w:rPr>
      </w:pPr>
      <w:r w:rsidRPr="00F63B9F">
        <w:rPr>
          <w:rFonts w:ascii="Arial" w:hAnsi="Arial" w:cs="Arial"/>
          <w:color w:val="000000"/>
          <w:sz w:val="22"/>
          <w:szCs w:val="22"/>
        </w:rPr>
        <w:t>NTPOP single-year age</w:t>
      </w:r>
      <w:r w:rsidR="00973412" w:rsidRPr="00F63B9F">
        <w:rPr>
          <w:rFonts w:ascii="Arial" w:hAnsi="Arial" w:cs="Arial"/>
          <w:color w:val="000000"/>
          <w:sz w:val="22"/>
          <w:szCs w:val="22"/>
        </w:rPr>
        <w:t>,</w:t>
      </w:r>
      <w:r w:rsidRPr="00F63B9F">
        <w:rPr>
          <w:rFonts w:ascii="Arial" w:hAnsi="Arial" w:cs="Arial"/>
          <w:color w:val="000000"/>
          <w:sz w:val="22"/>
          <w:szCs w:val="22"/>
        </w:rPr>
        <w:t xml:space="preserve"> </w:t>
      </w:r>
      <w:r w:rsidR="0058446C" w:rsidRPr="00F63B9F">
        <w:rPr>
          <w:rFonts w:ascii="Arial" w:hAnsi="Arial" w:cs="Arial"/>
          <w:color w:val="000000"/>
          <w:sz w:val="22"/>
          <w:szCs w:val="22"/>
        </w:rPr>
        <w:t>2011-2041</w:t>
      </w:r>
    </w:p>
    <w:p w:rsidR="00927CEB" w:rsidRPr="00F63B9F" w:rsidRDefault="008419D9" w:rsidP="00F63B9F">
      <w:pPr>
        <w:numPr>
          <w:ilvl w:val="0"/>
          <w:numId w:val="29"/>
        </w:numPr>
        <w:spacing w:after="160" w:line="240" w:lineRule="atLeast"/>
        <w:rPr>
          <w:rFonts w:ascii="Arial" w:hAnsi="Arial" w:cs="Arial"/>
          <w:color w:val="000000"/>
          <w:sz w:val="22"/>
          <w:szCs w:val="22"/>
        </w:rPr>
      </w:pPr>
      <w:r w:rsidRPr="00F63B9F">
        <w:rPr>
          <w:rFonts w:ascii="Arial" w:hAnsi="Arial" w:cs="Arial"/>
          <w:color w:val="000000"/>
          <w:sz w:val="22"/>
          <w:szCs w:val="22"/>
        </w:rPr>
        <w:t>NTPOP 5</w:t>
      </w:r>
      <w:r w:rsidR="00CE0236" w:rsidRPr="00F63B9F">
        <w:rPr>
          <w:rFonts w:ascii="Arial" w:hAnsi="Arial" w:cs="Arial"/>
          <w:color w:val="000000"/>
          <w:sz w:val="22"/>
          <w:szCs w:val="22"/>
        </w:rPr>
        <w:t>-</w:t>
      </w:r>
      <w:r w:rsidRPr="00F63B9F">
        <w:rPr>
          <w:rFonts w:ascii="Arial" w:hAnsi="Arial" w:cs="Arial"/>
          <w:color w:val="000000"/>
          <w:sz w:val="22"/>
          <w:szCs w:val="22"/>
        </w:rPr>
        <w:t>year age</w:t>
      </w:r>
      <w:r w:rsidR="00973412" w:rsidRPr="00F63B9F">
        <w:rPr>
          <w:rFonts w:ascii="Arial" w:hAnsi="Arial" w:cs="Arial"/>
          <w:color w:val="000000"/>
          <w:sz w:val="22"/>
          <w:szCs w:val="22"/>
        </w:rPr>
        <w:t>,</w:t>
      </w:r>
      <w:r w:rsidRPr="00F63B9F">
        <w:rPr>
          <w:rFonts w:ascii="Arial" w:hAnsi="Arial" w:cs="Arial"/>
          <w:color w:val="000000"/>
          <w:sz w:val="22"/>
          <w:szCs w:val="22"/>
        </w:rPr>
        <w:t xml:space="preserve"> </w:t>
      </w:r>
      <w:r w:rsidR="0058446C" w:rsidRPr="00F63B9F">
        <w:rPr>
          <w:rFonts w:ascii="Arial" w:hAnsi="Arial" w:cs="Arial"/>
          <w:color w:val="000000"/>
          <w:sz w:val="22"/>
          <w:szCs w:val="22"/>
        </w:rPr>
        <w:t>2011-2041</w:t>
      </w:r>
    </w:p>
    <w:p w:rsidR="00927CEB" w:rsidRPr="00F63B9F" w:rsidRDefault="00927CEB" w:rsidP="00F63B9F">
      <w:pPr>
        <w:spacing w:before="240" w:after="160" w:line="240" w:lineRule="atLeast"/>
        <w:rPr>
          <w:rFonts w:ascii="Arial" w:hAnsi="Arial" w:cs="Arial"/>
          <w:b/>
          <w:color w:val="000000"/>
          <w:sz w:val="28"/>
          <w:szCs w:val="28"/>
        </w:rPr>
      </w:pPr>
      <w:r w:rsidRPr="00F63B9F">
        <w:rPr>
          <w:rFonts w:ascii="Arial" w:hAnsi="Arial" w:cs="Arial"/>
          <w:b/>
          <w:color w:val="000000"/>
          <w:sz w:val="28"/>
          <w:szCs w:val="28"/>
        </w:rPr>
        <w:t>Content of the Output Files</w:t>
      </w:r>
    </w:p>
    <w:p w:rsidR="00E973CA" w:rsidRPr="00F63B9F" w:rsidRDefault="00E973CA" w:rsidP="00F63B9F">
      <w:pPr>
        <w:spacing w:after="160" w:line="240" w:lineRule="atLeast"/>
        <w:rPr>
          <w:rFonts w:ascii="Arial" w:hAnsi="Arial" w:cs="Arial"/>
          <w:color w:val="000000"/>
          <w:sz w:val="22"/>
          <w:szCs w:val="22"/>
        </w:rPr>
      </w:pPr>
      <w:r w:rsidRPr="00F63B9F">
        <w:rPr>
          <w:rFonts w:ascii="Arial" w:hAnsi="Arial" w:cs="Arial"/>
          <w:color w:val="000000"/>
          <w:sz w:val="22"/>
          <w:szCs w:val="22"/>
        </w:rPr>
        <w:t>The summary spreadsheet contains:</w:t>
      </w:r>
    </w:p>
    <w:p w:rsidR="00E973CA" w:rsidRPr="00F63B9F" w:rsidRDefault="00E16FBB" w:rsidP="00F63B9F">
      <w:pPr>
        <w:spacing w:after="160" w:line="240" w:lineRule="atLeast"/>
        <w:rPr>
          <w:rFonts w:ascii="Arial" w:hAnsi="Arial" w:cs="Arial"/>
          <w:color w:val="000000"/>
          <w:sz w:val="22"/>
          <w:szCs w:val="22"/>
        </w:rPr>
      </w:pPr>
      <w:r>
        <w:rPr>
          <w:rFonts w:ascii="Arial" w:hAnsi="Arial" w:cs="Arial"/>
          <w:color w:val="000000"/>
          <w:sz w:val="22"/>
          <w:szCs w:val="22"/>
        </w:rPr>
        <w:t>P</w:t>
      </w:r>
      <w:r w:rsidR="00E973CA" w:rsidRPr="00F63B9F">
        <w:rPr>
          <w:rFonts w:ascii="Arial" w:hAnsi="Arial" w:cs="Arial"/>
          <w:color w:val="000000"/>
          <w:sz w:val="22"/>
          <w:szCs w:val="22"/>
        </w:rPr>
        <w:t>rojection totals (no age or sex breakdowns) for each population</w:t>
      </w:r>
      <w:r w:rsidR="00927CEB" w:rsidRPr="00F63B9F">
        <w:rPr>
          <w:rFonts w:ascii="Arial" w:hAnsi="Arial" w:cs="Arial"/>
          <w:color w:val="000000"/>
          <w:sz w:val="22"/>
          <w:szCs w:val="22"/>
        </w:rPr>
        <w:t xml:space="preserve"> </w:t>
      </w:r>
      <w:r w:rsidR="00F80365">
        <w:rPr>
          <w:rFonts w:ascii="Arial" w:hAnsi="Arial" w:cs="Arial"/>
          <w:color w:val="000000"/>
          <w:sz w:val="22"/>
          <w:szCs w:val="22"/>
        </w:rPr>
        <w:t>sub-</w:t>
      </w:r>
      <w:r w:rsidR="00E973CA" w:rsidRPr="00F63B9F">
        <w:rPr>
          <w:rFonts w:ascii="Arial" w:hAnsi="Arial" w:cs="Arial"/>
          <w:color w:val="000000"/>
          <w:sz w:val="22"/>
          <w:szCs w:val="22"/>
        </w:rPr>
        <w:t>group (</w:t>
      </w:r>
      <w:r w:rsidR="00653FD4" w:rsidRPr="00F63B9F">
        <w:rPr>
          <w:rFonts w:ascii="Arial" w:hAnsi="Arial" w:cs="Arial"/>
          <w:color w:val="000000"/>
          <w:sz w:val="22"/>
          <w:szCs w:val="22"/>
        </w:rPr>
        <w:t>Table 1</w:t>
      </w:r>
      <w:r w:rsidR="00E973CA" w:rsidRPr="00F63B9F">
        <w:rPr>
          <w:rFonts w:ascii="Arial" w:hAnsi="Arial" w:cs="Arial"/>
          <w:color w:val="000000"/>
          <w:sz w:val="22"/>
          <w:szCs w:val="22"/>
        </w:rPr>
        <w:t>) for each year of the projection period</w:t>
      </w:r>
      <w:r w:rsidR="00927CEB" w:rsidRPr="00F63B9F">
        <w:rPr>
          <w:rFonts w:ascii="Arial" w:hAnsi="Arial" w:cs="Arial"/>
          <w:color w:val="000000"/>
          <w:sz w:val="22"/>
          <w:szCs w:val="22"/>
        </w:rPr>
        <w:t xml:space="preserve"> </w:t>
      </w:r>
      <w:r w:rsidR="00E973CA" w:rsidRPr="00F63B9F">
        <w:rPr>
          <w:rFonts w:ascii="Arial" w:hAnsi="Arial" w:cs="Arial"/>
          <w:color w:val="000000"/>
          <w:sz w:val="22"/>
          <w:szCs w:val="22"/>
        </w:rPr>
        <w:t xml:space="preserve">to </w:t>
      </w:r>
      <w:r w:rsidR="004B5C18" w:rsidRPr="00F63B9F">
        <w:rPr>
          <w:rFonts w:ascii="Arial" w:hAnsi="Arial" w:cs="Arial"/>
          <w:color w:val="000000"/>
          <w:sz w:val="22"/>
          <w:szCs w:val="22"/>
        </w:rPr>
        <w:t>2041</w:t>
      </w:r>
      <w:r w:rsidR="00E973CA" w:rsidRPr="00F63B9F">
        <w:rPr>
          <w:rFonts w:ascii="Arial" w:hAnsi="Arial" w:cs="Arial"/>
          <w:color w:val="000000"/>
          <w:sz w:val="22"/>
          <w:szCs w:val="22"/>
        </w:rPr>
        <w:t>;</w:t>
      </w:r>
    </w:p>
    <w:p w:rsidR="00E973CA" w:rsidRPr="00F63B9F" w:rsidRDefault="00E973CA" w:rsidP="00F63B9F">
      <w:pPr>
        <w:numPr>
          <w:ilvl w:val="0"/>
          <w:numId w:val="29"/>
        </w:numPr>
        <w:spacing w:after="160" w:line="240" w:lineRule="atLeast"/>
        <w:rPr>
          <w:rFonts w:ascii="Arial" w:hAnsi="Arial" w:cs="Arial"/>
          <w:color w:val="000000"/>
          <w:sz w:val="22"/>
          <w:szCs w:val="22"/>
        </w:rPr>
      </w:pPr>
      <w:r w:rsidRPr="00F63B9F">
        <w:rPr>
          <w:rFonts w:ascii="Arial" w:hAnsi="Arial" w:cs="Arial"/>
          <w:color w:val="000000"/>
          <w:sz w:val="22"/>
          <w:szCs w:val="22"/>
        </w:rPr>
        <w:t>projection totals (no age or sex breakdown) for each population sub-group</w:t>
      </w:r>
      <w:r w:rsidR="00653FD4" w:rsidRPr="00F63B9F">
        <w:rPr>
          <w:rFonts w:ascii="Arial" w:hAnsi="Arial" w:cs="Arial"/>
          <w:color w:val="000000"/>
          <w:sz w:val="22"/>
          <w:szCs w:val="22"/>
        </w:rPr>
        <w:t>,</w:t>
      </w:r>
      <w:r w:rsidR="00927CEB" w:rsidRPr="00F63B9F">
        <w:rPr>
          <w:rFonts w:ascii="Arial" w:hAnsi="Arial" w:cs="Arial"/>
          <w:color w:val="000000"/>
          <w:sz w:val="22"/>
          <w:szCs w:val="22"/>
        </w:rPr>
        <w:t xml:space="preserve"> </w:t>
      </w:r>
      <w:r w:rsidRPr="00F63B9F">
        <w:rPr>
          <w:rFonts w:ascii="Arial" w:hAnsi="Arial" w:cs="Arial"/>
          <w:color w:val="000000"/>
          <w:sz w:val="22"/>
          <w:szCs w:val="22"/>
        </w:rPr>
        <w:t>every five years (</w:t>
      </w:r>
      <w:r w:rsidR="004B5C18" w:rsidRPr="00F63B9F">
        <w:rPr>
          <w:rFonts w:ascii="Arial" w:hAnsi="Arial" w:cs="Arial"/>
          <w:color w:val="000000"/>
          <w:sz w:val="22"/>
          <w:szCs w:val="22"/>
        </w:rPr>
        <w:t>2011</w:t>
      </w:r>
      <w:r w:rsidRPr="00F63B9F">
        <w:rPr>
          <w:rFonts w:ascii="Arial" w:hAnsi="Arial" w:cs="Arial"/>
          <w:color w:val="000000"/>
          <w:sz w:val="22"/>
          <w:szCs w:val="22"/>
        </w:rPr>
        <w:t xml:space="preserve">, </w:t>
      </w:r>
      <w:r w:rsidR="004B5C18" w:rsidRPr="00F63B9F">
        <w:rPr>
          <w:rFonts w:ascii="Arial" w:hAnsi="Arial" w:cs="Arial"/>
          <w:color w:val="000000"/>
          <w:sz w:val="22"/>
          <w:szCs w:val="22"/>
        </w:rPr>
        <w:t>2016</w:t>
      </w:r>
      <w:r w:rsidRPr="00F63B9F">
        <w:rPr>
          <w:rFonts w:ascii="Arial" w:hAnsi="Arial" w:cs="Arial"/>
          <w:color w:val="000000"/>
          <w:sz w:val="22"/>
          <w:szCs w:val="22"/>
        </w:rPr>
        <w:t xml:space="preserve">, </w:t>
      </w:r>
      <w:r w:rsidR="004B5C18" w:rsidRPr="00F63B9F">
        <w:rPr>
          <w:rFonts w:ascii="Arial" w:hAnsi="Arial" w:cs="Arial"/>
          <w:color w:val="000000"/>
          <w:sz w:val="22"/>
          <w:szCs w:val="22"/>
        </w:rPr>
        <w:t>2021</w:t>
      </w:r>
      <w:r w:rsidRPr="00F63B9F">
        <w:rPr>
          <w:rFonts w:ascii="Arial" w:hAnsi="Arial" w:cs="Arial"/>
          <w:color w:val="000000"/>
          <w:sz w:val="22"/>
          <w:szCs w:val="22"/>
        </w:rPr>
        <w:t xml:space="preserve">, </w:t>
      </w:r>
      <w:r w:rsidR="004B5C18" w:rsidRPr="00F63B9F">
        <w:rPr>
          <w:rFonts w:ascii="Arial" w:hAnsi="Arial" w:cs="Arial"/>
          <w:color w:val="000000"/>
          <w:sz w:val="22"/>
          <w:szCs w:val="22"/>
        </w:rPr>
        <w:t>2026</w:t>
      </w:r>
      <w:r w:rsidRPr="00F63B9F">
        <w:rPr>
          <w:rFonts w:ascii="Arial" w:hAnsi="Arial" w:cs="Arial"/>
          <w:color w:val="000000"/>
          <w:sz w:val="22"/>
          <w:szCs w:val="22"/>
        </w:rPr>
        <w:t xml:space="preserve">) for the </w:t>
      </w:r>
      <w:r w:rsidR="004B5C18" w:rsidRPr="00F63B9F">
        <w:rPr>
          <w:rFonts w:ascii="Arial" w:hAnsi="Arial" w:cs="Arial"/>
          <w:color w:val="000000"/>
          <w:sz w:val="22"/>
          <w:szCs w:val="22"/>
        </w:rPr>
        <w:t>two regions;</w:t>
      </w:r>
    </w:p>
    <w:p w:rsidR="00E973CA" w:rsidRPr="00F63B9F" w:rsidRDefault="00E973CA" w:rsidP="00F63B9F">
      <w:pPr>
        <w:numPr>
          <w:ilvl w:val="0"/>
          <w:numId w:val="29"/>
        </w:numPr>
        <w:spacing w:after="160" w:line="240" w:lineRule="atLeast"/>
        <w:rPr>
          <w:rFonts w:ascii="Arial" w:hAnsi="Arial" w:cs="Arial"/>
          <w:color w:val="000000"/>
          <w:sz w:val="22"/>
          <w:szCs w:val="22"/>
        </w:rPr>
      </w:pPr>
      <w:r w:rsidRPr="00F63B9F">
        <w:rPr>
          <w:rFonts w:ascii="Arial" w:hAnsi="Arial" w:cs="Arial"/>
          <w:color w:val="000000"/>
          <w:sz w:val="22"/>
          <w:szCs w:val="22"/>
        </w:rPr>
        <w:t>average annual growth rates;</w:t>
      </w:r>
    </w:p>
    <w:p w:rsidR="00E973CA" w:rsidRPr="00F63B9F" w:rsidRDefault="00E973CA" w:rsidP="00F63B9F">
      <w:pPr>
        <w:numPr>
          <w:ilvl w:val="0"/>
          <w:numId w:val="29"/>
        </w:numPr>
        <w:spacing w:after="160" w:line="240" w:lineRule="atLeast"/>
        <w:rPr>
          <w:rFonts w:ascii="Arial" w:hAnsi="Arial" w:cs="Arial"/>
          <w:color w:val="000000"/>
          <w:sz w:val="22"/>
          <w:szCs w:val="22"/>
        </w:rPr>
      </w:pPr>
      <w:r w:rsidRPr="00F63B9F">
        <w:rPr>
          <w:rFonts w:ascii="Arial" w:hAnsi="Arial" w:cs="Arial"/>
          <w:color w:val="000000"/>
          <w:sz w:val="22"/>
          <w:szCs w:val="22"/>
        </w:rPr>
        <w:t>summary population accounts (start population, growth components,</w:t>
      </w:r>
      <w:r w:rsidR="00927CEB" w:rsidRPr="00F63B9F">
        <w:rPr>
          <w:rFonts w:ascii="Arial" w:hAnsi="Arial" w:cs="Arial"/>
          <w:color w:val="000000"/>
          <w:sz w:val="22"/>
          <w:szCs w:val="22"/>
        </w:rPr>
        <w:t xml:space="preserve"> </w:t>
      </w:r>
      <w:r w:rsidRPr="00F63B9F">
        <w:rPr>
          <w:rFonts w:ascii="Arial" w:hAnsi="Arial" w:cs="Arial"/>
          <w:color w:val="000000"/>
          <w:sz w:val="22"/>
          <w:szCs w:val="22"/>
        </w:rPr>
        <w:t>end population);</w:t>
      </w:r>
    </w:p>
    <w:p w:rsidR="00E973CA" w:rsidRPr="00F63B9F" w:rsidRDefault="00E973CA" w:rsidP="00F63B9F">
      <w:pPr>
        <w:numPr>
          <w:ilvl w:val="0"/>
          <w:numId w:val="29"/>
        </w:numPr>
        <w:spacing w:after="160" w:line="240" w:lineRule="atLeast"/>
        <w:rPr>
          <w:rFonts w:ascii="Arial" w:hAnsi="Arial" w:cs="Arial"/>
          <w:color w:val="000000"/>
          <w:sz w:val="22"/>
          <w:szCs w:val="22"/>
        </w:rPr>
      </w:pPr>
      <w:r w:rsidRPr="00F63B9F">
        <w:rPr>
          <w:rFonts w:ascii="Arial" w:hAnsi="Arial" w:cs="Arial"/>
          <w:color w:val="000000"/>
          <w:sz w:val="22"/>
          <w:szCs w:val="22"/>
        </w:rPr>
        <w:t>growth indices;</w:t>
      </w:r>
    </w:p>
    <w:p w:rsidR="00E973CA" w:rsidRPr="00F63B9F" w:rsidRDefault="00E973CA" w:rsidP="00F63B9F">
      <w:pPr>
        <w:numPr>
          <w:ilvl w:val="0"/>
          <w:numId w:val="29"/>
        </w:numPr>
        <w:spacing w:after="160" w:line="240" w:lineRule="atLeast"/>
        <w:rPr>
          <w:rFonts w:ascii="Arial" w:hAnsi="Arial" w:cs="Arial"/>
          <w:color w:val="000000"/>
          <w:sz w:val="22"/>
          <w:szCs w:val="22"/>
        </w:rPr>
      </w:pPr>
      <w:r w:rsidRPr="00F63B9F">
        <w:rPr>
          <w:rFonts w:ascii="Arial" w:hAnsi="Arial" w:cs="Arial"/>
          <w:color w:val="000000"/>
          <w:sz w:val="22"/>
          <w:szCs w:val="22"/>
        </w:rPr>
        <w:t>sex ratios; and</w:t>
      </w:r>
    </w:p>
    <w:p w:rsidR="00E973CA" w:rsidRPr="00F63B9F" w:rsidRDefault="00E973CA" w:rsidP="00F63B9F">
      <w:pPr>
        <w:numPr>
          <w:ilvl w:val="0"/>
          <w:numId w:val="29"/>
        </w:numPr>
        <w:spacing w:after="160" w:line="240" w:lineRule="atLeast"/>
        <w:rPr>
          <w:rFonts w:ascii="Arial" w:hAnsi="Arial" w:cs="Arial"/>
          <w:color w:val="000000"/>
          <w:sz w:val="22"/>
          <w:szCs w:val="22"/>
        </w:rPr>
      </w:pPr>
      <w:r w:rsidRPr="00F63B9F">
        <w:rPr>
          <w:rFonts w:ascii="Arial" w:hAnsi="Arial" w:cs="Arial"/>
          <w:color w:val="000000"/>
          <w:sz w:val="22"/>
          <w:szCs w:val="22"/>
        </w:rPr>
        <w:t>median ages for the Territory</w:t>
      </w:r>
      <w:r w:rsidR="00CE0236" w:rsidRPr="00F63B9F">
        <w:rPr>
          <w:rFonts w:ascii="Arial" w:hAnsi="Arial" w:cs="Arial"/>
          <w:color w:val="000000"/>
          <w:sz w:val="22"/>
          <w:szCs w:val="22"/>
        </w:rPr>
        <w:t>-</w:t>
      </w:r>
      <w:r w:rsidRPr="00F63B9F">
        <w:rPr>
          <w:rFonts w:ascii="Arial" w:hAnsi="Arial" w:cs="Arial"/>
          <w:color w:val="000000"/>
          <w:sz w:val="22"/>
          <w:szCs w:val="22"/>
        </w:rPr>
        <w:t>wide projections.</w:t>
      </w:r>
    </w:p>
    <w:p w:rsidR="00E973CA" w:rsidRPr="00F63B9F" w:rsidRDefault="00E973CA" w:rsidP="00F63B9F">
      <w:pPr>
        <w:spacing w:after="160" w:line="240" w:lineRule="atLeast"/>
        <w:rPr>
          <w:rFonts w:ascii="Arial" w:hAnsi="Arial" w:cs="Arial"/>
          <w:color w:val="000000"/>
          <w:sz w:val="22"/>
          <w:szCs w:val="22"/>
        </w:rPr>
      </w:pPr>
      <w:r w:rsidRPr="00F63B9F">
        <w:rPr>
          <w:rFonts w:ascii="Arial" w:hAnsi="Arial" w:cs="Arial"/>
          <w:color w:val="000000"/>
          <w:sz w:val="22"/>
          <w:szCs w:val="22"/>
        </w:rPr>
        <w:t>The single</w:t>
      </w:r>
      <w:r w:rsidR="00812C5A" w:rsidRPr="00F63B9F">
        <w:rPr>
          <w:rFonts w:ascii="Arial" w:hAnsi="Arial" w:cs="Arial"/>
          <w:color w:val="000000"/>
          <w:sz w:val="22"/>
          <w:szCs w:val="22"/>
        </w:rPr>
        <w:t>-</w:t>
      </w:r>
      <w:r w:rsidRPr="00F63B9F">
        <w:rPr>
          <w:rFonts w:ascii="Arial" w:hAnsi="Arial" w:cs="Arial"/>
          <w:color w:val="000000"/>
          <w:sz w:val="22"/>
          <w:szCs w:val="22"/>
        </w:rPr>
        <w:t xml:space="preserve">year of age </w:t>
      </w:r>
      <w:r w:rsidR="003B2B34" w:rsidRPr="00F63B9F">
        <w:rPr>
          <w:rFonts w:ascii="Arial" w:hAnsi="Arial" w:cs="Arial"/>
          <w:color w:val="000000"/>
          <w:sz w:val="22"/>
          <w:szCs w:val="22"/>
        </w:rPr>
        <w:t xml:space="preserve">projections </w:t>
      </w:r>
      <w:r w:rsidRPr="00F63B9F">
        <w:rPr>
          <w:rFonts w:ascii="Arial" w:hAnsi="Arial" w:cs="Arial"/>
          <w:color w:val="000000"/>
          <w:sz w:val="22"/>
          <w:szCs w:val="22"/>
        </w:rPr>
        <w:t xml:space="preserve">spreadsheet contains </w:t>
      </w:r>
      <w:r w:rsidR="003B2B34" w:rsidRPr="00F63B9F">
        <w:rPr>
          <w:rFonts w:ascii="Arial" w:hAnsi="Arial" w:cs="Arial"/>
          <w:color w:val="000000"/>
          <w:sz w:val="22"/>
          <w:szCs w:val="22"/>
        </w:rPr>
        <w:t xml:space="preserve">projected </w:t>
      </w:r>
      <w:r w:rsidRPr="00F63B9F">
        <w:rPr>
          <w:rFonts w:ascii="Arial" w:hAnsi="Arial" w:cs="Arial"/>
          <w:color w:val="000000"/>
          <w:sz w:val="22"/>
          <w:szCs w:val="22"/>
        </w:rPr>
        <w:t>numbers for each</w:t>
      </w:r>
      <w:r w:rsidR="00927CEB" w:rsidRPr="00F63B9F">
        <w:rPr>
          <w:rFonts w:ascii="Arial" w:hAnsi="Arial" w:cs="Arial"/>
          <w:color w:val="000000"/>
          <w:sz w:val="22"/>
          <w:szCs w:val="22"/>
        </w:rPr>
        <w:t xml:space="preserve"> </w:t>
      </w:r>
      <w:r w:rsidRPr="00F63B9F">
        <w:rPr>
          <w:rFonts w:ascii="Arial" w:hAnsi="Arial" w:cs="Arial"/>
          <w:color w:val="000000"/>
          <w:sz w:val="22"/>
          <w:szCs w:val="22"/>
        </w:rPr>
        <w:t>population sub-group for each year of the projection period by sex and</w:t>
      </w:r>
      <w:r w:rsidR="00927CEB" w:rsidRPr="00F63B9F">
        <w:rPr>
          <w:rFonts w:ascii="Arial" w:hAnsi="Arial" w:cs="Arial"/>
          <w:color w:val="000000"/>
          <w:sz w:val="22"/>
          <w:szCs w:val="22"/>
        </w:rPr>
        <w:t xml:space="preserve"> </w:t>
      </w:r>
      <w:r w:rsidRPr="00F63B9F">
        <w:rPr>
          <w:rFonts w:ascii="Arial" w:hAnsi="Arial" w:cs="Arial"/>
          <w:color w:val="000000"/>
          <w:sz w:val="22"/>
          <w:szCs w:val="22"/>
        </w:rPr>
        <w:t xml:space="preserve">individual year of age, from 0 to 100 years </w:t>
      </w:r>
      <w:r w:rsidR="003B2B34" w:rsidRPr="00F63B9F">
        <w:rPr>
          <w:rFonts w:ascii="Arial" w:hAnsi="Arial" w:cs="Arial"/>
          <w:color w:val="000000"/>
          <w:sz w:val="22"/>
          <w:szCs w:val="22"/>
        </w:rPr>
        <w:t xml:space="preserve">and over. </w:t>
      </w:r>
      <w:r w:rsidRPr="00F63B9F">
        <w:rPr>
          <w:rFonts w:ascii="Arial" w:hAnsi="Arial" w:cs="Arial"/>
          <w:color w:val="000000"/>
          <w:sz w:val="22"/>
          <w:szCs w:val="22"/>
        </w:rPr>
        <w:t>The single</w:t>
      </w:r>
      <w:r w:rsidR="003B2B34" w:rsidRPr="00F63B9F">
        <w:rPr>
          <w:rFonts w:ascii="Arial" w:hAnsi="Arial" w:cs="Arial"/>
          <w:color w:val="000000"/>
          <w:sz w:val="22"/>
          <w:szCs w:val="22"/>
        </w:rPr>
        <w:noBreakHyphen/>
      </w:r>
      <w:r w:rsidRPr="00F63B9F">
        <w:rPr>
          <w:rFonts w:ascii="Arial" w:hAnsi="Arial" w:cs="Arial"/>
          <w:color w:val="000000"/>
          <w:sz w:val="22"/>
          <w:szCs w:val="22"/>
        </w:rPr>
        <w:t xml:space="preserve">year of age sheet is not </w:t>
      </w:r>
      <w:r w:rsidR="003B2B34" w:rsidRPr="00F63B9F">
        <w:rPr>
          <w:rFonts w:ascii="Arial" w:hAnsi="Arial" w:cs="Arial"/>
          <w:color w:val="000000"/>
          <w:sz w:val="22"/>
          <w:szCs w:val="22"/>
        </w:rPr>
        <w:t xml:space="preserve">available </w:t>
      </w:r>
      <w:r w:rsidRPr="00F63B9F">
        <w:rPr>
          <w:rFonts w:ascii="Arial" w:hAnsi="Arial" w:cs="Arial"/>
          <w:color w:val="000000"/>
          <w:sz w:val="22"/>
          <w:szCs w:val="22"/>
        </w:rPr>
        <w:t>for</w:t>
      </w:r>
      <w:r w:rsidR="003B2B34" w:rsidRPr="00F63B9F">
        <w:rPr>
          <w:rFonts w:ascii="Arial" w:hAnsi="Arial" w:cs="Arial"/>
          <w:color w:val="000000"/>
          <w:sz w:val="22"/>
          <w:szCs w:val="22"/>
        </w:rPr>
        <w:t xml:space="preserve"> the</w:t>
      </w:r>
      <w:r w:rsidRPr="00F63B9F">
        <w:rPr>
          <w:rFonts w:ascii="Arial" w:hAnsi="Arial" w:cs="Arial"/>
          <w:color w:val="000000"/>
          <w:sz w:val="22"/>
          <w:szCs w:val="22"/>
        </w:rPr>
        <w:t xml:space="preserve"> regions.</w:t>
      </w:r>
    </w:p>
    <w:p w:rsidR="00A55322" w:rsidRPr="00F63B9F" w:rsidRDefault="00927CEB" w:rsidP="00F63B9F">
      <w:pPr>
        <w:spacing w:after="160" w:line="240" w:lineRule="atLeast"/>
        <w:rPr>
          <w:rFonts w:ascii="Arial" w:hAnsi="Arial" w:cs="Arial"/>
          <w:color w:val="000000"/>
          <w:sz w:val="22"/>
          <w:szCs w:val="22"/>
        </w:rPr>
      </w:pPr>
      <w:r w:rsidRPr="00F63B9F">
        <w:rPr>
          <w:rFonts w:ascii="Arial" w:hAnsi="Arial" w:cs="Arial"/>
          <w:color w:val="000000"/>
          <w:sz w:val="22"/>
          <w:szCs w:val="22"/>
        </w:rPr>
        <w:t xml:space="preserve">The </w:t>
      </w:r>
      <w:r w:rsidR="00081235" w:rsidRPr="00F63B9F">
        <w:rPr>
          <w:rFonts w:ascii="Arial" w:hAnsi="Arial" w:cs="Arial"/>
          <w:color w:val="000000"/>
          <w:sz w:val="22"/>
          <w:szCs w:val="22"/>
        </w:rPr>
        <w:t>five-year</w:t>
      </w:r>
      <w:r w:rsidRPr="00F63B9F">
        <w:rPr>
          <w:rFonts w:ascii="Arial" w:hAnsi="Arial" w:cs="Arial"/>
          <w:color w:val="000000"/>
          <w:sz w:val="22"/>
          <w:szCs w:val="22"/>
        </w:rPr>
        <w:t xml:space="preserve"> age groups spreadsheet contains</w:t>
      </w:r>
      <w:r w:rsidR="00081235" w:rsidRPr="00F63B9F">
        <w:rPr>
          <w:rFonts w:ascii="Arial" w:hAnsi="Arial" w:cs="Arial"/>
          <w:color w:val="000000"/>
          <w:sz w:val="22"/>
          <w:szCs w:val="22"/>
        </w:rPr>
        <w:t xml:space="preserve"> </w:t>
      </w:r>
      <w:r w:rsidR="003B2B34" w:rsidRPr="00F63B9F">
        <w:rPr>
          <w:rFonts w:ascii="Arial" w:hAnsi="Arial" w:cs="Arial"/>
          <w:color w:val="000000"/>
          <w:sz w:val="22"/>
          <w:szCs w:val="22"/>
        </w:rPr>
        <w:t xml:space="preserve">projected </w:t>
      </w:r>
      <w:r w:rsidRPr="00F63B9F">
        <w:rPr>
          <w:rFonts w:ascii="Arial" w:hAnsi="Arial" w:cs="Arial"/>
          <w:color w:val="000000"/>
          <w:sz w:val="22"/>
          <w:szCs w:val="22"/>
        </w:rPr>
        <w:t>numbers for each population sub</w:t>
      </w:r>
      <w:r w:rsidR="00CE0236" w:rsidRPr="00F63B9F">
        <w:rPr>
          <w:rFonts w:ascii="Arial" w:hAnsi="Arial" w:cs="Arial"/>
          <w:color w:val="000000"/>
          <w:sz w:val="22"/>
          <w:szCs w:val="22"/>
        </w:rPr>
        <w:noBreakHyphen/>
      </w:r>
      <w:r w:rsidRPr="00F63B9F">
        <w:rPr>
          <w:rFonts w:ascii="Arial" w:hAnsi="Arial" w:cs="Arial"/>
          <w:color w:val="000000"/>
          <w:sz w:val="22"/>
          <w:szCs w:val="22"/>
        </w:rPr>
        <w:t>group for each year of the projection period by sex and five</w:t>
      </w:r>
      <w:r w:rsidR="00812C5A" w:rsidRPr="00F63B9F">
        <w:rPr>
          <w:rFonts w:ascii="Arial" w:hAnsi="Arial" w:cs="Arial"/>
          <w:color w:val="000000"/>
          <w:sz w:val="22"/>
          <w:szCs w:val="22"/>
        </w:rPr>
        <w:t>-</w:t>
      </w:r>
      <w:r w:rsidRPr="00F63B9F">
        <w:rPr>
          <w:rFonts w:ascii="Arial" w:hAnsi="Arial" w:cs="Arial"/>
          <w:color w:val="000000"/>
          <w:sz w:val="22"/>
          <w:szCs w:val="22"/>
        </w:rPr>
        <w:t xml:space="preserve">year age groups </w:t>
      </w:r>
      <w:r w:rsidR="003B2B34" w:rsidRPr="00F63B9F">
        <w:rPr>
          <w:rFonts w:ascii="Arial" w:hAnsi="Arial" w:cs="Arial"/>
          <w:color w:val="000000"/>
          <w:sz w:val="22"/>
          <w:szCs w:val="22"/>
        </w:rPr>
        <w:t>0-4</w:t>
      </w:r>
      <w:r w:rsidR="00A50C35" w:rsidRPr="00F63B9F">
        <w:rPr>
          <w:rFonts w:ascii="Arial" w:hAnsi="Arial" w:cs="Arial"/>
          <w:color w:val="000000"/>
          <w:sz w:val="22"/>
          <w:szCs w:val="22"/>
        </w:rPr>
        <w:t xml:space="preserve"> years</w:t>
      </w:r>
      <w:r w:rsidR="003B2B34" w:rsidRPr="00F63B9F">
        <w:rPr>
          <w:rFonts w:ascii="Arial" w:hAnsi="Arial" w:cs="Arial"/>
          <w:color w:val="000000"/>
          <w:sz w:val="22"/>
          <w:szCs w:val="22"/>
        </w:rPr>
        <w:t xml:space="preserve"> </w:t>
      </w:r>
      <w:r w:rsidRPr="00F63B9F">
        <w:rPr>
          <w:rFonts w:ascii="Arial" w:hAnsi="Arial" w:cs="Arial"/>
          <w:color w:val="000000"/>
          <w:sz w:val="22"/>
          <w:szCs w:val="22"/>
        </w:rPr>
        <w:t>up to 100</w:t>
      </w:r>
      <w:r w:rsidR="003B2B34" w:rsidRPr="00F63B9F">
        <w:rPr>
          <w:rFonts w:ascii="Arial" w:hAnsi="Arial" w:cs="Arial"/>
          <w:color w:val="000000"/>
          <w:sz w:val="22"/>
          <w:szCs w:val="22"/>
        </w:rPr>
        <w:t xml:space="preserve"> years and over</w:t>
      </w:r>
      <w:r w:rsidRPr="00F63B9F">
        <w:rPr>
          <w:rFonts w:ascii="Arial" w:hAnsi="Arial" w:cs="Arial"/>
          <w:color w:val="000000"/>
          <w:sz w:val="22"/>
          <w:szCs w:val="22"/>
        </w:rPr>
        <w:t xml:space="preserve"> </w:t>
      </w:r>
      <w:r w:rsidR="0058446C" w:rsidRPr="00F63B9F">
        <w:rPr>
          <w:rFonts w:ascii="Arial" w:hAnsi="Arial" w:cs="Arial"/>
          <w:color w:val="000000"/>
          <w:sz w:val="22"/>
          <w:szCs w:val="22"/>
        </w:rPr>
        <w:t xml:space="preserve">for the Territory as a whole </w:t>
      </w:r>
      <w:r w:rsidRPr="00F63B9F">
        <w:rPr>
          <w:rFonts w:ascii="Arial" w:hAnsi="Arial" w:cs="Arial"/>
          <w:color w:val="000000"/>
          <w:sz w:val="22"/>
          <w:szCs w:val="22"/>
        </w:rPr>
        <w:t>and</w:t>
      </w:r>
      <w:r w:rsidR="003B2B34" w:rsidRPr="00F63B9F">
        <w:rPr>
          <w:rFonts w:ascii="Arial" w:hAnsi="Arial" w:cs="Arial"/>
          <w:color w:val="000000"/>
          <w:sz w:val="22"/>
          <w:szCs w:val="22"/>
        </w:rPr>
        <w:t xml:space="preserve"> to 85 years </w:t>
      </w:r>
      <w:r w:rsidR="00E14FA7" w:rsidRPr="00F63B9F">
        <w:rPr>
          <w:rFonts w:ascii="Arial" w:hAnsi="Arial" w:cs="Arial"/>
          <w:color w:val="000000"/>
          <w:sz w:val="22"/>
          <w:szCs w:val="22"/>
        </w:rPr>
        <w:t>and over for the Greater Darwin region and the Rest of the NT.</w:t>
      </w:r>
    </w:p>
    <w:p w:rsidR="00D8737F" w:rsidRPr="00F63B9F" w:rsidRDefault="00D8737F" w:rsidP="00F63B9F">
      <w:pPr>
        <w:spacing w:after="160" w:line="240" w:lineRule="atLeast"/>
        <w:rPr>
          <w:rFonts w:ascii="Arial" w:hAnsi="Arial" w:cs="Arial"/>
          <w:color w:val="000000"/>
          <w:sz w:val="22"/>
          <w:szCs w:val="22"/>
        </w:rPr>
      </w:pPr>
      <w:r w:rsidRPr="00F63B9F">
        <w:rPr>
          <w:rFonts w:ascii="Arial" w:hAnsi="Arial" w:cs="Arial"/>
          <w:color w:val="000000"/>
          <w:sz w:val="22"/>
          <w:szCs w:val="22"/>
        </w:rPr>
        <w:t xml:space="preserve">Previous releases have included alternative projections, which demonstrate the sensitivity of the model to change in the baseline assumptions. For this interim projection, a single scenario (the NT baseline projection) has been produced </w:t>
      </w:r>
      <w:r w:rsidR="00B55EA5" w:rsidRPr="00F63B9F">
        <w:rPr>
          <w:rFonts w:ascii="Arial" w:hAnsi="Arial" w:cs="Arial"/>
          <w:color w:val="000000"/>
          <w:sz w:val="22"/>
          <w:szCs w:val="22"/>
        </w:rPr>
        <w:t>together with sensitivities in regard to differing migration assumptions (</w:t>
      </w:r>
      <w:r w:rsidRPr="00F63B9F">
        <w:rPr>
          <w:rFonts w:ascii="Arial" w:hAnsi="Arial" w:cs="Arial"/>
          <w:color w:val="000000"/>
          <w:sz w:val="22"/>
          <w:szCs w:val="22"/>
        </w:rPr>
        <w:t>Appendix 1</w:t>
      </w:r>
      <w:r w:rsidR="00B55EA5" w:rsidRPr="00F63B9F">
        <w:rPr>
          <w:rFonts w:ascii="Arial" w:hAnsi="Arial" w:cs="Arial"/>
          <w:color w:val="000000"/>
          <w:sz w:val="22"/>
          <w:szCs w:val="22"/>
        </w:rPr>
        <w:t>)</w:t>
      </w:r>
      <w:r w:rsidRPr="00F63B9F">
        <w:rPr>
          <w:rFonts w:ascii="Arial" w:hAnsi="Arial" w:cs="Arial"/>
          <w:color w:val="000000"/>
          <w:sz w:val="22"/>
          <w:szCs w:val="22"/>
        </w:rPr>
        <w:t xml:space="preserve">. The next release of projections based on the final 2011 Census estimates will assess impact of changes in assumptions across a broader range of variables though scenario analysis. </w:t>
      </w:r>
    </w:p>
    <w:p w:rsidR="00927CEB" w:rsidRPr="00F63B9F" w:rsidRDefault="00F63B9F" w:rsidP="00F63B9F">
      <w:pPr>
        <w:spacing w:before="360" w:after="160" w:line="240" w:lineRule="atLeast"/>
        <w:rPr>
          <w:rFonts w:ascii="Arial" w:hAnsi="Arial" w:cs="Arial"/>
          <w:b/>
          <w:color w:val="000000"/>
          <w:sz w:val="22"/>
          <w:szCs w:val="22"/>
        </w:rPr>
      </w:pPr>
      <w:r>
        <w:rPr>
          <w:rFonts w:ascii="Arial" w:hAnsi="Arial" w:cs="Arial"/>
          <w:b/>
          <w:color w:val="000000"/>
          <w:sz w:val="22"/>
          <w:szCs w:val="22"/>
        </w:rPr>
        <w:br w:type="page"/>
      </w:r>
      <w:r w:rsidR="00927CEB" w:rsidRPr="00F63B9F">
        <w:rPr>
          <w:rFonts w:ascii="Arial" w:hAnsi="Arial" w:cs="Arial"/>
          <w:b/>
          <w:color w:val="000000"/>
          <w:sz w:val="22"/>
          <w:szCs w:val="22"/>
        </w:rPr>
        <w:t xml:space="preserve">Table </w:t>
      </w:r>
      <w:r w:rsidR="00197698" w:rsidRPr="00F63B9F">
        <w:rPr>
          <w:rFonts w:ascii="Arial" w:hAnsi="Arial" w:cs="Arial"/>
          <w:b/>
          <w:color w:val="000000"/>
          <w:sz w:val="22"/>
          <w:szCs w:val="22"/>
        </w:rPr>
        <w:t>1</w:t>
      </w:r>
      <w:r w:rsidR="00927CEB" w:rsidRPr="00F63B9F">
        <w:rPr>
          <w:rFonts w:ascii="Arial" w:hAnsi="Arial" w:cs="Arial"/>
          <w:b/>
          <w:color w:val="000000"/>
          <w:sz w:val="22"/>
          <w:szCs w:val="22"/>
        </w:rPr>
        <w:t>: Population Sub-Groups, NTPOP Projections Model 1, 2</w:t>
      </w:r>
    </w:p>
    <w:p w:rsidR="00430D49" w:rsidRDefault="00E16FBB" w:rsidP="00F63B9F">
      <w:pPr>
        <w:spacing w:before="240"/>
        <w:rPr>
          <w:rStyle w:val="Heading1Char"/>
          <w:rFonts w:ascii="Arial" w:eastAsia="Calibri" w:hAnsi="Arial" w:cs="Arial"/>
          <w:b w:val="0"/>
          <w:sz w:val="40"/>
          <w:szCs w:val="40"/>
        </w:rPr>
      </w:pPr>
      <w:r w:rsidRPr="008E221B">
        <w:rPr>
          <w:noProof/>
          <w:lang w:eastAsia="en-AU"/>
        </w:rPr>
        <w:drawing>
          <wp:inline distT="0" distB="0" distL="0" distR="0" wp14:anchorId="608DFAD0" wp14:editId="41DBE663">
            <wp:extent cx="5731510" cy="1790700"/>
            <wp:effectExtent l="0" t="0" r="0" b="0"/>
            <wp:docPr id="7" name="Picture 7" descr="Table 1: Population Sub-Groups, NTPOP Projections Model 1, 2"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790700"/>
                    </a:xfrm>
                    <a:prstGeom prst="rect">
                      <a:avLst/>
                    </a:prstGeom>
                    <a:noFill/>
                    <a:ln>
                      <a:noFill/>
                    </a:ln>
                  </pic:spPr>
                </pic:pic>
              </a:graphicData>
            </a:graphic>
          </wp:inline>
        </w:drawing>
      </w:r>
    </w:p>
    <w:p w:rsidR="00927CEB" w:rsidRPr="00B92B2E" w:rsidRDefault="00430D49" w:rsidP="00F63B9F">
      <w:pPr>
        <w:spacing w:after="240"/>
        <w:rPr>
          <w:rFonts w:ascii="Arial" w:hAnsi="Arial" w:cs="Arial"/>
          <w:b/>
          <w:sz w:val="44"/>
          <w:szCs w:val="44"/>
        </w:rPr>
      </w:pPr>
      <w:r>
        <w:rPr>
          <w:rStyle w:val="Heading1Char"/>
          <w:rFonts w:ascii="Arial" w:eastAsia="Calibri" w:hAnsi="Arial" w:cs="Arial"/>
          <w:b w:val="0"/>
          <w:sz w:val="40"/>
          <w:szCs w:val="40"/>
        </w:rPr>
        <w:br w:type="page"/>
      </w:r>
      <w:r w:rsidR="00927CEB" w:rsidRPr="00B92B2E">
        <w:rPr>
          <w:rFonts w:ascii="Arial" w:hAnsi="Arial" w:cs="Arial"/>
          <w:b/>
          <w:sz w:val="44"/>
          <w:szCs w:val="44"/>
        </w:rPr>
        <w:t>How to Use These Projections</w:t>
      </w:r>
    </w:p>
    <w:p w:rsidR="00927CEB" w:rsidRPr="00B92EFA" w:rsidRDefault="00927CEB" w:rsidP="00B92EFA">
      <w:pPr>
        <w:spacing w:before="240" w:after="160" w:line="240" w:lineRule="atLeast"/>
        <w:rPr>
          <w:rFonts w:ascii="Arial" w:hAnsi="Arial" w:cs="Arial"/>
          <w:b/>
          <w:color w:val="000000"/>
          <w:sz w:val="28"/>
          <w:szCs w:val="28"/>
        </w:rPr>
      </w:pPr>
      <w:r w:rsidRPr="00B92EFA">
        <w:rPr>
          <w:rFonts w:ascii="Arial" w:hAnsi="Arial" w:cs="Arial"/>
          <w:b/>
          <w:color w:val="000000"/>
          <w:sz w:val="28"/>
          <w:szCs w:val="28"/>
        </w:rPr>
        <w:t>Guidelines for Northern Territory Government Agencies</w:t>
      </w:r>
    </w:p>
    <w:p w:rsidR="009C24A0" w:rsidRPr="00B92B2E" w:rsidRDefault="00653FD4" w:rsidP="00B92B2E">
      <w:pPr>
        <w:spacing w:after="160" w:line="240" w:lineRule="atLeast"/>
        <w:rPr>
          <w:rFonts w:ascii="Arial" w:hAnsi="Arial" w:cs="Arial"/>
          <w:color w:val="000000"/>
          <w:sz w:val="22"/>
          <w:szCs w:val="22"/>
        </w:rPr>
      </w:pPr>
      <w:r w:rsidRPr="00B92B2E">
        <w:rPr>
          <w:rFonts w:ascii="Arial" w:hAnsi="Arial" w:cs="Arial"/>
          <w:color w:val="000000"/>
          <w:sz w:val="22"/>
          <w:szCs w:val="22"/>
        </w:rPr>
        <w:t>P</w:t>
      </w:r>
      <w:r w:rsidR="00927CEB" w:rsidRPr="00B92B2E">
        <w:rPr>
          <w:rFonts w:ascii="Arial" w:hAnsi="Arial" w:cs="Arial"/>
          <w:color w:val="000000"/>
          <w:sz w:val="22"/>
          <w:szCs w:val="22"/>
        </w:rPr>
        <w:t>opulation projections should not be interpreted as accurate forecasts or predictions</w:t>
      </w:r>
      <w:r w:rsidR="00016832" w:rsidRPr="00B92B2E">
        <w:rPr>
          <w:rFonts w:ascii="Arial" w:hAnsi="Arial" w:cs="Arial"/>
          <w:color w:val="000000"/>
          <w:sz w:val="22"/>
          <w:szCs w:val="22"/>
        </w:rPr>
        <w:t xml:space="preserve">. </w:t>
      </w:r>
      <w:r w:rsidR="00E03027" w:rsidRPr="00B92B2E">
        <w:rPr>
          <w:rFonts w:ascii="Arial" w:hAnsi="Arial" w:cs="Arial"/>
          <w:color w:val="000000"/>
          <w:sz w:val="22"/>
          <w:szCs w:val="22"/>
        </w:rPr>
        <w:t xml:space="preserve">Projections </w:t>
      </w:r>
      <w:r w:rsidR="00927CEB" w:rsidRPr="00B92B2E">
        <w:rPr>
          <w:rFonts w:ascii="Arial" w:hAnsi="Arial" w:cs="Arial"/>
          <w:color w:val="000000"/>
          <w:sz w:val="22"/>
          <w:szCs w:val="22"/>
        </w:rPr>
        <w:t>are the result of applying certain assumptions about the future direction and levels of fert</w:t>
      </w:r>
      <w:r w:rsidR="00FB40BC" w:rsidRPr="00B92B2E">
        <w:rPr>
          <w:rFonts w:ascii="Arial" w:hAnsi="Arial" w:cs="Arial"/>
          <w:color w:val="000000"/>
          <w:sz w:val="22"/>
          <w:szCs w:val="22"/>
        </w:rPr>
        <w:t xml:space="preserve">ility, mortality and migration </w:t>
      </w:r>
      <w:r w:rsidR="00927CEB" w:rsidRPr="00B92B2E">
        <w:rPr>
          <w:rFonts w:ascii="Arial" w:hAnsi="Arial" w:cs="Arial"/>
          <w:color w:val="000000"/>
          <w:sz w:val="22"/>
          <w:szCs w:val="22"/>
        </w:rPr>
        <w:t>to a base population</w:t>
      </w:r>
      <w:r w:rsidR="00081235" w:rsidRPr="00B92B2E">
        <w:rPr>
          <w:rFonts w:ascii="Arial" w:hAnsi="Arial" w:cs="Arial"/>
          <w:color w:val="000000"/>
          <w:sz w:val="22"/>
          <w:szCs w:val="22"/>
        </w:rPr>
        <w:t xml:space="preserve">, </w:t>
      </w:r>
      <w:r w:rsidR="00D47386" w:rsidRPr="00B92B2E">
        <w:rPr>
          <w:rFonts w:ascii="Arial" w:hAnsi="Arial" w:cs="Arial"/>
          <w:color w:val="000000"/>
          <w:sz w:val="22"/>
          <w:szCs w:val="22"/>
        </w:rPr>
        <w:t xml:space="preserve">in this case </w:t>
      </w:r>
      <w:r w:rsidR="007E46E8" w:rsidRPr="00B92B2E">
        <w:rPr>
          <w:rFonts w:ascii="Arial" w:hAnsi="Arial" w:cs="Arial"/>
          <w:color w:val="000000"/>
          <w:sz w:val="22"/>
          <w:szCs w:val="22"/>
        </w:rPr>
        <w:t>2011</w:t>
      </w:r>
      <w:r w:rsidR="00D47386" w:rsidRPr="00B92B2E">
        <w:rPr>
          <w:rFonts w:ascii="Arial" w:hAnsi="Arial" w:cs="Arial"/>
          <w:color w:val="000000"/>
          <w:sz w:val="22"/>
          <w:szCs w:val="22"/>
        </w:rPr>
        <w:t xml:space="preserve"> population estimates</w:t>
      </w:r>
      <w:r w:rsidR="00973412" w:rsidRPr="00B92B2E">
        <w:rPr>
          <w:rFonts w:ascii="Arial" w:hAnsi="Arial" w:cs="Arial"/>
          <w:color w:val="000000"/>
          <w:sz w:val="22"/>
          <w:szCs w:val="22"/>
        </w:rPr>
        <w:t xml:space="preserve"> (</w:t>
      </w:r>
      <w:r w:rsidR="00B726EB" w:rsidRPr="00B92B2E">
        <w:rPr>
          <w:rFonts w:ascii="Arial" w:hAnsi="Arial" w:cs="Arial"/>
          <w:color w:val="000000"/>
          <w:sz w:val="22"/>
          <w:szCs w:val="22"/>
        </w:rPr>
        <w:t>see Taylor</w:t>
      </w:r>
      <w:r w:rsidR="009C24A0" w:rsidRPr="00B92B2E">
        <w:rPr>
          <w:rFonts w:ascii="Arial" w:hAnsi="Arial" w:cs="Arial"/>
          <w:color w:val="000000"/>
          <w:sz w:val="22"/>
          <w:szCs w:val="22"/>
        </w:rPr>
        <w:t>, 2011 for a discussion of these issues in the context of places like the Northern Territory</w:t>
      </w:r>
      <w:r w:rsidR="001F23B0" w:rsidRPr="00B92B2E">
        <w:rPr>
          <w:rFonts w:ascii="Arial" w:hAnsi="Arial"/>
          <w:color w:val="000000"/>
          <w:sz w:val="22"/>
          <w:szCs w:val="22"/>
        </w:rPr>
        <w:footnoteReference w:id="1"/>
      </w:r>
      <w:r w:rsidR="000B36E0" w:rsidRPr="00B92B2E">
        <w:rPr>
          <w:rFonts w:ascii="Arial" w:hAnsi="Arial" w:cs="Arial"/>
          <w:color w:val="000000"/>
          <w:sz w:val="22"/>
          <w:szCs w:val="22"/>
        </w:rPr>
        <w:t>).</w:t>
      </w:r>
    </w:p>
    <w:p w:rsidR="00927CEB" w:rsidRPr="00B92B2E" w:rsidRDefault="00973412" w:rsidP="00B92B2E">
      <w:pPr>
        <w:spacing w:after="160" w:line="240" w:lineRule="atLeast"/>
        <w:rPr>
          <w:rFonts w:ascii="Arial" w:hAnsi="Arial" w:cs="Arial"/>
          <w:color w:val="000000"/>
          <w:sz w:val="22"/>
          <w:szCs w:val="22"/>
        </w:rPr>
      </w:pPr>
      <w:r w:rsidRPr="00B92B2E">
        <w:rPr>
          <w:rFonts w:ascii="Arial" w:hAnsi="Arial" w:cs="Arial"/>
          <w:color w:val="000000"/>
          <w:sz w:val="22"/>
          <w:szCs w:val="22"/>
        </w:rPr>
        <w:t>U</w:t>
      </w:r>
      <w:r w:rsidR="00927CEB" w:rsidRPr="00B92B2E">
        <w:rPr>
          <w:rFonts w:ascii="Arial" w:hAnsi="Arial" w:cs="Arial"/>
          <w:color w:val="000000"/>
          <w:sz w:val="22"/>
          <w:szCs w:val="22"/>
        </w:rPr>
        <w:t xml:space="preserve">sers of these projections should </w:t>
      </w:r>
      <w:r w:rsidRPr="00B92B2E">
        <w:rPr>
          <w:rFonts w:ascii="Arial" w:hAnsi="Arial" w:cs="Arial"/>
          <w:color w:val="000000"/>
          <w:sz w:val="22"/>
          <w:szCs w:val="22"/>
        </w:rPr>
        <w:t xml:space="preserve">exercise </w:t>
      </w:r>
      <w:r w:rsidR="00D47386" w:rsidRPr="00B92B2E">
        <w:rPr>
          <w:rFonts w:ascii="Arial" w:hAnsi="Arial" w:cs="Arial"/>
          <w:color w:val="000000"/>
          <w:sz w:val="22"/>
          <w:szCs w:val="22"/>
        </w:rPr>
        <w:t xml:space="preserve">caution when </w:t>
      </w:r>
      <w:r w:rsidR="00016832" w:rsidRPr="00B92B2E">
        <w:rPr>
          <w:rFonts w:ascii="Arial" w:hAnsi="Arial" w:cs="Arial"/>
          <w:color w:val="000000"/>
          <w:sz w:val="22"/>
          <w:szCs w:val="22"/>
        </w:rPr>
        <w:t>using them in</w:t>
      </w:r>
      <w:r w:rsidR="00D47386" w:rsidRPr="00B92B2E">
        <w:rPr>
          <w:rFonts w:ascii="Arial" w:hAnsi="Arial" w:cs="Arial"/>
          <w:color w:val="000000"/>
          <w:sz w:val="22"/>
          <w:szCs w:val="22"/>
        </w:rPr>
        <w:t xml:space="preserve"> decision-making</w:t>
      </w:r>
      <w:r w:rsidR="00927CEB" w:rsidRPr="00B92B2E">
        <w:rPr>
          <w:rFonts w:ascii="Arial" w:hAnsi="Arial" w:cs="Arial"/>
          <w:color w:val="000000"/>
          <w:sz w:val="22"/>
          <w:szCs w:val="22"/>
        </w:rPr>
        <w:t xml:space="preserve">. The </w:t>
      </w:r>
      <w:r w:rsidR="000F1A72" w:rsidRPr="00B92B2E">
        <w:rPr>
          <w:rFonts w:ascii="Arial" w:hAnsi="Arial" w:cs="Arial"/>
          <w:color w:val="000000"/>
          <w:sz w:val="22"/>
          <w:szCs w:val="22"/>
        </w:rPr>
        <w:t xml:space="preserve">following guidelines </w:t>
      </w:r>
      <w:r w:rsidR="00927CEB" w:rsidRPr="00B92B2E">
        <w:rPr>
          <w:rFonts w:ascii="Arial" w:hAnsi="Arial" w:cs="Arial"/>
          <w:color w:val="000000"/>
          <w:sz w:val="22"/>
          <w:szCs w:val="22"/>
        </w:rPr>
        <w:t xml:space="preserve">are not intended to be fully prescriptive, and agency staff are encouraged to contact </w:t>
      </w:r>
      <w:r w:rsidR="000F7394" w:rsidRPr="00B92B2E">
        <w:rPr>
          <w:rFonts w:ascii="Arial" w:hAnsi="Arial" w:cs="Arial"/>
          <w:color w:val="000000"/>
          <w:sz w:val="22"/>
          <w:szCs w:val="22"/>
        </w:rPr>
        <w:t>DTF</w:t>
      </w:r>
      <w:r w:rsidR="00927CEB" w:rsidRPr="00B92B2E">
        <w:rPr>
          <w:rFonts w:ascii="Arial" w:hAnsi="Arial" w:cs="Arial"/>
          <w:color w:val="000000"/>
          <w:sz w:val="22"/>
          <w:szCs w:val="22"/>
        </w:rPr>
        <w:t xml:space="preserve"> with any questions</w:t>
      </w:r>
      <w:r w:rsidR="000F1A72" w:rsidRPr="00B92B2E">
        <w:rPr>
          <w:rFonts w:ascii="Arial" w:hAnsi="Arial" w:cs="Arial"/>
          <w:color w:val="000000"/>
          <w:sz w:val="22"/>
          <w:szCs w:val="22"/>
        </w:rPr>
        <w:t xml:space="preserve"> regarding the appropriate use of projections</w:t>
      </w:r>
      <w:r w:rsidR="00927CEB" w:rsidRPr="00B92B2E">
        <w:rPr>
          <w:rFonts w:ascii="Arial" w:hAnsi="Arial" w:cs="Arial"/>
          <w:color w:val="000000"/>
          <w:sz w:val="22"/>
          <w:szCs w:val="22"/>
        </w:rPr>
        <w:t>. In general, NTG agencies should use the projections for:</w:t>
      </w:r>
    </w:p>
    <w:p w:rsidR="00927CEB" w:rsidRPr="00B92B2E" w:rsidRDefault="00927CEB" w:rsidP="00B92B2E">
      <w:pPr>
        <w:numPr>
          <w:ilvl w:val="0"/>
          <w:numId w:val="29"/>
        </w:numPr>
        <w:spacing w:after="160" w:line="240" w:lineRule="atLeast"/>
        <w:rPr>
          <w:rFonts w:ascii="Arial" w:hAnsi="Arial" w:cs="Arial"/>
          <w:color w:val="000000"/>
          <w:sz w:val="22"/>
          <w:szCs w:val="22"/>
        </w:rPr>
      </w:pPr>
      <w:r w:rsidRPr="00B92B2E">
        <w:rPr>
          <w:rFonts w:ascii="Arial" w:hAnsi="Arial" w:cs="Arial"/>
          <w:color w:val="000000"/>
          <w:sz w:val="22"/>
          <w:szCs w:val="22"/>
        </w:rPr>
        <w:t>work relating to internal Territory issues;</w:t>
      </w:r>
      <w:r w:rsidR="00653FD4" w:rsidRPr="00B92B2E">
        <w:rPr>
          <w:rFonts w:ascii="Arial" w:hAnsi="Arial" w:cs="Arial"/>
          <w:color w:val="000000"/>
          <w:sz w:val="22"/>
          <w:szCs w:val="22"/>
        </w:rPr>
        <w:t xml:space="preserve"> and</w:t>
      </w:r>
    </w:p>
    <w:p w:rsidR="00927CEB" w:rsidRPr="00B92B2E" w:rsidRDefault="00927CEB" w:rsidP="00B92B2E">
      <w:pPr>
        <w:numPr>
          <w:ilvl w:val="0"/>
          <w:numId w:val="29"/>
        </w:numPr>
        <w:spacing w:after="160" w:line="240" w:lineRule="atLeast"/>
        <w:rPr>
          <w:rFonts w:ascii="Arial" w:hAnsi="Arial" w:cs="Arial"/>
          <w:color w:val="000000"/>
          <w:sz w:val="22"/>
          <w:szCs w:val="22"/>
        </w:rPr>
      </w:pPr>
      <w:r w:rsidRPr="00B92B2E">
        <w:rPr>
          <w:rFonts w:ascii="Arial" w:hAnsi="Arial" w:cs="Arial"/>
          <w:color w:val="000000"/>
          <w:sz w:val="22"/>
          <w:szCs w:val="22"/>
        </w:rPr>
        <w:t>work that will be used in official documents circulated to other agencies</w:t>
      </w:r>
      <w:r w:rsidR="00653FD4" w:rsidRPr="00B92B2E">
        <w:rPr>
          <w:rFonts w:ascii="Arial" w:hAnsi="Arial" w:cs="Arial"/>
          <w:color w:val="000000"/>
          <w:sz w:val="22"/>
          <w:szCs w:val="22"/>
        </w:rPr>
        <w:t>.</w:t>
      </w:r>
      <w:r w:rsidRPr="00B92B2E">
        <w:rPr>
          <w:rFonts w:ascii="Arial" w:hAnsi="Arial" w:cs="Arial"/>
          <w:color w:val="000000"/>
          <w:sz w:val="22"/>
          <w:szCs w:val="22"/>
        </w:rPr>
        <w:t xml:space="preserve"> </w:t>
      </w:r>
    </w:p>
    <w:p w:rsidR="003156F7" w:rsidRPr="00B92EFA" w:rsidRDefault="007E1F46" w:rsidP="00B92EFA">
      <w:pPr>
        <w:spacing w:before="240" w:after="160" w:line="240" w:lineRule="atLeast"/>
        <w:rPr>
          <w:rFonts w:ascii="Arial" w:hAnsi="Arial" w:cs="Arial"/>
          <w:b/>
          <w:color w:val="000000"/>
          <w:sz w:val="28"/>
          <w:szCs w:val="28"/>
        </w:rPr>
      </w:pPr>
      <w:r w:rsidRPr="00B92EFA">
        <w:rPr>
          <w:rFonts w:ascii="Arial" w:hAnsi="Arial" w:cs="Arial"/>
          <w:b/>
          <w:color w:val="000000"/>
          <w:sz w:val="28"/>
          <w:szCs w:val="28"/>
        </w:rPr>
        <w:t>Uncertainty in Projections</w:t>
      </w:r>
    </w:p>
    <w:p w:rsidR="007E1F46" w:rsidRPr="00B92B2E" w:rsidRDefault="00927CEB"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Population projections are not predictions </w:t>
      </w:r>
      <w:r w:rsidR="00F31809" w:rsidRPr="00B92B2E">
        <w:rPr>
          <w:rFonts w:ascii="Arial" w:hAnsi="Arial" w:cs="Arial"/>
          <w:color w:val="000000"/>
          <w:sz w:val="22"/>
          <w:szCs w:val="22"/>
        </w:rPr>
        <w:t xml:space="preserve">of </w:t>
      </w:r>
      <w:r w:rsidRPr="00B92B2E">
        <w:rPr>
          <w:rFonts w:ascii="Arial" w:hAnsi="Arial" w:cs="Arial"/>
          <w:color w:val="000000"/>
          <w:sz w:val="22"/>
          <w:szCs w:val="22"/>
        </w:rPr>
        <w:t>the future size and composition of the Territory’s</w:t>
      </w:r>
      <w:r w:rsidR="00F31809" w:rsidRPr="00B92B2E">
        <w:rPr>
          <w:rFonts w:ascii="Arial" w:hAnsi="Arial" w:cs="Arial"/>
          <w:color w:val="000000"/>
          <w:sz w:val="22"/>
          <w:szCs w:val="22"/>
        </w:rPr>
        <w:t xml:space="preserve"> population</w:t>
      </w:r>
      <w:r w:rsidRPr="00B92B2E">
        <w:rPr>
          <w:rFonts w:ascii="Arial" w:hAnsi="Arial" w:cs="Arial"/>
          <w:color w:val="000000"/>
          <w:sz w:val="22"/>
          <w:szCs w:val="22"/>
        </w:rPr>
        <w:t xml:space="preserve">. Rather, they are calculations of what the population will be at future times given specific assumptions about the components of population growth between the base year for the projections and any future year. The degree to which projections coincide with actual future growth will ultimately depend on the extent to which the assumptions about future growth turn out to be correct. </w:t>
      </w:r>
    </w:p>
    <w:p w:rsidR="007E46E8" w:rsidRPr="00B92B2E" w:rsidRDefault="00927CEB" w:rsidP="00B92B2E">
      <w:pPr>
        <w:spacing w:after="160" w:line="240" w:lineRule="atLeast"/>
        <w:rPr>
          <w:rFonts w:ascii="Arial" w:hAnsi="Arial" w:cs="Arial"/>
          <w:color w:val="000000"/>
          <w:sz w:val="22"/>
          <w:szCs w:val="22"/>
        </w:rPr>
      </w:pPr>
      <w:r w:rsidRPr="00B92B2E">
        <w:rPr>
          <w:rFonts w:ascii="Arial" w:hAnsi="Arial" w:cs="Arial"/>
          <w:color w:val="000000"/>
          <w:sz w:val="22"/>
          <w:szCs w:val="22"/>
        </w:rPr>
        <w:t>The accuracy of the projections also depends on the accuracy of the initial</w:t>
      </w:r>
      <w:r w:rsidR="007E1F46" w:rsidRPr="00B92B2E">
        <w:rPr>
          <w:rFonts w:ascii="Arial" w:hAnsi="Arial" w:cs="Arial"/>
          <w:color w:val="000000"/>
          <w:sz w:val="22"/>
          <w:szCs w:val="22"/>
        </w:rPr>
        <w:t xml:space="preserve"> </w:t>
      </w:r>
      <w:r w:rsidRPr="00B92B2E">
        <w:rPr>
          <w:rFonts w:ascii="Arial" w:hAnsi="Arial" w:cs="Arial"/>
          <w:color w:val="000000"/>
          <w:sz w:val="22"/>
          <w:szCs w:val="22"/>
        </w:rPr>
        <w:t xml:space="preserve">population estimates used as the foundation for the projections. </w:t>
      </w:r>
      <w:r w:rsidR="00A502AD" w:rsidRPr="00B92B2E">
        <w:rPr>
          <w:rFonts w:ascii="Arial" w:hAnsi="Arial" w:cs="Arial"/>
          <w:color w:val="000000"/>
          <w:sz w:val="22"/>
          <w:szCs w:val="22"/>
        </w:rPr>
        <w:t xml:space="preserve">These population projections are based on preliminary ERPs for the Territory and Australia and preliminary Aboriginal and Torres Strait Islander population estimates as at 30 June 2011. Both are provided by the ABS in 3101.0 Australian Demographic Statistics, June 2012. These estimates are based on </w:t>
      </w:r>
      <w:r w:rsidR="00D8737F" w:rsidRPr="00B92B2E">
        <w:rPr>
          <w:rFonts w:ascii="Arial" w:hAnsi="Arial" w:cs="Arial"/>
          <w:color w:val="000000"/>
          <w:sz w:val="22"/>
          <w:szCs w:val="22"/>
        </w:rPr>
        <w:t xml:space="preserve">preliminary </w:t>
      </w:r>
      <w:r w:rsidR="00A502AD" w:rsidRPr="00B92B2E">
        <w:rPr>
          <w:rFonts w:ascii="Arial" w:hAnsi="Arial" w:cs="Arial"/>
          <w:color w:val="000000"/>
          <w:sz w:val="22"/>
          <w:szCs w:val="22"/>
        </w:rPr>
        <w:t xml:space="preserve">2011 Census data and are used to derive the jump-off (or starting populations) for the projections by age, sex and Indigenous status. </w:t>
      </w:r>
      <w:r w:rsidR="007E46E8" w:rsidRPr="00B92B2E">
        <w:rPr>
          <w:rFonts w:ascii="Arial" w:hAnsi="Arial" w:cs="Arial"/>
          <w:color w:val="000000"/>
          <w:sz w:val="22"/>
          <w:szCs w:val="22"/>
        </w:rPr>
        <w:t>These estimates are subject to change until finalised by the ABS</w:t>
      </w:r>
      <w:r w:rsidR="006E14B8" w:rsidRPr="00B92B2E">
        <w:rPr>
          <w:rFonts w:ascii="Arial" w:hAnsi="Arial" w:cs="Arial"/>
          <w:color w:val="000000"/>
          <w:sz w:val="22"/>
          <w:szCs w:val="22"/>
        </w:rPr>
        <w:t xml:space="preserve"> in August 2013</w:t>
      </w:r>
      <w:r w:rsidR="007E46E8" w:rsidRPr="00B92B2E">
        <w:rPr>
          <w:rFonts w:ascii="Arial" w:hAnsi="Arial" w:cs="Arial"/>
          <w:color w:val="000000"/>
          <w:sz w:val="22"/>
          <w:szCs w:val="22"/>
        </w:rPr>
        <w:t>. This uncertainty should be factored in when users are considering the likely accuracy of future projections.</w:t>
      </w:r>
    </w:p>
    <w:p w:rsidR="007E46E8" w:rsidRPr="00B92B2E" w:rsidRDefault="007E46E8" w:rsidP="00B92B2E">
      <w:pPr>
        <w:spacing w:after="160" w:line="240" w:lineRule="atLeast"/>
        <w:rPr>
          <w:rFonts w:ascii="Arial" w:hAnsi="Arial" w:cs="Arial"/>
          <w:color w:val="000000"/>
          <w:sz w:val="22"/>
          <w:szCs w:val="22"/>
        </w:rPr>
      </w:pPr>
      <w:bookmarkStart w:id="3" w:name="_Toc303162896"/>
      <w:r w:rsidRPr="00B92B2E">
        <w:rPr>
          <w:rFonts w:ascii="Arial" w:hAnsi="Arial" w:cs="Arial"/>
          <w:color w:val="000000"/>
          <w:sz w:val="22"/>
          <w:szCs w:val="22"/>
        </w:rPr>
        <w:t xml:space="preserve">The release of the final figures based </w:t>
      </w:r>
      <w:r w:rsidR="008E62C6" w:rsidRPr="00B92B2E">
        <w:rPr>
          <w:rFonts w:ascii="Arial" w:hAnsi="Arial" w:cs="Arial"/>
          <w:color w:val="000000"/>
          <w:sz w:val="22"/>
          <w:szCs w:val="22"/>
        </w:rPr>
        <w:t xml:space="preserve">on </w:t>
      </w:r>
      <w:r w:rsidRPr="00B92B2E">
        <w:rPr>
          <w:rFonts w:ascii="Arial" w:hAnsi="Arial" w:cs="Arial"/>
          <w:color w:val="000000"/>
          <w:sz w:val="22"/>
          <w:szCs w:val="22"/>
        </w:rPr>
        <w:t>2011 Census will occur in mid 2013 and at that time the ERPs from 1991 to 2011 will be revised to align with the 2011 estimate. This realignment adjusts for intercensal error, which arises from errors in the estimates of the population in current and previous Censuses and errors in the estimates of any of the components of population change (births, deaths and migration) since the previous Census. For further information on intercensal error and its treatment, users are referred to feature articles in ABS publications 3101.0 Australian Demographic Statistics, Dec 2011 and 3101.0 Australian Demographic Statistics, Mar</w:t>
      </w:r>
      <w:r w:rsidR="00E23C7B" w:rsidRPr="00B92B2E">
        <w:rPr>
          <w:rFonts w:ascii="Arial" w:hAnsi="Arial" w:cs="Arial"/>
          <w:color w:val="000000"/>
          <w:sz w:val="22"/>
          <w:szCs w:val="22"/>
        </w:rPr>
        <w:t>ch</w:t>
      </w:r>
      <w:r w:rsidRPr="00B92B2E">
        <w:rPr>
          <w:rFonts w:ascii="Arial" w:hAnsi="Arial" w:cs="Arial"/>
          <w:color w:val="000000"/>
          <w:sz w:val="22"/>
          <w:szCs w:val="22"/>
        </w:rPr>
        <w:t xml:space="preserve"> 2012 available on the ABS website (</w:t>
      </w:r>
      <w:r w:rsidRPr="00804DDF">
        <w:rPr>
          <w:rFonts w:ascii="Arial" w:hAnsi="Arial" w:cs="Arial"/>
          <w:color w:val="000000"/>
          <w:sz w:val="22"/>
          <w:szCs w:val="22"/>
          <w:u w:val="single"/>
        </w:rPr>
        <w:t>http://www.abs.gov.au/</w:t>
      </w:r>
      <w:r w:rsidRPr="00B92B2E">
        <w:rPr>
          <w:rFonts w:ascii="Arial" w:hAnsi="Arial" w:cs="Arial"/>
          <w:color w:val="000000"/>
          <w:sz w:val="22"/>
          <w:szCs w:val="22"/>
        </w:rPr>
        <w:t>). Users should consider all sources of uncertainty when using these projections.</w:t>
      </w:r>
    </w:p>
    <w:p w:rsidR="009C24A0" w:rsidRPr="00B92B2E" w:rsidRDefault="009C24A0" w:rsidP="00B92B2E">
      <w:pPr>
        <w:spacing w:after="160" w:line="240" w:lineRule="atLeast"/>
        <w:rPr>
          <w:rFonts w:ascii="Arial" w:hAnsi="Arial" w:cs="Arial"/>
          <w:color w:val="000000"/>
          <w:sz w:val="22"/>
          <w:szCs w:val="22"/>
        </w:rPr>
      </w:pPr>
    </w:p>
    <w:p w:rsidR="003D03C4" w:rsidRPr="00B92B2E" w:rsidRDefault="007E46E8" w:rsidP="00B92B2E">
      <w:pPr>
        <w:spacing w:after="240"/>
        <w:rPr>
          <w:rFonts w:ascii="Arial" w:hAnsi="Arial" w:cs="Arial"/>
          <w:b/>
          <w:sz w:val="44"/>
          <w:szCs w:val="44"/>
        </w:rPr>
      </w:pPr>
      <w:r>
        <w:rPr>
          <w:rFonts w:ascii="Arial" w:hAnsi="Arial" w:cs="Arial"/>
          <w:sz w:val="22"/>
          <w:szCs w:val="22"/>
          <w:highlight w:val="yellow"/>
        </w:rPr>
        <w:br w:type="page"/>
      </w:r>
      <w:r w:rsidR="003D03C4" w:rsidRPr="00B92B2E">
        <w:rPr>
          <w:rFonts w:ascii="Arial" w:hAnsi="Arial" w:cs="Arial"/>
          <w:b/>
          <w:sz w:val="44"/>
          <w:szCs w:val="44"/>
        </w:rPr>
        <w:t>Overview of Territory Population Growth</w:t>
      </w:r>
      <w:bookmarkEnd w:id="3"/>
    </w:p>
    <w:p w:rsidR="003D03C4" w:rsidRPr="00B92B2E" w:rsidRDefault="003D03C4"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Population growth in the Territory is </w:t>
      </w:r>
      <w:r w:rsidR="00FC1853" w:rsidRPr="00B92B2E">
        <w:rPr>
          <w:rFonts w:ascii="Arial" w:hAnsi="Arial" w:cs="Arial"/>
          <w:color w:val="000000"/>
          <w:sz w:val="22"/>
          <w:szCs w:val="22"/>
        </w:rPr>
        <w:t xml:space="preserve">significantly </w:t>
      </w:r>
      <w:r w:rsidRPr="00B92B2E">
        <w:rPr>
          <w:rFonts w:ascii="Arial" w:hAnsi="Arial" w:cs="Arial"/>
          <w:color w:val="000000"/>
          <w:sz w:val="22"/>
          <w:szCs w:val="22"/>
        </w:rPr>
        <w:t>more volatile than Australian population growth</w:t>
      </w:r>
      <w:r w:rsidR="00FC1853" w:rsidRPr="00B92B2E">
        <w:rPr>
          <w:rFonts w:ascii="Arial" w:hAnsi="Arial" w:cs="Arial"/>
          <w:color w:val="000000"/>
          <w:sz w:val="22"/>
          <w:szCs w:val="22"/>
        </w:rPr>
        <w:t>, largely reflecting the impact of major projects on the Territory’s interstate and overseas migration. Nationally, population growth is influenced by changing fertility and mortality patterns over time and changes to Commonwea</w:t>
      </w:r>
      <w:r w:rsidR="00994267" w:rsidRPr="00B92B2E">
        <w:rPr>
          <w:rFonts w:ascii="Arial" w:hAnsi="Arial" w:cs="Arial"/>
          <w:color w:val="000000"/>
          <w:sz w:val="22"/>
          <w:szCs w:val="22"/>
        </w:rPr>
        <w:t xml:space="preserve">lth policy on the </w:t>
      </w:r>
      <w:r w:rsidR="006E14B8" w:rsidRPr="00B92B2E">
        <w:rPr>
          <w:rFonts w:ascii="Arial" w:hAnsi="Arial" w:cs="Arial"/>
          <w:color w:val="000000"/>
          <w:sz w:val="22"/>
          <w:szCs w:val="22"/>
        </w:rPr>
        <w:t xml:space="preserve">international </w:t>
      </w:r>
      <w:r w:rsidR="00994267" w:rsidRPr="00B92B2E">
        <w:rPr>
          <w:rFonts w:ascii="Arial" w:hAnsi="Arial" w:cs="Arial"/>
          <w:color w:val="000000"/>
          <w:sz w:val="22"/>
          <w:szCs w:val="22"/>
        </w:rPr>
        <w:t>migration intake program and visa applications</w:t>
      </w:r>
      <w:r w:rsidR="00FC1853" w:rsidRPr="00B92B2E">
        <w:rPr>
          <w:rFonts w:ascii="Arial" w:hAnsi="Arial" w:cs="Arial"/>
          <w:color w:val="000000"/>
          <w:sz w:val="22"/>
          <w:szCs w:val="22"/>
        </w:rPr>
        <w:t xml:space="preserve">. Population growth is also influenced by living conditions and employment opportunities in </w:t>
      </w:r>
      <w:smartTag w:uri="urn:schemas-microsoft-com:office:smarttags" w:element="country-region">
        <w:smartTag w:uri="urn:schemas-microsoft-com:office:smarttags" w:element="place">
          <w:r w:rsidR="00FC1853" w:rsidRPr="00B92B2E">
            <w:rPr>
              <w:rFonts w:ascii="Arial" w:hAnsi="Arial" w:cs="Arial"/>
              <w:color w:val="000000"/>
              <w:sz w:val="22"/>
              <w:szCs w:val="22"/>
            </w:rPr>
            <w:t>Australia</w:t>
          </w:r>
        </w:smartTag>
      </w:smartTag>
      <w:r w:rsidR="00FC1853" w:rsidRPr="00B92B2E">
        <w:rPr>
          <w:rFonts w:ascii="Arial" w:hAnsi="Arial" w:cs="Arial"/>
          <w:color w:val="000000"/>
          <w:sz w:val="22"/>
          <w:szCs w:val="22"/>
        </w:rPr>
        <w:t xml:space="preserve"> compared with those </w:t>
      </w:r>
      <w:r w:rsidR="003A7497" w:rsidRPr="00B92B2E">
        <w:rPr>
          <w:rFonts w:ascii="Arial" w:hAnsi="Arial" w:cs="Arial"/>
          <w:color w:val="000000"/>
          <w:sz w:val="22"/>
          <w:szCs w:val="22"/>
        </w:rPr>
        <w:t>abroad</w:t>
      </w:r>
      <w:r w:rsidR="00FC1853" w:rsidRPr="00B92B2E">
        <w:rPr>
          <w:rFonts w:ascii="Arial" w:hAnsi="Arial" w:cs="Arial"/>
          <w:color w:val="000000"/>
          <w:sz w:val="22"/>
          <w:szCs w:val="22"/>
        </w:rPr>
        <w:t>.</w:t>
      </w:r>
    </w:p>
    <w:p w:rsidR="003D03C4" w:rsidRPr="00B92B2E" w:rsidRDefault="003D03C4" w:rsidP="00B92B2E">
      <w:pPr>
        <w:spacing w:after="160" w:line="240" w:lineRule="atLeast"/>
        <w:rPr>
          <w:rFonts w:ascii="Arial" w:hAnsi="Arial" w:cs="Arial"/>
          <w:color w:val="000000"/>
          <w:sz w:val="22"/>
          <w:szCs w:val="22"/>
        </w:rPr>
      </w:pPr>
      <w:r w:rsidRPr="00B92B2E">
        <w:rPr>
          <w:rFonts w:ascii="Arial" w:hAnsi="Arial" w:cs="Arial"/>
          <w:color w:val="000000"/>
          <w:sz w:val="22"/>
          <w:szCs w:val="22"/>
        </w:rPr>
        <w:t>Over the long</w:t>
      </w:r>
      <w:r w:rsidR="003A7497" w:rsidRPr="00B92B2E">
        <w:rPr>
          <w:rFonts w:ascii="Arial" w:hAnsi="Arial" w:cs="Arial"/>
          <w:color w:val="000000"/>
          <w:sz w:val="22"/>
          <w:szCs w:val="22"/>
        </w:rPr>
        <w:t xml:space="preserve"> </w:t>
      </w:r>
      <w:r w:rsidRPr="00B92B2E">
        <w:rPr>
          <w:rFonts w:ascii="Arial" w:hAnsi="Arial" w:cs="Arial"/>
          <w:color w:val="000000"/>
          <w:sz w:val="22"/>
          <w:szCs w:val="22"/>
        </w:rPr>
        <w:t xml:space="preserve">term, </w:t>
      </w:r>
      <w:r w:rsidR="00FC1853" w:rsidRPr="00B92B2E">
        <w:rPr>
          <w:rFonts w:ascii="Arial" w:hAnsi="Arial" w:cs="Arial"/>
          <w:color w:val="000000"/>
          <w:sz w:val="22"/>
          <w:szCs w:val="22"/>
        </w:rPr>
        <w:t xml:space="preserve">the Territory’s population growth has been predominately driven by </w:t>
      </w:r>
      <w:r w:rsidRPr="00B92B2E">
        <w:rPr>
          <w:rFonts w:ascii="Arial" w:hAnsi="Arial" w:cs="Arial"/>
          <w:color w:val="000000"/>
          <w:sz w:val="22"/>
          <w:szCs w:val="22"/>
        </w:rPr>
        <w:t>natural increase</w:t>
      </w:r>
      <w:r w:rsidR="007379AA" w:rsidRPr="00B92B2E">
        <w:rPr>
          <w:rFonts w:ascii="Arial" w:hAnsi="Arial" w:cs="Arial"/>
          <w:color w:val="000000"/>
          <w:sz w:val="22"/>
          <w:szCs w:val="22"/>
        </w:rPr>
        <w:t xml:space="preserve"> (births less deaths).</w:t>
      </w:r>
      <w:r w:rsidRPr="00B92B2E">
        <w:rPr>
          <w:rFonts w:ascii="Arial" w:hAnsi="Arial" w:cs="Arial"/>
          <w:color w:val="000000"/>
          <w:sz w:val="22"/>
          <w:szCs w:val="22"/>
        </w:rPr>
        <w:t xml:space="preserve"> The contribution of natural increase to</w:t>
      </w:r>
      <w:r w:rsidR="003A7497" w:rsidRPr="00B92B2E">
        <w:rPr>
          <w:rFonts w:ascii="Arial" w:hAnsi="Arial" w:cs="Arial"/>
          <w:color w:val="000000"/>
          <w:sz w:val="22"/>
          <w:szCs w:val="22"/>
        </w:rPr>
        <w:t xml:space="preserve"> the Territory’s</w:t>
      </w:r>
      <w:r w:rsidRPr="00B92B2E">
        <w:rPr>
          <w:rFonts w:ascii="Arial" w:hAnsi="Arial" w:cs="Arial"/>
          <w:color w:val="000000"/>
          <w:sz w:val="22"/>
          <w:szCs w:val="22"/>
        </w:rPr>
        <w:t xml:space="preserve"> annual </w:t>
      </w:r>
      <w:r w:rsidR="00FC1853" w:rsidRPr="00B92B2E">
        <w:rPr>
          <w:rFonts w:ascii="Arial" w:hAnsi="Arial" w:cs="Arial"/>
          <w:color w:val="000000"/>
          <w:sz w:val="22"/>
          <w:szCs w:val="22"/>
        </w:rPr>
        <w:t xml:space="preserve">population </w:t>
      </w:r>
      <w:r w:rsidRPr="00B92B2E">
        <w:rPr>
          <w:rFonts w:ascii="Arial" w:hAnsi="Arial" w:cs="Arial"/>
          <w:color w:val="000000"/>
          <w:sz w:val="22"/>
          <w:szCs w:val="22"/>
        </w:rPr>
        <w:t>growth is about double</w:t>
      </w:r>
      <w:r w:rsidR="00FC1853" w:rsidRPr="00B92B2E">
        <w:rPr>
          <w:rFonts w:ascii="Arial" w:hAnsi="Arial" w:cs="Arial"/>
          <w:color w:val="000000"/>
          <w:sz w:val="22"/>
          <w:szCs w:val="22"/>
        </w:rPr>
        <w:t xml:space="preserve"> that of the</w:t>
      </w:r>
      <w:r w:rsidRPr="00B92B2E">
        <w:rPr>
          <w:rFonts w:ascii="Arial" w:hAnsi="Arial" w:cs="Arial"/>
          <w:color w:val="000000"/>
          <w:sz w:val="22"/>
          <w:szCs w:val="22"/>
        </w:rPr>
        <w:t xml:space="preserve"> </w:t>
      </w:r>
      <w:r w:rsidR="00FC1853" w:rsidRPr="00B92B2E">
        <w:rPr>
          <w:rFonts w:ascii="Arial" w:hAnsi="Arial" w:cs="Arial"/>
          <w:color w:val="000000"/>
          <w:sz w:val="22"/>
          <w:szCs w:val="22"/>
        </w:rPr>
        <w:t>national</w:t>
      </w:r>
      <w:r w:rsidRPr="00B92B2E">
        <w:rPr>
          <w:rFonts w:ascii="Arial" w:hAnsi="Arial" w:cs="Arial"/>
          <w:color w:val="000000"/>
          <w:sz w:val="22"/>
          <w:szCs w:val="22"/>
        </w:rPr>
        <w:t xml:space="preserve"> percentage contribution.</w:t>
      </w:r>
    </w:p>
    <w:p w:rsidR="0085151D" w:rsidRPr="00B92B2E" w:rsidRDefault="003D03C4"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The Territory’s </w:t>
      </w:r>
      <w:r w:rsidR="0020510F" w:rsidRPr="00B92B2E">
        <w:rPr>
          <w:rFonts w:ascii="Arial" w:hAnsi="Arial" w:cs="Arial"/>
          <w:color w:val="000000"/>
          <w:sz w:val="22"/>
          <w:szCs w:val="22"/>
        </w:rPr>
        <w:t xml:space="preserve">fertility </w:t>
      </w:r>
      <w:r w:rsidRPr="00B92B2E">
        <w:rPr>
          <w:rFonts w:ascii="Arial" w:hAnsi="Arial" w:cs="Arial"/>
          <w:color w:val="000000"/>
          <w:sz w:val="22"/>
          <w:szCs w:val="22"/>
        </w:rPr>
        <w:t>rate is influenced by the age distribution of non</w:t>
      </w:r>
      <w:r w:rsidR="00E513ED" w:rsidRPr="00B92B2E">
        <w:rPr>
          <w:rFonts w:ascii="Arial" w:hAnsi="Arial" w:cs="Arial"/>
          <w:color w:val="000000"/>
          <w:sz w:val="22"/>
          <w:szCs w:val="22"/>
        </w:rPr>
        <w:t>-</w:t>
      </w:r>
      <w:r w:rsidRPr="00B92B2E">
        <w:rPr>
          <w:rFonts w:ascii="Arial" w:hAnsi="Arial" w:cs="Arial"/>
          <w:color w:val="000000"/>
          <w:sz w:val="22"/>
          <w:szCs w:val="22"/>
        </w:rPr>
        <w:t>Indigenous women, which favours the child</w:t>
      </w:r>
      <w:r w:rsidR="00E513ED" w:rsidRPr="00B92B2E">
        <w:rPr>
          <w:rFonts w:ascii="Arial" w:hAnsi="Arial" w:cs="Arial"/>
          <w:color w:val="000000"/>
          <w:sz w:val="22"/>
          <w:szCs w:val="22"/>
        </w:rPr>
        <w:t>-</w:t>
      </w:r>
      <w:r w:rsidRPr="00B92B2E">
        <w:rPr>
          <w:rFonts w:ascii="Arial" w:hAnsi="Arial" w:cs="Arial"/>
          <w:color w:val="000000"/>
          <w:sz w:val="22"/>
          <w:szCs w:val="22"/>
        </w:rPr>
        <w:t>bearing ages by comparison with other jurisdictions.</w:t>
      </w:r>
      <w:r w:rsidR="0020510F" w:rsidRPr="00B92B2E">
        <w:rPr>
          <w:rFonts w:ascii="Arial" w:hAnsi="Arial" w:cs="Arial"/>
          <w:color w:val="000000"/>
          <w:sz w:val="22"/>
          <w:szCs w:val="22"/>
        </w:rPr>
        <w:t xml:space="preserve"> As at June 20</w:t>
      </w:r>
      <w:r w:rsidR="001F23B0" w:rsidRPr="00B92B2E">
        <w:rPr>
          <w:rFonts w:ascii="Arial" w:hAnsi="Arial" w:cs="Arial"/>
          <w:color w:val="000000"/>
          <w:sz w:val="22"/>
          <w:szCs w:val="22"/>
        </w:rPr>
        <w:t>11</w:t>
      </w:r>
      <w:r w:rsidR="0020510F" w:rsidRPr="00B92B2E">
        <w:rPr>
          <w:rFonts w:ascii="Arial" w:hAnsi="Arial" w:cs="Arial"/>
          <w:color w:val="000000"/>
          <w:sz w:val="22"/>
          <w:szCs w:val="22"/>
        </w:rPr>
        <w:t>, 5</w:t>
      </w:r>
      <w:r w:rsidR="001F23B0" w:rsidRPr="00B92B2E">
        <w:rPr>
          <w:rFonts w:ascii="Arial" w:hAnsi="Arial" w:cs="Arial"/>
          <w:color w:val="000000"/>
          <w:sz w:val="22"/>
          <w:szCs w:val="22"/>
        </w:rPr>
        <w:t>6.2</w:t>
      </w:r>
      <w:r w:rsidR="0020510F" w:rsidRPr="00B92B2E">
        <w:rPr>
          <w:rFonts w:ascii="Arial" w:hAnsi="Arial" w:cs="Arial"/>
          <w:color w:val="000000"/>
          <w:sz w:val="22"/>
          <w:szCs w:val="22"/>
        </w:rPr>
        <w:t> per cent of non</w:t>
      </w:r>
      <w:r w:rsidR="0020510F" w:rsidRPr="00B92B2E">
        <w:rPr>
          <w:rFonts w:ascii="Arial" w:hAnsi="Arial" w:cs="Arial"/>
          <w:color w:val="000000"/>
          <w:sz w:val="22"/>
          <w:szCs w:val="22"/>
        </w:rPr>
        <w:noBreakHyphen/>
        <w:t xml:space="preserve">Indigenous women in the Territory were aged 15 to 49 years, compared with </w:t>
      </w:r>
      <w:r w:rsidR="001F23B0" w:rsidRPr="00B92B2E">
        <w:rPr>
          <w:rFonts w:ascii="Arial" w:hAnsi="Arial" w:cs="Arial"/>
          <w:color w:val="000000"/>
          <w:sz w:val="22"/>
          <w:szCs w:val="22"/>
        </w:rPr>
        <w:t>48.5</w:t>
      </w:r>
      <w:r w:rsidR="0020510F" w:rsidRPr="00B92B2E">
        <w:rPr>
          <w:rFonts w:ascii="Arial" w:hAnsi="Arial" w:cs="Arial"/>
          <w:color w:val="000000"/>
          <w:sz w:val="22"/>
          <w:szCs w:val="22"/>
        </w:rPr>
        <w:t xml:space="preserve"> per cent nationally. </w:t>
      </w:r>
      <w:r w:rsidRPr="00B92B2E">
        <w:rPr>
          <w:rFonts w:ascii="Arial" w:hAnsi="Arial" w:cs="Arial"/>
          <w:color w:val="000000"/>
          <w:sz w:val="22"/>
          <w:szCs w:val="22"/>
        </w:rPr>
        <w:t>High fertility rates among Territory Indigenous women also influence</w:t>
      </w:r>
      <w:r w:rsidR="0020510F" w:rsidRPr="00B92B2E">
        <w:rPr>
          <w:rFonts w:ascii="Arial" w:hAnsi="Arial" w:cs="Arial"/>
          <w:color w:val="000000"/>
          <w:sz w:val="22"/>
          <w:szCs w:val="22"/>
        </w:rPr>
        <w:t>s the Territory’s fertility rate</w:t>
      </w:r>
      <w:r w:rsidRPr="00B92B2E">
        <w:rPr>
          <w:rFonts w:ascii="Arial" w:hAnsi="Arial" w:cs="Arial"/>
          <w:color w:val="000000"/>
          <w:sz w:val="22"/>
          <w:szCs w:val="22"/>
        </w:rPr>
        <w:t xml:space="preserve">. </w:t>
      </w:r>
    </w:p>
    <w:p w:rsidR="003D03C4" w:rsidRPr="00B92B2E" w:rsidRDefault="003D03C4"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Territorians have a lower life expectancy than people in other </w:t>
      </w:r>
      <w:r w:rsidR="0020510F" w:rsidRPr="00B92B2E">
        <w:rPr>
          <w:rFonts w:ascii="Arial" w:hAnsi="Arial" w:cs="Arial"/>
          <w:color w:val="000000"/>
          <w:sz w:val="22"/>
          <w:szCs w:val="22"/>
        </w:rPr>
        <w:t>jurisdictions, reflecting</w:t>
      </w:r>
      <w:r w:rsidRPr="00B92B2E">
        <w:rPr>
          <w:rFonts w:ascii="Arial" w:hAnsi="Arial" w:cs="Arial"/>
          <w:color w:val="000000"/>
          <w:sz w:val="22"/>
          <w:szCs w:val="22"/>
        </w:rPr>
        <w:t xml:space="preserve"> high mortality rates in the Territory’s Indigenous population, largely the result of a high prevalence and early onset of chronic disease. Non</w:t>
      </w:r>
      <w:r w:rsidR="0020510F" w:rsidRPr="00B92B2E">
        <w:rPr>
          <w:rFonts w:ascii="Arial" w:hAnsi="Arial" w:cs="Arial"/>
          <w:color w:val="000000"/>
          <w:sz w:val="22"/>
          <w:szCs w:val="22"/>
        </w:rPr>
        <w:noBreakHyphen/>
      </w:r>
      <w:r w:rsidRPr="00B92B2E">
        <w:rPr>
          <w:rFonts w:ascii="Arial" w:hAnsi="Arial" w:cs="Arial"/>
          <w:color w:val="000000"/>
          <w:sz w:val="22"/>
          <w:szCs w:val="22"/>
        </w:rPr>
        <w:t>Indigenous life expectancy is</w:t>
      </w:r>
      <w:r w:rsidR="0020510F" w:rsidRPr="00B92B2E">
        <w:rPr>
          <w:rFonts w:ascii="Arial" w:hAnsi="Arial" w:cs="Arial"/>
          <w:color w:val="000000"/>
          <w:sz w:val="22"/>
          <w:szCs w:val="22"/>
        </w:rPr>
        <w:t xml:space="preserve"> also lower than those in other jurisdictions</w:t>
      </w:r>
      <w:r w:rsidR="000B2BD2" w:rsidRPr="00B92B2E">
        <w:rPr>
          <w:rFonts w:ascii="Arial" w:hAnsi="Arial" w:cs="Arial"/>
          <w:color w:val="000000"/>
          <w:sz w:val="22"/>
          <w:szCs w:val="22"/>
        </w:rPr>
        <w:t xml:space="preserve"> due to </w:t>
      </w:r>
      <w:r w:rsidR="00B476DB" w:rsidRPr="00B92B2E">
        <w:rPr>
          <w:rFonts w:ascii="Arial" w:hAnsi="Arial" w:cs="Arial"/>
          <w:color w:val="000000"/>
          <w:sz w:val="22"/>
          <w:szCs w:val="22"/>
        </w:rPr>
        <w:t>the higher proportion of the population in the younger age groups, who typically partake in more risky behaviours</w:t>
      </w:r>
      <w:r w:rsidRPr="00B92B2E">
        <w:rPr>
          <w:rFonts w:ascii="Arial" w:hAnsi="Arial" w:cs="Arial"/>
          <w:color w:val="000000"/>
          <w:sz w:val="22"/>
          <w:szCs w:val="22"/>
        </w:rPr>
        <w:t>. Despite a lower life expectancy, the Territory’s population experiences a relatively low crude death rate</w:t>
      </w:r>
      <w:r w:rsidR="0020510F" w:rsidRPr="00B92B2E">
        <w:rPr>
          <w:rFonts w:ascii="Arial" w:hAnsi="Arial" w:cs="Arial"/>
          <w:color w:val="000000"/>
          <w:sz w:val="22"/>
          <w:szCs w:val="22"/>
        </w:rPr>
        <w:t xml:space="preserve"> (deaths per 1000 persons)</w:t>
      </w:r>
      <w:r w:rsidRPr="00B92B2E">
        <w:rPr>
          <w:rFonts w:ascii="Arial" w:hAnsi="Arial" w:cs="Arial"/>
          <w:color w:val="000000"/>
          <w:sz w:val="22"/>
          <w:szCs w:val="22"/>
        </w:rPr>
        <w:t xml:space="preserve"> because of its young age profile.</w:t>
      </w:r>
    </w:p>
    <w:p w:rsidR="003D03C4" w:rsidRPr="00B92B2E" w:rsidRDefault="001F23B0"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Although more variable than the rate of natural increase, </w:t>
      </w:r>
      <w:r w:rsidR="007974CC" w:rsidRPr="00B92B2E">
        <w:rPr>
          <w:rFonts w:ascii="Arial" w:hAnsi="Arial" w:cs="Arial"/>
          <w:color w:val="000000"/>
          <w:sz w:val="22"/>
          <w:szCs w:val="22"/>
        </w:rPr>
        <w:t xml:space="preserve">net </w:t>
      </w:r>
      <w:r w:rsidR="003D03C4" w:rsidRPr="00B92B2E">
        <w:rPr>
          <w:rFonts w:ascii="Arial" w:hAnsi="Arial" w:cs="Arial"/>
          <w:color w:val="000000"/>
          <w:sz w:val="22"/>
          <w:szCs w:val="22"/>
        </w:rPr>
        <w:t xml:space="preserve">overseas migration </w:t>
      </w:r>
      <w:r w:rsidRPr="00B92B2E">
        <w:rPr>
          <w:rFonts w:ascii="Arial" w:hAnsi="Arial" w:cs="Arial"/>
          <w:color w:val="000000"/>
          <w:sz w:val="22"/>
          <w:szCs w:val="22"/>
        </w:rPr>
        <w:t xml:space="preserve">has been a </w:t>
      </w:r>
      <w:r w:rsidR="00762F3E" w:rsidRPr="00B92B2E">
        <w:rPr>
          <w:rFonts w:ascii="Arial" w:hAnsi="Arial" w:cs="Arial"/>
          <w:color w:val="000000"/>
          <w:sz w:val="22"/>
          <w:szCs w:val="22"/>
        </w:rPr>
        <w:t>relatively stable positive contributor to the Territory’s annual population growth</w:t>
      </w:r>
      <w:r w:rsidR="003D03C4" w:rsidRPr="00B92B2E">
        <w:rPr>
          <w:rFonts w:ascii="Arial" w:hAnsi="Arial" w:cs="Arial"/>
          <w:color w:val="000000"/>
          <w:sz w:val="22"/>
          <w:szCs w:val="22"/>
        </w:rPr>
        <w:t>. Net overseas migration has increased in recent years</w:t>
      </w:r>
      <w:r w:rsidR="00965181" w:rsidRPr="00B92B2E">
        <w:rPr>
          <w:rFonts w:ascii="Arial" w:hAnsi="Arial" w:cs="Arial"/>
          <w:color w:val="000000"/>
          <w:sz w:val="22"/>
          <w:szCs w:val="22"/>
        </w:rPr>
        <w:t>,</w:t>
      </w:r>
      <w:r w:rsidR="003D03C4" w:rsidRPr="00B92B2E">
        <w:rPr>
          <w:rFonts w:ascii="Arial" w:hAnsi="Arial" w:cs="Arial"/>
          <w:color w:val="000000"/>
          <w:sz w:val="22"/>
          <w:szCs w:val="22"/>
        </w:rPr>
        <w:t xml:space="preserve"> </w:t>
      </w:r>
      <w:r w:rsidR="00E03027" w:rsidRPr="00B92B2E">
        <w:rPr>
          <w:rFonts w:ascii="Arial" w:hAnsi="Arial" w:cs="Arial"/>
          <w:color w:val="000000"/>
          <w:sz w:val="22"/>
          <w:szCs w:val="22"/>
        </w:rPr>
        <w:t>reflecting</w:t>
      </w:r>
      <w:r w:rsidR="003D03C4" w:rsidRPr="00B92B2E">
        <w:rPr>
          <w:rFonts w:ascii="Arial" w:hAnsi="Arial" w:cs="Arial"/>
          <w:color w:val="000000"/>
          <w:sz w:val="22"/>
          <w:szCs w:val="22"/>
        </w:rPr>
        <w:t xml:space="preserve"> increased labour demand as a result of the resources boom and skills shortage</w:t>
      </w:r>
      <w:r w:rsidR="00994267" w:rsidRPr="00B92B2E">
        <w:rPr>
          <w:rFonts w:ascii="Arial" w:hAnsi="Arial" w:cs="Arial"/>
          <w:color w:val="000000"/>
          <w:sz w:val="22"/>
          <w:szCs w:val="22"/>
        </w:rPr>
        <w:t>s</w:t>
      </w:r>
      <w:r w:rsidR="00E513ED" w:rsidRPr="00B92B2E">
        <w:rPr>
          <w:rFonts w:ascii="Arial" w:hAnsi="Arial" w:cs="Arial"/>
          <w:color w:val="000000"/>
          <w:sz w:val="22"/>
          <w:szCs w:val="22"/>
        </w:rPr>
        <w:t>,</w:t>
      </w:r>
      <w:r w:rsidR="00994267" w:rsidRPr="00B92B2E">
        <w:rPr>
          <w:rFonts w:ascii="Arial" w:hAnsi="Arial" w:cs="Arial"/>
          <w:color w:val="000000"/>
          <w:sz w:val="22"/>
          <w:szCs w:val="22"/>
        </w:rPr>
        <w:t xml:space="preserve"> particularly for trades and technical workers and specialists in the mining </w:t>
      </w:r>
      <w:r w:rsidR="00D8737F" w:rsidRPr="00B92B2E">
        <w:rPr>
          <w:rFonts w:ascii="Arial" w:hAnsi="Arial" w:cs="Arial"/>
          <w:color w:val="000000"/>
          <w:sz w:val="22"/>
          <w:szCs w:val="22"/>
        </w:rPr>
        <w:t>and construction sectors</w:t>
      </w:r>
      <w:r w:rsidR="00994267" w:rsidRPr="00B92B2E">
        <w:rPr>
          <w:rFonts w:ascii="Arial" w:hAnsi="Arial" w:cs="Arial"/>
          <w:color w:val="000000"/>
          <w:sz w:val="22"/>
          <w:szCs w:val="22"/>
        </w:rPr>
        <w:t xml:space="preserve">. Net overseas migration in the Territory, is largely driven by demand for labour for major projects and is also heavily influenced by changes to Commonwealth </w:t>
      </w:r>
      <w:r w:rsidR="009F5CD3" w:rsidRPr="00B92B2E">
        <w:rPr>
          <w:rFonts w:ascii="Arial" w:hAnsi="Arial" w:cs="Arial"/>
          <w:color w:val="000000"/>
          <w:sz w:val="22"/>
          <w:szCs w:val="22"/>
        </w:rPr>
        <w:t>migration intake policies</w:t>
      </w:r>
      <w:r w:rsidR="00994267" w:rsidRPr="00B92B2E">
        <w:rPr>
          <w:rFonts w:ascii="Arial" w:hAnsi="Arial" w:cs="Arial"/>
          <w:color w:val="000000"/>
          <w:sz w:val="22"/>
          <w:szCs w:val="22"/>
        </w:rPr>
        <w:t xml:space="preserve">. </w:t>
      </w:r>
    </w:p>
    <w:p w:rsidR="008A0E50" w:rsidRPr="00B92B2E" w:rsidRDefault="003D03C4"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Significant fluctuations in the Territory’s annual population growth rate </w:t>
      </w:r>
      <w:r w:rsidR="008F7AD0" w:rsidRPr="00B92B2E">
        <w:rPr>
          <w:rFonts w:ascii="Arial" w:hAnsi="Arial" w:cs="Arial"/>
          <w:color w:val="000000"/>
          <w:sz w:val="22"/>
          <w:szCs w:val="22"/>
        </w:rPr>
        <w:t>are</w:t>
      </w:r>
      <w:r w:rsidR="00762F3E" w:rsidRPr="00B92B2E">
        <w:rPr>
          <w:rFonts w:ascii="Arial" w:hAnsi="Arial" w:cs="Arial"/>
          <w:color w:val="000000"/>
          <w:sz w:val="22"/>
          <w:szCs w:val="22"/>
        </w:rPr>
        <w:t xml:space="preserve"> </w:t>
      </w:r>
      <w:r w:rsidRPr="00B92B2E">
        <w:rPr>
          <w:rFonts w:ascii="Arial" w:hAnsi="Arial" w:cs="Arial"/>
          <w:color w:val="000000"/>
          <w:sz w:val="22"/>
          <w:szCs w:val="22"/>
        </w:rPr>
        <w:t>largely due to variations in interstate migration</w:t>
      </w:r>
      <w:r w:rsidR="00762F3E" w:rsidRPr="00B92B2E">
        <w:rPr>
          <w:rFonts w:ascii="Arial" w:hAnsi="Arial" w:cs="Arial"/>
          <w:color w:val="000000"/>
          <w:sz w:val="22"/>
          <w:szCs w:val="22"/>
        </w:rPr>
        <w:t xml:space="preserve"> (Chart </w:t>
      </w:r>
      <w:r w:rsidR="009F5CD3" w:rsidRPr="00B92B2E">
        <w:rPr>
          <w:rFonts w:ascii="Arial" w:hAnsi="Arial" w:cs="Arial"/>
          <w:color w:val="000000"/>
          <w:sz w:val="22"/>
          <w:szCs w:val="22"/>
        </w:rPr>
        <w:t>1</w:t>
      </w:r>
      <w:r w:rsidR="00762F3E" w:rsidRPr="00B92B2E">
        <w:rPr>
          <w:rFonts w:ascii="Arial" w:hAnsi="Arial" w:cs="Arial"/>
          <w:color w:val="000000"/>
          <w:sz w:val="22"/>
          <w:szCs w:val="22"/>
        </w:rPr>
        <w:t>)</w:t>
      </w:r>
      <w:r w:rsidRPr="00B92B2E">
        <w:rPr>
          <w:rFonts w:ascii="Arial" w:hAnsi="Arial" w:cs="Arial"/>
          <w:color w:val="000000"/>
          <w:sz w:val="22"/>
          <w:szCs w:val="22"/>
        </w:rPr>
        <w:t>. The Territory experiences very large interstate flows of people both into and out of the Territory</w:t>
      </w:r>
      <w:r w:rsidR="00762F3E" w:rsidRPr="00B92B2E">
        <w:rPr>
          <w:rFonts w:ascii="Arial" w:hAnsi="Arial" w:cs="Arial"/>
          <w:color w:val="000000"/>
          <w:sz w:val="22"/>
          <w:szCs w:val="22"/>
        </w:rPr>
        <w:t>, with about 7 per cent of the Territory’s population going interstate each year</w:t>
      </w:r>
      <w:r w:rsidR="001F23B0" w:rsidRPr="00B92B2E">
        <w:rPr>
          <w:rFonts w:ascii="Arial" w:hAnsi="Arial" w:cs="Arial"/>
          <w:color w:val="000000"/>
          <w:sz w:val="22"/>
          <w:szCs w:val="22"/>
        </w:rPr>
        <w:t xml:space="preserve"> and a similar </w:t>
      </w:r>
      <w:r w:rsidR="007974CC" w:rsidRPr="00B92B2E">
        <w:rPr>
          <w:rFonts w:ascii="Arial" w:hAnsi="Arial" w:cs="Arial"/>
          <w:color w:val="000000"/>
          <w:sz w:val="22"/>
          <w:szCs w:val="22"/>
        </w:rPr>
        <w:t>number arrives</w:t>
      </w:r>
      <w:r w:rsidR="001F23B0" w:rsidRPr="00B92B2E">
        <w:rPr>
          <w:rFonts w:ascii="Arial" w:hAnsi="Arial" w:cs="Arial"/>
          <w:color w:val="000000"/>
          <w:sz w:val="22"/>
          <w:szCs w:val="22"/>
        </w:rPr>
        <w:t xml:space="preserve"> from interstate</w:t>
      </w:r>
      <w:r w:rsidR="007974CC" w:rsidRPr="00B92B2E">
        <w:rPr>
          <w:rFonts w:ascii="Arial" w:hAnsi="Arial" w:cs="Arial"/>
          <w:color w:val="000000"/>
          <w:sz w:val="22"/>
          <w:szCs w:val="22"/>
        </w:rPr>
        <w:t xml:space="preserve">. </w:t>
      </w:r>
      <w:r w:rsidRPr="00B92B2E">
        <w:rPr>
          <w:rFonts w:ascii="Arial" w:hAnsi="Arial" w:cs="Arial"/>
          <w:color w:val="000000"/>
          <w:sz w:val="22"/>
          <w:szCs w:val="22"/>
        </w:rPr>
        <w:t xml:space="preserve">The net </w:t>
      </w:r>
      <w:r w:rsidR="00E03027" w:rsidRPr="00B92B2E">
        <w:rPr>
          <w:rFonts w:ascii="Arial" w:hAnsi="Arial" w:cs="Arial"/>
          <w:color w:val="000000"/>
          <w:sz w:val="22"/>
          <w:szCs w:val="22"/>
        </w:rPr>
        <w:t xml:space="preserve">annual </w:t>
      </w:r>
      <w:r w:rsidRPr="00B92B2E">
        <w:rPr>
          <w:rFonts w:ascii="Arial" w:hAnsi="Arial" w:cs="Arial"/>
          <w:color w:val="000000"/>
          <w:sz w:val="22"/>
          <w:szCs w:val="22"/>
        </w:rPr>
        <w:t xml:space="preserve">figure </w:t>
      </w:r>
      <w:r w:rsidR="00E03027" w:rsidRPr="00B92B2E">
        <w:rPr>
          <w:rFonts w:ascii="Arial" w:hAnsi="Arial" w:cs="Arial"/>
          <w:color w:val="000000"/>
          <w:sz w:val="22"/>
          <w:szCs w:val="22"/>
        </w:rPr>
        <w:t>is</w:t>
      </w:r>
      <w:r w:rsidRPr="00B92B2E">
        <w:rPr>
          <w:rFonts w:ascii="Arial" w:hAnsi="Arial" w:cs="Arial"/>
          <w:color w:val="000000"/>
          <w:sz w:val="22"/>
          <w:szCs w:val="22"/>
        </w:rPr>
        <w:t xml:space="preserve"> volatile</w:t>
      </w:r>
      <w:r w:rsidR="003C2E42" w:rsidRPr="00B92B2E">
        <w:rPr>
          <w:rFonts w:ascii="Arial" w:hAnsi="Arial" w:cs="Arial"/>
          <w:color w:val="000000"/>
          <w:sz w:val="22"/>
          <w:szCs w:val="22"/>
        </w:rPr>
        <w:t xml:space="preserve"> and </w:t>
      </w:r>
      <w:r w:rsidRPr="00B92B2E">
        <w:rPr>
          <w:rFonts w:ascii="Arial" w:hAnsi="Arial" w:cs="Arial"/>
          <w:color w:val="000000"/>
          <w:sz w:val="22"/>
          <w:szCs w:val="22"/>
        </w:rPr>
        <w:t xml:space="preserve">has fluctuated from negative </w:t>
      </w:r>
      <w:r w:rsidR="00AF4B54" w:rsidRPr="00B92B2E">
        <w:rPr>
          <w:rFonts w:ascii="Arial" w:hAnsi="Arial" w:cs="Arial"/>
          <w:color w:val="000000"/>
          <w:sz w:val="22"/>
          <w:szCs w:val="22"/>
        </w:rPr>
        <w:t>2768</w:t>
      </w:r>
      <w:r w:rsidR="00623D47" w:rsidRPr="00B92B2E">
        <w:rPr>
          <w:rFonts w:ascii="Arial" w:hAnsi="Arial" w:cs="Arial"/>
          <w:color w:val="000000"/>
          <w:sz w:val="22"/>
          <w:szCs w:val="22"/>
        </w:rPr>
        <w:t xml:space="preserve"> </w:t>
      </w:r>
      <w:r w:rsidR="00AF4B54" w:rsidRPr="00B92B2E">
        <w:rPr>
          <w:rFonts w:ascii="Arial" w:hAnsi="Arial" w:cs="Arial"/>
          <w:color w:val="000000"/>
          <w:sz w:val="22"/>
          <w:szCs w:val="22"/>
        </w:rPr>
        <w:t>to positive 1754</w:t>
      </w:r>
      <w:r w:rsidRPr="00B92B2E">
        <w:rPr>
          <w:rFonts w:ascii="Arial" w:hAnsi="Arial" w:cs="Arial"/>
          <w:color w:val="000000"/>
          <w:sz w:val="22"/>
          <w:szCs w:val="22"/>
        </w:rPr>
        <w:t xml:space="preserve"> </w:t>
      </w:r>
      <w:r w:rsidR="007974CC" w:rsidRPr="00B92B2E">
        <w:rPr>
          <w:rFonts w:ascii="Arial" w:hAnsi="Arial" w:cs="Arial"/>
          <w:color w:val="000000"/>
          <w:sz w:val="22"/>
          <w:szCs w:val="22"/>
        </w:rPr>
        <w:t xml:space="preserve">over </w:t>
      </w:r>
      <w:r w:rsidR="008A0E50" w:rsidRPr="00B92B2E">
        <w:rPr>
          <w:rFonts w:ascii="Arial" w:hAnsi="Arial" w:cs="Arial"/>
          <w:color w:val="000000"/>
          <w:sz w:val="22"/>
          <w:szCs w:val="22"/>
        </w:rPr>
        <w:t>the last 20</w:t>
      </w:r>
      <w:r w:rsidR="003C2E42" w:rsidRPr="00B92B2E">
        <w:rPr>
          <w:rFonts w:ascii="Arial" w:hAnsi="Arial" w:cs="Arial"/>
          <w:color w:val="000000"/>
          <w:sz w:val="22"/>
          <w:szCs w:val="22"/>
        </w:rPr>
        <w:t> </w:t>
      </w:r>
      <w:r w:rsidR="008A0E50" w:rsidRPr="00B92B2E">
        <w:rPr>
          <w:rFonts w:ascii="Arial" w:hAnsi="Arial" w:cs="Arial"/>
          <w:color w:val="000000"/>
          <w:sz w:val="22"/>
          <w:szCs w:val="22"/>
        </w:rPr>
        <w:t>years</w:t>
      </w:r>
      <w:r w:rsidR="003C2E42" w:rsidRPr="00B92B2E">
        <w:rPr>
          <w:rFonts w:ascii="Arial" w:hAnsi="Arial" w:cs="Arial"/>
          <w:color w:val="000000"/>
          <w:sz w:val="22"/>
          <w:szCs w:val="22"/>
        </w:rPr>
        <w:t xml:space="preserve">. However, interstate migration in the Territory </w:t>
      </w:r>
      <w:r w:rsidR="00E03027" w:rsidRPr="00B92B2E">
        <w:rPr>
          <w:rFonts w:ascii="Arial" w:hAnsi="Arial" w:cs="Arial"/>
          <w:color w:val="000000"/>
          <w:sz w:val="22"/>
          <w:szCs w:val="22"/>
        </w:rPr>
        <w:t xml:space="preserve">has </w:t>
      </w:r>
      <w:r w:rsidR="003C2E42" w:rsidRPr="00B92B2E">
        <w:rPr>
          <w:rFonts w:ascii="Arial" w:hAnsi="Arial" w:cs="Arial"/>
          <w:color w:val="000000"/>
          <w:sz w:val="22"/>
          <w:szCs w:val="22"/>
        </w:rPr>
        <w:t xml:space="preserve">typically </w:t>
      </w:r>
      <w:r w:rsidR="00E03027" w:rsidRPr="00B92B2E">
        <w:rPr>
          <w:rFonts w:ascii="Arial" w:hAnsi="Arial" w:cs="Arial"/>
          <w:color w:val="000000"/>
          <w:sz w:val="22"/>
          <w:szCs w:val="22"/>
        </w:rPr>
        <w:t xml:space="preserve">been </w:t>
      </w:r>
      <w:r w:rsidR="003C2E42" w:rsidRPr="00B92B2E">
        <w:rPr>
          <w:rFonts w:ascii="Arial" w:hAnsi="Arial" w:cs="Arial"/>
          <w:color w:val="000000"/>
          <w:sz w:val="22"/>
          <w:szCs w:val="22"/>
        </w:rPr>
        <w:t>a detractor from growth, with positive interstate migration occurring for short periods of time, in response to increased labour demand during the construction phase of major projects</w:t>
      </w:r>
      <w:r w:rsidR="008A0E50" w:rsidRPr="00B92B2E">
        <w:rPr>
          <w:rFonts w:ascii="Arial" w:hAnsi="Arial" w:cs="Arial"/>
          <w:color w:val="000000"/>
          <w:sz w:val="22"/>
          <w:szCs w:val="22"/>
        </w:rPr>
        <w:t>.</w:t>
      </w:r>
    </w:p>
    <w:p w:rsidR="00FD256D" w:rsidRPr="00B92B2E" w:rsidRDefault="008A0E50" w:rsidP="00B92B2E">
      <w:pPr>
        <w:spacing w:after="160" w:line="240" w:lineRule="atLeast"/>
        <w:rPr>
          <w:rFonts w:ascii="Arial" w:hAnsi="Arial" w:cs="Arial"/>
          <w:color w:val="000000"/>
          <w:sz w:val="22"/>
          <w:szCs w:val="22"/>
        </w:rPr>
      </w:pPr>
      <w:r w:rsidRPr="00B92B2E">
        <w:rPr>
          <w:rFonts w:ascii="Arial" w:hAnsi="Arial" w:cs="Arial"/>
          <w:color w:val="000000"/>
          <w:sz w:val="22"/>
          <w:szCs w:val="22"/>
        </w:rPr>
        <w:t>Although high rates of natural increase drive growth in both the Territory’s</w:t>
      </w:r>
      <w:r w:rsidR="00F56182" w:rsidRPr="00B92B2E">
        <w:rPr>
          <w:rFonts w:ascii="Arial" w:hAnsi="Arial" w:cs="Arial"/>
          <w:color w:val="000000"/>
          <w:sz w:val="22"/>
          <w:szCs w:val="22"/>
        </w:rPr>
        <w:t xml:space="preserve"> Indigenous and </w:t>
      </w:r>
      <w:r w:rsidRPr="00B92B2E">
        <w:rPr>
          <w:rFonts w:ascii="Arial" w:hAnsi="Arial" w:cs="Arial"/>
          <w:color w:val="000000"/>
          <w:sz w:val="22"/>
          <w:szCs w:val="22"/>
        </w:rPr>
        <w:t>non-Indigenous populations, variation</w:t>
      </w:r>
      <w:r w:rsidR="0087630F" w:rsidRPr="00B92B2E">
        <w:rPr>
          <w:rFonts w:ascii="Arial" w:hAnsi="Arial" w:cs="Arial"/>
          <w:color w:val="000000"/>
          <w:sz w:val="22"/>
          <w:szCs w:val="22"/>
        </w:rPr>
        <w:t>s</w:t>
      </w:r>
      <w:r w:rsidRPr="00B92B2E">
        <w:rPr>
          <w:rFonts w:ascii="Arial" w:hAnsi="Arial" w:cs="Arial"/>
          <w:color w:val="000000"/>
          <w:sz w:val="22"/>
          <w:szCs w:val="22"/>
        </w:rPr>
        <w:t xml:space="preserve"> in the Territory’s</w:t>
      </w:r>
      <w:r w:rsidR="00F56182" w:rsidRPr="00B92B2E">
        <w:rPr>
          <w:rFonts w:ascii="Arial" w:hAnsi="Arial" w:cs="Arial"/>
          <w:color w:val="000000"/>
          <w:sz w:val="22"/>
          <w:szCs w:val="22"/>
        </w:rPr>
        <w:t xml:space="preserve"> </w:t>
      </w:r>
      <w:r w:rsidRPr="00B92B2E">
        <w:rPr>
          <w:rFonts w:ascii="Arial" w:hAnsi="Arial" w:cs="Arial"/>
          <w:color w:val="000000"/>
          <w:sz w:val="22"/>
          <w:szCs w:val="22"/>
        </w:rPr>
        <w:t xml:space="preserve">annual </w:t>
      </w:r>
      <w:r w:rsidR="009F5CD3" w:rsidRPr="00B92B2E">
        <w:rPr>
          <w:rFonts w:ascii="Arial" w:hAnsi="Arial" w:cs="Arial"/>
          <w:color w:val="000000"/>
          <w:sz w:val="22"/>
          <w:szCs w:val="22"/>
        </w:rPr>
        <w:t xml:space="preserve">population </w:t>
      </w:r>
      <w:r w:rsidRPr="00B92B2E">
        <w:rPr>
          <w:rFonts w:ascii="Arial" w:hAnsi="Arial" w:cs="Arial"/>
          <w:color w:val="000000"/>
          <w:sz w:val="22"/>
          <w:szCs w:val="22"/>
        </w:rPr>
        <w:t xml:space="preserve">growth rates </w:t>
      </w:r>
      <w:r w:rsidR="0087630F" w:rsidRPr="00B92B2E">
        <w:rPr>
          <w:rFonts w:ascii="Arial" w:hAnsi="Arial" w:cs="Arial"/>
          <w:color w:val="000000"/>
          <w:sz w:val="22"/>
          <w:szCs w:val="22"/>
        </w:rPr>
        <w:t xml:space="preserve">are </w:t>
      </w:r>
      <w:r w:rsidRPr="00B92B2E">
        <w:rPr>
          <w:rFonts w:ascii="Arial" w:hAnsi="Arial" w:cs="Arial"/>
          <w:color w:val="000000"/>
          <w:sz w:val="22"/>
          <w:szCs w:val="22"/>
        </w:rPr>
        <w:t>largely a consequence of the non-Indigenous</w:t>
      </w:r>
      <w:r w:rsidR="00F56182" w:rsidRPr="00B92B2E">
        <w:rPr>
          <w:rFonts w:ascii="Arial" w:hAnsi="Arial" w:cs="Arial"/>
          <w:color w:val="000000"/>
          <w:sz w:val="22"/>
          <w:szCs w:val="22"/>
        </w:rPr>
        <w:t xml:space="preserve"> </w:t>
      </w:r>
      <w:r w:rsidRPr="00B92B2E">
        <w:rPr>
          <w:rFonts w:ascii="Arial" w:hAnsi="Arial" w:cs="Arial"/>
          <w:color w:val="000000"/>
          <w:sz w:val="22"/>
          <w:szCs w:val="22"/>
        </w:rPr>
        <w:t>population, through interstate and, to a lesser extent, overseas</w:t>
      </w:r>
      <w:r w:rsidR="00F56182" w:rsidRPr="00B92B2E">
        <w:rPr>
          <w:rFonts w:ascii="Arial" w:hAnsi="Arial" w:cs="Arial"/>
          <w:color w:val="000000"/>
          <w:sz w:val="22"/>
          <w:szCs w:val="22"/>
        </w:rPr>
        <w:t xml:space="preserve"> </w:t>
      </w:r>
      <w:r w:rsidRPr="00B92B2E">
        <w:rPr>
          <w:rFonts w:ascii="Arial" w:hAnsi="Arial" w:cs="Arial"/>
          <w:color w:val="000000"/>
          <w:sz w:val="22"/>
          <w:szCs w:val="22"/>
        </w:rPr>
        <w:t>migration. The</w:t>
      </w:r>
      <w:r w:rsidR="00FC1853" w:rsidRPr="00B92B2E">
        <w:rPr>
          <w:rFonts w:ascii="Arial" w:hAnsi="Arial" w:cs="Arial"/>
          <w:color w:val="000000"/>
          <w:sz w:val="22"/>
          <w:szCs w:val="22"/>
        </w:rPr>
        <w:t xml:space="preserve"> Territory’s</w:t>
      </w:r>
      <w:r w:rsidRPr="00B92B2E">
        <w:rPr>
          <w:rFonts w:ascii="Arial" w:hAnsi="Arial" w:cs="Arial"/>
          <w:color w:val="000000"/>
          <w:sz w:val="22"/>
          <w:szCs w:val="22"/>
        </w:rPr>
        <w:t xml:space="preserve"> Indigenous population</w:t>
      </w:r>
      <w:r w:rsidR="00AF4B54" w:rsidRPr="00B92B2E">
        <w:rPr>
          <w:rFonts w:ascii="Arial" w:hAnsi="Arial" w:cs="Arial"/>
          <w:color w:val="000000"/>
          <w:sz w:val="22"/>
          <w:szCs w:val="22"/>
        </w:rPr>
        <w:t xml:space="preserve">, </w:t>
      </w:r>
      <w:r w:rsidR="00FC1853" w:rsidRPr="00B92B2E">
        <w:rPr>
          <w:rFonts w:ascii="Arial" w:hAnsi="Arial" w:cs="Arial"/>
          <w:color w:val="000000"/>
          <w:sz w:val="22"/>
          <w:szCs w:val="22"/>
        </w:rPr>
        <w:t>while highly mobile, typically moves intrastate and</w:t>
      </w:r>
      <w:r w:rsidRPr="00B92B2E">
        <w:rPr>
          <w:rFonts w:ascii="Arial" w:hAnsi="Arial" w:cs="Arial"/>
          <w:color w:val="000000"/>
          <w:sz w:val="22"/>
          <w:szCs w:val="22"/>
        </w:rPr>
        <w:t xml:space="preserve"> </w:t>
      </w:r>
      <w:r w:rsidR="00FB29DF" w:rsidRPr="00B92B2E">
        <w:rPr>
          <w:rFonts w:ascii="Arial" w:hAnsi="Arial" w:cs="Arial"/>
          <w:color w:val="000000"/>
          <w:sz w:val="22"/>
          <w:szCs w:val="22"/>
        </w:rPr>
        <w:t>experiences significantly lower rates of</w:t>
      </w:r>
      <w:r w:rsidR="00F56182" w:rsidRPr="00B92B2E">
        <w:rPr>
          <w:rFonts w:ascii="Arial" w:hAnsi="Arial" w:cs="Arial"/>
          <w:color w:val="000000"/>
          <w:sz w:val="22"/>
          <w:szCs w:val="22"/>
        </w:rPr>
        <w:t xml:space="preserve"> </w:t>
      </w:r>
      <w:r w:rsidRPr="00B92B2E">
        <w:rPr>
          <w:rFonts w:ascii="Arial" w:hAnsi="Arial" w:cs="Arial"/>
          <w:color w:val="000000"/>
          <w:sz w:val="22"/>
          <w:szCs w:val="22"/>
        </w:rPr>
        <w:t xml:space="preserve">net </w:t>
      </w:r>
      <w:r w:rsidR="00FC1853" w:rsidRPr="00B92B2E">
        <w:rPr>
          <w:rFonts w:ascii="Arial" w:hAnsi="Arial" w:cs="Arial"/>
          <w:color w:val="000000"/>
          <w:sz w:val="22"/>
          <w:szCs w:val="22"/>
        </w:rPr>
        <w:t xml:space="preserve">interstate and overseas </w:t>
      </w:r>
      <w:r w:rsidRPr="00B92B2E">
        <w:rPr>
          <w:rFonts w:ascii="Arial" w:hAnsi="Arial" w:cs="Arial"/>
          <w:color w:val="000000"/>
          <w:sz w:val="22"/>
          <w:szCs w:val="22"/>
        </w:rPr>
        <w:t>migration</w:t>
      </w:r>
      <w:r w:rsidR="00FC1853" w:rsidRPr="00B92B2E">
        <w:rPr>
          <w:rFonts w:ascii="Arial" w:hAnsi="Arial" w:cs="Arial"/>
          <w:color w:val="000000"/>
          <w:sz w:val="22"/>
          <w:szCs w:val="22"/>
        </w:rPr>
        <w:t>. As a consequence</w:t>
      </w:r>
      <w:r w:rsidR="003A7497" w:rsidRPr="00B92B2E">
        <w:rPr>
          <w:rFonts w:ascii="Arial" w:hAnsi="Arial" w:cs="Arial"/>
          <w:color w:val="000000"/>
          <w:sz w:val="22"/>
          <w:szCs w:val="22"/>
        </w:rPr>
        <w:t>,</w:t>
      </w:r>
      <w:r w:rsidR="00FC1853" w:rsidRPr="00B92B2E">
        <w:rPr>
          <w:rFonts w:ascii="Arial" w:hAnsi="Arial" w:cs="Arial"/>
          <w:color w:val="000000"/>
          <w:sz w:val="22"/>
          <w:szCs w:val="22"/>
        </w:rPr>
        <w:t xml:space="preserve"> population growth of the Indigenous population is significantly more stable</w:t>
      </w:r>
      <w:r w:rsidRPr="00B92B2E">
        <w:rPr>
          <w:rFonts w:ascii="Arial" w:hAnsi="Arial" w:cs="Arial"/>
          <w:color w:val="000000"/>
          <w:sz w:val="22"/>
          <w:szCs w:val="22"/>
        </w:rPr>
        <w:t xml:space="preserve"> and almost</w:t>
      </w:r>
      <w:r w:rsidR="00F56182" w:rsidRPr="00B92B2E">
        <w:rPr>
          <w:rFonts w:ascii="Arial" w:hAnsi="Arial" w:cs="Arial"/>
          <w:color w:val="000000"/>
          <w:sz w:val="22"/>
          <w:szCs w:val="22"/>
        </w:rPr>
        <w:t xml:space="preserve"> </w:t>
      </w:r>
      <w:r w:rsidRPr="00B92B2E">
        <w:rPr>
          <w:rFonts w:ascii="Arial" w:hAnsi="Arial" w:cs="Arial"/>
          <w:color w:val="000000"/>
          <w:sz w:val="22"/>
          <w:szCs w:val="22"/>
        </w:rPr>
        <w:t>exclusively a consequence of natural increase.</w:t>
      </w:r>
    </w:p>
    <w:p w:rsidR="00B341F7" w:rsidRDefault="00B341F7">
      <w:pPr>
        <w:rPr>
          <w:rFonts w:ascii="Arial" w:hAnsi="Arial" w:cs="Arial"/>
          <w:b/>
          <w:szCs w:val="22"/>
          <w:highlight w:val="yellow"/>
        </w:rPr>
      </w:pPr>
    </w:p>
    <w:p w:rsidR="003C2E42" w:rsidRPr="00B92B2E" w:rsidRDefault="00836785" w:rsidP="00B92B2E">
      <w:pPr>
        <w:spacing w:before="360" w:after="160" w:line="240" w:lineRule="atLeast"/>
        <w:rPr>
          <w:rFonts w:ascii="Arial" w:hAnsi="Arial" w:cs="Arial"/>
          <w:b/>
          <w:color w:val="000000"/>
          <w:sz w:val="22"/>
          <w:szCs w:val="22"/>
        </w:rPr>
      </w:pPr>
      <w:r>
        <w:rPr>
          <w:rFonts w:ascii="Arial" w:hAnsi="Arial" w:cs="Arial"/>
          <w:b/>
          <w:szCs w:val="22"/>
        </w:rPr>
        <w:br w:type="page"/>
      </w:r>
      <w:r w:rsidR="003C2E42" w:rsidRPr="00B92B2E">
        <w:rPr>
          <w:rFonts w:ascii="Arial" w:hAnsi="Arial" w:cs="Arial"/>
          <w:b/>
          <w:color w:val="000000"/>
          <w:sz w:val="22"/>
          <w:szCs w:val="22"/>
        </w:rPr>
        <w:t xml:space="preserve">Chart </w:t>
      </w:r>
      <w:r w:rsidR="00041140" w:rsidRPr="00B92B2E">
        <w:rPr>
          <w:rFonts w:ascii="Arial" w:hAnsi="Arial" w:cs="Arial"/>
          <w:b/>
          <w:color w:val="000000"/>
          <w:sz w:val="22"/>
          <w:szCs w:val="22"/>
        </w:rPr>
        <w:t>1</w:t>
      </w:r>
      <w:r w:rsidR="003C2E42" w:rsidRPr="00B92B2E">
        <w:rPr>
          <w:rFonts w:ascii="Arial" w:hAnsi="Arial" w:cs="Arial"/>
          <w:b/>
          <w:color w:val="000000"/>
          <w:sz w:val="22"/>
          <w:szCs w:val="22"/>
        </w:rPr>
        <w:t xml:space="preserve">: </w:t>
      </w:r>
      <w:r w:rsidR="00041140" w:rsidRPr="00B92B2E">
        <w:rPr>
          <w:rFonts w:ascii="Arial" w:hAnsi="Arial" w:cs="Arial"/>
          <w:b/>
          <w:color w:val="000000"/>
          <w:sz w:val="22"/>
          <w:szCs w:val="22"/>
        </w:rPr>
        <w:t>Components of Northern T</w:t>
      </w:r>
      <w:r w:rsidR="00B341F7" w:rsidRPr="00B92B2E">
        <w:rPr>
          <w:rFonts w:ascii="Arial" w:hAnsi="Arial" w:cs="Arial"/>
          <w:b/>
          <w:color w:val="000000"/>
          <w:sz w:val="22"/>
          <w:szCs w:val="22"/>
        </w:rPr>
        <w:t>erritory Population Growth, 2001 to 2012</w:t>
      </w:r>
    </w:p>
    <w:p w:rsidR="00FC44D0" w:rsidRDefault="00BB5FF0" w:rsidP="00FC44D0">
      <w:pPr>
        <w:keepNext/>
      </w:pPr>
      <w:r>
        <w:rPr>
          <w:noProof/>
          <w:lang w:eastAsia="en-AU"/>
        </w:rPr>
        <w:drawing>
          <wp:inline distT="0" distB="0" distL="0" distR="0" wp14:anchorId="0BBCFFE6">
            <wp:extent cx="5323840" cy="3961765"/>
            <wp:effectExtent l="0" t="0" r="0" b="0"/>
            <wp:docPr id="77" name="Picture 77" descr="Chart 1: Components of Northern Territory Population Growth, 2001 to 2012" titl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3840" cy="3961765"/>
                    </a:xfrm>
                    <a:prstGeom prst="rect">
                      <a:avLst/>
                    </a:prstGeom>
                    <a:noFill/>
                  </pic:spPr>
                </pic:pic>
              </a:graphicData>
            </a:graphic>
          </wp:inline>
        </w:drawing>
      </w:r>
    </w:p>
    <w:p w:rsidR="009F5CD3" w:rsidRPr="00B92B2E" w:rsidRDefault="00041140" w:rsidP="003C2E42">
      <w:pPr>
        <w:rPr>
          <w:rFonts w:ascii="Arial" w:hAnsi="Arial" w:cs="Arial"/>
          <w:b/>
          <w:sz w:val="44"/>
          <w:szCs w:val="44"/>
        </w:rPr>
      </w:pPr>
      <w:r w:rsidRPr="00041140">
        <w:rPr>
          <w:rFonts w:ascii="Arial" w:hAnsi="Arial" w:cs="Arial"/>
          <w:sz w:val="16"/>
          <w:szCs w:val="16"/>
        </w:rPr>
        <w:t>Source: ABS. Cat. No. 3101.0</w:t>
      </w:r>
      <w:r w:rsidR="00A50C35" w:rsidRPr="00041140">
        <w:rPr>
          <w:rFonts w:ascii="Arial" w:hAnsi="Arial" w:cs="Arial"/>
          <w:sz w:val="16"/>
          <w:szCs w:val="16"/>
        </w:rPr>
        <w:br w:type="page"/>
      </w:r>
      <w:bookmarkStart w:id="4" w:name="_Toc303162897"/>
      <w:r w:rsidR="003A7497" w:rsidRPr="00B92B2E">
        <w:rPr>
          <w:rFonts w:ascii="Arial" w:hAnsi="Arial" w:cs="Arial"/>
          <w:b/>
          <w:sz w:val="44"/>
          <w:szCs w:val="44"/>
        </w:rPr>
        <w:t xml:space="preserve">NTPOP </w:t>
      </w:r>
      <w:r w:rsidR="00FD256D" w:rsidRPr="00B92B2E">
        <w:rPr>
          <w:rFonts w:ascii="Arial" w:hAnsi="Arial" w:cs="Arial"/>
          <w:b/>
          <w:sz w:val="44"/>
          <w:szCs w:val="44"/>
        </w:rPr>
        <w:t>Population Projections Model</w:t>
      </w:r>
      <w:bookmarkEnd w:id="4"/>
    </w:p>
    <w:p w:rsidR="00FD256D" w:rsidRPr="00B92B2E" w:rsidRDefault="00FD256D" w:rsidP="00B92B2E">
      <w:pPr>
        <w:spacing w:before="240" w:after="160" w:line="240" w:lineRule="atLeast"/>
        <w:rPr>
          <w:rFonts w:ascii="Arial" w:hAnsi="Arial" w:cs="Arial"/>
          <w:b/>
          <w:color w:val="000000"/>
          <w:sz w:val="28"/>
          <w:szCs w:val="28"/>
        </w:rPr>
      </w:pPr>
      <w:r w:rsidRPr="00B92B2E">
        <w:rPr>
          <w:rFonts w:ascii="Arial" w:hAnsi="Arial" w:cs="Arial"/>
          <w:b/>
          <w:color w:val="000000"/>
          <w:sz w:val="28"/>
          <w:szCs w:val="28"/>
        </w:rPr>
        <w:t>Development</w:t>
      </w:r>
    </w:p>
    <w:p w:rsidR="003A7497" w:rsidRPr="00B92B2E" w:rsidRDefault="00FD256D"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The </w:t>
      </w:r>
      <w:smartTag w:uri="urn:schemas-microsoft-com:office:smarttags" w:element="State">
        <w:smartTag w:uri="urn:schemas-microsoft-com:office:smarttags" w:element="place">
          <w:r w:rsidRPr="00B92B2E">
            <w:rPr>
              <w:rFonts w:ascii="Arial" w:hAnsi="Arial" w:cs="Arial"/>
              <w:color w:val="000000"/>
              <w:sz w:val="22"/>
              <w:szCs w:val="22"/>
            </w:rPr>
            <w:t>Northern Territory</w:t>
          </w:r>
        </w:smartTag>
      </w:smartTag>
      <w:r w:rsidRPr="00B92B2E">
        <w:rPr>
          <w:rFonts w:ascii="Arial" w:hAnsi="Arial" w:cs="Arial"/>
          <w:color w:val="000000"/>
          <w:sz w:val="22"/>
          <w:szCs w:val="22"/>
        </w:rPr>
        <w:t xml:space="preserve"> population projections were developed in response to a long-standing need within</w:t>
      </w:r>
      <w:r w:rsidR="007C690C" w:rsidRPr="00B92B2E">
        <w:rPr>
          <w:rFonts w:ascii="Arial" w:hAnsi="Arial" w:cs="Arial"/>
          <w:color w:val="000000"/>
          <w:sz w:val="22"/>
          <w:szCs w:val="22"/>
        </w:rPr>
        <w:t xml:space="preserve"> the Northern Territory Government</w:t>
      </w:r>
      <w:r w:rsidRPr="00B92B2E">
        <w:rPr>
          <w:rFonts w:ascii="Arial" w:hAnsi="Arial" w:cs="Arial"/>
          <w:color w:val="000000"/>
          <w:sz w:val="22"/>
          <w:szCs w:val="22"/>
        </w:rPr>
        <w:t xml:space="preserve"> </w:t>
      </w:r>
      <w:r w:rsidR="007C690C" w:rsidRPr="00B92B2E">
        <w:rPr>
          <w:rFonts w:ascii="Arial" w:hAnsi="Arial" w:cs="Arial"/>
          <w:color w:val="000000"/>
          <w:sz w:val="22"/>
          <w:szCs w:val="22"/>
        </w:rPr>
        <w:t>(</w:t>
      </w:r>
      <w:r w:rsidRPr="00B92B2E">
        <w:rPr>
          <w:rFonts w:ascii="Arial" w:hAnsi="Arial" w:cs="Arial"/>
          <w:color w:val="000000"/>
          <w:sz w:val="22"/>
          <w:szCs w:val="22"/>
        </w:rPr>
        <w:t>NTG</w:t>
      </w:r>
      <w:r w:rsidR="007C690C" w:rsidRPr="00B92B2E">
        <w:rPr>
          <w:rFonts w:ascii="Arial" w:hAnsi="Arial" w:cs="Arial"/>
          <w:color w:val="000000"/>
          <w:sz w:val="22"/>
          <w:szCs w:val="22"/>
        </w:rPr>
        <w:t>)</w:t>
      </w:r>
      <w:r w:rsidRPr="00B92B2E">
        <w:rPr>
          <w:rFonts w:ascii="Arial" w:hAnsi="Arial" w:cs="Arial"/>
          <w:color w:val="000000"/>
          <w:sz w:val="22"/>
          <w:szCs w:val="22"/>
        </w:rPr>
        <w:t xml:space="preserve"> to better understand the drivers of, and likely future trends for</w:t>
      </w:r>
      <w:r w:rsidR="008F21C6" w:rsidRPr="00B92B2E">
        <w:rPr>
          <w:rFonts w:ascii="Arial" w:hAnsi="Arial" w:cs="Arial"/>
          <w:color w:val="000000"/>
          <w:sz w:val="22"/>
          <w:szCs w:val="22"/>
        </w:rPr>
        <w:t xml:space="preserve"> </w:t>
      </w:r>
      <w:r w:rsidRPr="00B92B2E">
        <w:rPr>
          <w:rFonts w:ascii="Arial" w:hAnsi="Arial" w:cs="Arial"/>
          <w:color w:val="000000"/>
          <w:sz w:val="22"/>
          <w:szCs w:val="22"/>
        </w:rPr>
        <w:t xml:space="preserve">the Indigenous and non-Indigenous Territory populations. Although the ABS produces a range of projections series after each Census (for </w:t>
      </w:r>
      <w:smartTag w:uri="urn:schemas-microsoft-com:office:smarttags" w:element="country-region">
        <w:smartTag w:uri="urn:schemas-microsoft-com:office:smarttags" w:element="place">
          <w:r w:rsidRPr="00B92B2E">
            <w:rPr>
              <w:rFonts w:ascii="Arial" w:hAnsi="Arial" w:cs="Arial"/>
              <w:color w:val="000000"/>
              <w:sz w:val="22"/>
              <w:szCs w:val="22"/>
            </w:rPr>
            <w:t>Australia</w:t>
          </w:r>
        </w:smartTag>
      </w:smartTag>
      <w:r w:rsidRPr="00B92B2E">
        <w:rPr>
          <w:rFonts w:ascii="Arial" w:hAnsi="Arial" w:cs="Arial"/>
          <w:color w:val="000000"/>
          <w:sz w:val="22"/>
          <w:szCs w:val="22"/>
        </w:rPr>
        <w:t xml:space="preserve">, the </w:t>
      </w:r>
      <w:r w:rsidR="004C7454" w:rsidRPr="00B92B2E">
        <w:rPr>
          <w:rFonts w:ascii="Arial" w:hAnsi="Arial" w:cs="Arial"/>
          <w:color w:val="000000"/>
          <w:sz w:val="22"/>
          <w:szCs w:val="22"/>
        </w:rPr>
        <w:t>S</w:t>
      </w:r>
      <w:r w:rsidRPr="00B92B2E">
        <w:rPr>
          <w:rFonts w:ascii="Arial" w:hAnsi="Arial" w:cs="Arial"/>
          <w:color w:val="000000"/>
          <w:sz w:val="22"/>
          <w:szCs w:val="22"/>
        </w:rPr>
        <w:t xml:space="preserve">tates and </w:t>
      </w:r>
      <w:r w:rsidR="004C7454" w:rsidRPr="00B92B2E">
        <w:rPr>
          <w:rFonts w:ascii="Arial" w:hAnsi="Arial" w:cs="Arial"/>
          <w:color w:val="000000"/>
          <w:sz w:val="22"/>
          <w:szCs w:val="22"/>
        </w:rPr>
        <w:t>T</w:t>
      </w:r>
      <w:r w:rsidRPr="00B92B2E">
        <w:rPr>
          <w:rFonts w:ascii="Arial" w:hAnsi="Arial" w:cs="Arial"/>
          <w:color w:val="000000"/>
          <w:sz w:val="22"/>
          <w:szCs w:val="22"/>
        </w:rPr>
        <w:t xml:space="preserve">erritories, and the capital city/balance of </w:t>
      </w:r>
      <w:r w:rsidR="004C7454" w:rsidRPr="00B92B2E">
        <w:rPr>
          <w:rFonts w:ascii="Arial" w:hAnsi="Arial" w:cs="Arial"/>
          <w:color w:val="000000"/>
          <w:sz w:val="22"/>
          <w:szCs w:val="22"/>
        </w:rPr>
        <w:t>S</w:t>
      </w:r>
      <w:r w:rsidRPr="00B92B2E">
        <w:rPr>
          <w:rFonts w:ascii="Arial" w:hAnsi="Arial" w:cs="Arial"/>
          <w:color w:val="000000"/>
          <w:sz w:val="22"/>
          <w:szCs w:val="22"/>
        </w:rPr>
        <w:t>tate level), these projections do not take into account the different growth patterns in the Indigenous and non-Indigenous populations. This is a significant issue for the Territory</w:t>
      </w:r>
      <w:r w:rsidR="003A7497" w:rsidRPr="00B92B2E">
        <w:rPr>
          <w:rFonts w:ascii="Arial" w:hAnsi="Arial" w:cs="Arial"/>
          <w:color w:val="000000"/>
          <w:sz w:val="22"/>
          <w:szCs w:val="22"/>
        </w:rPr>
        <w:t xml:space="preserve">, with </w:t>
      </w:r>
      <w:r w:rsidRPr="00B92B2E">
        <w:rPr>
          <w:rFonts w:ascii="Arial" w:hAnsi="Arial" w:cs="Arial"/>
          <w:color w:val="000000"/>
          <w:sz w:val="22"/>
          <w:szCs w:val="22"/>
        </w:rPr>
        <w:t xml:space="preserve">the Indigenous population </w:t>
      </w:r>
      <w:r w:rsidR="003A7497" w:rsidRPr="00B92B2E">
        <w:rPr>
          <w:rFonts w:ascii="Arial" w:hAnsi="Arial" w:cs="Arial"/>
          <w:color w:val="000000"/>
          <w:sz w:val="22"/>
          <w:szCs w:val="22"/>
        </w:rPr>
        <w:t>accounting for</w:t>
      </w:r>
      <w:r w:rsidRPr="00B92B2E">
        <w:rPr>
          <w:rFonts w:ascii="Arial" w:hAnsi="Arial" w:cs="Arial"/>
          <w:color w:val="000000"/>
          <w:sz w:val="22"/>
          <w:szCs w:val="22"/>
        </w:rPr>
        <w:t xml:space="preserve"> </w:t>
      </w:r>
      <w:r w:rsidR="00EF61F6" w:rsidRPr="00B92B2E">
        <w:rPr>
          <w:rFonts w:ascii="Arial" w:hAnsi="Arial" w:cs="Arial"/>
          <w:color w:val="000000"/>
          <w:sz w:val="22"/>
          <w:szCs w:val="22"/>
        </w:rPr>
        <w:t xml:space="preserve">about </w:t>
      </w:r>
      <w:r w:rsidRPr="00B92B2E">
        <w:rPr>
          <w:rFonts w:ascii="Arial" w:hAnsi="Arial" w:cs="Arial"/>
          <w:color w:val="000000"/>
          <w:sz w:val="22"/>
          <w:szCs w:val="22"/>
        </w:rPr>
        <w:t>30</w:t>
      </w:r>
      <w:r w:rsidR="003C2E42" w:rsidRPr="00B92B2E">
        <w:rPr>
          <w:rFonts w:ascii="Arial" w:hAnsi="Arial" w:cs="Arial"/>
          <w:color w:val="000000"/>
          <w:sz w:val="22"/>
          <w:szCs w:val="22"/>
        </w:rPr>
        <w:t> </w:t>
      </w:r>
      <w:r w:rsidRPr="00B92B2E">
        <w:rPr>
          <w:rFonts w:ascii="Arial" w:hAnsi="Arial" w:cs="Arial"/>
          <w:color w:val="000000"/>
          <w:sz w:val="22"/>
          <w:szCs w:val="22"/>
        </w:rPr>
        <w:t>per</w:t>
      </w:r>
      <w:r w:rsidR="003C2E42" w:rsidRPr="00B92B2E">
        <w:rPr>
          <w:rFonts w:ascii="Arial" w:hAnsi="Arial" w:cs="Arial"/>
          <w:color w:val="000000"/>
          <w:sz w:val="22"/>
          <w:szCs w:val="22"/>
        </w:rPr>
        <w:t> </w:t>
      </w:r>
      <w:r w:rsidRPr="00B92B2E">
        <w:rPr>
          <w:rFonts w:ascii="Arial" w:hAnsi="Arial" w:cs="Arial"/>
          <w:color w:val="000000"/>
          <w:sz w:val="22"/>
          <w:szCs w:val="22"/>
        </w:rPr>
        <w:t>cent of the population</w:t>
      </w:r>
      <w:r w:rsidR="003A7497" w:rsidRPr="00B92B2E">
        <w:rPr>
          <w:rFonts w:ascii="Arial" w:hAnsi="Arial" w:cs="Arial"/>
          <w:color w:val="000000"/>
          <w:sz w:val="22"/>
          <w:szCs w:val="22"/>
        </w:rPr>
        <w:t>.</w:t>
      </w:r>
      <w:r w:rsidRPr="00B92B2E">
        <w:rPr>
          <w:rFonts w:ascii="Arial" w:hAnsi="Arial" w:cs="Arial"/>
          <w:color w:val="000000"/>
          <w:sz w:val="22"/>
          <w:szCs w:val="22"/>
        </w:rPr>
        <w:t xml:space="preserve"> </w:t>
      </w:r>
    </w:p>
    <w:p w:rsidR="00FD256D" w:rsidRPr="00B92B2E" w:rsidRDefault="003A7497" w:rsidP="00B92B2E">
      <w:pPr>
        <w:spacing w:after="160" w:line="240" w:lineRule="atLeast"/>
        <w:rPr>
          <w:rFonts w:ascii="Arial" w:hAnsi="Arial" w:cs="Arial"/>
          <w:color w:val="000000"/>
          <w:sz w:val="22"/>
          <w:szCs w:val="22"/>
        </w:rPr>
      </w:pPr>
      <w:r w:rsidRPr="00B92B2E">
        <w:rPr>
          <w:rFonts w:ascii="Arial" w:hAnsi="Arial" w:cs="Arial"/>
          <w:color w:val="000000"/>
          <w:sz w:val="22"/>
          <w:szCs w:val="22"/>
        </w:rPr>
        <w:t>In addition, p</w:t>
      </w:r>
      <w:r w:rsidR="00FD256D" w:rsidRPr="00B92B2E">
        <w:rPr>
          <w:rFonts w:ascii="Arial" w:hAnsi="Arial" w:cs="Arial"/>
          <w:color w:val="000000"/>
          <w:sz w:val="22"/>
          <w:szCs w:val="22"/>
        </w:rPr>
        <w:t>opulation denominators underpin important socio</w:t>
      </w:r>
      <w:r w:rsidR="003C2E42" w:rsidRPr="00B92B2E">
        <w:rPr>
          <w:rFonts w:ascii="Arial" w:hAnsi="Arial" w:cs="Arial"/>
          <w:color w:val="000000"/>
          <w:sz w:val="22"/>
          <w:szCs w:val="22"/>
        </w:rPr>
        <w:noBreakHyphen/>
      </w:r>
      <w:r w:rsidR="00FD256D" w:rsidRPr="00B92B2E">
        <w:rPr>
          <w:rFonts w:ascii="Arial" w:hAnsi="Arial" w:cs="Arial"/>
          <w:color w:val="000000"/>
          <w:sz w:val="22"/>
          <w:szCs w:val="22"/>
        </w:rPr>
        <w:t>economic rates and performance indicators. As such, population-specific denominators are required in order to properly plan for the very different and separate needs of the Indigenous and non</w:t>
      </w:r>
      <w:r w:rsidR="003C2E42" w:rsidRPr="00B92B2E">
        <w:rPr>
          <w:rFonts w:ascii="Arial" w:hAnsi="Arial" w:cs="Arial"/>
          <w:color w:val="000000"/>
          <w:sz w:val="22"/>
          <w:szCs w:val="22"/>
        </w:rPr>
        <w:noBreakHyphen/>
      </w:r>
      <w:r w:rsidR="00FD256D" w:rsidRPr="00B92B2E">
        <w:rPr>
          <w:rFonts w:ascii="Arial" w:hAnsi="Arial" w:cs="Arial"/>
          <w:color w:val="000000"/>
          <w:sz w:val="22"/>
          <w:szCs w:val="22"/>
        </w:rPr>
        <w:t>Indigenous populations. In addition, NTG agencies have a need for sub-Territory level projections, which the ABS</w:t>
      </w:r>
      <w:r w:rsidR="00BE68E4" w:rsidRPr="00B92B2E">
        <w:rPr>
          <w:rFonts w:ascii="Arial" w:hAnsi="Arial" w:cs="Arial"/>
          <w:color w:val="000000"/>
          <w:sz w:val="22"/>
          <w:szCs w:val="22"/>
        </w:rPr>
        <w:t xml:space="preserve"> projections</w:t>
      </w:r>
      <w:r w:rsidR="00FD256D" w:rsidRPr="00B92B2E">
        <w:rPr>
          <w:rFonts w:ascii="Arial" w:hAnsi="Arial" w:cs="Arial"/>
          <w:color w:val="000000"/>
          <w:sz w:val="22"/>
          <w:szCs w:val="22"/>
        </w:rPr>
        <w:t xml:space="preserve"> do</w:t>
      </w:r>
      <w:r w:rsidR="00BE68E4" w:rsidRPr="00B92B2E">
        <w:rPr>
          <w:rFonts w:ascii="Arial" w:hAnsi="Arial" w:cs="Arial"/>
          <w:color w:val="000000"/>
          <w:sz w:val="22"/>
          <w:szCs w:val="22"/>
        </w:rPr>
        <w:t xml:space="preserve"> </w:t>
      </w:r>
      <w:r w:rsidR="00FD256D" w:rsidRPr="00B92B2E">
        <w:rPr>
          <w:rFonts w:ascii="Arial" w:hAnsi="Arial" w:cs="Arial"/>
          <w:color w:val="000000"/>
          <w:sz w:val="22"/>
          <w:szCs w:val="22"/>
        </w:rPr>
        <w:t>not provide.</w:t>
      </w:r>
      <w:r w:rsidR="003C2E42" w:rsidRPr="00B92B2E">
        <w:rPr>
          <w:rFonts w:ascii="Arial" w:hAnsi="Arial" w:cs="Arial"/>
          <w:color w:val="000000"/>
          <w:sz w:val="22"/>
          <w:szCs w:val="22"/>
        </w:rPr>
        <w:t xml:space="preserve"> </w:t>
      </w:r>
    </w:p>
    <w:p w:rsidR="00FD256D" w:rsidRPr="00B92B2E" w:rsidRDefault="00FD256D"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The process of developing </w:t>
      </w:r>
      <w:r w:rsidR="003F5505" w:rsidRPr="00B92B2E">
        <w:rPr>
          <w:rFonts w:ascii="Arial" w:hAnsi="Arial" w:cs="Arial"/>
          <w:color w:val="000000"/>
          <w:sz w:val="22"/>
          <w:szCs w:val="22"/>
        </w:rPr>
        <w:t>population</w:t>
      </w:r>
      <w:r w:rsidRPr="00B92B2E">
        <w:rPr>
          <w:rFonts w:ascii="Arial" w:hAnsi="Arial" w:cs="Arial"/>
          <w:color w:val="000000"/>
          <w:sz w:val="22"/>
          <w:szCs w:val="22"/>
        </w:rPr>
        <w:t xml:space="preserve"> projections was approved by the NTG in December</w:t>
      </w:r>
      <w:r w:rsidR="003F5505" w:rsidRPr="00B92B2E">
        <w:rPr>
          <w:rFonts w:ascii="Arial" w:hAnsi="Arial" w:cs="Arial"/>
          <w:color w:val="000000"/>
          <w:sz w:val="22"/>
          <w:szCs w:val="22"/>
        </w:rPr>
        <w:t> </w:t>
      </w:r>
      <w:r w:rsidRPr="00B92B2E">
        <w:rPr>
          <w:rFonts w:ascii="Arial" w:hAnsi="Arial" w:cs="Arial"/>
          <w:color w:val="000000"/>
          <w:sz w:val="22"/>
          <w:szCs w:val="22"/>
        </w:rPr>
        <w:t xml:space="preserve">2007. </w:t>
      </w:r>
      <w:r w:rsidR="000B2BD2" w:rsidRPr="00B92B2E">
        <w:rPr>
          <w:rFonts w:ascii="Arial" w:hAnsi="Arial" w:cs="Arial"/>
          <w:color w:val="000000"/>
          <w:sz w:val="22"/>
          <w:szCs w:val="22"/>
        </w:rPr>
        <w:t>A</w:t>
      </w:r>
      <w:r w:rsidRPr="00B92B2E">
        <w:rPr>
          <w:rFonts w:ascii="Arial" w:hAnsi="Arial" w:cs="Arial"/>
          <w:color w:val="000000"/>
          <w:sz w:val="22"/>
          <w:szCs w:val="22"/>
        </w:rPr>
        <w:t xml:space="preserve">gencies </w:t>
      </w:r>
      <w:r w:rsidR="000B2BD2" w:rsidRPr="00B92B2E">
        <w:rPr>
          <w:rFonts w:ascii="Arial" w:hAnsi="Arial" w:cs="Arial"/>
          <w:color w:val="000000"/>
          <w:sz w:val="22"/>
          <w:szCs w:val="22"/>
        </w:rPr>
        <w:t xml:space="preserve">are required </w:t>
      </w:r>
      <w:r w:rsidRPr="00B92B2E">
        <w:rPr>
          <w:rFonts w:ascii="Arial" w:hAnsi="Arial" w:cs="Arial"/>
          <w:color w:val="000000"/>
          <w:sz w:val="22"/>
          <w:szCs w:val="22"/>
        </w:rPr>
        <w:t xml:space="preserve">to use the NTG projections unless another approach was warranted and </w:t>
      </w:r>
      <w:r w:rsidR="000B2BD2" w:rsidRPr="00B92B2E">
        <w:rPr>
          <w:rFonts w:ascii="Arial" w:hAnsi="Arial" w:cs="Arial"/>
          <w:color w:val="000000"/>
          <w:sz w:val="22"/>
          <w:szCs w:val="22"/>
        </w:rPr>
        <w:t xml:space="preserve">can </w:t>
      </w:r>
      <w:r w:rsidRPr="00B92B2E">
        <w:rPr>
          <w:rFonts w:ascii="Arial" w:hAnsi="Arial" w:cs="Arial"/>
          <w:color w:val="000000"/>
          <w:sz w:val="22"/>
          <w:szCs w:val="22"/>
        </w:rPr>
        <w:t>be justified.</w:t>
      </w:r>
      <w:r w:rsidR="00E44B36" w:rsidRPr="00B92B2E">
        <w:rPr>
          <w:rFonts w:ascii="Arial" w:hAnsi="Arial" w:cs="Arial"/>
          <w:color w:val="000000"/>
          <w:sz w:val="22"/>
          <w:szCs w:val="22"/>
        </w:rPr>
        <w:t xml:space="preserve"> </w:t>
      </w:r>
      <w:r w:rsidR="000B2BD2" w:rsidRPr="00B92B2E">
        <w:rPr>
          <w:rFonts w:ascii="Arial" w:hAnsi="Arial" w:cs="Arial"/>
          <w:color w:val="000000"/>
          <w:sz w:val="22"/>
          <w:szCs w:val="22"/>
        </w:rPr>
        <w:t>A</w:t>
      </w:r>
      <w:r w:rsidR="0017497D" w:rsidRPr="00B92B2E">
        <w:rPr>
          <w:rFonts w:ascii="Arial" w:hAnsi="Arial" w:cs="Arial"/>
          <w:color w:val="000000"/>
          <w:sz w:val="22"/>
          <w:szCs w:val="22"/>
        </w:rPr>
        <w:t xml:space="preserve">nnual </w:t>
      </w:r>
      <w:r w:rsidR="00E44B36" w:rsidRPr="00B92B2E">
        <w:rPr>
          <w:rFonts w:ascii="Arial" w:hAnsi="Arial" w:cs="Arial"/>
          <w:color w:val="000000"/>
          <w:sz w:val="22"/>
          <w:szCs w:val="22"/>
        </w:rPr>
        <w:t>review</w:t>
      </w:r>
      <w:r w:rsidR="0017497D" w:rsidRPr="00B92B2E">
        <w:rPr>
          <w:rFonts w:ascii="Arial" w:hAnsi="Arial" w:cs="Arial"/>
          <w:color w:val="000000"/>
          <w:sz w:val="22"/>
          <w:szCs w:val="22"/>
        </w:rPr>
        <w:t xml:space="preserve">s </w:t>
      </w:r>
      <w:r w:rsidR="000B2BD2" w:rsidRPr="00B92B2E">
        <w:rPr>
          <w:rFonts w:ascii="Arial" w:hAnsi="Arial" w:cs="Arial"/>
          <w:color w:val="000000"/>
          <w:sz w:val="22"/>
          <w:szCs w:val="22"/>
        </w:rPr>
        <w:t xml:space="preserve">of the projections are </w:t>
      </w:r>
      <w:r w:rsidR="0017497D" w:rsidRPr="00B92B2E">
        <w:rPr>
          <w:rFonts w:ascii="Arial" w:hAnsi="Arial" w:cs="Arial"/>
          <w:color w:val="000000"/>
          <w:sz w:val="22"/>
          <w:szCs w:val="22"/>
        </w:rPr>
        <w:t xml:space="preserve">conducted </w:t>
      </w:r>
      <w:r w:rsidR="000B2BD2" w:rsidRPr="00B92B2E">
        <w:rPr>
          <w:rFonts w:ascii="Arial" w:hAnsi="Arial" w:cs="Arial"/>
          <w:color w:val="000000"/>
          <w:sz w:val="22"/>
          <w:szCs w:val="22"/>
        </w:rPr>
        <w:t>with</w:t>
      </w:r>
      <w:r w:rsidR="00E44B36" w:rsidRPr="00B92B2E">
        <w:rPr>
          <w:rFonts w:ascii="Arial" w:hAnsi="Arial" w:cs="Arial"/>
          <w:color w:val="000000"/>
          <w:sz w:val="22"/>
          <w:szCs w:val="22"/>
        </w:rPr>
        <w:t xml:space="preserve"> </w:t>
      </w:r>
      <w:r w:rsidR="000B2BD2" w:rsidRPr="00B92B2E">
        <w:rPr>
          <w:rFonts w:ascii="Arial" w:hAnsi="Arial" w:cs="Arial"/>
          <w:color w:val="000000"/>
          <w:sz w:val="22"/>
          <w:szCs w:val="22"/>
        </w:rPr>
        <w:t xml:space="preserve">updates </w:t>
      </w:r>
      <w:r w:rsidR="00E44B36" w:rsidRPr="00B92B2E">
        <w:rPr>
          <w:rFonts w:ascii="Arial" w:hAnsi="Arial" w:cs="Arial"/>
          <w:color w:val="000000"/>
          <w:sz w:val="22"/>
          <w:szCs w:val="22"/>
        </w:rPr>
        <w:t>where necessary</w:t>
      </w:r>
      <w:r w:rsidR="00FC5067" w:rsidRPr="00B92B2E">
        <w:rPr>
          <w:rFonts w:ascii="Arial" w:hAnsi="Arial" w:cs="Arial"/>
          <w:color w:val="000000"/>
          <w:sz w:val="22"/>
          <w:szCs w:val="22"/>
        </w:rPr>
        <w:t>, with a major review</w:t>
      </w:r>
      <w:r w:rsidR="0017497D" w:rsidRPr="00B92B2E">
        <w:rPr>
          <w:rFonts w:ascii="Arial" w:hAnsi="Arial" w:cs="Arial"/>
          <w:color w:val="000000"/>
          <w:sz w:val="22"/>
          <w:szCs w:val="22"/>
        </w:rPr>
        <w:t xml:space="preserve"> and re-release of population projections</w:t>
      </w:r>
      <w:r w:rsidR="00FC5067" w:rsidRPr="00B92B2E">
        <w:rPr>
          <w:rFonts w:ascii="Arial" w:hAnsi="Arial" w:cs="Arial"/>
          <w:color w:val="000000"/>
          <w:sz w:val="22"/>
          <w:szCs w:val="22"/>
        </w:rPr>
        <w:t xml:space="preserve"> conducted every five years following the release of the Census</w:t>
      </w:r>
      <w:r w:rsidR="00E44B36" w:rsidRPr="00B92B2E">
        <w:rPr>
          <w:rFonts w:ascii="Arial" w:hAnsi="Arial" w:cs="Arial"/>
          <w:color w:val="000000"/>
          <w:sz w:val="22"/>
          <w:szCs w:val="22"/>
        </w:rPr>
        <w:t xml:space="preserve">. </w:t>
      </w:r>
    </w:p>
    <w:p w:rsidR="00FD256D" w:rsidRPr="00836785" w:rsidRDefault="00FD256D" w:rsidP="00B92B2E">
      <w:pPr>
        <w:spacing w:before="360" w:after="160" w:line="240" w:lineRule="atLeast"/>
        <w:rPr>
          <w:rFonts w:ascii="Arial" w:hAnsi="Arial" w:cs="Arial"/>
          <w:b/>
          <w:sz w:val="22"/>
          <w:szCs w:val="22"/>
        </w:rPr>
      </w:pPr>
      <w:r w:rsidRPr="00B92B2E">
        <w:rPr>
          <w:rFonts w:ascii="Arial" w:hAnsi="Arial" w:cs="Arial"/>
          <w:b/>
          <w:color w:val="000000"/>
          <w:sz w:val="22"/>
          <w:szCs w:val="22"/>
        </w:rPr>
        <w:t>Figure 1</w:t>
      </w:r>
      <w:r w:rsidR="00836785" w:rsidRPr="00B92B2E">
        <w:rPr>
          <w:rFonts w:ascii="Arial" w:hAnsi="Arial" w:cs="Arial"/>
          <w:b/>
          <w:color w:val="000000"/>
          <w:sz w:val="22"/>
          <w:szCs w:val="22"/>
        </w:rPr>
        <w:t xml:space="preserve">: </w:t>
      </w:r>
      <w:r w:rsidRPr="00B92B2E">
        <w:rPr>
          <w:rFonts w:ascii="Arial" w:hAnsi="Arial" w:cs="Arial"/>
          <w:b/>
          <w:color w:val="000000"/>
          <w:sz w:val="22"/>
          <w:szCs w:val="22"/>
        </w:rPr>
        <w:t>Principles for Developing Northern Territory Population Projection</w:t>
      </w:r>
      <w:r w:rsidR="00C80CB6" w:rsidRPr="00B92B2E">
        <w:rPr>
          <w:rFonts w:ascii="Arial" w:hAnsi="Arial" w:cs="Arial"/>
          <w:b/>
          <w:color w:val="000000"/>
          <w:sz w:val="22"/>
          <w:szCs w:val="22"/>
        </w:rPr>
        <w:t xml:space="preserve"> </w:t>
      </w:r>
      <w:r w:rsidRPr="00B92B2E">
        <w:rPr>
          <w:rFonts w:ascii="Arial" w:hAnsi="Arial" w:cs="Arial"/>
          <w:b/>
          <w:color w:val="000000"/>
          <w:sz w:val="22"/>
          <w:szCs w:val="22"/>
        </w:rPr>
        <w:t>Assumptions</w:t>
      </w:r>
    </w:p>
    <w:p w:rsidR="00FD256D" w:rsidRPr="006B735D" w:rsidRDefault="00FD256D" w:rsidP="00526E22">
      <w:pPr>
        <w:numPr>
          <w:ilvl w:val="0"/>
          <w:numId w:val="27"/>
        </w:num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120"/>
        <w:rPr>
          <w:rFonts w:ascii="Arial" w:hAnsi="Arial" w:cs="Arial"/>
          <w:sz w:val="22"/>
          <w:szCs w:val="22"/>
        </w:rPr>
      </w:pPr>
      <w:r w:rsidRPr="006B735D">
        <w:rPr>
          <w:rFonts w:ascii="Arial" w:hAnsi="Arial" w:cs="Arial"/>
          <w:sz w:val="22"/>
          <w:szCs w:val="22"/>
        </w:rPr>
        <w:t>The underlying assumptions for the parameter values of the projections model are to be based on statistical evidence.</w:t>
      </w:r>
    </w:p>
    <w:p w:rsidR="00FD256D" w:rsidRPr="006B735D" w:rsidRDefault="00FD256D" w:rsidP="00526E22">
      <w:pPr>
        <w:numPr>
          <w:ilvl w:val="0"/>
          <w:numId w:val="27"/>
        </w:num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120"/>
        <w:rPr>
          <w:rFonts w:ascii="Arial" w:hAnsi="Arial" w:cs="Arial"/>
          <w:sz w:val="22"/>
          <w:szCs w:val="22"/>
        </w:rPr>
      </w:pPr>
      <w:r w:rsidRPr="006B735D">
        <w:rPr>
          <w:rFonts w:ascii="Arial" w:hAnsi="Arial" w:cs="Arial"/>
          <w:sz w:val="22"/>
          <w:szCs w:val="22"/>
        </w:rPr>
        <w:t>Evidence will consist of information on and analyses of past trends and likely future trends in relation to fertility, mortality and migration.</w:t>
      </w:r>
    </w:p>
    <w:p w:rsidR="00FD256D" w:rsidRPr="006B735D" w:rsidRDefault="00FD256D" w:rsidP="00526E22">
      <w:pPr>
        <w:numPr>
          <w:ilvl w:val="0"/>
          <w:numId w:val="27"/>
        </w:num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120"/>
        <w:rPr>
          <w:rFonts w:ascii="Arial" w:hAnsi="Arial" w:cs="Arial"/>
          <w:sz w:val="22"/>
          <w:szCs w:val="22"/>
        </w:rPr>
      </w:pPr>
      <w:r w:rsidRPr="006B735D">
        <w:rPr>
          <w:rFonts w:ascii="Arial" w:hAnsi="Arial" w:cs="Arial"/>
          <w:sz w:val="22"/>
          <w:szCs w:val="22"/>
        </w:rPr>
        <w:t>All NTG agencies may put forward their views on the assumptions but evidence must be supplied in order to receive support for them.</w:t>
      </w:r>
    </w:p>
    <w:p w:rsidR="00FD256D" w:rsidRPr="006B735D" w:rsidRDefault="00FD256D" w:rsidP="00526E22">
      <w:pPr>
        <w:numPr>
          <w:ilvl w:val="0"/>
          <w:numId w:val="27"/>
        </w:num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120"/>
        <w:rPr>
          <w:rFonts w:ascii="Arial" w:hAnsi="Arial" w:cs="Arial"/>
          <w:sz w:val="22"/>
          <w:szCs w:val="22"/>
        </w:rPr>
      </w:pPr>
      <w:r w:rsidRPr="006B735D">
        <w:rPr>
          <w:rFonts w:ascii="Arial" w:hAnsi="Arial" w:cs="Arial"/>
          <w:sz w:val="22"/>
          <w:szCs w:val="22"/>
        </w:rPr>
        <w:t>Information about future possibilities may also be put forward, however policy</w:t>
      </w:r>
      <w:r w:rsidRPr="006B735D">
        <w:rPr>
          <w:rFonts w:ascii="MS Mincho" w:eastAsia="MS Mincho" w:hAnsi="MS Mincho" w:cs="MS Mincho" w:hint="eastAsia"/>
          <w:sz w:val="22"/>
          <w:szCs w:val="22"/>
        </w:rPr>
        <w:t>‑</w:t>
      </w:r>
      <w:r w:rsidRPr="006B735D">
        <w:rPr>
          <w:rFonts w:ascii="Arial" w:hAnsi="Arial" w:cs="Arial"/>
          <w:sz w:val="22"/>
          <w:szCs w:val="22"/>
        </w:rPr>
        <w:t>based assumptions which conflict with statistical evidence will not be considered for incorporation into the model.</w:t>
      </w:r>
    </w:p>
    <w:p w:rsidR="00FD256D" w:rsidRPr="006B735D" w:rsidRDefault="00FD256D" w:rsidP="00526E22">
      <w:pPr>
        <w:numPr>
          <w:ilvl w:val="0"/>
          <w:numId w:val="27"/>
        </w:num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120"/>
        <w:rPr>
          <w:rFonts w:ascii="Arial" w:hAnsi="Arial" w:cs="Arial"/>
          <w:sz w:val="22"/>
          <w:szCs w:val="22"/>
        </w:rPr>
      </w:pPr>
      <w:r w:rsidRPr="006B735D">
        <w:rPr>
          <w:rFonts w:ascii="Arial" w:hAnsi="Arial" w:cs="Arial"/>
          <w:sz w:val="22"/>
          <w:szCs w:val="22"/>
        </w:rPr>
        <w:t>Deviation from past trends may be built into the model. However, the rationale for such deviation must be soundly based.</w:t>
      </w:r>
    </w:p>
    <w:p w:rsidR="00FD256D" w:rsidRPr="006B735D" w:rsidRDefault="00FD256D" w:rsidP="00526E22">
      <w:pPr>
        <w:numPr>
          <w:ilvl w:val="0"/>
          <w:numId w:val="27"/>
        </w:num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120"/>
        <w:rPr>
          <w:rFonts w:ascii="Arial" w:hAnsi="Arial" w:cs="Arial"/>
          <w:sz w:val="22"/>
          <w:szCs w:val="22"/>
        </w:rPr>
      </w:pPr>
      <w:r w:rsidRPr="006B735D">
        <w:rPr>
          <w:rFonts w:ascii="Arial" w:hAnsi="Arial" w:cs="Arial"/>
          <w:sz w:val="22"/>
          <w:szCs w:val="22"/>
        </w:rPr>
        <w:t>There will be a process of review, annually at the most frequent and at least five yearly, allowing for change to the assumptions as new information comes to light.</w:t>
      </w:r>
    </w:p>
    <w:p w:rsidR="00FD256D" w:rsidRPr="00B92B2E" w:rsidRDefault="00FD256D" w:rsidP="00B92B2E">
      <w:pPr>
        <w:spacing w:before="240" w:after="160" w:line="240" w:lineRule="atLeast"/>
        <w:rPr>
          <w:rFonts w:ascii="Arial" w:hAnsi="Arial" w:cs="Arial"/>
          <w:b/>
          <w:color w:val="000000"/>
          <w:sz w:val="28"/>
          <w:szCs w:val="28"/>
        </w:rPr>
      </w:pPr>
      <w:r w:rsidRPr="00B92B2E">
        <w:rPr>
          <w:rFonts w:ascii="Arial" w:hAnsi="Arial" w:cs="Arial"/>
          <w:b/>
          <w:color w:val="000000"/>
          <w:sz w:val="28"/>
          <w:szCs w:val="28"/>
        </w:rPr>
        <w:t>Method</w:t>
      </w:r>
    </w:p>
    <w:p w:rsidR="00BE68E4" w:rsidRPr="00B92B2E" w:rsidRDefault="00FD256D"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The </w:t>
      </w:r>
      <w:r w:rsidR="009F5CD3" w:rsidRPr="00B92B2E">
        <w:rPr>
          <w:rFonts w:ascii="Arial" w:hAnsi="Arial" w:cs="Arial"/>
          <w:color w:val="000000"/>
          <w:sz w:val="22"/>
          <w:szCs w:val="22"/>
        </w:rPr>
        <w:t xml:space="preserve">NTPOP </w:t>
      </w:r>
      <w:r w:rsidRPr="00B92B2E">
        <w:rPr>
          <w:rFonts w:ascii="Arial" w:hAnsi="Arial" w:cs="Arial"/>
          <w:color w:val="000000"/>
          <w:sz w:val="22"/>
          <w:szCs w:val="22"/>
        </w:rPr>
        <w:t>projection model is a cohort-component growth model. The cohort</w:t>
      </w:r>
      <w:r w:rsidR="0096639B" w:rsidRPr="00B92B2E">
        <w:rPr>
          <w:rFonts w:ascii="Arial" w:hAnsi="Arial" w:cs="Arial"/>
          <w:color w:val="000000"/>
          <w:sz w:val="22"/>
          <w:szCs w:val="22"/>
        </w:rPr>
        <w:t>-</w:t>
      </w:r>
      <w:r w:rsidRPr="00B92B2E">
        <w:rPr>
          <w:rFonts w:ascii="Arial" w:hAnsi="Arial" w:cs="Arial"/>
          <w:color w:val="000000"/>
          <w:sz w:val="22"/>
          <w:szCs w:val="22"/>
        </w:rPr>
        <w:t>component method is the most common method used for demographic projections. The method adjusts a base population for births, deaths and migration, to arrive at a population one year into the future. The process continues for the extent of the projection horizon.</w:t>
      </w:r>
      <w:r w:rsidR="00BE68E4" w:rsidRPr="00B92B2E">
        <w:rPr>
          <w:rFonts w:ascii="Arial" w:hAnsi="Arial" w:cs="Arial"/>
          <w:color w:val="000000"/>
          <w:sz w:val="22"/>
          <w:szCs w:val="22"/>
        </w:rPr>
        <w:t xml:space="preserve"> </w:t>
      </w:r>
    </w:p>
    <w:p w:rsidR="00FD256D" w:rsidRPr="00B92B2E" w:rsidRDefault="00FD256D"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A short technical summary of the model is provided in Appendix </w:t>
      </w:r>
      <w:r w:rsidR="00D8737F" w:rsidRPr="00B92B2E">
        <w:rPr>
          <w:rFonts w:ascii="Arial" w:hAnsi="Arial" w:cs="Arial"/>
          <w:color w:val="000000"/>
          <w:sz w:val="22"/>
          <w:szCs w:val="22"/>
        </w:rPr>
        <w:t>2</w:t>
      </w:r>
      <w:r w:rsidRPr="00B92B2E">
        <w:rPr>
          <w:rFonts w:ascii="Arial" w:hAnsi="Arial" w:cs="Arial"/>
          <w:color w:val="000000"/>
          <w:sz w:val="22"/>
          <w:szCs w:val="22"/>
        </w:rPr>
        <w:t xml:space="preserve"> of this report. The mathematical details of the model are available from the </w:t>
      </w:r>
      <w:r w:rsidR="000F7394" w:rsidRPr="00B92B2E">
        <w:rPr>
          <w:rFonts w:ascii="Arial" w:hAnsi="Arial" w:cs="Arial"/>
          <w:color w:val="000000"/>
          <w:sz w:val="22"/>
          <w:szCs w:val="22"/>
        </w:rPr>
        <w:t>DTF</w:t>
      </w:r>
      <w:r w:rsidRPr="00B92B2E">
        <w:rPr>
          <w:rFonts w:ascii="Arial" w:hAnsi="Arial" w:cs="Arial"/>
          <w:color w:val="000000"/>
          <w:sz w:val="22"/>
          <w:szCs w:val="22"/>
        </w:rPr>
        <w:t xml:space="preserve"> website.</w:t>
      </w:r>
    </w:p>
    <w:p w:rsidR="00FD256D" w:rsidRPr="00B92B2E" w:rsidRDefault="00836785" w:rsidP="00B92B2E">
      <w:pPr>
        <w:spacing w:before="240" w:after="160" w:line="240" w:lineRule="atLeast"/>
        <w:rPr>
          <w:rFonts w:ascii="Arial" w:hAnsi="Arial" w:cs="Arial"/>
          <w:b/>
          <w:color w:val="000000"/>
          <w:sz w:val="28"/>
          <w:szCs w:val="28"/>
        </w:rPr>
      </w:pPr>
      <w:r>
        <w:rPr>
          <w:rFonts w:ascii="Arial" w:hAnsi="Arial" w:cs="Arial"/>
          <w:b/>
          <w:sz w:val="24"/>
          <w:szCs w:val="24"/>
        </w:rPr>
        <w:br w:type="page"/>
      </w:r>
      <w:r w:rsidR="00FD256D" w:rsidRPr="00B92B2E">
        <w:rPr>
          <w:rFonts w:ascii="Arial" w:hAnsi="Arial" w:cs="Arial"/>
          <w:b/>
          <w:color w:val="000000"/>
          <w:sz w:val="28"/>
          <w:szCs w:val="28"/>
        </w:rPr>
        <w:t>Output</w:t>
      </w:r>
      <w:r w:rsidR="0087630F" w:rsidRPr="00B92B2E">
        <w:rPr>
          <w:rFonts w:ascii="Arial" w:hAnsi="Arial" w:cs="Arial"/>
          <w:b/>
          <w:color w:val="000000"/>
          <w:sz w:val="28"/>
          <w:szCs w:val="28"/>
        </w:rPr>
        <w:t>s</w:t>
      </w:r>
    </w:p>
    <w:p w:rsidR="006B735D" w:rsidRPr="00B92B2E" w:rsidRDefault="006B735D"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Previous releases have included alternative projections, which demonstrate the sensitivity of the model to change in the baseline assumptions. For this interim projection, a single scenario (the NT baseline projection) has been produced. </w:t>
      </w:r>
      <w:r w:rsidR="00D96FE7" w:rsidRPr="00B92B2E">
        <w:rPr>
          <w:rFonts w:ascii="Arial" w:hAnsi="Arial" w:cs="Arial"/>
          <w:color w:val="000000"/>
          <w:sz w:val="22"/>
          <w:szCs w:val="22"/>
        </w:rPr>
        <w:t xml:space="preserve">However, to demonstrate the influence of migration on the projections, various </w:t>
      </w:r>
      <w:r w:rsidR="00395F2C" w:rsidRPr="00B92B2E">
        <w:rPr>
          <w:rFonts w:ascii="Arial" w:hAnsi="Arial" w:cs="Arial"/>
          <w:color w:val="000000"/>
          <w:sz w:val="22"/>
          <w:szCs w:val="22"/>
        </w:rPr>
        <w:t xml:space="preserve">migration </w:t>
      </w:r>
      <w:r w:rsidR="00D96FE7" w:rsidRPr="00B92B2E">
        <w:rPr>
          <w:rFonts w:ascii="Arial" w:hAnsi="Arial" w:cs="Arial"/>
          <w:color w:val="000000"/>
          <w:sz w:val="22"/>
          <w:szCs w:val="22"/>
        </w:rPr>
        <w:t>scenarios have been developed by assuming different levels of constant annual net migration and holding all other parameters fixed.</w:t>
      </w:r>
      <w:r w:rsidR="00395F2C" w:rsidRPr="00B92B2E">
        <w:rPr>
          <w:rFonts w:ascii="Arial" w:hAnsi="Arial" w:cs="Arial"/>
          <w:color w:val="000000"/>
          <w:sz w:val="22"/>
          <w:szCs w:val="22"/>
        </w:rPr>
        <w:t xml:space="preserve"> </w:t>
      </w:r>
      <w:r w:rsidRPr="00B92B2E">
        <w:rPr>
          <w:rFonts w:ascii="Arial" w:hAnsi="Arial" w:cs="Arial"/>
          <w:color w:val="000000"/>
          <w:sz w:val="22"/>
          <w:szCs w:val="22"/>
        </w:rPr>
        <w:t xml:space="preserve">The next release of projections based on the final 2011 Census estimates will </w:t>
      </w:r>
      <w:r w:rsidR="00395F2C" w:rsidRPr="00B92B2E">
        <w:rPr>
          <w:rFonts w:ascii="Arial" w:hAnsi="Arial" w:cs="Arial"/>
          <w:color w:val="000000"/>
          <w:sz w:val="22"/>
          <w:szCs w:val="22"/>
        </w:rPr>
        <w:t xml:space="preserve">also </w:t>
      </w:r>
      <w:r w:rsidRPr="00B92B2E">
        <w:rPr>
          <w:rFonts w:ascii="Arial" w:hAnsi="Arial" w:cs="Arial"/>
          <w:color w:val="000000"/>
          <w:sz w:val="22"/>
          <w:szCs w:val="22"/>
        </w:rPr>
        <w:t xml:space="preserve">assess impact of changes in key assumptions though scenario analysis. </w:t>
      </w:r>
    </w:p>
    <w:p w:rsidR="009D7D57" w:rsidRPr="00B92B2E" w:rsidRDefault="00FD256D" w:rsidP="00B92B2E">
      <w:pPr>
        <w:spacing w:after="160" w:line="240" w:lineRule="atLeast"/>
        <w:rPr>
          <w:rFonts w:ascii="Arial" w:hAnsi="Arial" w:cs="Arial"/>
          <w:color w:val="000000"/>
          <w:sz w:val="22"/>
          <w:szCs w:val="22"/>
        </w:rPr>
      </w:pPr>
      <w:r w:rsidRPr="00B92B2E">
        <w:rPr>
          <w:rFonts w:ascii="Arial" w:hAnsi="Arial" w:cs="Arial"/>
          <w:color w:val="000000"/>
          <w:sz w:val="22"/>
          <w:szCs w:val="22"/>
        </w:rPr>
        <w:t>The</w:t>
      </w:r>
      <w:r w:rsidR="00D43CE4" w:rsidRPr="00B92B2E">
        <w:rPr>
          <w:rFonts w:ascii="Arial" w:hAnsi="Arial" w:cs="Arial"/>
          <w:color w:val="000000"/>
          <w:sz w:val="22"/>
          <w:szCs w:val="22"/>
        </w:rPr>
        <w:t xml:space="preserve"> NTPOP</w:t>
      </w:r>
      <w:r w:rsidRPr="00B92B2E">
        <w:rPr>
          <w:rFonts w:ascii="Arial" w:hAnsi="Arial" w:cs="Arial"/>
          <w:color w:val="000000"/>
          <w:sz w:val="22"/>
          <w:szCs w:val="22"/>
        </w:rPr>
        <w:t xml:space="preserve"> </w:t>
      </w:r>
      <w:r w:rsidR="00081235" w:rsidRPr="00B92B2E">
        <w:rPr>
          <w:rFonts w:ascii="Arial" w:hAnsi="Arial" w:cs="Arial"/>
          <w:color w:val="000000"/>
          <w:sz w:val="22"/>
          <w:szCs w:val="22"/>
        </w:rPr>
        <w:t>model also</w:t>
      </w:r>
      <w:r w:rsidR="00454706" w:rsidRPr="00B92B2E">
        <w:rPr>
          <w:rFonts w:ascii="Arial" w:hAnsi="Arial" w:cs="Arial"/>
          <w:color w:val="000000"/>
          <w:sz w:val="22"/>
          <w:szCs w:val="22"/>
        </w:rPr>
        <w:t xml:space="preserve"> </w:t>
      </w:r>
      <w:r w:rsidRPr="00B92B2E">
        <w:rPr>
          <w:rFonts w:ascii="Arial" w:hAnsi="Arial" w:cs="Arial"/>
          <w:color w:val="000000"/>
          <w:sz w:val="22"/>
          <w:szCs w:val="22"/>
        </w:rPr>
        <w:t xml:space="preserve">has the capacity to run other user-defined scenarios if users need to explore other population futures that incorporate different parameter values for the growth components. Users wishing to explore different scenarios should discuss their needs with </w:t>
      </w:r>
      <w:r w:rsidR="000F7394" w:rsidRPr="00B92B2E">
        <w:rPr>
          <w:rFonts w:ascii="Arial" w:hAnsi="Arial" w:cs="Arial"/>
          <w:color w:val="000000"/>
          <w:sz w:val="22"/>
          <w:szCs w:val="22"/>
        </w:rPr>
        <w:t>DTF</w:t>
      </w:r>
      <w:r w:rsidRPr="00B92B2E">
        <w:rPr>
          <w:rFonts w:ascii="Arial" w:hAnsi="Arial" w:cs="Arial"/>
          <w:color w:val="000000"/>
          <w:sz w:val="22"/>
          <w:szCs w:val="22"/>
        </w:rPr>
        <w:t>.</w:t>
      </w:r>
      <w:r w:rsidR="00454706" w:rsidRPr="00B92B2E">
        <w:rPr>
          <w:rFonts w:ascii="Arial" w:hAnsi="Arial" w:cs="Arial"/>
          <w:color w:val="000000"/>
          <w:sz w:val="22"/>
          <w:szCs w:val="22"/>
        </w:rPr>
        <w:t xml:space="preserve"> </w:t>
      </w:r>
    </w:p>
    <w:p w:rsidR="00391882" w:rsidRPr="00B92B2E" w:rsidRDefault="00391882" w:rsidP="00B92B2E">
      <w:pPr>
        <w:spacing w:before="240" w:after="160" w:line="240" w:lineRule="atLeast"/>
        <w:rPr>
          <w:rFonts w:ascii="Arial" w:hAnsi="Arial" w:cs="Arial"/>
          <w:b/>
          <w:color w:val="000000"/>
          <w:sz w:val="28"/>
          <w:szCs w:val="28"/>
        </w:rPr>
      </w:pPr>
      <w:bookmarkStart w:id="5" w:name="_Toc303162898"/>
      <w:r w:rsidRPr="00B92B2E">
        <w:rPr>
          <w:rFonts w:ascii="Arial" w:hAnsi="Arial" w:cs="Arial"/>
          <w:b/>
          <w:color w:val="000000"/>
          <w:sz w:val="28"/>
          <w:szCs w:val="28"/>
        </w:rPr>
        <w:t>Assumptions</w:t>
      </w:r>
    </w:p>
    <w:p w:rsidR="00391882" w:rsidRPr="00B92B2E" w:rsidRDefault="00391882" w:rsidP="00B92B2E">
      <w:pPr>
        <w:spacing w:after="160" w:line="240" w:lineRule="atLeast"/>
        <w:rPr>
          <w:rFonts w:ascii="Arial" w:hAnsi="Arial" w:cs="Arial"/>
          <w:color w:val="000000"/>
          <w:sz w:val="22"/>
          <w:szCs w:val="22"/>
        </w:rPr>
      </w:pPr>
      <w:r w:rsidRPr="00B92B2E">
        <w:rPr>
          <w:rFonts w:ascii="Arial" w:hAnsi="Arial" w:cs="Arial"/>
          <w:color w:val="000000"/>
          <w:sz w:val="22"/>
          <w:szCs w:val="22"/>
        </w:rPr>
        <w:t>The NTG projections baseline scenario uses input parameters based on recent to medium</w:t>
      </w:r>
      <w:r w:rsidRPr="00B92B2E">
        <w:rPr>
          <w:rFonts w:ascii="Arial" w:hAnsi="Arial" w:cs="Arial"/>
          <w:color w:val="000000"/>
          <w:sz w:val="22"/>
          <w:szCs w:val="22"/>
        </w:rPr>
        <w:noBreakHyphen/>
        <w:t>term historical averages and trends and assumes that these trends will continue into the future. No adjustments are made to reflect policy choice or the impact of specific projects. These issues will only influence population projections through their impact on historical averages and trends on the components of population change (births, deaths and migration).</w:t>
      </w:r>
    </w:p>
    <w:bookmarkEnd w:id="5"/>
    <w:p w:rsidR="00FD256D" w:rsidRPr="00B92B2E" w:rsidRDefault="00FD256D" w:rsidP="00B92B2E">
      <w:pPr>
        <w:spacing w:before="360" w:after="160" w:line="240" w:lineRule="atLeast"/>
        <w:rPr>
          <w:rFonts w:ascii="Arial" w:hAnsi="Arial" w:cs="Arial"/>
          <w:b/>
          <w:color w:val="000000"/>
          <w:sz w:val="22"/>
          <w:szCs w:val="22"/>
        </w:rPr>
      </w:pPr>
      <w:r w:rsidRPr="00B92B2E">
        <w:rPr>
          <w:rFonts w:ascii="Arial" w:hAnsi="Arial" w:cs="Arial"/>
          <w:b/>
          <w:color w:val="000000"/>
          <w:sz w:val="22"/>
          <w:szCs w:val="22"/>
        </w:rPr>
        <w:t>Figure 2</w:t>
      </w:r>
      <w:r w:rsidR="009F5CD3" w:rsidRPr="00B92B2E">
        <w:rPr>
          <w:rFonts w:ascii="Arial" w:hAnsi="Arial" w:cs="Arial"/>
          <w:b/>
          <w:color w:val="000000"/>
          <w:sz w:val="22"/>
          <w:szCs w:val="22"/>
        </w:rPr>
        <w:t xml:space="preserve">: </w:t>
      </w:r>
      <w:r w:rsidRPr="00B92B2E">
        <w:rPr>
          <w:rFonts w:ascii="Arial" w:hAnsi="Arial" w:cs="Arial"/>
          <w:b/>
          <w:color w:val="000000"/>
          <w:sz w:val="22"/>
          <w:szCs w:val="22"/>
        </w:rPr>
        <w:t xml:space="preserve">Summary of Assumptions and Parameters for </w:t>
      </w:r>
      <w:r w:rsidR="009F5CD3" w:rsidRPr="00B92B2E">
        <w:rPr>
          <w:rFonts w:ascii="Arial" w:hAnsi="Arial" w:cs="Arial"/>
          <w:b/>
          <w:color w:val="000000"/>
          <w:sz w:val="22"/>
          <w:szCs w:val="22"/>
        </w:rPr>
        <w:t>the NTPOP Projections Model</w:t>
      </w:r>
      <w:r w:rsidR="007974CC" w:rsidRPr="00B92B2E">
        <w:rPr>
          <w:rFonts w:ascii="Arial" w:hAnsi="Arial" w:cs="Arial"/>
          <w:b/>
          <w:color w:val="000000"/>
          <w:sz w:val="22"/>
          <w:szCs w:val="22"/>
        </w:rPr>
        <w:t>, Interim</w:t>
      </w:r>
      <w:r w:rsidR="007974CC" w:rsidRPr="00B92B2E">
        <w:rPr>
          <w:rFonts w:ascii="Arial" w:hAnsi="Arial" w:cs="Arial"/>
          <w:b/>
          <w:color w:val="000000"/>
          <w:sz w:val="22"/>
          <w:szCs w:val="22"/>
        </w:rPr>
        <w:noBreakHyphen/>
      </w:r>
      <w:r w:rsidR="006826E6" w:rsidRPr="00B92B2E">
        <w:rPr>
          <w:rFonts w:ascii="Arial" w:hAnsi="Arial" w:cs="Arial"/>
          <w:b/>
          <w:color w:val="000000"/>
          <w:sz w:val="22"/>
          <w:szCs w:val="22"/>
        </w:rPr>
        <w:t>Update (2013 Release)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2"/>
        <w:tblDescription w:val="Figure 2: Summary of Assumptions and Parameters for the NTPOP Projections Model, Interim Update (2013 Release)"/>
      </w:tblPr>
      <w:tblGrid>
        <w:gridCol w:w="2518"/>
        <w:gridCol w:w="6724"/>
      </w:tblGrid>
      <w:tr w:rsidR="00761BCE" w:rsidRPr="003D2A56" w:rsidTr="008756C4">
        <w:trPr>
          <w:trHeight w:val="227"/>
          <w:tblHeader/>
        </w:trPr>
        <w:tc>
          <w:tcPr>
            <w:tcW w:w="2268" w:type="dxa"/>
            <w:tcBorders>
              <w:bottom w:val="single" w:sz="4" w:space="0" w:color="auto"/>
            </w:tcBorders>
          </w:tcPr>
          <w:p w:rsidR="00761BCE" w:rsidRPr="003D2A56" w:rsidRDefault="00761BCE" w:rsidP="00600EDC">
            <w:pPr>
              <w:rPr>
                <w:rFonts w:ascii="Arial" w:hAnsi="Arial" w:cs="Arial"/>
                <w:b/>
                <w:sz w:val="18"/>
                <w:szCs w:val="18"/>
              </w:rPr>
            </w:pPr>
            <w:r w:rsidRPr="003D2A56">
              <w:rPr>
                <w:rFonts w:ascii="Arial" w:hAnsi="Arial" w:cs="Arial"/>
                <w:b/>
                <w:sz w:val="18"/>
                <w:szCs w:val="18"/>
              </w:rPr>
              <w:t>Growth Component</w:t>
            </w:r>
          </w:p>
        </w:tc>
        <w:tc>
          <w:tcPr>
            <w:tcW w:w="2268" w:type="dxa"/>
            <w:tcBorders>
              <w:bottom w:val="single" w:sz="4" w:space="0" w:color="auto"/>
            </w:tcBorders>
          </w:tcPr>
          <w:p w:rsidR="00761BCE" w:rsidRPr="003D2A56" w:rsidRDefault="00761BCE" w:rsidP="00600EDC">
            <w:pPr>
              <w:rPr>
                <w:rFonts w:ascii="Arial" w:hAnsi="Arial" w:cs="Arial"/>
                <w:b/>
                <w:i/>
                <w:sz w:val="18"/>
                <w:szCs w:val="18"/>
              </w:rPr>
            </w:pPr>
            <w:r w:rsidRPr="003D2A56">
              <w:rPr>
                <w:rFonts w:ascii="Arial" w:hAnsi="Arial" w:cs="Arial"/>
                <w:b/>
                <w:i/>
                <w:sz w:val="18"/>
                <w:szCs w:val="18"/>
              </w:rPr>
              <w:t>Parameter</w:t>
            </w:r>
            <w:r w:rsidRPr="003D2A56">
              <w:rPr>
                <w:rFonts w:ascii="Arial" w:hAnsi="Arial" w:cs="Arial"/>
                <w:b/>
                <w:i/>
                <w:sz w:val="18"/>
                <w:szCs w:val="18"/>
                <w:vertAlign w:val="superscript"/>
              </w:rPr>
              <w:t>1</w:t>
            </w:r>
          </w:p>
        </w:tc>
      </w:tr>
      <w:tr w:rsidR="00761BCE" w:rsidRPr="003D2A56" w:rsidTr="00600EDC">
        <w:tc>
          <w:tcPr>
            <w:tcW w:w="2518" w:type="dxa"/>
            <w:tcBorders>
              <w:top w:val="single" w:sz="4" w:space="0" w:color="auto"/>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b/>
                <w:sz w:val="18"/>
                <w:szCs w:val="18"/>
              </w:rPr>
            </w:pPr>
            <w:r w:rsidRPr="003D2A56">
              <w:rPr>
                <w:rFonts w:ascii="Arial" w:hAnsi="Arial" w:cs="Arial"/>
                <w:b/>
                <w:sz w:val="18"/>
                <w:szCs w:val="18"/>
              </w:rPr>
              <w:t>Fertility</w:t>
            </w:r>
          </w:p>
        </w:tc>
        <w:tc>
          <w:tcPr>
            <w:tcW w:w="6724" w:type="dxa"/>
            <w:tcBorders>
              <w:top w:val="single" w:sz="4" w:space="0" w:color="auto"/>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b/>
                <w:i/>
                <w:sz w:val="18"/>
                <w:szCs w:val="18"/>
              </w:rPr>
            </w:pPr>
            <w:r w:rsidRPr="003D2A56">
              <w:rPr>
                <w:rFonts w:ascii="Arial" w:hAnsi="Arial" w:cs="Arial"/>
                <w:b/>
                <w:i/>
                <w:sz w:val="18"/>
                <w:szCs w:val="18"/>
              </w:rPr>
              <w:t>Total Fertility Rate (TFR)</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r w:rsidRPr="003D2A56">
              <w:rPr>
                <w:rFonts w:ascii="Arial" w:hAnsi="Arial" w:cs="Arial"/>
                <w:sz w:val="18"/>
                <w:szCs w:val="18"/>
              </w:rPr>
              <w:t>NT Indigenous mothers</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r w:rsidRPr="003D2A56">
              <w:rPr>
                <w:rFonts w:ascii="Arial" w:hAnsi="Arial" w:cs="Arial"/>
                <w:i/>
                <w:sz w:val="18"/>
                <w:szCs w:val="18"/>
              </w:rPr>
              <w:t>TFR 2.307 in 201</w:t>
            </w:r>
            <w:r>
              <w:rPr>
                <w:rFonts w:ascii="Arial" w:hAnsi="Arial" w:cs="Arial"/>
                <w:i/>
                <w:sz w:val="18"/>
                <w:szCs w:val="18"/>
              </w:rPr>
              <w:t>1-12, declining to 2.169 in 2020-21</w:t>
            </w:r>
            <w:r w:rsidRPr="003D2A56">
              <w:rPr>
                <w:rFonts w:ascii="Arial" w:hAnsi="Arial" w:cs="Arial"/>
                <w:i/>
                <w:sz w:val="18"/>
                <w:szCs w:val="18"/>
              </w:rPr>
              <w:t xml:space="preserve"> and held constant thereafter</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r w:rsidRPr="003D2A56">
              <w:rPr>
                <w:rFonts w:ascii="Arial" w:hAnsi="Arial" w:cs="Arial"/>
                <w:sz w:val="18"/>
                <w:szCs w:val="18"/>
              </w:rPr>
              <w:t>NT non-Indigenous mothers</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r w:rsidRPr="003D2A56">
              <w:rPr>
                <w:rFonts w:ascii="Arial" w:hAnsi="Arial" w:cs="Arial"/>
                <w:i/>
                <w:sz w:val="18"/>
                <w:szCs w:val="18"/>
              </w:rPr>
              <w:t>TFR 1.92</w:t>
            </w:r>
            <w:r>
              <w:rPr>
                <w:rFonts w:ascii="Arial" w:hAnsi="Arial" w:cs="Arial"/>
                <w:i/>
                <w:sz w:val="18"/>
                <w:szCs w:val="18"/>
              </w:rPr>
              <w:t>8</w:t>
            </w:r>
            <w:r w:rsidRPr="003D2A56">
              <w:rPr>
                <w:rFonts w:ascii="Arial" w:hAnsi="Arial" w:cs="Arial"/>
                <w:i/>
                <w:sz w:val="18"/>
                <w:szCs w:val="18"/>
              </w:rPr>
              <w:t xml:space="preserve"> in 201</w:t>
            </w:r>
            <w:r>
              <w:rPr>
                <w:rFonts w:ascii="Arial" w:hAnsi="Arial" w:cs="Arial"/>
                <w:i/>
                <w:sz w:val="18"/>
                <w:szCs w:val="18"/>
              </w:rPr>
              <w:t>1-12, declining to 1.903 in 2020-21</w:t>
            </w:r>
            <w:r w:rsidRPr="003D2A56">
              <w:rPr>
                <w:rFonts w:ascii="Arial" w:hAnsi="Arial" w:cs="Arial"/>
                <w:i/>
                <w:sz w:val="18"/>
                <w:szCs w:val="18"/>
              </w:rPr>
              <w:t xml:space="preserve"> and held constant thereafter</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b/>
                <w:sz w:val="18"/>
                <w:szCs w:val="18"/>
              </w:rPr>
            </w:pPr>
            <w:r w:rsidRPr="003D2A56">
              <w:rPr>
                <w:rFonts w:ascii="Arial" w:hAnsi="Arial" w:cs="Arial"/>
                <w:b/>
                <w:sz w:val="18"/>
                <w:szCs w:val="18"/>
              </w:rPr>
              <w:t>Mortality</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b/>
                <w:i/>
                <w:sz w:val="18"/>
                <w:szCs w:val="18"/>
              </w:rPr>
            </w:pPr>
            <w:r w:rsidRPr="003D2A56">
              <w:rPr>
                <w:rFonts w:ascii="Arial" w:hAnsi="Arial" w:cs="Arial"/>
                <w:b/>
                <w:i/>
                <w:sz w:val="18"/>
                <w:szCs w:val="18"/>
              </w:rPr>
              <w:t>Life Expectancy</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r>
              <w:rPr>
                <w:rFonts w:ascii="Arial" w:hAnsi="Arial" w:cs="Arial"/>
                <w:sz w:val="18"/>
                <w:szCs w:val="18"/>
              </w:rPr>
              <w:t>NT Indigenous males</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r>
              <w:rPr>
                <w:rFonts w:ascii="Arial" w:hAnsi="Arial" w:cs="Arial"/>
                <w:i/>
                <w:sz w:val="18"/>
                <w:szCs w:val="18"/>
              </w:rPr>
              <w:t>62.7 years in 2011-12, increasing to 71.4 years in 2040-41</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r>
              <w:rPr>
                <w:rFonts w:ascii="Arial" w:hAnsi="Arial" w:cs="Arial"/>
                <w:sz w:val="18"/>
                <w:szCs w:val="18"/>
              </w:rPr>
              <w:t>NT Indigenous females</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r>
              <w:rPr>
                <w:rFonts w:ascii="Arial" w:hAnsi="Arial" w:cs="Arial"/>
                <w:i/>
                <w:sz w:val="18"/>
                <w:szCs w:val="18"/>
              </w:rPr>
              <w:t>70.4 years in 2011-12, increasing to 79.1 years in 2040-41</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r>
              <w:rPr>
                <w:rFonts w:ascii="Arial" w:hAnsi="Arial" w:cs="Arial"/>
                <w:sz w:val="18"/>
                <w:szCs w:val="18"/>
              </w:rPr>
              <w:t>NT non-Indigenous males</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r>
              <w:rPr>
                <w:rFonts w:ascii="Arial" w:hAnsi="Arial" w:cs="Arial"/>
                <w:i/>
                <w:sz w:val="18"/>
                <w:szCs w:val="18"/>
              </w:rPr>
              <w:t>76.9 years in 2011-12, increasing to 80.3 years in 2040-41</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r>
              <w:rPr>
                <w:rFonts w:ascii="Arial" w:hAnsi="Arial" w:cs="Arial"/>
                <w:sz w:val="18"/>
                <w:szCs w:val="18"/>
              </w:rPr>
              <w:t>NT non-Indigenous females</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r>
              <w:rPr>
                <w:rFonts w:ascii="Arial" w:hAnsi="Arial" w:cs="Arial"/>
                <w:i/>
                <w:sz w:val="18"/>
                <w:szCs w:val="18"/>
              </w:rPr>
              <w:t>82.2 years in 2011-12, increasing to 84.5 years in 2040-41</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b/>
                <w:sz w:val="18"/>
                <w:szCs w:val="18"/>
              </w:rPr>
            </w:pPr>
            <w:r w:rsidRPr="003D2A56">
              <w:rPr>
                <w:rFonts w:ascii="Arial" w:hAnsi="Arial" w:cs="Arial"/>
                <w:b/>
                <w:sz w:val="18"/>
                <w:szCs w:val="18"/>
              </w:rPr>
              <w:t>Interstate migration</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b/>
                <w:i/>
                <w:sz w:val="18"/>
                <w:szCs w:val="18"/>
              </w:rPr>
            </w:pPr>
            <w:r w:rsidRPr="003D2A56">
              <w:rPr>
                <w:rFonts w:ascii="Arial" w:hAnsi="Arial" w:cs="Arial"/>
                <w:b/>
                <w:i/>
                <w:sz w:val="18"/>
                <w:szCs w:val="18"/>
              </w:rPr>
              <w:t>Net interstate migration</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r>
              <w:rPr>
                <w:rFonts w:ascii="Arial" w:hAnsi="Arial" w:cs="Arial"/>
                <w:sz w:val="18"/>
                <w:szCs w:val="18"/>
              </w:rPr>
              <w:t>NT Indigenous</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r>
              <w:rPr>
                <w:rFonts w:ascii="Arial" w:hAnsi="Arial" w:cs="Arial"/>
                <w:i/>
                <w:sz w:val="18"/>
                <w:szCs w:val="18"/>
              </w:rPr>
              <w:t>-119 in 2011-12 then held constant at -54 (10 year average)</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r>
              <w:rPr>
                <w:rFonts w:ascii="Arial" w:hAnsi="Arial" w:cs="Arial"/>
                <w:sz w:val="18"/>
                <w:szCs w:val="18"/>
              </w:rPr>
              <w:t>NT non-Indigenous</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r>
              <w:rPr>
                <w:rFonts w:ascii="Arial" w:hAnsi="Arial" w:cs="Arial"/>
                <w:i/>
                <w:sz w:val="18"/>
                <w:szCs w:val="18"/>
              </w:rPr>
              <w:t>-1373 in 2011-12 then held constant at -635 (10 year average)</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b/>
                <w:sz w:val="18"/>
                <w:szCs w:val="18"/>
              </w:rPr>
            </w:pPr>
            <w:r w:rsidRPr="003D2A56">
              <w:rPr>
                <w:rFonts w:ascii="Arial" w:hAnsi="Arial" w:cs="Arial"/>
                <w:b/>
                <w:sz w:val="18"/>
                <w:szCs w:val="18"/>
              </w:rPr>
              <w:t>Overseas migration</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b/>
                <w:i/>
                <w:sz w:val="18"/>
                <w:szCs w:val="18"/>
              </w:rPr>
            </w:pPr>
            <w:r w:rsidRPr="003D2A56">
              <w:rPr>
                <w:rFonts w:ascii="Arial" w:hAnsi="Arial" w:cs="Arial"/>
                <w:b/>
                <w:i/>
                <w:sz w:val="18"/>
                <w:szCs w:val="18"/>
              </w:rPr>
              <w:t>Net overseas migration</w:t>
            </w:r>
          </w:p>
        </w:tc>
      </w:tr>
      <w:tr w:rsidR="00761BCE" w:rsidRPr="003D2A56" w:rsidTr="00600EDC">
        <w:tc>
          <w:tcPr>
            <w:tcW w:w="2518" w:type="dxa"/>
            <w:tcBorders>
              <w:lef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r>
              <w:rPr>
                <w:rFonts w:ascii="Arial" w:hAnsi="Arial" w:cs="Arial"/>
                <w:sz w:val="18"/>
                <w:szCs w:val="18"/>
              </w:rPr>
              <w:t>NT Indigenous</w:t>
            </w:r>
          </w:p>
        </w:tc>
        <w:tc>
          <w:tcPr>
            <w:tcW w:w="6724" w:type="dxa"/>
            <w:tcBorders>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r>
              <w:rPr>
                <w:rFonts w:ascii="Arial" w:hAnsi="Arial" w:cs="Arial"/>
                <w:i/>
                <w:sz w:val="18"/>
                <w:szCs w:val="18"/>
              </w:rPr>
              <w:t>Zero net migration assumed</w:t>
            </w:r>
          </w:p>
        </w:tc>
      </w:tr>
      <w:tr w:rsidR="00761BCE" w:rsidRPr="003D2A56" w:rsidTr="00600EDC">
        <w:tc>
          <w:tcPr>
            <w:tcW w:w="2518" w:type="dxa"/>
            <w:tcBorders>
              <w:left w:val="single" w:sz="4" w:space="0" w:color="auto"/>
              <w:bottom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sz w:val="18"/>
                <w:szCs w:val="18"/>
              </w:rPr>
            </w:pPr>
            <w:r>
              <w:rPr>
                <w:rFonts w:ascii="Arial" w:hAnsi="Arial" w:cs="Arial"/>
                <w:sz w:val="18"/>
                <w:szCs w:val="18"/>
              </w:rPr>
              <w:t>NT non-Indigenous</w:t>
            </w:r>
          </w:p>
        </w:tc>
        <w:tc>
          <w:tcPr>
            <w:tcW w:w="6724" w:type="dxa"/>
            <w:tcBorders>
              <w:bottom w:val="single" w:sz="4" w:space="0" w:color="auto"/>
              <w:right w:val="single" w:sz="4" w:space="0" w:color="auto"/>
            </w:tcBorders>
            <w:shd w:val="clear" w:color="auto" w:fill="D9D9D9" w:themeFill="background1" w:themeFillShade="D9"/>
          </w:tcPr>
          <w:p w:rsidR="00761BCE" w:rsidRPr="003D2A56" w:rsidRDefault="00761BCE" w:rsidP="00407683">
            <w:pPr>
              <w:spacing w:line="200" w:lineRule="atLeast"/>
              <w:rPr>
                <w:rFonts w:ascii="Arial" w:hAnsi="Arial" w:cs="Arial"/>
                <w:i/>
                <w:sz w:val="18"/>
                <w:szCs w:val="18"/>
              </w:rPr>
            </w:pPr>
            <w:r>
              <w:rPr>
                <w:rFonts w:ascii="Arial" w:hAnsi="Arial" w:cs="Arial"/>
                <w:i/>
                <w:sz w:val="18"/>
                <w:szCs w:val="18"/>
              </w:rPr>
              <w:t>2004 in 2011-12 then held constant at 1287 (10 year average)</w:t>
            </w:r>
          </w:p>
        </w:tc>
      </w:tr>
    </w:tbl>
    <w:p w:rsidR="006826E6" w:rsidRPr="009F5CD3" w:rsidRDefault="006826E6" w:rsidP="00FD256D">
      <w:pPr>
        <w:autoSpaceDE w:val="0"/>
        <w:autoSpaceDN w:val="0"/>
        <w:adjustRightInd w:val="0"/>
        <w:spacing w:after="120"/>
        <w:rPr>
          <w:rFonts w:ascii="Arial" w:hAnsi="Arial" w:cs="Arial"/>
          <w:b/>
          <w:szCs w:val="24"/>
        </w:rPr>
      </w:pPr>
    </w:p>
    <w:p w:rsidR="00391882" w:rsidRDefault="00391882" w:rsidP="00FD256D">
      <w:pPr>
        <w:autoSpaceDE w:val="0"/>
        <w:autoSpaceDN w:val="0"/>
        <w:adjustRightInd w:val="0"/>
        <w:spacing w:after="120"/>
        <w:rPr>
          <w:rFonts w:ascii="Arial" w:hAnsi="Arial" w:cs="Arial"/>
          <w:sz w:val="16"/>
          <w:szCs w:val="16"/>
        </w:rPr>
      </w:pPr>
    </w:p>
    <w:p w:rsidR="00FD256D" w:rsidRPr="00B92B2E" w:rsidRDefault="00391882" w:rsidP="00FD256D">
      <w:pPr>
        <w:autoSpaceDE w:val="0"/>
        <w:autoSpaceDN w:val="0"/>
        <w:adjustRightInd w:val="0"/>
        <w:spacing w:after="120"/>
        <w:rPr>
          <w:rFonts w:ascii="Arial" w:hAnsi="Arial" w:cs="Arial"/>
          <w:b/>
          <w:sz w:val="44"/>
          <w:szCs w:val="44"/>
        </w:rPr>
      </w:pPr>
      <w:r>
        <w:rPr>
          <w:rFonts w:ascii="Arial" w:hAnsi="Arial" w:cs="Arial"/>
          <w:sz w:val="16"/>
          <w:szCs w:val="16"/>
        </w:rPr>
        <w:t>1</w:t>
      </w:r>
      <w:r w:rsidR="00B47384" w:rsidRPr="00B47384">
        <w:rPr>
          <w:rFonts w:ascii="Arial" w:hAnsi="Arial" w:cs="Arial"/>
          <w:sz w:val="16"/>
          <w:szCs w:val="16"/>
        </w:rPr>
        <w:t xml:space="preserve">: Regional projections fertility and mortality </w:t>
      </w:r>
      <w:r w:rsidR="00D147DC">
        <w:rPr>
          <w:rFonts w:ascii="Arial" w:hAnsi="Arial" w:cs="Arial"/>
          <w:sz w:val="16"/>
          <w:szCs w:val="16"/>
        </w:rPr>
        <w:t xml:space="preserve">assumptions </w:t>
      </w:r>
      <w:r w:rsidR="00B47384" w:rsidRPr="00B47384">
        <w:rPr>
          <w:rFonts w:ascii="Arial" w:hAnsi="Arial" w:cs="Arial"/>
          <w:sz w:val="16"/>
          <w:szCs w:val="16"/>
        </w:rPr>
        <w:t xml:space="preserve">are the same as </w:t>
      </w:r>
      <w:r w:rsidR="00D147DC">
        <w:rPr>
          <w:rFonts w:ascii="Arial" w:hAnsi="Arial" w:cs="Arial"/>
          <w:sz w:val="16"/>
          <w:szCs w:val="16"/>
        </w:rPr>
        <w:t xml:space="preserve">for </w:t>
      </w:r>
      <w:r w:rsidR="00B47384" w:rsidRPr="00B47384">
        <w:rPr>
          <w:rFonts w:ascii="Arial" w:hAnsi="Arial" w:cs="Arial"/>
          <w:sz w:val="16"/>
          <w:szCs w:val="16"/>
        </w:rPr>
        <w:t>the total Territory; migration varies between the regions and is based on movement</w:t>
      </w:r>
      <w:r w:rsidR="00D147DC">
        <w:rPr>
          <w:rFonts w:ascii="Arial" w:hAnsi="Arial" w:cs="Arial"/>
          <w:sz w:val="16"/>
          <w:szCs w:val="16"/>
        </w:rPr>
        <w:t>s recorded</w:t>
      </w:r>
      <w:r w:rsidR="00B47384" w:rsidRPr="00B47384">
        <w:rPr>
          <w:rFonts w:ascii="Arial" w:hAnsi="Arial" w:cs="Arial"/>
          <w:sz w:val="16"/>
          <w:szCs w:val="16"/>
        </w:rPr>
        <w:t xml:space="preserve"> between Censuses.</w:t>
      </w:r>
      <w:r w:rsidR="00B47384">
        <w:rPr>
          <w:szCs w:val="40"/>
        </w:rPr>
        <w:t xml:space="preserve"> </w:t>
      </w:r>
      <w:r w:rsidR="00A50C35">
        <w:rPr>
          <w:rFonts w:ascii="Arial" w:hAnsi="Arial" w:cs="Arial"/>
          <w:sz w:val="40"/>
          <w:szCs w:val="40"/>
        </w:rPr>
        <w:br w:type="page"/>
      </w:r>
      <w:bookmarkStart w:id="6" w:name="_Toc303162899"/>
      <w:r w:rsidR="00FD256D" w:rsidRPr="00B92B2E">
        <w:rPr>
          <w:rFonts w:ascii="Arial" w:hAnsi="Arial" w:cs="Arial"/>
          <w:b/>
          <w:sz w:val="44"/>
          <w:szCs w:val="44"/>
        </w:rPr>
        <w:t>Overview of Results</w:t>
      </w:r>
      <w:bookmarkEnd w:id="6"/>
    </w:p>
    <w:p w:rsidR="00F802E7" w:rsidRPr="00B92B2E" w:rsidRDefault="00FD256D"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Please see </w:t>
      </w:r>
      <w:hyperlink r:id="rId16" w:history="1">
        <w:r w:rsidR="00244C1C">
          <w:rPr>
            <w:rStyle w:val="Hyperlink"/>
            <w:rFonts w:ascii="Arial" w:hAnsi="Arial" w:cs="Arial"/>
            <w:sz w:val="22"/>
            <w:szCs w:val="22"/>
          </w:rPr>
          <w:t>https://treasury.nt.gov.au/dtf/economic-group/population-projections</w:t>
        </w:r>
      </w:hyperlink>
      <w:r w:rsidR="00D43CE4" w:rsidRPr="00B92B2E">
        <w:rPr>
          <w:rFonts w:ascii="Arial" w:hAnsi="Arial" w:cs="Arial"/>
          <w:color w:val="000000"/>
          <w:sz w:val="22"/>
          <w:szCs w:val="22"/>
        </w:rPr>
        <w:t xml:space="preserve"> </w:t>
      </w:r>
      <w:r w:rsidRPr="00B92B2E">
        <w:rPr>
          <w:rFonts w:ascii="Arial" w:hAnsi="Arial" w:cs="Arial"/>
          <w:color w:val="000000"/>
          <w:sz w:val="22"/>
          <w:szCs w:val="22"/>
        </w:rPr>
        <w:t xml:space="preserve">for the complete set of projection numbers, available in Excel spreadsheets. </w:t>
      </w:r>
    </w:p>
    <w:p w:rsidR="00500A09" w:rsidRPr="00B92B2E" w:rsidRDefault="00500A09" w:rsidP="00B92B2E">
      <w:pPr>
        <w:spacing w:before="240" w:after="160" w:line="240" w:lineRule="atLeast"/>
        <w:rPr>
          <w:rFonts w:ascii="Arial" w:hAnsi="Arial" w:cs="Arial"/>
          <w:b/>
          <w:color w:val="000000"/>
          <w:sz w:val="28"/>
          <w:szCs w:val="28"/>
        </w:rPr>
      </w:pPr>
      <w:r w:rsidRPr="00B92B2E">
        <w:rPr>
          <w:rFonts w:ascii="Arial" w:hAnsi="Arial" w:cs="Arial"/>
          <w:b/>
          <w:color w:val="000000"/>
          <w:sz w:val="28"/>
          <w:szCs w:val="28"/>
        </w:rPr>
        <w:t>Projected Population growth</w:t>
      </w:r>
    </w:p>
    <w:p w:rsidR="00395F2C" w:rsidRPr="00B92B2E" w:rsidRDefault="00395F2C" w:rsidP="00B92B2E">
      <w:pPr>
        <w:spacing w:after="160" w:line="240" w:lineRule="atLeast"/>
        <w:rPr>
          <w:rFonts w:ascii="Arial" w:hAnsi="Arial" w:cs="Arial"/>
          <w:color w:val="000000"/>
          <w:sz w:val="22"/>
          <w:szCs w:val="22"/>
        </w:rPr>
      </w:pPr>
      <w:r w:rsidRPr="00B92B2E">
        <w:rPr>
          <w:rFonts w:ascii="Arial" w:hAnsi="Arial" w:cs="Arial"/>
          <w:color w:val="000000"/>
          <w:sz w:val="22"/>
          <w:szCs w:val="22"/>
        </w:rPr>
        <w:t>Projections are presented for the period 2011</w:t>
      </w:r>
      <w:r w:rsidRPr="00B92B2E">
        <w:rPr>
          <w:rFonts w:ascii="Arial" w:hAnsi="Arial" w:cs="Arial"/>
          <w:color w:val="000000"/>
          <w:sz w:val="22"/>
          <w:szCs w:val="22"/>
        </w:rPr>
        <w:noBreakHyphen/>
        <w:t xml:space="preserve">2041 for the Northern Territory and at five year intervals from 2011 to 2026 for the NT regions. The first two years are constrained to the published population estimates. </w:t>
      </w:r>
    </w:p>
    <w:p w:rsidR="0010267E" w:rsidRPr="00B92B2E" w:rsidRDefault="00FD256D"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Table </w:t>
      </w:r>
      <w:r w:rsidR="00197698" w:rsidRPr="00B92B2E">
        <w:rPr>
          <w:rFonts w:ascii="Arial" w:hAnsi="Arial" w:cs="Arial"/>
          <w:color w:val="000000"/>
          <w:sz w:val="22"/>
          <w:szCs w:val="22"/>
        </w:rPr>
        <w:t xml:space="preserve">2 </w:t>
      </w:r>
      <w:r w:rsidRPr="00B92B2E">
        <w:rPr>
          <w:rFonts w:ascii="Arial" w:hAnsi="Arial" w:cs="Arial"/>
          <w:color w:val="000000"/>
          <w:sz w:val="22"/>
          <w:szCs w:val="22"/>
        </w:rPr>
        <w:t xml:space="preserve">shows the Territory’s population is projected to grow to </w:t>
      </w:r>
      <w:r w:rsidR="00197698" w:rsidRPr="00B92B2E">
        <w:rPr>
          <w:rFonts w:ascii="Arial" w:hAnsi="Arial" w:cs="Arial"/>
          <w:color w:val="000000"/>
          <w:sz w:val="22"/>
          <w:szCs w:val="22"/>
        </w:rPr>
        <w:t>3</w:t>
      </w:r>
      <w:r w:rsidR="0010267E" w:rsidRPr="00B92B2E">
        <w:rPr>
          <w:rFonts w:ascii="Arial" w:hAnsi="Arial" w:cs="Arial"/>
          <w:color w:val="000000"/>
          <w:sz w:val="22"/>
          <w:szCs w:val="22"/>
        </w:rPr>
        <w:t>04 269</w:t>
      </w:r>
      <w:r w:rsidRPr="00B92B2E">
        <w:rPr>
          <w:rFonts w:ascii="Arial" w:hAnsi="Arial" w:cs="Arial"/>
          <w:color w:val="000000"/>
          <w:sz w:val="22"/>
          <w:szCs w:val="22"/>
        </w:rPr>
        <w:t xml:space="preserve"> by </w:t>
      </w:r>
      <w:r w:rsidR="0010267E" w:rsidRPr="00B92B2E">
        <w:rPr>
          <w:rFonts w:ascii="Arial" w:hAnsi="Arial" w:cs="Arial"/>
          <w:color w:val="000000"/>
          <w:sz w:val="22"/>
          <w:szCs w:val="22"/>
        </w:rPr>
        <w:t>2031</w:t>
      </w:r>
      <w:r w:rsidR="00197698" w:rsidRPr="00B92B2E">
        <w:rPr>
          <w:rFonts w:ascii="Arial" w:hAnsi="Arial" w:cs="Arial"/>
          <w:color w:val="000000"/>
          <w:sz w:val="22"/>
          <w:szCs w:val="22"/>
        </w:rPr>
        <w:t xml:space="preserve"> </w:t>
      </w:r>
      <w:r w:rsidRPr="00B92B2E">
        <w:rPr>
          <w:rFonts w:ascii="Arial" w:hAnsi="Arial" w:cs="Arial"/>
          <w:color w:val="000000"/>
          <w:sz w:val="22"/>
          <w:szCs w:val="22"/>
        </w:rPr>
        <w:t>and</w:t>
      </w:r>
      <w:r w:rsidR="00D43CE4" w:rsidRPr="00B92B2E">
        <w:rPr>
          <w:rFonts w:ascii="Arial" w:hAnsi="Arial" w:cs="Arial"/>
          <w:color w:val="000000"/>
          <w:sz w:val="22"/>
          <w:szCs w:val="22"/>
        </w:rPr>
        <w:t xml:space="preserve"> </w:t>
      </w:r>
      <w:r w:rsidR="00CE4BE2" w:rsidRPr="00B92B2E">
        <w:rPr>
          <w:rFonts w:ascii="Arial" w:hAnsi="Arial" w:cs="Arial"/>
          <w:color w:val="000000"/>
          <w:sz w:val="22"/>
          <w:szCs w:val="22"/>
        </w:rPr>
        <w:t xml:space="preserve">to </w:t>
      </w:r>
      <w:r w:rsidR="00D8737F" w:rsidRPr="00B92B2E">
        <w:rPr>
          <w:rFonts w:ascii="Arial" w:hAnsi="Arial" w:cs="Arial"/>
          <w:color w:val="000000"/>
          <w:sz w:val="22"/>
          <w:szCs w:val="22"/>
        </w:rPr>
        <w:t xml:space="preserve">344 579 </w:t>
      </w:r>
      <w:r w:rsidRPr="00B92B2E">
        <w:rPr>
          <w:rFonts w:ascii="Arial" w:hAnsi="Arial" w:cs="Arial"/>
          <w:color w:val="000000"/>
          <w:sz w:val="22"/>
          <w:szCs w:val="22"/>
        </w:rPr>
        <w:t xml:space="preserve">by </w:t>
      </w:r>
      <w:r w:rsidR="0010267E" w:rsidRPr="00B92B2E">
        <w:rPr>
          <w:rFonts w:ascii="Arial" w:hAnsi="Arial" w:cs="Arial"/>
          <w:color w:val="000000"/>
          <w:sz w:val="22"/>
          <w:szCs w:val="22"/>
        </w:rPr>
        <w:t>2041</w:t>
      </w:r>
      <w:r w:rsidR="00D949DC" w:rsidRPr="00B92B2E">
        <w:rPr>
          <w:rFonts w:ascii="Arial" w:hAnsi="Arial" w:cs="Arial"/>
          <w:color w:val="000000"/>
          <w:sz w:val="22"/>
          <w:szCs w:val="22"/>
        </w:rPr>
        <w:t xml:space="preserve"> (illustrated in Chart 2). </w:t>
      </w:r>
      <w:r w:rsidR="00197698" w:rsidRPr="00B92B2E">
        <w:rPr>
          <w:rFonts w:ascii="Arial" w:hAnsi="Arial" w:cs="Arial"/>
          <w:color w:val="000000"/>
          <w:sz w:val="22"/>
          <w:szCs w:val="22"/>
        </w:rPr>
        <w:t xml:space="preserve">The Territory’s Indigenous population is projected to increase to </w:t>
      </w:r>
      <w:r w:rsidR="004E469D" w:rsidRPr="00B92B2E">
        <w:rPr>
          <w:rFonts w:ascii="Arial" w:hAnsi="Arial" w:cs="Arial"/>
          <w:color w:val="000000"/>
          <w:sz w:val="22"/>
          <w:szCs w:val="22"/>
        </w:rPr>
        <w:t>89 456</w:t>
      </w:r>
      <w:r w:rsidR="0010267E" w:rsidRPr="00B92B2E">
        <w:rPr>
          <w:rFonts w:ascii="Arial" w:hAnsi="Arial" w:cs="Arial"/>
          <w:color w:val="000000"/>
          <w:sz w:val="22"/>
          <w:szCs w:val="22"/>
        </w:rPr>
        <w:t xml:space="preserve"> by 2031</w:t>
      </w:r>
      <w:r w:rsidR="00197698" w:rsidRPr="00B92B2E">
        <w:rPr>
          <w:rFonts w:ascii="Arial" w:hAnsi="Arial" w:cs="Arial"/>
          <w:color w:val="000000"/>
          <w:sz w:val="22"/>
          <w:szCs w:val="22"/>
        </w:rPr>
        <w:t xml:space="preserve"> and to increase to 1</w:t>
      </w:r>
      <w:r w:rsidR="0010267E" w:rsidRPr="00B92B2E">
        <w:rPr>
          <w:rFonts w:ascii="Arial" w:hAnsi="Arial" w:cs="Arial"/>
          <w:color w:val="000000"/>
          <w:sz w:val="22"/>
          <w:szCs w:val="22"/>
        </w:rPr>
        <w:t>0</w:t>
      </w:r>
      <w:r w:rsidR="00197698" w:rsidRPr="00B92B2E">
        <w:rPr>
          <w:rFonts w:ascii="Arial" w:hAnsi="Arial" w:cs="Arial"/>
          <w:color w:val="000000"/>
          <w:sz w:val="22"/>
          <w:szCs w:val="22"/>
        </w:rPr>
        <w:t>0</w:t>
      </w:r>
      <w:r w:rsidR="004E469D" w:rsidRPr="00B92B2E">
        <w:rPr>
          <w:rFonts w:ascii="Arial" w:hAnsi="Arial" w:cs="Arial"/>
          <w:color w:val="000000"/>
          <w:sz w:val="22"/>
          <w:szCs w:val="22"/>
        </w:rPr>
        <w:t> 929</w:t>
      </w:r>
      <w:r w:rsidR="0010267E" w:rsidRPr="00B92B2E">
        <w:rPr>
          <w:rFonts w:ascii="Arial" w:hAnsi="Arial" w:cs="Arial"/>
          <w:color w:val="000000"/>
          <w:sz w:val="22"/>
          <w:szCs w:val="22"/>
        </w:rPr>
        <w:t xml:space="preserve"> by 2041</w:t>
      </w:r>
      <w:r w:rsidR="00197698" w:rsidRPr="00B92B2E">
        <w:rPr>
          <w:rFonts w:ascii="Arial" w:hAnsi="Arial" w:cs="Arial"/>
          <w:color w:val="000000"/>
          <w:sz w:val="22"/>
          <w:szCs w:val="22"/>
        </w:rPr>
        <w:t>. </w:t>
      </w:r>
    </w:p>
    <w:p w:rsidR="0010267E" w:rsidRPr="00B92B2E" w:rsidRDefault="00B75A76" w:rsidP="00B92B2E">
      <w:pPr>
        <w:spacing w:before="360" w:after="160" w:line="240" w:lineRule="atLeast"/>
        <w:rPr>
          <w:rFonts w:ascii="Arial" w:hAnsi="Arial" w:cs="Arial"/>
          <w:b/>
          <w:color w:val="000000"/>
          <w:sz w:val="22"/>
          <w:szCs w:val="22"/>
        </w:rPr>
      </w:pPr>
      <w:r w:rsidRPr="00B92B2E">
        <w:rPr>
          <w:rFonts w:ascii="Arial" w:hAnsi="Arial" w:cs="Arial"/>
          <w:b/>
          <w:color w:val="000000"/>
          <w:sz w:val="22"/>
          <w:szCs w:val="22"/>
        </w:rPr>
        <w:t xml:space="preserve">Table 2: </w:t>
      </w:r>
      <w:r w:rsidR="00A125C2" w:rsidRPr="00B92B2E">
        <w:rPr>
          <w:rFonts w:ascii="Arial" w:hAnsi="Arial" w:cs="Arial"/>
          <w:b/>
          <w:color w:val="000000"/>
          <w:sz w:val="22"/>
          <w:szCs w:val="22"/>
        </w:rPr>
        <w:t xml:space="preserve">Territory </w:t>
      </w:r>
      <w:r w:rsidRPr="00B92B2E">
        <w:rPr>
          <w:rFonts w:ascii="Arial" w:hAnsi="Arial" w:cs="Arial"/>
          <w:b/>
          <w:color w:val="000000"/>
          <w:sz w:val="22"/>
          <w:szCs w:val="22"/>
        </w:rPr>
        <w:t xml:space="preserve">Population </w:t>
      </w:r>
      <w:r w:rsidR="001447AF" w:rsidRPr="00B92B2E">
        <w:rPr>
          <w:rFonts w:ascii="Arial" w:hAnsi="Arial" w:cs="Arial"/>
          <w:b/>
          <w:color w:val="000000"/>
          <w:sz w:val="22"/>
          <w:szCs w:val="22"/>
        </w:rPr>
        <w:t xml:space="preserve">Estimates </w:t>
      </w:r>
      <w:r w:rsidRPr="00B92B2E">
        <w:rPr>
          <w:rFonts w:ascii="Arial" w:hAnsi="Arial" w:cs="Arial"/>
          <w:b/>
          <w:color w:val="000000"/>
          <w:sz w:val="22"/>
          <w:szCs w:val="22"/>
        </w:rPr>
        <w:t xml:space="preserve">and Projections, </w:t>
      </w:r>
      <w:r w:rsidR="00391882" w:rsidRPr="00B92B2E">
        <w:rPr>
          <w:rFonts w:ascii="Arial" w:hAnsi="Arial" w:cs="Arial"/>
          <w:b/>
          <w:color w:val="000000"/>
          <w:sz w:val="22"/>
          <w:szCs w:val="22"/>
        </w:rPr>
        <w:t>2011 to 2041</w:t>
      </w:r>
    </w:p>
    <w:p w:rsidR="00C80CB6" w:rsidRDefault="008E3011" w:rsidP="00FD256D">
      <w:pPr>
        <w:autoSpaceDE w:val="0"/>
        <w:autoSpaceDN w:val="0"/>
        <w:adjustRightInd w:val="0"/>
        <w:spacing w:after="120"/>
        <w:rPr>
          <w:rFonts w:ascii="Arial" w:hAnsi="Arial" w:cs="Arial"/>
          <w:b/>
        </w:rPr>
      </w:pPr>
      <w:r>
        <w:t xml:space="preserve"> </w:t>
      </w:r>
      <w:r w:rsidR="00502108">
        <w:rPr>
          <w:noProof/>
          <w:lang w:eastAsia="en-AU"/>
        </w:rPr>
        <w:drawing>
          <wp:inline distT="0" distB="0" distL="0" distR="0">
            <wp:extent cx="5727700" cy="922020"/>
            <wp:effectExtent l="0" t="0" r="6350" b="0"/>
            <wp:docPr id="9" name="Picture 9" descr="Table 2: Territory Population Estimates and Projections, 2011 to 2041"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7700" cy="922020"/>
                    </a:xfrm>
                    <a:prstGeom prst="rect">
                      <a:avLst/>
                    </a:prstGeom>
                    <a:noFill/>
                    <a:ln>
                      <a:noFill/>
                    </a:ln>
                  </pic:spPr>
                </pic:pic>
              </a:graphicData>
            </a:graphic>
          </wp:inline>
        </w:drawing>
      </w:r>
    </w:p>
    <w:p w:rsidR="00AF4B54" w:rsidRPr="00A125C2" w:rsidRDefault="00AF4B54" w:rsidP="00AF4B54">
      <w:pPr>
        <w:autoSpaceDE w:val="0"/>
        <w:autoSpaceDN w:val="0"/>
        <w:adjustRightInd w:val="0"/>
        <w:spacing w:after="120"/>
        <w:rPr>
          <w:rFonts w:ascii="Arial" w:hAnsi="Arial" w:cs="Arial"/>
          <w:sz w:val="16"/>
          <w:szCs w:val="16"/>
        </w:rPr>
      </w:pPr>
      <w:r w:rsidRPr="00A125C2">
        <w:rPr>
          <w:rFonts w:ascii="Arial" w:hAnsi="Arial" w:cs="Arial"/>
          <w:sz w:val="16"/>
          <w:szCs w:val="16"/>
        </w:rPr>
        <w:t>Source: Northern Territory Populat</w:t>
      </w:r>
      <w:r>
        <w:rPr>
          <w:rFonts w:ascii="Arial" w:hAnsi="Arial" w:cs="Arial"/>
          <w:sz w:val="16"/>
          <w:szCs w:val="16"/>
        </w:rPr>
        <w:t xml:space="preserve">ion Projections, </w:t>
      </w:r>
      <w:r w:rsidR="00DF0611">
        <w:rPr>
          <w:rFonts w:ascii="Arial" w:hAnsi="Arial" w:cs="Arial"/>
          <w:sz w:val="16"/>
          <w:szCs w:val="16"/>
        </w:rPr>
        <w:t>Interim – Update (</w:t>
      </w:r>
      <w:r>
        <w:rPr>
          <w:rFonts w:ascii="Arial" w:hAnsi="Arial" w:cs="Arial"/>
          <w:sz w:val="16"/>
          <w:szCs w:val="16"/>
        </w:rPr>
        <w:t>2013</w:t>
      </w:r>
      <w:r w:rsidR="00DF0611">
        <w:rPr>
          <w:rFonts w:ascii="Arial" w:hAnsi="Arial" w:cs="Arial"/>
          <w:sz w:val="16"/>
          <w:szCs w:val="16"/>
        </w:rPr>
        <w:t xml:space="preserve"> Release)</w:t>
      </w:r>
    </w:p>
    <w:p w:rsidR="005A113D" w:rsidRPr="00202981" w:rsidRDefault="00836785" w:rsidP="00A94EBD">
      <w:pPr>
        <w:autoSpaceDE w:val="0"/>
        <w:autoSpaceDN w:val="0"/>
        <w:adjustRightInd w:val="0"/>
        <w:spacing w:after="120"/>
        <w:rPr>
          <w:rFonts w:ascii="Arial" w:hAnsi="Arial" w:cs="Arial"/>
          <w:sz w:val="22"/>
          <w:szCs w:val="22"/>
        </w:rPr>
      </w:pPr>
      <w:r>
        <w:rPr>
          <w:rFonts w:ascii="Arial" w:hAnsi="Arial" w:cs="Arial"/>
          <w:b/>
        </w:rPr>
        <w:br/>
      </w:r>
      <w:r w:rsidR="005A113D" w:rsidRPr="00202981">
        <w:rPr>
          <w:rFonts w:ascii="Arial" w:hAnsi="Arial" w:cs="Arial"/>
          <w:b/>
        </w:rPr>
        <w:t>Chart 2: Territory Population Estimates and Projections, 2011 to 2041</w:t>
      </w:r>
    </w:p>
    <w:p w:rsidR="005A113D" w:rsidRDefault="00502108" w:rsidP="00A94EBD">
      <w:pPr>
        <w:autoSpaceDE w:val="0"/>
        <w:autoSpaceDN w:val="0"/>
        <w:adjustRightInd w:val="0"/>
        <w:spacing w:after="120"/>
        <w:rPr>
          <w:rFonts w:ascii="Arial" w:hAnsi="Arial" w:cs="Arial"/>
          <w:sz w:val="22"/>
          <w:szCs w:val="22"/>
          <w:highlight w:val="yellow"/>
        </w:rPr>
      </w:pPr>
      <w:r>
        <w:rPr>
          <w:noProof/>
          <w:szCs w:val="22"/>
          <w:lang w:eastAsia="en-AU"/>
        </w:rPr>
        <w:drawing>
          <wp:inline distT="0" distB="0" distL="0" distR="0">
            <wp:extent cx="5603240" cy="4015740"/>
            <wp:effectExtent l="0" t="0" r="0" b="3810"/>
            <wp:docPr id="10" name="Picture 10" descr="Chart 2: Territory Population Estimates and Projections, 2011 to 2041" titl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l="887" t="1419" r="1276" b="1064"/>
                    <a:stretch>
                      <a:fillRect/>
                    </a:stretch>
                  </pic:blipFill>
                  <pic:spPr bwMode="auto">
                    <a:xfrm>
                      <a:off x="0" y="0"/>
                      <a:ext cx="5603240" cy="4015740"/>
                    </a:xfrm>
                    <a:prstGeom prst="rect">
                      <a:avLst/>
                    </a:prstGeom>
                    <a:noFill/>
                    <a:ln>
                      <a:noFill/>
                    </a:ln>
                  </pic:spPr>
                </pic:pic>
              </a:graphicData>
            </a:graphic>
          </wp:inline>
        </w:drawing>
      </w:r>
    </w:p>
    <w:p w:rsidR="00020B02" w:rsidRPr="00A125C2" w:rsidRDefault="00020B02" w:rsidP="00020B02">
      <w:pPr>
        <w:autoSpaceDE w:val="0"/>
        <w:autoSpaceDN w:val="0"/>
        <w:adjustRightInd w:val="0"/>
        <w:spacing w:after="120"/>
        <w:rPr>
          <w:rFonts w:ascii="Arial" w:hAnsi="Arial" w:cs="Arial"/>
          <w:sz w:val="16"/>
          <w:szCs w:val="16"/>
        </w:rPr>
      </w:pPr>
      <w:r w:rsidRPr="00A125C2">
        <w:rPr>
          <w:rFonts w:ascii="Arial" w:hAnsi="Arial" w:cs="Arial"/>
          <w:sz w:val="16"/>
          <w:szCs w:val="16"/>
        </w:rPr>
        <w:t>Source: Northern Territory Populat</w:t>
      </w:r>
      <w:r>
        <w:rPr>
          <w:rFonts w:ascii="Arial" w:hAnsi="Arial" w:cs="Arial"/>
          <w:sz w:val="16"/>
          <w:szCs w:val="16"/>
        </w:rPr>
        <w:t xml:space="preserve">ion Projections, </w:t>
      </w:r>
      <w:r w:rsidR="005701D9">
        <w:rPr>
          <w:rFonts w:ascii="Arial" w:hAnsi="Arial" w:cs="Arial"/>
          <w:sz w:val="16"/>
          <w:szCs w:val="16"/>
        </w:rPr>
        <w:t>Interim – Update (2013 Release)</w:t>
      </w:r>
    </w:p>
    <w:p w:rsidR="009539E7" w:rsidRPr="00B92B2E" w:rsidRDefault="008B3354"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The </w:t>
      </w:r>
      <w:r w:rsidR="00A94EBD" w:rsidRPr="00B92B2E">
        <w:rPr>
          <w:rFonts w:ascii="Arial" w:hAnsi="Arial" w:cs="Arial"/>
          <w:color w:val="000000"/>
          <w:sz w:val="22"/>
          <w:szCs w:val="22"/>
        </w:rPr>
        <w:t>Territory’s population is projected to grow at an average annual growth rate of 1.</w:t>
      </w:r>
      <w:r w:rsidR="00783990" w:rsidRPr="00B92B2E">
        <w:rPr>
          <w:rFonts w:ascii="Arial" w:hAnsi="Arial" w:cs="Arial"/>
          <w:color w:val="000000"/>
          <w:sz w:val="22"/>
          <w:szCs w:val="22"/>
        </w:rPr>
        <w:t>3</w:t>
      </w:r>
      <w:r w:rsidR="00A94EBD" w:rsidRPr="00B92B2E">
        <w:rPr>
          <w:rFonts w:ascii="Arial" w:hAnsi="Arial" w:cs="Arial"/>
          <w:color w:val="000000"/>
          <w:sz w:val="22"/>
          <w:szCs w:val="22"/>
        </w:rPr>
        <w:t> per cent per annum o</w:t>
      </w:r>
      <w:r w:rsidR="005A113D" w:rsidRPr="00B92B2E">
        <w:rPr>
          <w:rFonts w:ascii="Arial" w:hAnsi="Arial" w:cs="Arial"/>
          <w:color w:val="000000"/>
          <w:sz w:val="22"/>
          <w:szCs w:val="22"/>
        </w:rPr>
        <w:t>ver the life of the projections</w:t>
      </w:r>
      <w:r w:rsidR="00DC498A" w:rsidRPr="00B92B2E">
        <w:rPr>
          <w:rFonts w:ascii="Arial" w:hAnsi="Arial" w:cs="Arial"/>
          <w:color w:val="000000"/>
          <w:sz w:val="22"/>
          <w:szCs w:val="22"/>
        </w:rPr>
        <w:t xml:space="preserve"> (Table </w:t>
      </w:r>
      <w:r w:rsidR="00D328B8" w:rsidRPr="00B92B2E">
        <w:rPr>
          <w:rFonts w:ascii="Arial" w:hAnsi="Arial" w:cs="Arial"/>
          <w:color w:val="000000"/>
          <w:sz w:val="22"/>
          <w:szCs w:val="22"/>
        </w:rPr>
        <w:t>3</w:t>
      </w:r>
      <w:r w:rsidR="005A113D" w:rsidRPr="00B92B2E">
        <w:rPr>
          <w:rFonts w:ascii="Arial" w:hAnsi="Arial" w:cs="Arial"/>
          <w:color w:val="000000"/>
          <w:sz w:val="22"/>
          <w:szCs w:val="22"/>
        </w:rPr>
        <w:t xml:space="preserve">). </w:t>
      </w:r>
      <w:r w:rsidR="009539E7" w:rsidRPr="00B92B2E">
        <w:rPr>
          <w:rFonts w:ascii="Arial" w:hAnsi="Arial" w:cs="Arial"/>
          <w:color w:val="000000"/>
          <w:sz w:val="22"/>
          <w:szCs w:val="22"/>
        </w:rPr>
        <w:t>Growth is projected to moderate from an average annual growth rate of 1.5 per cent in 2011-2016 to an annual average growth rate of 1.2 per cent in 2036-41. This is due to expected declining fertility rates in both the Indigenous population and non</w:t>
      </w:r>
      <w:r w:rsidR="009539E7" w:rsidRPr="00B92B2E">
        <w:rPr>
          <w:rFonts w:ascii="Arial" w:hAnsi="Arial" w:cs="Arial"/>
          <w:color w:val="000000"/>
          <w:sz w:val="22"/>
          <w:szCs w:val="22"/>
        </w:rPr>
        <w:noBreakHyphen/>
        <w:t>Indigenous population (the fertility rate for Indigenous/non-Indigenous mothers in 201</w:t>
      </w:r>
      <w:r w:rsidR="002066B9" w:rsidRPr="00B92B2E">
        <w:rPr>
          <w:rFonts w:ascii="Arial" w:hAnsi="Arial" w:cs="Arial"/>
          <w:color w:val="000000"/>
          <w:sz w:val="22"/>
          <w:szCs w:val="22"/>
        </w:rPr>
        <w:t>1</w:t>
      </w:r>
      <w:r w:rsidR="009539E7" w:rsidRPr="00B92B2E">
        <w:rPr>
          <w:rFonts w:ascii="Arial" w:hAnsi="Arial" w:cs="Arial"/>
          <w:color w:val="000000"/>
          <w:sz w:val="22"/>
          <w:szCs w:val="22"/>
        </w:rPr>
        <w:t>-1</w:t>
      </w:r>
      <w:r w:rsidR="002066B9" w:rsidRPr="00B92B2E">
        <w:rPr>
          <w:rFonts w:ascii="Arial" w:hAnsi="Arial" w:cs="Arial"/>
          <w:color w:val="000000"/>
          <w:sz w:val="22"/>
          <w:szCs w:val="22"/>
        </w:rPr>
        <w:t>2</w:t>
      </w:r>
      <w:r w:rsidR="009539E7" w:rsidRPr="00B92B2E">
        <w:rPr>
          <w:rFonts w:ascii="Arial" w:hAnsi="Arial" w:cs="Arial"/>
          <w:color w:val="000000"/>
          <w:sz w:val="22"/>
          <w:szCs w:val="22"/>
        </w:rPr>
        <w:t xml:space="preserve"> is </w:t>
      </w:r>
      <w:r w:rsidR="001E14BE" w:rsidRPr="00B92B2E">
        <w:rPr>
          <w:rFonts w:ascii="Arial" w:hAnsi="Arial" w:cs="Arial"/>
          <w:color w:val="000000"/>
          <w:sz w:val="22"/>
          <w:szCs w:val="22"/>
        </w:rPr>
        <w:t>2.307</w:t>
      </w:r>
      <w:r w:rsidR="001E14BE">
        <w:rPr>
          <w:rFonts w:ascii="Arial" w:hAnsi="Arial" w:cs="Arial"/>
          <w:color w:val="000000"/>
          <w:sz w:val="22"/>
          <w:szCs w:val="22"/>
        </w:rPr>
        <w:t>/</w:t>
      </w:r>
      <w:r w:rsidR="009539E7" w:rsidRPr="00B92B2E">
        <w:rPr>
          <w:rFonts w:ascii="Arial" w:hAnsi="Arial" w:cs="Arial"/>
          <w:color w:val="000000"/>
          <w:sz w:val="22"/>
          <w:szCs w:val="22"/>
        </w:rPr>
        <w:t>1.9</w:t>
      </w:r>
      <w:r w:rsidR="006826E6" w:rsidRPr="00B92B2E">
        <w:rPr>
          <w:rFonts w:ascii="Arial" w:hAnsi="Arial" w:cs="Arial"/>
          <w:color w:val="000000"/>
          <w:sz w:val="22"/>
          <w:szCs w:val="22"/>
        </w:rPr>
        <w:t>25</w:t>
      </w:r>
      <w:r w:rsidR="001E14BE">
        <w:rPr>
          <w:rFonts w:ascii="Arial" w:hAnsi="Arial" w:cs="Arial"/>
          <w:color w:val="000000"/>
          <w:sz w:val="22"/>
          <w:szCs w:val="22"/>
        </w:rPr>
        <w:t xml:space="preserve"> </w:t>
      </w:r>
      <w:r w:rsidR="009539E7" w:rsidRPr="00B92B2E">
        <w:rPr>
          <w:rFonts w:ascii="Arial" w:hAnsi="Arial" w:cs="Arial"/>
          <w:color w:val="000000"/>
          <w:sz w:val="22"/>
          <w:szCs w:val="22"/>
        </w:rPr>
        <w:t xml:space="preserve">declining to </w:t>
      </w:r>
      <w:r w:rsidR="00601B81">
        <w:rPr>
          <w:rFonts w:ascii="Arial" w:hAnsi="Arial" w:cs="Arial"/>
          <w:color w:val="000000"/>
          <w:sz w:val="22"/>
          <w:szCs w:val="22"/>
        </w:rPr>
        <w:t>2.169</w:t>
      </w:r>
      <w:r w:rsidR="001E14BE">
        <w:rPr>
          <w:rFonts w:ascii="Arial" w:hAnsi="Arial" w:cs="Arial"/>
          <w:color w:val="000000"/>
          <w:sz w:val="22"/>
          <w:szCs w:val="22"/>
        </w:rPr>
        <w:t xml:space="preserve">/1.903 </w:t>
      </w:r>
      <w:r w:rsidR="009539E7" w:rsidRPr="00B92B2E">
        <w:rPr>
          <w:rFonts w:ascii="Arial" w:hAnsi="Arial" w:cs="Arial"/>
          <w:color w:val="000000"/>
          <w:sz w:val="22"/>
          <w:szCs w:val="22"/>
        </w:rPr>
        <w:t xml:space="preserve">in 2020-2021). </w:t>
      </w:r>
    </w:p>
    <w:p w:rsidR="009539E7" w:rsidRPr="00B92B2E" w:rsidRDefault="009539E7" w:rsidP="00B92B2E">
      <w:pPr>
        <w:spacing w:after="160" w:line="240" w:lineRule="atLeast"/>
        <w:rPr>
          <w:rFonts w:ascii="Arial" w:hAnsi="Arial" w:cs="Arial"/>
          <w:color w:val="000000"/>
          <w:sz w:val="22"/>
          <w:szCs w:val="22"/>
        </w:rPr>
      </w:pPr>
      <w:r w:rsidRPr="00B92B2E">
        <w:rPr>
          <w:rFonts w:ascii="Arial" w:hAnsi="Arial" w:cs="Arial"/>
          <w:color w:val="000000"/>
          <w:sz w:val="22"/>
          <w:szCs w:val="22"/>
        </w:rPr>
        <w:t>There is a small variation in the Indigenous and non-Indigenous growth rates with t</w:t>
      </w:r>
      <w:r w:rsidR="00A94EBD" w:rsidRPr="00B92B2E">
        <w:rPr>
          <w:rFonts w:ascii="Arial" w:hAnsi="Arial" w:cs="Arial"/>
          <w:color w:val="000000"/>
          <w:sz w:val="22"/>
          <w:szCs w:val="22"/>
        </w:rPr>
        <w:t>he Indigenous population projected to grow by 1.</w:t>
      </w:r>
      <w:r w:rsidR="00783990" w:rsidRPr="00B92B2E">
        <w:rPr>
          <w:rFonts w:ascii="Arial" w:hAnsi="Arial" w:cs="Arial"/>
          <w:color w:val="000000"/>
          <w:sz w:val="22"/>
          <w:szCs w:val="22"/>
        </w:rPr>
        <w:t xml:space="preserve">3 </w:t>
      </w:r>
      <w:r w:rsidR="005A113D" w:rsidRPr="00B92B2E">
        <w:rPr>
          <w:rFonts w:ascii="Arial" w:hAnsi="Arial" w:cs="Arial"/>
          <w:color w:val="000000"/>
          <w:sz w:val="22"/>
          <w:szCs w:val="22"/>
        </w:rPr>
        <w:t>per cent per annum</w:t>
      </w:r>
      <w:r w:rsidR="00145D5A" w:rsidRPr="00B92B2E">
        <w:rPr>
          <w:rFonts w:ascii="Arial" w:hAnsi="Arial" w:cs="Arial"/>
          <w:color w:val="000000"/>
          <w:sz w:val="22"/>
          <w:szCs w:val="22"/>
        </w:rPr>
        <w:t xml:space="preserve"> </w:t>
      </w:r>
      <w:r w:rsidRPr="00B92B2E">
        <w:rPr>
          <w:rFonts w:ascii="Arial" w:hAnsi="Arial" w:cs="Arial"/>
          <w:color w:val="000000"/>
          <w:sz w:val="22"/>
          <w:szCs w:val="22"/>
        </w:rPr>
        <w:t xml:space="preserve">and the non-Indigenous population </w:t>
      </w:r>
      <w:r w:rsidR="00145D5A" w:rsidRPr="00B92B2E">
        <w:rPr>
          <w:rFonts w:ascii="Arial" w:hAnsi="Arial" w:cs="Arial"/>
          <w:color w:val="000000"/>
          <w:sz w:val="22"/>
          <w:szCs w:val="22"/>
        </w:rPr>
        <w:t xml:space="preserve">projected to grow by </w:t>
      </w:r>
      <w:r w:rsidR="00EB39F5" w:rsidRPr="00B92B2E">
        <w:rPr>
          <w:rFonts w:ascii="Arial" w:hAnsi="Arial" w:cs="Arial"/>
          <w:color w:val="000000"/>
          <w:sz w:val="22"/>
          <w:szCs w:val="22"/>
        </w:rPr>
        <w:t>1.4 per cent</w:t>
      </w:r>
      <w:r w:rsidR="005A113D" w:rsidRPr="00B92B2E">
        <w:rPr>
          <w:rFonts w:ascii="Arial" w:hAnsi="Arial" w:cs="Arial"/>
          <w:color w:val="000000"/>
          <w:sz w:val="22"/>
          <w:szCs w:val="22"/>
        </w:rPr>
        <w:t xml:space="preserve">. </w:t>
      </w:r>
    </w:p>
    <w:p w:rsidR="00EB39F5" w:rsidRPr="00B92B2E" w:rsidRDefault="00EB39F5" w:rsidP="00B92B2E">
      <w:pPr>
        <w:spacing w:after="160" w:line="240" w:lineRule="atLeast"/>
        <w:rPr>
          <w:rFonts w:ascii="Arial" w:hAnsi="Arial" w:cs="Arial"/>
          <w:color w:val="000000"/>
          <w:sz w:val="22"/>
          <w:szCs w:val="22"/>
        </w:rPr>
      </w:pPr>
      <w:r w:rsidRPr="00B92B2E">
        <w:rPr>
          <w:rFonts w:ascii="Arial" w:hAnsi="Arial" w:cs="Arial"/>
          <w:color w:val="000000"/>
          <w:sz w:val="22"/>
          <w:szCs w:val="22"/>
        </w:rPr>
        <w:t>This variation reflects the addition of overseas migrants to the non</w:t>
      </w:r>
      <w:r w:rsidRPr="00B92B2E">
        <w:rPr>
          <w:rFonts w:ascii="Arial" w:hAnsi="Arial" w:cs="Arial"/>
          <w:color w:val="000000"/>
          <w:sz w:val="22"/>
          <w:szCs w:val="22"/>
        </w:rPr>
        <w:noBreakHyphen/>
        <w:t>Indigenous population (net overseas migration in the non-Indigenous population is se</w:t>
      </w:r>
      <w:r w:rsidR="00593A9E" w:rsidRPr="00B92B2E">
        <w:rPr>
          <w:rFonts w:ascii="Arial" w:hAnsi="Arial" w:cs="Arial"/>
          <w:color w:val="000000"/>
          <w:sz w:val="22"/>
          <w:szCs w:val="22"/>
        </w:rPr>
        <w:t xml:space="preserve">t at 1287 from 2012-13 onwards) partially offset by net interstate migration, </w:t>
      </w:r>
      <w:r w:rsidRPr="00B92B2E">
        <w:rPr>
          <w:rFonts w:ascii="Arial" w:hAnsi="Arial" w:cs="Arial"/>
          <w:color w:val="000000"/>
          <w:sz w:val="22"/>
          <w:szCs w:val="22"/>
        </w:rPr>
        <w:t xml:space="preserve">as well as a </w:t>
      </w:r>
      <w:r w:rsidR="00593A9E" w:rsidRPr="00B92B2E">
        <w:rPr>
          <w:rFonts w:ascii="Arial" w:hAnsi="Arial" w:cs="Arial"/>
          <w:color w:val="000000"/>
          <w:sz w:val="22"/>
          <w:szCs w:val="22"/>
        </w:rPr>
        <w:t xml:space="preserve">more substantial </w:t>
      </w:r>
      <w:r w:rsidRPr="00B92B2E">
        <w:rPr>
          <w:rFonts w:ascii="Arial" w:hAnsi="Arial" w:cs="Arial"/>
          <w:color w:val="000000"/>
          <w:sz w:val="22"/>
          <w:szCs w:val="22"/>
        </w:rPr>
        <w:t xml:space="preserve">projected </w:t>
      </w:r>
      <w:r w:rsidR="00D8737F" w:rsidRPr="00B92B2E">
        <w:rPr>
          <w:rFonts w:ascii="Arial" w:hAnsi="Arial" w:cs="Arial"/>
          <w:color w:val="000000"/>
          <w:sz w:val="22"/>
          <w:szCs w:val="22"/>
        </w:rPr>
        <w:t>decrease in the Indigenous population fertility rates</w:t>
      </w:r>
      <w:r w:rsidR="00593A9E" w:rsidRPr="00B92B2E">
        <w:rPr>
          <w:rFonts w:ascii="Arial" w:hAnsi="Arial" w:cs="Arial"/>
          <w:color w:val="000000"/>
          <w:sz w:val="22"/>
          <w:szCs w:val="22"/>
        </w:rPr>
        <w:t xml:space="preserve">. </w:t>
      </w:r>
    </w:p>
    <w:p w:rsidR="00DC498A" w:rsidRPr="00B92B2E" w:rsidRDefault="00DC498A" w:rsidP="00B92B2E">
      <w:pPr>
        <w:spacing w:before="360" w:after="160" w:line="240" w:lineRule="atLeast"/>
        <w:rPr>
          <w:rFonts w:ascii="Arial" w:hAnsi="Arial" w:cs="Arial"/>
          <w:b/>
          <w:color w:val="000000"/>
          <w:sz w:val="22"/>
          <w:szCs w:val="22"/>
        </w:rPr>
      </w:pPr>
      <w:r w:rsidRPr="00B92B2E">
        <w:rPr>
          <w:rFonts w:ascii="Arial" w:hAnsi="Arial" w:cs="Arial"/>
          <w:b/>
          <w:color w:val="000000"/>
          <w:sz w:val="22"/>
          <w:szCs w:val="22"/>
        </w:rPr>
        <w:t xml:space="preserve">Table </w:t>
      </w:r>
      <w:r w:rsidR="00D143BE" w:rsidRPr="00B92B2E">
        <w:rPr>
          <w:rFonts w:ascii="Arial" w:hAnsi="Arial" w:cs="Arial"/>
          <w:b/>
          <w:color w:val="000000"/>
          <w:sz w:val="22"/>
          <w:szCs w:val="22"/>
        </w:rPr>
        <w:t>3</w:t>
      </w:r>
      <w:r w:rsidRPr="00B92B2E">
        <w:rPr>
          <w:rFonts w:ascii="Arial" w:hAnsi="Arial" w:cs="Arial"/>
          <w:b/>
          <w:color w:val="000000"/>
          <w:sz w:val="22"/>
          <w:szCs w:val="22"/>
        </w:rPr>
        <w:t xml:space="preserve">: </w:t>
      </w:r>
      <w:r w:rsidR="00A125C2" w:rsidRPr="00B92B2E">
        <w:rPr>
          <w:rFonts w:ascii="Arial" w:hAnsi="Arial" w:cs="Arial"/>
          <w:b/>
          <w:color w:val="000000"/>
          <w:sz w:val="22"/>
          <w:szCs w:val="22"/>
        </w:rPr>
        <w:t xml:space="preserve">Territory </w:t>
      </w:r>
      <w:r w:rsidRPr="00B92B2E">
        <w:rPr>
          <w:rFonts w:ascii="Arial" w:hAnsi="Arial" w:cs="Arial"/>
          <w:b/>
          <w:color w:val="000000"/>
          <w:sz w:val="22"/>
          <w:szCs w:val="22"/>
        </w:rPr>
        <w:t xml:space="preserve">Average Annual Population Growth Rates, </w:t>
      </w:r>
      <w:r w:rsidR="00A94EBD" w:rsidRPr="00B92B2E">
        <w:rPr>
          <w:rFonts w:ascii="Arial" w:hAnsi="Arial" w:cs="Arial"/>
          <w:b/>
          <w:color w:val="000000"/>
          <w:sz w:val="22"/>
          <w:szCs w:val="22"/>
        </w:rPr>
        <w:t>Five</w:t>
      </w:r>
      <w:r w:rsidRPr="00B92B2E">
        <w:rPr>
          <w:rFonts w:ascii="Arial" w:hAnsi="Arial" w:cs="Arial"/>
          <w:b/>
          <w:color w:val="000000"/>
          <w:sz w:val="22"/>
          <w:szCs w:val="22"/>
        </w:rPr>
        <w:t>-Year Periods</w:t>
      </w:r>
    </w:p>
    <w:p w:rsidR="00722629" w:rsidRDefault="00502108" w:rsidP="00DC498A">
      <w:pPr>
        <w:autoSpaceDE w:val="0"/>
        <w:autoSpaceDN w:val="0"/>
        <w:adjustRightInd w:val="0"/>
        <w:spacing w:after="120"/>
        <w:rPr>
          <w:rFonts w:ascii="Arial" w:hAnsi="Arial" w:cs="Arial"/>
          <w:b/>
        </w:rPr>
      </w:pPr>
      <w:r>
        <w:rPr>
          <w:noProof/>
          <w:lang w:eastAsia="en-AU"/>
        </w:rPr>
        <w:drawing>
          <wp:inline distT="0" distB="0" distL="0" distR="0">
            <wp:extent cx="5727700" cy="1440815"/>
            <wp:effectExtent l="0" t="0" r="6350" b="6985"/>
            <wp:docPr id="11" name="Picture 11" descr="Table 3: Territory Average Annual Population Growth Rates, Five-Year Periods"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7700" cy="1440815"/>
                    </a:xfrm>
                    <a:prstGeom prst="rect">
                      <a:avLst/>
                    </a:prstGeom>
                    <a:noFill/>
                    <a:ln>
                      <a:noFill/>
                    </a:ln>
                  </pic:spPr>
                </pic:pic>
              </a:graphicData>
            </a:graphic>
          </wp:inline>
        </w:drawing>
      </w:r>
    </w:p>
    <w:p w:rsidR="00D143BE" w:rsidRDefault="00A125C2" w:rsidP="00DC498A">
      <w:pPr>
        <w:autoSpaceDE w:val="0"/>
        <w:autoSpaceDN w:val="0"/>
        <w:adjustRightInd w:val="0"/>
        <w:spacing w:after="120"/>
        <w:rPr>
          <w:rFonts w:ascii="Arial" w:hAnsi="Arial" w:cs="Arial"/>
          <w:sz w:val="16"/>
          <w:szCs w:val="16"/>
        </w:rPr>
      </w:pPr>
      <w:r w:rsidRPr="00A125C2">
        <w:rPr>
          <w:rFonts w:ascii="Arial" w:hAnsi="Arial" w:cs="Arial"/>
          <w:sz w:val="16"/>
          <w:szCs w:val="16"/>
        </w:rPr>
        <w:t>Source: Northern Territory Populat</w:t>
      </w:r>
      <w:r w:rsidR="00AF4B54">
        <w:rPr>
          <w:rFonts w:ascii="Arial" w:hAnsi="Arial" w:cs="Arial"/>
          <w:sz w:val="16"/>
          <w:szCs w:val="16"/>
        </w:rPr>
        <w:t xml:space="preserve">ion Projections, </w:t>
      </w:r>
      <w:r w:rsidR="005701D9">
        <w:rPr>
          <w:rFonts w:ascii="Arial" w:hAnsi="Arial" w:cs="Arial"/>
          <w:sz w:val="16"/>
          <w:szCs w:val="16"/>
        </w:rPr>
        <w:t>Interim – Update (2013 Release)</w:t>
      </w:r>
    </w:p>
    <w:p w:rsidR="00D8737F" w:rsidRPr="00B92B2E" w:rsidRDefault="00D8737F" w:rsidP="00B92B2E">
      <w:pPr>
        <w:spacing w:after="160" w:line="240" w:lineRule="atLeast"/>
        <w:rPr>
          <w:rFonts w:ascii="Arial" w:hAnsi="Arial" w:cs="Arial"/>
          <w:color w:val="000000"/>
          <w:sz w:val="22"/>
          <w:szCs w:val="22"/>
        </w:rPr>
      </w:pPr>
    </w:p>
    <w:p w:rsidR="005C144E" w:rsidRPr="00B92B2E" w:rsidRDefault="00DC498A" w:rsidP="00B92B2E">
      <w:pPr>
        <w:spacing w:after="160" w:line="240" w:lineRule="atLeast"/>
        <w:rPr>
          <w:rFonts w:ascii="Arial" w:hAnsi="Arial" w:cs="Arial"/>
          <w:color w:val="000000"/>
          <w:sz w:val="22"/>
          <w:szCs w:val="22"/>
        </w:rPr>
      </w:pPr>
      <w:r w:rsidRPr="00B92B2E">
        <w:rPr>
          <w:rFonts w:ascii="Arial" w:hAnsi="Arial" w:cs="Arial"/>
          <w:color w:val="000000"/>
          <w:sz w:val="22"/>
          <w:szCs w:val="22"/>
        </w:rPr>
        <w:t xml:space="preserve">Chart </w:t>
      </w:r>
      <w:r w:rsidR="00A125C2" w:rsidRPr="00B92B2E">
        <w:rPr>
          <w:rFonts w:ascii="Arial" w:hAnsi="Arial" w:cs="Arial"/>
          <w:color w:val="000000"/>
          <w:sz w:val="22"/>
          <w:szCs w:val="22"/>
        </w:rPr>
        <w:t xml:space="preserve">3 </w:t>
      </w:r>
      <w:r w:rsidRPr="00B92B2E">
        <w:rPr>
          <w:rFonts w:ascii="Arial" w:hAnsi="Arial" w:cs="Arial"/>
          <w:color w:val="000000"/>
          <w:sz w:val="22"/>
          <w:szCs w:val="22"/>
        </w:rPr>
        <w:t xml:space="preserve">shows actual ABS population estimates from </w:t>
      </w:r>
      <w:r w:rsidR="002B4C1A" w:rsidRPr="00B92B2E">
        <w:rPr>
          <w:rFonts w:ascii="Arial" w:hAnsi="Arial" w:cs="Arial"/>
          <w:color w:val="000000"/>
          <w:sz w:val="22"/>
          <w:szCs w:val="22"/>
        </w:rPr>
        <w:t>19</w:t>
      </w:r>
      <w:r w:rsidR="00FE4CDE" w:rsidRPr="00B92B2E">
        <w:rPr>
          <w:rFonts w:ascii="Arial" w:hAnsi="Arial" w:cs="Arial"/>
          <w:color w:val="000000"/>
          <w:sz w:val="22"/>
          <w:szCs w:val="22"/>
        </w:rPr>
        <w:t>86</w:t>
      </w:r>
      <w:r w:rsidR="002B4C1A" w:rsidRPr="00B92B2E">
        <w:rPr>
          <w:rFonts w:ascii="Arial" w:hAnsi="Arial" w:cs="Arial"/>
          <w:color w:val="000000"/>
          <w:sz w:val="22"/>
          <w:szCs w:val="22"/>
        </w:rPr>
        <w:t xml:space="preserve"> </w:t>
      </w:r>
      <w:r w:rsidRPr="00B92B2E">
        <w:rPr>
          <w:rFonts w:ascii="Arial" w:hAnsi="Arial" w:cs="Arial"/>
          <w:color w:val="000000"/>
          <w:sz w:val="22"/>
          <w:szCs w:val="22"/>
        </w:rPr>
        <w:t xml:space="preserve">to </w:t>
      </w:r>
      <w:r w:rsidR="00FE4CDE" w:rsidRPr="00B92B2E">
        <w:rPr>
          <w:rFonts w:ascii="Arial" w:hAnsi="Arial" w:cs="Arial"/>
          <w:color w:val="000000"/>
          <w:sz w:val="22"/>
          <w:szCs w:val="22"/>
        </w:rPr>
        <w:t>2011</w:t>
      </w:r>
      <w:r w:rsidR="002B4C1A" w:rsidRPr="00B92B2E">
        <w:rPr>
          <w:rFonts w:ascii="Arial" w:hAnsi="Arial" w:cs="Arial"/>
          <w:color w:val="000000"/>
          <w:sz w:val="22"/>
          <w:szCs w:val="22"/>
        </w:rPr>
        <w:t xml:space="preserve"> </w:t>
      </w:r>
      <w:r w:rsidRPr="00B92B2E">
        <w:rPr>
          <w:rFonts w:ascii="Arial" w:hAnsi="Arial" w:cs="Arial"/>
          <w:color w:val="000000"/>
          <w:sz w:val="22"/>
          <w:szCs w:val="22"/>
        </w:rPr>
        <w:t xml:space="preserve">and </w:t>
      </w:r>
      <w:r w:rsidR="00A125C2" w:rsidRPr="00B92B2E">
        <w:rPr>
          <w:rFonts w:ascii="Arial" w:hAnsi="Arial" w:cs="Arial"/>
          <w:color w:val="000000"/>
          <w:sz w:val="22"/>
          <w:szCs w:val="22"/>
        </w:rPr>
        <w:t xml:space="preserve">NTG </w:t>
      </w:r>
      <w:r w:rsidRPr="00B92B2E">
        <w:rPr>
          <w:rFonts w:ascii="Arial" w:hAnsi="Arial" w:cs="Arial"/>
          <w:color w:val="000000"/>
          <w:sz w:val="22"/>
          <w:szCs w:val="22"/>
        </w:rPr>
        <w:t xml:space="preserve">projections from </w:t>
      </w:r>
      <w:r w:rsidR="002B4C1A" w:rsidRPr="00B92B2E">
        <w:rPr>
          <w:rFonts w:ascii="Arial" w:hAnsi="Arial" w:cs="Arial"/>
          <w:color w:val="000000"/>
          <w:sz w:val="22"/>
          <w:szCs w:val="22"/>
        </w:rPr>
        <w:t xml:space="preserve">2011 </w:t>
      </w:r>
      <w:r w:rsidRPr="00B92B2E">
        <w:rPr>
          <w:rFonts w:ascii="Arial" w:hAnsi="Arial" w:cs="Arial"/>
          <w:color w:val="000000"/>
          <w:sz w:val="22"/>
          <w:szCs w:val="22"/>
        </w:rPr>
        <w:t xml:space="preserve">to </w:t>
      </w:r>
      <w:r w:rsidR="00FE4CDE" w:rsidRPr="00B92B2E">
        <w:rPr>
          <w:rFonts w:ascii="Arial" w:hAnsi="Arial" w:cs="Arial"/>
          <w:color w:val="000000"/>
          <w:sz w:val="22"/>
          <w:szCs w:val="22"/>
        </w:rPr>
        <w:t>2041</w:t>
      </w:r>
      <w:r w:rsidR="002B4C1A" w:rsidRPr="00B92B2E">
        <w:rPr>
          <w:rFonts w:ascii="Arial" w:hAnsi="Arial" w:cs="Arial"/>
          <w:color w:val="000000"/>
          <w:sz w:val="22"/>
          <w:szCs w:val="22"/>
        </w:rPr>
        <w:t xml:space="preserve"> </w:t>
      </w:r>
      <w:r w:rsidRPr="00B92B2E">
        <w:rPr>
          <w:rFonts w:ascii="Arial" w:hAnsi="Arial" w:cs="Arial"/>
          <w:color w:val="000000"/>
          <w:sz w:val="22"/>
          <w:szCs w:val="22"/>
        </w:rPr>
        <w:t>for the Indigenous, non</w:t>
      </w:r>
      <w:r w:rsidR="00A125C2" w:rsidRPr="00B92B2E">
        <w:rPr>
          <w:rFonts w:ascii="Arial" w:hAnsi="Arial" w:cs="Arial"/>
          <w:color w:val="000000"/>
          <w:sz w:val="22"/>
          <w:szCs w:val="22"/>
        </w:rPr>
        <w:noBreakHyphen/>
      </w:r>
      <w:r w:rsidRPr="00B92B2E">
        <w:rPr>
          <w:rFonts w:ascii="Arial" w:hAnsi="Arial" w:cs="Arial"/>
          <w:color w:val="000000"/>
          <w:sz w:val="22"/>
          <w:szCs w:val="22"/>
        </w:rPr>
        <w:t>Indigenous and total populations. The volatility in the historical estimates is evident in the non-Indigenous population. The smooth trajectory of the projected non</w:t>
      </w:r>
      <w:r w:rsidR="002B4C1A" w:rsidRPr="00B92B2E">
        <w:rPr>
          <w:rFonts w:ascii="Arial" w:hAnsi="Arial" w:cs="Arial"/>
          <w:color w:val="000000"/>
          <w:sz w:val="22"/>
          <w:szCs w:val="22"/>
        </w:rPr>
        <w:noBreakHyphen/>
      </w:r>
      <w:r w:rsidRPr="00B92B2E">
        <w:rPr>
          <w:rFonts w:ascii="Arial" w:hAnsi="Arial" w:cs="Arial"/>
          <w:color w:val="000000"/>
          <w:sz w:val="22"/>
          <w:szCs w:val="22"/>
        </w:rPr>
        <w:t>Indigenous population growth does not imply that volatility will not be present in actual non-Indigenous population growth as it occurs in the future. Rather it is not sensible to attempt to project the exact trend as this is driven by the largely unpredictable</w:t>
      </w:r>
      <w:r w:rsidR="00CF3139" w:rsidRPr="00B92B2E">
        <w:rPr>
          <w:rFonts w:ascii="Arial" w:hAnsi="Arial" w:cs="Arial"/>
          <w:color w:val="000000"/>
          <w:sz w:val="22"/>
          <w:szCs w:val="22"/>
        </w:rPr>
        <w:t xml:space="preserve"> and unknown</w:t>
      </w:r>
      <w:r w:rsidR="00A125C2" w:rsidRPr="00B92B2E">
        <w:rPr>
          <w:rFonts w:ascii="Arial" w:hAnsi="Arial" w:cs="Arial"/>
          <w:color w:val="000000"/>
          <w:sz w:val="22"/>
          <w:szCs w:val="22"/>
        </w:rPr>
        <w:t xml:space="preserve"> future</w:t>
      </w:r>
      <w:r w:rsidRPr="00B92B2E">
        <w:rPr>
          <w:rFonts w:ascii="Arial" w:hAnsi="Arial" w:cs="Arial"/>
          <w:color w:val="000000"/>
          <w:sz w:val="22"/>
          <w:szCs w:val="22"/>
        </w:rPr>
        <w:t xml:space="preserve"> short-term major projects and associated employment.</w:t>
      </w:r>
      <w:r w:rsidR="002B4C1A" w:rsidRPr="00B92B2E">
        <w:rPr>
          <w:rFonts w:ascii="Arial" w:hAnsi="Arial" w:cs="Arial"/>
          <w:color w:val="000000"/>
          <w:sz w:val="22"/>
          <w:szCs w:val="22"/>
        </w:rPr>
        <w:t xml:space="preserve"> </w:t>
      </w:r>
    </w:p>
    <w:p w:rsidR="00DC498A" w:rsidRPr="00B92B2E" w:rsidRDefault="002B4C1A" w:rsidP="00B92B2E">
      <w:pPr>
        <w:spacing w:after="160" w:line="240" w:lineRule="atLeast"/>
        <w:rPr>
          <w:rFonts w:ascii="Arial" w:hAnsi="Arial" w:cs="Arial"/>
          <w:color w:val="000000"/>
          <w:sz w:val="22"/>
          <w:szCs w:val="22"/>
        </w:rPr>
      </w:pPr>
      <w:r w:rsidRPr="00B92B2E">
        <w:rPr>
          <w:rFonts w:ascii="Arial" w:hAnsi="Arial" w:cs="Arial"/>
          <w:color w:val="000000"/>
          <w:sz w:val="22"/>
          <w:szCs w:val="22"/>
        </w:rPr>
        <w:t>Th</w:t>
      </w:r>
      <w:r w:rsidR="003B57A0" w:rsidRPr="00B92B2E">
        <w:rPr>
          <w:rFonts w:ascii="Arial" w:hAnsi="Arial" w:cs="Arial"/>
          <w:color w:val="000000"/>
          <w:sz w:val="22"/>
          <w:szCs w:val="22"/>
        </w:rPr>
        <w:t xml:space="preserve">e volatility of the Territory’s population estimates are further </w:t>
      </w:r>
      <w:r w:rsidRPr="00B92B2E">
        <w:rPr>
          <w:rFonts w:ascii="Arial" w:hAnsi="Arial" w:cs="Arial"/>
          <w:color w:val="000000"/>
          <w:sz w:val="22"/>
          <w:szCs w:val="22"/>
        </w:rPr>
        <w:t xml:space="preserve">illustrated in Chart </w:t>
      </w:r>
      <w:r w:rsidR="00A125C2" w:rsidRPr="00B92B2E">
        <w:rPr>
          <w:rFonts w:ascii="Arial" w:hAnsi="Arial" w:cs="Arial"/>
          <w:color w:val="000000"/>
          <w:sz w:val="22"/>
          <w:szCs w:val="22"/>
        </w:rPr>
        <w:t>4</w:t>
      </w:r>
      <w:r w:rsidRPr="00B92B2E">
        <w:rPr>
          <w:rFonts w:ascii="Arial" w:hAnsi="Arial" w:cs="Arial"/>
          <w:color w:val="000000"/>
          <w:sz w:val="22"/>
          <w:szCs w:val="22"/>
        </w:rPr>
        <w:t>.</w:t>
      </w:r>
    </w:p>
    <w:p w:rsidR="00836785" w:rsidRPr="00B92B2E" w:rsidRDefault="00836785" w:rsidP="00B92B2E">
      <w:pPr>
        <w:spacing w:after="160" w:line="240" w:lineRule="atLeast"/>
        <w:rPr>
          <w:rFonts w:ascii="Arial" w:hAnsi="Arial" w:cs="Arial"/>
          <w:color w:val="000000"/>
          <w:sz w:val="22"/>
          <w:szCs w:val="22"/>
        </w:rPr>
      </w:pPr>
    </w:p>
    <w:p w:rsidR="00A947F7" w:rsidRPr="00B92B2E" w:rsidRDefault="00836785" w:rsidP="00B92B2E">
      <w:pPr>
        <w:spacing w:before="360" w:after="160" w:line="240" w:lineRule="atLeast"/>
        <w:rPr>
          <w:rFonts w:ascii="Arial" w:hAnsi="Arial" w:cs="Arial"/>
          <w:b/>
          <w:color w:val="000000"/>
          <w:sz w:val="22"/>
          <w:szCs w:val="22"/>
        </w:rPr>
      </w:pPr>
      <w:r>
        <w:rPr>
          <w:rFonts w:ascii="Arial" w:hAnsi="Arial" w:cs="Arial"/>
          <w:b/>
          <w:highlight w:val="yellow"/>
        </w:rPr>
        <w:br w:type="page"/>
      </w:r>
      <w:r w:rsidR="00DC498A" w:rsidRPr="00B92B2E">
        <w:rPr>
          <w:rFonts w:ascii="Arial" w:hAnsi="Arial" w:cs="Arial"/>
          <w:b/>
          <w:color w:val="000000"/>
          <w:sz w:val="22"/>
          <w:szCs w:val="22"/>
        </w:rPr>
        <w:t xml:space="preserve">Chart </w:t>
      </w:r>
      <w:r w:rsidR="00A125C2" w:rsidRPr="00B92B2E">
        <w:rPr>
          <w:rFonts w:ascii="Arial" w:hAnsi="Arial" w:cs="Arial"/>
          <w:b/>
          <w:color w:val="000000"/>
          <w:sz w:val="22"/>
          <w:szCs w:val="22"/>
        </w:rPr>
        <w:t>3</w:t>
      </w:r>
      <w:r w:rsidR="00DC498A" w:rsidRPr="00B92B2E">
        <w:rPr>
          <w:rFonts w:ascii="Arial" w:hAnsi="Arial" w:cs="Arial"/>
          <w:b/>
          <w:color w:val="000000"/>
          <w:sz w:val="22"/>
          <w:szCs w:val="22"/>
        </w:rPr>
        <w:t xml:space="preserve">: Territory Estimates and Projections, </w:t>
      </w:r>
      <w:r w:rsidR="00FE4CDE" w:rsidRPr="00B92B2E">
        <w:rPr>
          <w:rFonts w:ascii="Arial" w:hAnsi="Arial" w:cs="Arial"/>
          <w:b/>
          <w:color w:val="000000"/>
          <w:sz w:val="22"/>
          <w:szCs w:val="22"/>
        </w:rPr>
        <w:t>1986</w:t>
      </w:r>
      <w:r w:rsidR="00754EC2" w:rsidRPr="00B92B2E">
        <w:rPr>
          <w:rFonts w:ascii="Arial" w:hAnsi="Arial" w:cs="Arial"/>
          <w:b/>
          <w:color w:val="000000"/>
          <w:sz w:val="22"/>
          <w:szCs w:val="22"/>
        </w:rPr>
        <w:t xml:space="preserve"> </w:t>
      </w:r>
      <w:r w:rsidR="00DC498A" w:rsidRPr="00B92B2E">
        <w:rPr>
          <w:rFonts w:ascii="Arial" w:hAnsi="Arial" w:cs="Arial"/>
          <w:b/>
          <w:color w:val="000000"/>
          <w:sz w:val="22"/>
          <w:szCs w:val="22"/>
        </w:rPr>
        <w:t xml:space="preserve">to </w:t>
      </w:r>
      <w:r w:rsidR="00FE4CDE" w:rsidRPr="00B92B2E">
        <w:rPr>
          <w:rFonts w:ascii="Arial" w:hAnsi="Arial" w:cs="Arial"/>
          <w:b/>
          <w:color w:val="000000"/>
          <w:sz w:val="22"/>
          <w:szCs w:val="22"/>
        </w:rPr>
        <w:t>2041</w:t>
      </w:r>
    </w:p>
    <w:p w:rsidR="009B4ADC" w:rsidRPr="00FE4CDE" w:rsidRDefault="00502108" w:rsidP="00DC498A">
      <w:pPr>
        <w:autoSpaceDE w:val="0"/>
        <w:autoSpaceDN w:val="0"/>
        <w:adjustRightInd w:val="0"/>
        <w:spacing w:after="120"/>
      </w:pPr>
      <w:r>
        <w:rPr>
          <w:noProof/>
          <w:lang w:eastAsia="en-AU"/>
        </w:rPr>
        <w:drawing>
          <wp:inline distT="0" distB="0" distL="0" distR="0">
            <wp:extent cx="5303520" cy="4074795"/>
            <wp:effectExtent l="0" t="0" r="0" b="1905"/>
            <wp:docPr id="12" name="Picture 12" descr="Chart 3: Territory Estimates and Projections, 1986 to 2041" titl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03520" cy="4074795"/>
                    </a:xfrm>
                    <a:prstGeom prst="rect">
                      <a:avLst/>
                    </a:prstGeom>
                    <a:noFill/>
                    <a:ln>
                      <a:noFill/>
                    </a:ln>
                  </pic:spPr>
                </pic:pic>
              </a:graphicData>
            </a:graphic>
          </wp:inline>
        </w:drawing>
      </w:r>
    </w:p>
    <w:p w:rsidR="00D949DC" w:rsidRDefault="00A125C2" w:rsidP="00DC498A">
      <w:pPr>
        <w:autoSpaceDE w:val="0"/>
        <w:autoSpaceDN w:val="0"/>
        <w:adjustRightInd w:val="0"/>
        <w:spacing w:after="120"/>
        <w:rPr>
          <w:rFonts w:ascii="Arial" w:hAnsi="Arial" w:cs="Arial"/>
          <w:sz w:val="16"/>
          <w:szCs w:val="16"/>
        </w:rPr>
      </w:pPr>
      <w:r w:rsidRPr="00FE4CDE">
        <w:rPr>
          <w:rFonts w:ascii="Arial" w:hAnsi="Arial" w:cs="Arial"/>
          <w:sz w:val="16"/>
          <w:szCs w:val="16"/>
        </w:rPr>
        <w:t>Source: ABS Cat. No. 3101.0; Northern Territory Pop</w:t>
      </w:r>
      <w:r w:rsidR="00020B02">
        <w:rPr>
          <w:rFonts w:ascii="Arial" w:hAnsi="Arial" w:cs="Arial"/>
          <w:sz w:val="16"/>
          <w:szCs w:val="16"/>
        </w:rPr>
        <w:t xml:space="preserve">ulation Projections, </w:t>
      </w:r>
      <w:r w:rsidR="005701D9">
        <w:rPr>
          <w:rFonts w:ascii="Arial" w:hAnsi="Arial" w:cs="Arial"/>
          <w:sz w:val="16"/>
          <w:szCs w:val="16"/>
        </w:rPr>
        <w:t>Interim – Update (2013 Release)</w:t>
      </w:r>
    </w:p>
    <w:p w:rsidR="002B4C1A" w:rsidRPr="00B92B2E" w:rsidRDefault="002B4C1A" w:rsidP="00B92B2E">
      <w:pPr>
        <w:spacing w:before="360" w:after="160" w:line="240" w:lineRule="atLeast"/>
        <w:rPr>
          <w:rFonts w:ascii="Arial" w:hAnsi="Arial" w:cs="Arial"/>
          <w:b/>
          <w:color w:val="000000"/>
          <w:sz w:val="22"/>
          <w:szCs w:val="22"/>
        </w:rPr>
      </w:pPr>
      <w:r w:rsidRPr="00B92B2E">
        <w:rPr>
          <w:rFonts w:ascii="Arial" w:hAnsi="Arial" w:cs="Arial"/>
          <w:b/>
          <w:color w:val="000000"/>
          <w:sz w:val="22"/>
          <w:szCs w:val="22"/>
        </w:rPr>
        <w:t xml:space="preserve">Chart </w:t>
      </w:r>
      <w:r w:rsidR="00A125C2" w:rsidRPr="00B92B2E">
        <w:rPr>
          <w:rFonts w:ascii="Arial" w:hAnsi="Arial" w:cs="Arial"/>
          <w:b/>
          <w:color w:val="000000"/>
          <w:sz w:val="22"/>
          <w:szCs w:val="22"/>
        </w:rPr>
        <w:t>4</w:t>
      </w:r>
      <w:r w:rsidRPr="00B92B2E">
        <w:rPr>
          <w:rFonts w:ascii="Arial" w:hAnsi="Arial" w:cs="Arial"/>
          <w:b/>
          <w:color w:val="000000"/>
          <w:sz w:val="22"/>
          <w:szCs w:val="22"/>
        </w:rPr>
        <w:t xml:space="preserve">: </w:t>
      </w:r>
      <w:r w:rsidR="00A125C2" w:rsidRPr="00B92B2E">
        <w:rPr>
          <w:rFonts w:ascii="Arial" w:hAnsi="Arial" w:cs="Arial"/>
          <w:b/>
          <w:color w:val="000000"/>
          <w:sz w:val="22"/>
          <w:szCs w:val="22"/>
        </w:rPr>
        <w:t xml:space="preserve">Territory </w:t>
      </w:r>
      <w:r w:rsidRPr="00B92B2E">
        <w:rPr>
          <w:rFonts w:ascii="Arial" w:hAnsi="Arial" w:cs="Arial"/>
          <w:b/>
          <w:color w:val="000000"/>
          <w:sz w:val="22"/>
          <w:szCs w:val="22"/>
        </w:rPr>
        <w:t xml:space="preserve">Components of </w:t>
      </w:r>
      <w:r w:rsidR="00EA00E0" w:rsidRPr="00B92B2E">
        <w:rPr>
          <w:rFonts w:ascii="Arial" w:hAnsi="Arial" w:cs="Arial"/>
          <w:b/>
          <w:color w:val="000000"/>
          <w:sz w:val="22"/>
          <w:szCs w:val="22"/>
        </w:rPr>
        <w:t>G</w:t>
      </w:r>
      <w:r w:rsidRPr="00B92B2E">
        <w:rPr>
          <w:rFonts w:ascii="Arial" w:hAnsi="Arial" w:cs="Arial"/>
          <w:b/>
          <w:color w:val="000000"/>
          <w:sz w:val="22"/>
          <w:szCs w:val="22"/>
        </w:rPr>
        <w:t>rowth</w:t>
      </w:r>
      <w:r w:rsidR="00EA00E0" w:rsidRPr="00B92B2E">
        <w:rPr>
          <w:rFonts w:ascii="Arial" w:hAnsi="Arial" w:cs="Arial"/>
          <w:b/>
          <w:color w:val="000000"/>
          <w:sz w:val="22"/>
          <w:szCs w:val="22"/>
        </w:rPr>
        <w:t>,</w:t>
      </w:r>
      <w:r w:rsidRPr="00B92B2E">
        <w:rPr>
          <w:rFonts w:ascii="Arial" w:hAnsi="Arial" w:cs="Arial"/>
          <w:b/>
          <w:color w:val="000000"/>
          <w:sz w:val="22"/>
          <w:szCs w:val="22"/>
        </w:rPr>
        <w:t xml:space="preserve"> </w:t>
      </w:r>
      <w:r w:rsidR="00EA00E0" w:rsidRPr="00B92B2E">
        <w:rPr>
          <w:rFonts w:ascii="Arial" w:hAnsi="Arial" w:cs="Arial"/>
          <w:b/>
          <w:color w:val="000000"/>
          <w:sz w:val="22"/>
          <w:szCs w:val="22"/>
        </w:rPr>
        <w:t>E</w:t>
      </w:r>
      <w:r w:rsidRPr="00B92B2E">
        <w:rPr>
          <w:rFonts w:ascii="Arial" w:hAnsi="Arial" w:cs="Arial"/>
          <w:b/>
          <w:color w:val="000000"/>
          <w:sz w:val="22"/>
          <w:szCs w:val="22"/>
        </w:rPr>
        <w:t xml:space="preserve">stimates and </w:t>
      </w:r>
      <w:r w:rsidR="00EA00E0" w:rsidRPr="00B92B2E">
        <w:rPr>
          <w:rFonts w:ascii="Arial" w:hAnsi="Arial" w:cs="Arial"/>
          <w:b/>
          <w:color w:val="000000"/>
          <w:sz w:val="22"/>
          <w:szCs w:val="22"/>
        </w:rPr>
        <w:t>P</w:t>
      </w:r>
      <w:r w:rsidRPr="00B92B2E">
        <w:rPr>
          <w:rFonts w:ascii="Arial" w:hAnsi="Arial" w:cs="Arial"/>
          <w:b/>
          <w:color w:val="000000"/>
          <w:sz w:val="22"/>
          <w:szCs w:val="22"/>
        </w:rPr>
        <w:t>rojections, 19</w:t>
      </w:r>
      <w:r w:rsidR="00A947F7" w:rsidRPr="00B92B2E">
        <w:rPr>
          <w:rFonts w:ascii="Arial" w:hAnsi="Arial" w:cs="Arial"/>
          <w:b/>
          <w:color w:val="000000"/>
          <w:sz w:val="22"/>
          <w:szCs w:val="22"/>
        </w:rPr>
        <w:t>86</w:t>
      </w:r>
      <w:r w:rsidR="00EA00E0" w:rsidRPr="00B92B2E">
        <w:rPr>
          <w:rFonts w:ascii="Arial" w:hAnsi="Arial" w:cs="Arial"/>
          <w:b/>
          <w:color w:val="000000"/>
          <w:sz w:val="22"/>
          <w:szCs w:val="22"/>
        </w:rPr>
        <w:t xml:space="preserve"> </w:t>
      </w:r>
      <w:r w:rsidR="00A947F7" w:rsidRPr="00B92B2E">
        <w:rPr>
          <w:rFonts w:ascii="Arial" w:hAnsi="Arial" w:cs="Arial"/>
          <w:b/>
          <w:color w:val="000000"/>
          <w:sz w:val="22"/>
          <w:szCs w:val="22"/>
        </w:rPr>
        <w:t>to 2041</w:t>
      </w:r>
    </w:p>
    <w:p w:rsidR="00A947F7" w:rsidRDefault="00502108" w:rsidP="00DC498A">
      <w:pPr>
        <w:autoSpaceDE w:val="0"/>
        <w:autoSpaceDN w:val="0"/>
        <w:adjustRightInd w:val="0"/>
        <w:spacing w:after="120"/>
        <w:rPr>
          <w:rFonts w:ascii="Arial" w:hAnsi="Arial" w:cs="Arial"/>
          <w:b/>
        </w:rPr>
      </w:pPr>
      <w:r>
        <w:rPr>
          <w:rFonts w:ascii="Arial" w:hAnsi="Arial" w:cs="Arial"/>
          <w:b/>
          <w:noProof/>
          <w:lang w:eastAsia="en-AU"/>
        </w:rPr>
        <w:drawing>
          <wp:inline distT="0" distB="0" distL="0" distR="0">
            <wp:extent cx="5339715" cy="3488690"/>
            <wp:effectExtent l="0" t="0" r="0" b="0"/>
            <wp:docPr id="6" name="Picture 6" descr="Chart 4: Territory Components of Growth, Estimates and Projections, 1986 to 2041" titl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9715" cy="3488690"/>
                    </a:xfrm>
                    <a:prstGeom prst="rect">
                      <a:avLst/>
                    </a:prstGeom>
                    <a:noFill/>
                  </pic:spPr>
                </pic:pic>
              </a:graphicData>
            </a:graphic>
          </wp:inline>
        </w:drawing>
      </w:r>
    </w:p>
    <w:p w:rsidR="00A125C2" w:rsidRPr="00A125C2" w:rsidRDefault="00A125C2" w:rsidP="00A125C2">
      <w:pPr>
        <w:autoSpaceDE w:val="0"/>
        <w:autoSpaceDN w:val="0"/>
        <w:adjustRightInd w:val="0"/>
        <w:spacing w:after="120"/>
        <w:rPr>
          <w:rFonts w:ascii="Arial" w:hAnsi="Arial" w:cs="Arial"/>
          <w:sz w:val="16"/>
          <w:szCs w:val="16"/>
        </w:rPr>
      </w:pPr>
      <w:r w:rsidRPr="00A947F7">
        <w:rPr>
          <w:rFonts w:ascii="Arial" w:hAnsi="Arial" w:cs="Arial"/>
          <w:sz w:val="16"/>
          <w:szCs w:val="16"/>
        </w:rPr>
        <w:t>Source: ABS Cat. No. 3101.0; Northern Territory</w:t>
      </w:r>
      <w:r w:rsidR="00020B02">
        <w:rPr>
          <w:rFonts w:ascii="Arial" w:hAnsi="Arial" w:cs="Arial"/>
          <w:sz w:val="16"/>
          <w:szCs w:val="16"/>
        </w:rPr>
        <w:t xml:space="preserve"> Population Projections, </w:t>
      </w:r>
      <w:r w:rsidR="005701D9">
        <w:rPr>
          <w:rFonts w:ascii="Arial" w:hAnsi="Arial" w:cs="Arial"/>
          <w:sz w:val="16"/>
          <w:szCs w:val="16"/>
        </w:rPr>
        <w:t>Interim – Update (2013 Release)</w:t>
      </w:r>
    </w:p>
    <w:p w:rsidR="00104A0D" w:rsidRDefault="00104A0D">
      <w:pPr>
        <w:rPr>
          <w:rFonts w:ascii="Arial" w:hAnsi="Arial" w:cs="Arial"/>
          <w:b/>
          <w:color w:val="000000"/>
          <w:sz w:val="28"/>
          <w:szCs w:val="28"/>
        </w:rPr>
      </w:pPr>
      <w:r>
        <w:rPr>
          <w:rFonts w:ascii="Arial" w:hAnsi="Arial" w:cs="Arial"/>
          <w:b/>
          <w:color w:val="000000"/>
          <w:sz w:val="28"/>
          <w:szCs w:val="28"/>
        </w:rPr>
        <w:br w:type="page"/>
      </w:r>
    </w:p>
    <w:p w:rsidR="002B4C1A" w:rsidRPr="00964B6A" w:rsidRDefault="009F102A" w:rsidP="00964B6A">
      <w:pPr>
        <w:spacing w:before="240" w:after="160" w:line="240" w:lineRule="atLeast"/>
        <w:rPr>
          <w:rFonts w:ascii="Arial" w:hAnsi="Arial" w:cs="Arial"/>
          <w:b/>
          <w:color w:val="000000"/>
          <w:sz w:val="28"/>
          <w:szCs w:val="28"/>
        </w:rPr>
      </w:pPr>
      <w:r w:rsidRPr="00964B6A">
        <w:rPr>
          <w:rFonts w:ascii="Arial" w:hAnsi="Arial" w:cs="Arial"/>
          <w:b/>
          <w:color w:val="000000"/>
          <w:sz w:val="28"/>
          <w:szCs w:val="28"/>
        </w:rPr>
        <w:t>Age Structure</w:t>
      </w:r>
    </w:p>
    <w:p w:rsidR="009F102A" w:rsidRPr="00964B6A" w:rsidRDefault="00B13B99" w:rsidP="00964B6A">
      <w:pPr>
        <w:spacing w:after="160" w:line="240" w:lineRule="atLeast"/>
        <w:rPr>
          <w:rFonts w:ascii="Arial" w:hAnsi="Arial" w:cs="Arial"/>
          <w:color w:val="000000"/>
          <w:sz w:val="22"/>
          <w:szCs w:val="22"/>
        </w:rPr>
      </w:pPr>
      <w:r w:rsidRPr="00964B6A">
        <w:rPr>
          <w:rFonts w:ascii="Arial" w:hAnsi="Arial" w:cs="Arial"/>
          <w:color w:val="000000"/>
          <w:sz w:val="22"/>
          <w:szCs w:val="22"/>
        </w:rPr>
        <w:t xml:space="preserve">The </w:t>
      </w:r>
      <w:r w:rsidR="00B830BB" w:rsidRPr="00964B6A">
        <w:rPr>
          <w:rFonts w:ascii="Arial" w:hAnsi="Arial" w:cs="Arial"/>
          <w:color w:val="000000"/>
          <w:sz w:val="22"/>
          <w:szCs w:val="22"/>
        </w:rPr>
        <w:t xml:space="preserve">population </w:t>
      </w:r>
      <w:r w:rsidR="00754EC2" w:rsidRPr="00964B6A">
        <w:rPr>
          <w:rFonts w:ascii="Arial" w:hAnsi="Arial" w:cs="Arial"/>
          <w:color w:val="000000"/>
          <w:sz w:val="22"/>
          <w:szCs w:val="22"/>
        </w:rPr>
        <w:t>under</w:t>
      </w:r>
      <w:r w:rsidR="00B830BB" w:rsidRPr="00964B6A">
        <w:rPr>
          <w:rFonts w:ascii="Arial" w:hAnsi="Arial" w:cs="Arial"/>
          <w:color w:val="000000"/>
          <w:sz w:val="22"/>
          <w:szCs w:val="22"/>
        </w:rPr>
        <w:t xml:space="preserve"> </w:t>
      </w:r>
      <w:r w:rsidR="0095374B" w:rsidRPr="00964B6A">
        <w:rPr>
          <w:rFonts w:ascii="Arial" w:hAnsi="Arial" w:cs="Arial"/>
          <w:color w:val="000000"/>
          <w:sz w:val="22"/>
          <w:szCs w:val="22"/>
        </w:rPr>
        <w:t xml:space="preserve">15 years </w:t>
      </w:r>
      <w:r w:rsidR="00B830BB" w:rsidRPr="00964B6A">
        <w:rPr>
          <w:rFonts w:ascii="Arial" w:hAnsi="Arial" w:cs="Arial"/>
          <w:color w:val="000000"/>
          <w:sz w:val="22"/>
          <w:szCs w:val="22"/>
        </w:rPr>
        <w:t xml:space="preserve">is projected to increase </w:t>
      </w:r>
      <w:r w:rsidR="005E0F3D" w:rsidRPr="00964B6A">
        <w:rPr>
          <w:rFonts w:ascii="Arial" w:hAnsi="Arial" w:cs="Arial"/>
          <w:color w:val="000000"/>
          <w:sz w:val="22"/>
          <w:szCs w:val="22"/>
        </w:rPr>
        <w:t>from 52</w:t>
      </w:r>
      <w:r w:rsidR="00754EC2" w:rsidRPr="00964B6A">
        <w:rPr>
          <w:rFonts w:ascii="Arial" w:hAnsi="Arial" w:cs="Arial"/>
          <w:color w:val="000000"/>
          <w:sz w:val="22"/>
          <w:szCs w:val="22"/>
        </w:rPr>
        <w:t xml:space="preserve"> </w:t>
      </w:r>
      <w:r w:rsidR="005E0F3D" w:rsidRPr="00964B6A">
        <w:rPr>
          <w:rFonts w:ascii="Arial" w:hAnsi="Arial" w:cs="Arial"/>
          <w:color w:val="000000"/>
          <w:sz w:val="22"/>
          <w:szCs w:val="22"/>
        </w:rPr>
        <w:t>423</w:t>
      </w:r>
      <w:r w:rsidR="00F708A4" w:rsidRPr="00964B6A">
        <w:rPr>
          <w:rFonts w:ascii="Arial" w:hAnsi="Arial" w:cs="Arial"/>
          <w:color w:val="000000"/>
          <w:sz w:val="22"/>
          <w:szCs w:val="22"/>
        </w:rPr>
        <w:t xml:space="preserve"> persons in 2011 </w:t>
      </w:r>
      <w:r w:rsidR="005E0F3D" w:rsidRPr="00964B6A">
        <w:rPr>
          <w:rFonts w:ascii="Arial" w:hAnsi="Arial" w:cs="Arial"/>
          <w:color w:val="000000"/>
          <w:sz w:val="22"/>
          <w:szCs w:val="22"/>
        </w:rPr>
        <w:t xml:space="preserve">to </w:t>
      </w:r>
      <w:r w:rsidR="00F708A4" w:rsidRPr="00964B6A">
        <w:rPr>
          <w:rFonts w:ascii="Arial" w:hAnsi="Arial" w:cs="Arial"/>
          <w:color w:val="000000"/>
          <w:sz w:val="22"/>
          <w:szCs w:val="22"/>
        </w:rPr>
        <w:t>75</w:t>
      </w:r>
      <w:r w:rsidR="0095374B" w:rsidRPr="00964B6A">
        <w:rPr>
          <w:rFonts w:ascii="Arial" w:hAnsi="Arial" w:cs="Arial"/>
          <w:color w:val="000000"/>
          <w:sz w:val="22"/>
          <w:szCs w:val="22"/>
        </w:rPr>
        <w:t> </w:t>
      </w:r>
      <w:r w:rsidR="00F708A4" w:rsidRPr="00964B6A">
        <w:rPr>
          <w:rFonts w:ascii="Arial" w:hAnsi="Arial" w:cs="Arial"/>
          <w:color w:val="000000"/>
          <w:sz w:val="22"/>
          <w:szCs w:val="22"/>
        </w:rPr>
        <w:t>264</w:t>
      </w:r>
      <w:r w:rsidR="005E0F3D" w:rsidRPr="00964B6A">
        <w:rPr>
          <w:rFonts w:ascii="Arial" w:hAnsi="Arial" w:cs="Arial"/>
          <w:color w:val="000000"/>
          <w:sz w:val="22"/>
          <w:szCs w:val="22"/>
        </w:rPr>
        <w:t xml:space="preserve"> persons by 2041</w:t>
      </w:r>
      <w:r w:rsidR="00B830BB" w:rsidRPr="00964B6A">
        <w:rPr>
          <w:rFonts w:ascii="Arial" w:hAnsi="Arial" w:cs="Arial"/>
          <w:color w:val="000000"/>
          <w:sz w:val="22"/>
          <w:szCs w:val="22"/>
        </w:rPr>
        <w:t xml:space="preserve"> (Table </w:t>
      </w:r>
      <w:r w:rsidR="00CF3139" w:rsidRPr="00964B6A">
        <w:rPr>
          <w:rFonts w:ascii="Arial" w:hAnsi="Arial" w:cs="Arial"/>
          <w:color w:val="000000"/>
          <w:sz w:val="22"/>
          <w:szCs w:val="22"/>
        </w:rPr>
        <w:t>4</w:t>
      </w:r>
      <w:r w:rsidR="00B830BB" w:rsidRPr="00964B6A">
        <w:rPr>
          <w:rFonts w:ascii="Arial" w:hAnsi="Arial" w:cs="Arial"/>
          <w:color w:val="000000"/>
          <w:sz w:val="22"/>
          <w:szCs w:val="22"/>
        </w:rPr>
        <w:t xml:space="preserve">). Despite this, the proportion of the population aged </w:t>
      </w:r>
      <w:r w:rsidR="0095374B" w:rsidRPr="00964B6A">
        <w:rPr>
          <w:rFonts w:ascii="Arial" w:hAnsi="Arial" w:cs="Arial"/>
          <w:color w:val="000000"/>
          <w:sz w:val="22"/>
          <w:szCs w:val="22"/>
        </w:rPr>
        <w:t xml:space="preserve">under </w:t>
      </w:r>
      <w:r w:rsidR="00B830BB" w:rsidRPr="00964B6A">
        <w:rPr>
          <w:rFonts w:ascii="Arial" w:hAnsi="Arial" w:cs="Arial"/>
          <w:color w:val="000000"/>
          <w:sz w:val="22"/>
          <w:szCs w:val="22"/>
        </w:rPr>
        <w:t xml:space="preserve">15  </w:t>
      </w:r>
      <w:r w:rsidR="0095374B" w:rsidRPr="00964B6A">
        <w:rPr>
          <w:rFonts w:ascii="Arial" w:hAnsi="Arial" w:cs="Arial"/>
          <w:color w:val="000000"/>
          <w:sz w:val="22"/>
          <w:szCs w:val="22"/>
        </w:rPr>
        <w:t xml:space="preserve">years </w:t>
      </w:r>
      <w:r w:rsidR="00B830BB" w:rsidRPr="00964B6A">
        <w:rPr>
          <w:rFonts w:ascii="Arial" w:hAnsi="Arial" w:cs="Arial"/>
          <w:color w:val="000000"/>
          <w:sz w:val="22"/>
          <w:szCs w:val="22"/>
        </w:rPr>
        <w:t xml:space="preserve">is projected to </w:t>
      </w:r>
      <w:r w:rsidR="005E0F3D" w:rsidRPr="00964B6A">
        <w:rPr>
          <w:rFonts w:ascii="Arial" w:hAnsi="Arial" w:cs="Arial"/>
          <w:color w:val="000000"/>
          <w:sz w:val="22"/>
          <w:szCs w:val="22"/>
        </w:rPr>
        <w:t>decline slightly from 22.7 per cent in 2011 to 21.8</w:t>
      </w:r>
      <w:r w:rsidR="00B830BB" w:rsidRPr="00964B6A">
        <w:rPr>
          <w:rFonts w:ascii="Arial" w:hAnsi="Arial" w:cs="Arial"/>
          <w:color w:val="000000"/>
          <w:sz w:val="22"/>
          <w:szCs w:val="22"/>
        </w:rPr>
        <w:t> per cent</w:t>
      </w:r>
      <w:r w:rsidR="00CF3139" w:rsidRPr="00964B6A">
        <w:rPr>
          <w:rFonts w:ascii="Arial" w:hAnsi="Arial" w:cs="Arial"/>
          <w:color w:val="000000"/>
          <w:sz w:val="22"/>
          <w:szCs w:val="22"/>
        </w:rPr>
        <w:t xml:space="preserve"> </w:t>
      </w:r>
      <w:r w:rsidR="005E0F3D" w:rsidRPr="00964B6A">
        <w:rPr>
          <w:rFonts w:ascii="Arial" w:hAnsi="Arial" w:cs="Arial"/>
          <w:color w:val="000000"/>
          <w:sz w:val="22"/>
          <w:szCs w:val="22"/>
        </w:rPr>
        <w:t xml:space="preserve">in 2041 </w:t>
      </w:r>
      <w:r w:rsidR="00CF3139" w:rsidRPr="00964B6A">
        <w:rPr>
          <w:rFonts w:ascii="Arial" w:hAnsi="Arial" w:cs="Arial"/>
          <w:color w:val="000000"/>
          <w:sz w:val="22"/>
          <w:szCs w:val="22"/>
        </w:rPr>
        <w:t>(Table 5)</w:t>
      </w:r>
      <w:r w:rsidR="00F11FB8" w:rsidRPr="00964B6A">
        <w:rPr>
          <w:rFonts w:ascii="Arial" w:hAnsi="Arial" w:cs="Arial"/>
          <w:color w:val="000000"/>
          <w:sz w:val="22"/>
          <w:szCs w:val="22"/>
        </w:rPr>
        <w:t>. The proportion</w:t>
      </w:r>
      <w:r w:rsidR="00B830BB" w:rsidRPr="00964B6A">
        <w:rPr>
          <w:rFonts w:ascii="Arial" w:hAnsi="Arial" w:cs="Arial"/>
          <w:color w:val="000000"/>
          <w:sz w:val="22"/>
          <w:szCs w:val="22"/>
        </w:rPr>
        <w:t xml:space="preserve"> of the population </w:t>
      </w:r>
      <w:r w:rsidR="00754EC2" w:rsidRPr="00964B6A">
        <w:rPr>
          <w:rFonts w:ascii="Arial" w:hAnsi="Arial" w:cs="Arial"/>
          <w:color w:val="000000"/>
          <w:sz w:val="22"/>
          <w:szCs w:val="22"/>
        </w:rPr>
        <w:t>aged</w:t>
      </w:r>
      <w:r w:rsidR="00B830BB" w:rsidRPr="00964B6A">
        <w:rPr>
          <w:rFonts w:ascii="Arial" w:hAnsi="Arial" w:cs="Arial"/>
          <w:color w:val="000000"/>
          <w:sz w:val="22"/>
          <w:szCs w:val="22"/>
        </w:rPr>
        <w:t xml:space="preserve"> </w:t>
      </w:r>
      <w:r w:rsidR="0095374B" w:rsidRPr="00964B6A">
        <w:rPr>
          <w:rFonts w:ascii="Arial" w:hAnsi="Arial" w:cs="Arial"/>
          <w:color w:val="000000"/>
          <w:sz w:val="22"/>
          <w:szCs w:val="22"/>
        </w:rPr>
        <w:t>under 15 years</w:t>
      </w:r>
      <w:r w:rsidR="00F11FB8" w:rsidRPr="00964B6A">
        <w:rPr>
          <w:rFonts w:ascii="Arial" w:hAnsi="Arial" w:cs="Arial"/>
          <w:color w:val="000000"/>
          <w:sz w:val="22"/>
          <w:szCs w:val="22"/>
        </w:rPr>
        <w:t xml:space="preserve"> for the Territory’s Indigenous population</w:t>
      </w:r>
      <w:r w:rsidR="00B830BB" w:rsidRPr="00964B6A">
        <w:rPr>
          <w:rFonts w:ascii="Arial" w:hAnsi="Arial" w:cs="Arial"/>
          <w:color w:val="000000"/>
          <w:sz w:val="22"/>
          <w:szCs w:val="22"/>
        </w:rPr>
        <w:t xml:space="preserve"> is projected to decline</w:t>
      </w:r>
      <w:r w:rsidR="00F11FB8" w:rsidRPr="00964B6A">
        <w:rPr>
          <w:rFonts w:ascii="Arial" w:hAnsi="Arial" w:cs="Arial"/>
          <w:color w:val="000000"/>
          <w:sz w:val="22"/>
          <w:szCs w:val="22"/>
        </w:rPr>
        <w:t xml:space="preserve"> </w:t>
      </w:r>
      <w:r w:rsidR="005E0F3D" w:rsidRPr="00964B6A">
        <w:rPr>
          <w:rFonts w:ascii="Arial" w:hAnsi="Arial" w:cs="Arial"/>
          <w:color w:val="000000"/>
          <w:sz w:val="22"/>
          <w:szCs w:val="22"/>
        </w:rPr>
        <w:t>5.9</w:t>
      </w:r>
      <w:r w:rsidR="00F11FB8" w:rsidRPr="00964B6A">
        <w:rPr>
          <w:rFonts w:ascii="Arial" w:hAnsi="Arial" w:cs="Arial"/>
          <w:color w:val="000000"/>
          <w:sz w:val="22"/>
          <w:szCs w:val="22"/>
        </w:rPr>
        <w:t> percentage points</w:t>
      </w:r>
      <w:r w:rsidR="005E0F3D" w:rsidRPr="00964B6A">
        <w:rPr>
          <w:rFonts w:ascii="Arial" w:hAnsi="Arial" w:cs="Arial"/>
          <w:color w:val="000000"/>
          <w:sz w:val="22"/>
          <w:szCs w:val="22"/>
        </w:rPr>
        <w:t xml:space="preserve"> from 32.7</w:t>
      </w:r>
      <w:r w:rsidR="00B830BB" w:rsidRPr="00964B6A">
        <w:rPr>
          <w:rFonts w:ascii="Arial" w:hAnsi="Arial" w:cs="Arial"/>
          <w:color w:val="000000"/>
          <w:sz w:val="22"/>
          <w:szCs w:val="22"/>
        </w:rPr>
        <w:t xml:space="preserve"> per cent </w:t>
      </w:r>
      <w:r w:rsidR="00F708A4" w:rsidRPr="00964B6A">
        <w:rPr>
          <w:rFonts w:ascii="Arial" w:hAnsi="Arial" w:cs="Arial"/>
          <w:color w:val="000000"/>
          <w:sz w:val="22"/>
          <w:szCs w:val="22"/>
        </w:rPr>
        <w:t xml:space="preserve">in 2011 </w:t>
      </w:r>
      <w:r w:rsidR="00B830BB" w:rsidRPr="00964B6A">
        <w:rPr>
          <w:rFonts w:ascii="Arial" w:hAnsi="Arial" w:cs="Arial"/>
          <w:color w:val="000000"/>
          <w:sz w:val="22"/>
          <w:szCs w:val="22"/>
        </w:rPr>
        <w:t>to</w:t>
      </w:r>
      <w:r w:rsidR="005E0F3D" w:rsidRPr="00964B6A">
        <w:rPr>
          <w:rFonts w:ascii="Arial" w:hAnsi="Arial" w:cs="Arial"/>
          <w:color w:val="000000"/>
          <w:sz w:val="22"/>
          <w:szCs w:val="22"/>
        </w:rPr>
        <w:t xml:space="preserve"> 26.8 per cent by 2041</w:t>
      </w:r>
      <w:r w:rsidR="00F11FB8" w:rsidRPr="00964B6A">
        <w:rPr>
          <w:rFonts w:ascii="Arial" w:hAnsi="Arial" w:cs="Arial"/>
          <w:color w:val="000000"/>
          <w:sz w:val="22"/>
          <w:szCs w:val="22"/>
        </w:rPr>
        <w:t>, reflecting falling levels of fertility over the life of the projections</w:t>
      </w:r>
      <w:r w:rsidR="00EB7F06" w:rsidRPr="00964B6A">
        <w:rPr>
          <w:rFonts w:ascii="Arial" w:hAnsi="Arial" w:cs="Arial"/>
          <w:color w:val="000000"/>
          <w:sz w:val="22"/>
          <w:szCs w:val="22"/>
        </w:rPr>
        <w:t xml:space="preserve"> and stronger growth in the older age groups</w:t>
      </w:r>
      <w:r w:rsidR="00F11FB8" w:rsidRPr="00964B6A">
        <w:rPr>
          <w:rFonts w:ascii="Arial" w:hAnsi="Arial" w:cs="Arial"/>
          <w:color w:val="000000"/>
          <w:sz w:val="22"/>
          <w:szCs w:val="22"/>
        </w:rPr>
        <w:t xml:space="preserve">. </w:t>
      </w:r>
      <w:r w:rsidR="00EA00E0" w:rsidRPr="00964B6A">
        <w:rPr>
          <w:rFonts w:ascii="Arial" w:hAnsi="Arial" w:cs="Arial"/>
          <w:color w:val="000000"/>
          <w:sz w:val="22"/>
          <w:szCs w:val="22"/>
        </w:rPr>
        <w:t>The Territory’s non</w:t>
      </w:r>
      <w:r w:rsidR="00EA00E0" w:rsidRPr="00964B6A">
        <w:rPr>
          <w:rFonts w:ascii="Arial" w:hAnsi="Arial" w:cs="Arial"/>
          <w:color w:val="000000"/>
          <w:sz w:val="22"/>
          <w:szCs w:val="22"/>
        </w:rPr>
        <w:noBreakHyphen/>
        <w:t xml:space="preserve">Indigenous population is projected to experience a slight increase in the proportion of the population </w:t>
      </w:r>
      <w:r w:rsidR="0095374B" w:rsidRPr="00964B6A">
        <w:rPr>
          <w:rFonts w:ascii="Arial" w:hAnsi="Arial" w:cs="Arial"/>
          <w:color w:val="000000"/>
          <w:sz w:val="22"/>
          <w:szCs w:val="22"/>
        </w:rPr>
        <w:t>under 15 years</w:t>
      </w:r>
      <w:r w:rsidR="005E0F3D" w:rsidRPr="00964B6A">
        <w:rPr>
          <w:rFonts w:ascii="Arial" w:hAnsi="Arial" w:cs="Arial"/>
          <w:color w:val="000000"/>
          <w:sz w:val="22"/>
          <w:szCs w:val="22"/>
        </w:rPr>
        <w:t>, increasing from 18.4 per cent to 19.8 per cent in 2041</w:t>
      </w:r>
      <w:r w:rsidR="00EA00E0" w:rsidRPr="00964B6A">
        <w:rPr>
          <w:rFonts w:ascii="Arial" w:hAnsi="Arial" w:cs="Arial"/>
          <w:color w:val="000000"/>
          <w:sz w:val="22"/>
          <w:szCs w:val="22"/>
        </w:rPr>
        <w:t xml:space="preserve">. </w:t>
      </w:r>
    </w:p>
    <w:p w:rsidR="0049281B" w:rsidRPr="00964B6A" w:rsidRDefault="00DD1FEC" w:rsidP="00964B6A">
      <w:pPr>
        <w:spacing w:after="160" w:line="240" w:lineRule="atLeast"/>
        <w:rPr>
          <w:rFonts w:ascii="Arial" w:hAnsi="Arial" w:cs="Arial"/>
          <w:color w:val="000000"/>
          <w:sz w:val="22"/>
          <w:szCs w:val="22"/>
        </w:rPr>
      </w:pPr>
      <w:r w:rsidRPr="00964B6A">
        <w:rPr>
          <w:rFonts w:ascii="Arial" w:hAnsi="Arial" w:cs="Arial"/>
          <w:color w:val="000000"/>
          <w:sz w:val="22"/>
          <w:szCs w:val="22"/>
        </w:rPr>
        <w:t>The Territory’s working-age population</w:t>
      </w:r>
      <w:r w:rsidR="00CF3139" w:rsidRPr="00964B6A">
        <w:rPr>
          <w:rFonts w:ascii="Arial" w:hAnsi="Arial" w:cs="Arial"/>
          <w:color w:val="000000"/>
          <w:sz w:val="22"/>
          <w:szCs w:val="22"/>
        </w:rPr>
        <w:t xml:space="preserve"> (15-64 years)</w:t>
      </w:r>
      <w:r w:rsidRPr="00964B6A">
        <w:rPr>
          <w:rFonts w:ascii="Arial" w:hAnsi="Arial" w:cs="Arial"/>
          <w:color w:val="000000"/>
          <w:sz w:val="22"/>
          <w:szCs w:val="22"/>
        </w:rPr>
        <w:t xml:space="preserve"> is projected to increase</w:t>
      </w:r>
      <w:r w:rsidR="00CF3139" w:rsidRPr="00964B6A">
        <w:rPr>
          <w:rFonts w:ascii="Arial" w:hAnsi="Arial" w:cs="Arial"/>
          <w:color w:val="000000"/>
          <w:sz w:val="22"/>
          <w:szCs w:val="22"/>
        </w:rPr>
        <w:t xml:space="preserve"> to </w:t>
      </w:r>
      <w:r w:rsidR="00BB12FA" w:rsidRPr="00964B6A">
        <w:rPr>
          <w:rFonts w:ascii="Arial" w:hAnsi="Arial" w:cs="Arial"/>
          <w:color w:val="000000"/>
          <w:sz w:val="22"/>
          <w:szCs w:val="22"/>
        </w:rPr>
        <w:t>235 503 by 2041</w:t>
      </w:r>
      <w:r w:rsidR="00331F3B" w:rsidRPr="00964B6A">
        <w:rPr>
          <w:rFonts w:ascii="Arial" w:hAnsi="Arial" w:cs="Arial"/>
          <w:color w:val="000000"/>
          <w:sz w:val="22"/>
          <w:szCs w:val="22"/>
        </w:rPr>
        <w:t xml:space="preserve">, </w:t>
      </w:r>
      <w:r w:rsidR="00754EC2" w:rsidRPr="00964B6A">
        <w:rPr>
          <w:rFonts w:ascii="Arial" w:hAnsi="Arial" w:cs="Arial"/>
          <w:color w:val="000000"/>
          <w:sz w:val="22"/>
          <w:szCs w:val="22"/>
        </w:rPr>
        <w:t>growing</w:t>
      </w:r>
      <w:r w:rsidR="00331F3B" w:rsidRPr="00964B6A">
        <w:rPr>
          <w:rFonts w:ascii="Arial" w:hAnsi="Arial" w:cs="Arial"/>
          <w:color w:val="000000"/>
          <w:sz w:val="22"/>
          <w:szCs w:val="22"/>
        </w:rPr>
        <w:t xml:space="preserve"> by</w:t>
      </w:r>
      <w:r w:rsidR="00CF3139" w:rsidRPr="00964B6A">
        <w:rPr>
          <w:rFonts w:ascii="Arial" w:hAnsi="Arial" w:cs="Arial"/>
          <w:color w:val="000000"/>
          <w:sz w:val="22"/>
          <w:szCs w:val="22"/>
        </w:rPr>
        <w:t xml:space="preserve"> </w:t>
      </w:r>
      <w:r w:rsidR="005E0F3D" w:rsidRPr="00964B6A">
        <w:rPr>
          <w:rFonts w:ascii="Arial" w:hAnsi="Arial" w:cs="Arial"/>
          <w:color w:val="000000"/>
          <w:sz w:val="22"/>
          <w:szCs w:val="22"/>
        </w:rPr>
        <w:t>1.2</w:t>
      </w:r>
      <w:r w:rsidRPr="00964B6A">
        <w:rPr>
          <w:rFonts w:ascii="Arial" w:hAnsi="Arial" w:cs="Arial"/>
          <w:color w:val="000000"/>
          <w:sz w:val="22"/>
          <w:szCs w:val="22"/>
        </w:rPr>
        <w:t> per cent per annum</w:t>
      </w:r>
      <w:r w:rsidR="00331F3B" w:rsidRPr="00964B6A">
        <w:rPr>
          <w:rFonts w:ascii="Arial" w:hAnsi="Arial" w:cs="Arial"/>
          <w:color w:val="000000"/>
          <w:sz w:val="22"/>
          <w:szCs w:val="22"/>
        </w:rPr>
        <w:t xml:space="preserve"> on average</w:t>
      </w:r>
      <w:r w:rsidRPr="00964B6A">
        <w:rPr>
          <w:rFonts w:ascii="Arial" w:hAnsi="Arial" w:cs="Arial"/>
          <w:color w:val="000000"/>
          <w:sz w:val="22"/>
          <w:szCs w:val="22"/>
        </w:rPr>
        <w:t xml:space="preserve"> o</w:t>
      </w:r>
      <w:r w:rsidR="00CF3139" w:rsidRPr="00964B6A">
        <w:rPr>
          <w:rFonts w:ascii="Arial" w:hAnsi="Arial" w:cs="Arial"/>
          <w:color w:val="000000"/>
          <w:sz w:val="22"/>
          <w:szCs w:val="22"/>
        </w:rPr>
        <w:t>ver the life of the projections</w:t>
      </w:r>
      <w:r w:rsidRPr="00964B6A">
        <w:rPr>
          <w:rFonts w:ascii="Arial" w:hAnsi="Arial" w:cs="Arial"/>
          <w:color w:val="000000"/>
          <w:sz w:val="22"/>
          <w:szCs w:val="22"/>
        </w:rPr>
        <w:t xml:space="preserve">. However, the proportion of the </w:t>
      </w:r>
      <w:r w:rsidR="000164BE" w:rsidRPr="00964B6A">
        <w:rPr>
          <w:rFonts w:ascii="Arial" w:hAnsi="Arial" w:cs="Arial"/>
          <w:color w:val="000000"/>
          <w:sz w:val="22"/>
          <w:szCs w:val="22"/>
        </w:rPr>
        <w:t>working</w:t>
      </w:r>
      <w:r w:rsidR="00754EC2" w:rsidRPr="00964B6A">
        <w:rPr>
          <w:rFonts w:ascii="Arial" w:hAnsi="Arial" w:cs="Arial"/>
          <w:color w:val="000000"/>
          <w:sz w:val="22"/>
          <w:szCs w:val="22"/>
        </w:rPr>
        <w:noBreakHyphen/>
      </w:r>
      <w:r w:rsidR="000164BE" w:rsidRPr="00964B6A">
        <w:rPr>
          <w:rFonts w:ascii="Arial" w:hAnsi="Arial" w:cs="Arial"/>
          <w:color w:val="000000"/>
          <w:sz w:val="22"/>
          <w:szCs w:val="22"/>
        </w:rPr>
        <w:t>age population</w:t>
      </w:r>
      <w:r w:rsidRPr="00964B6A">
        <w:rPr>
          <w:rFonts w:ascii="Arial" w:hAnsi="Arial" w:cs="Arial"/>
          <w:color w:val="000000"/>
          <w:sz w:val="22"/>
          <w:szCs w:val="22"/>
        </w:rPr>
        <w:t xml:space="preserve"> is projected to decline </w:t>
      </w:r>
      <w:r w:rsidR="005E0F3D" w:rsidRPr="00964B6A">
        <w:rPr>
          <w:rFonts w:ascii="Arial" w:hAnsi="Arial" w:cs="Arial"/>
          <w:color w:val="000000"/>
          <w:sz w:val="22"/>
          <w:szCs w:val="22"/>
        </w:rPr>
        <w:t>from 71.8</w:t>
      </w:r>
      <w:r w:rsidR="00E16FBB">
        <w:rPr>
          <w:rFonts w:ascii="Arial" w:hAnsi="Arial" w:cs="Arial"/>
          <w:color w:val="000000"/>
          <w:sz w:val="22"/>
          <w:szCs w:val="22"/>
        </w:rPr>
        <w:t> </w:t>
      </w:r>
      <w:r w:rsidR="005E0F3D" w:rsidRPr="00964B6A">
        <w:rPr>
          <w:rFonts w:ascii="Arial" w:hAnsi="Arial" w:cs="Arial"/>
          <w:color w:val="000000"/>
          <w:sz w:val="22"/>
          <w:szCs w:val="22"/>
        </w:rPr>
        <w:t>per</w:t>
      </w:r>
      <w:r w:rsidR="00E16FBB">
        <w:rPr>
          <w:rFonts w:ascii="Arial" w:hAnsi="Arial" w:cs="Arial"/>
          <w:color w:val="000000"/>
          <w:sz w:val="22"/>
          <w:szCs w:val="22"/>
        </w:rPr>
        <w:t> </w:t>
      </w:r>
      <w:r w:rsidR="005E0F3D" w:rsidRPr="00964B6A">
        <w:rPr>
          <w:rFonts w:ascii="Arial" w:hAnsi="Arial" w:cs="Arial"/>
          <w:color w:val="000000"/>
          <w:sz w:val="22"/>
          <w:szCs w:val="22"/>
        </w:rPr>
        <w:t xml:space="preserve">cent </w:t>
      </w:r>
      <w:r w:rsidRPr="00964B6A">
        <w:rPr>
          <w:rFonts w:ascii="Arial" w:hAnsi="Arial" w:cs="Arial"/>
          <w:color w:val="000000"/>
          <w:sz w:val="22"/>
          <w:szCs w:val="22"/>
        </w:rPr>
        <w:t xml:space="preserve">to </w:t>
      </w:r>
      <w:r w:rsidR="005E0F3D" w:rsidRPr="00964B6A">
        <w:rPr>
          <w:rFonts w:ascii="Arial" w:hAnsi="Arial" w:cs="Arial"/>
          <w:color w:val="000000"/>
          <w:sz w:val="22"/>
          <w:szCs w:val="22"/>
        </w:rPr>
        <w:t xml:space="preserve">68.3 per cent by 2041. </w:t>
      </w:r>
      <w:r w:rsidR="0049281B" w:rsidRPr="00964B6A">
        <w:rPr>
          <w:rFonts w:ascii="Arial" w:hAnsi="Arial" w:cs="Arial"/>
          <w:color w:val="000000"/>
          <w:sz w:val="22"/>
          <w:szCs w:val="22"/>
        </w:rPr>
        <w:t xml:space="preserve">This decline is primarily driven by an increase in the proportion of the </w:t>
      </w:r>
      <w:r w:rsidR="00331F3B" w:rsidRPr="00964B6A">
        <w:rPr>
          <w:rFonts w:ascii="Arial" w:hAnsi="Arial" w:cs="Arial"/>
          <w:color w:val="000000"/>
          <w:sz w:val="22"/>
          <w:szCs w:val="22"/>
        </w:rPr>
        <w:t>older age population</w:t>
      </w:r>
      <w:r w:rsidR="0049281B" w:rsidRPr="00964B6A">
        <w:rPr>
          <w:rFonts w:ascii="Arial" w:hAnsi="Arial" w:cs="Arial"/>
          <w:color w:val="000000"/>
          <w:sz w:val="22"/>
          <w:szCs w:val="22"/>
        </w:rPr>
        <w:t xml:space="preserve"> </w:t>
      </w:r>
      <w:r w:rsidR="00331F3B" w:rsidRPr="00964B6A">
        <w:rPr>
          <w:rFonts w:ascii="Arial" w:hAnsi="Arial" w:cs="Arial"/>
          <w:color w:val="000000"/>
          <w:sz w:val="22"/>
          <w:szCs w:val="22"/>
        </w:rPr>
        <w:t>(</w:t>
      </w:r>
      <w:r w:rsidR="0049281B" w:rsidRPr="00964B6A">
        <w:rPr>
          <w:rFonts w:ascii="Arial" w:hAnsi="Arial" w:cs="Arial"/>
          <w:color w:val="000000"/>
          <w:sz w:val="22"/>
          <w:szCs w:val="22"/>
        </w:rPr>
        <w:t>65 years and over</w:t>
      </w:r>
      <w:r w:rsidR="00331F3B" w:rsidRPr="00964B6A">
        <w:rPr>
          <w:rFonts w:ascii="Arial" w:hAnsi="Arial" w:cs="Arial"/>
          <w:color w:val="000000"/>
          <w:sz w:val="22"/>
          <w:szCs w:val="22"/>
        </w:rPr>
        <w:t>)</w:t>
      </w:r>
      <w:r w:rsidR="0049281B" w:rsidRPr="00964B6A">
        <w:rPr>
          <w:rFonts w:ascii="Arial" w:hAnsi="Arial" w:cs="Arial"/>
          <w:color w:val="000000"/>
          <w:sz w:val="22"/>
          <w:szCs w:val="22"/>
        </w:rPr>
        <w:t>, which is pr</w:t>
      </w:r>
      <w:r w:rsidR="005E0F3D" w:rsidRPr="00964B6A">
        <w:rPr>
          <w:rFonts w:ascii="Arial" w:hAnsi="Arial" w:cs="Arial"/>
          <w:color w:val="000000"/>
          <w:sz w:val="22"/>
          <w:szCs w:val="22"/>
        </w:rPr>
        <w:t>ojected to nearly triple by 2041</w:t>
      </w:r>
      <w:r w:rsidR="00255A11" w:rsidRPr="00964B6A">
        <w:rPr>
          <w:rFonts w:ascii="Arial" w:hAnsi="Arial" w:cs="Arial"/>
          <w:color w:val="000000"/>
          <w:sz w:val="22"/>
          <w:szCs w:val="22"/>
        </w:rPr>
        <w:t>. The</w:t>
      </w:r>
      <w:r w:rsidR="0049281B" w:rsidRPr="00964B6A">
        <w:rPr>
          <w:rFonts w:ascii="Arial" w:hAnsi="Arial" w:cs="Arial"/>
          <w:color w:val="000000"/>
          <w:sz w:val="22"/>
          <w:szCs w:val="22"/>
        </w:rPr>
        <w:t xml:space="preserve"> </w:t>
      </w:r>
      <w:r w:rsidR="00255A11" w:rsidRPr="00964B6A">
        <w:rPr>
          <w:rFonts w:ascii="Arial" w:hAnsi="Arial" w:cs="Arial"/>
          <w:color w:val="000000"/>
          <w:sz w:val="22"/>
          <w:szCs w:val="22"/>
        </w:rPr>
        <w:t>proportion</w:t>
      </w:r>
      <w:r w:rsidR="003E41DB" w:rsidRPr="00964B6A">
        <w:rPr>
          <w:rFonts w:ascii="Arial" w:hAnsi="Arial" w:cs="Arial"/>
          <w:color w:val="000000"/>
          <w:sz w:val="22"/>
          <w:szCs w:val="22"/>
        </w:rPr>
        <w:t xml:space="preserve"> of the Indigenous population in the </w:t>
      </w:r>
      <w:r w:rsidR="0049281B" w:rsidRPr="00964B6A">
        <w:rPr>
          <w:rFonts w:ascii="Arial" w:hAnsi="Arial" w:cs="Arial"/>
          <w:color w:val="000000"/>
          <w:sz w:val="22"/>
          <w:szCs w:val="22"/>
        </w:rPr>
        <w:t>older age groups is projected to</w:t>
      </w:r>
      <w:r w:rsidR="005E0F3D" w:rsidRPr="00964B6A">
        <w:rPr>
          <w:rFonts w:ascii="Arial" w:hAnsi="Arial" w:cs="Arial"/>
          <w:color w:val="000000"/>
          <w:sz w:val="22"/>
          <w:szCs w:val="22"/>
        </w:rPr>
        <w:t xml:space="preserve"> increase from 3.1 per cent to 10.3 per cent by 2041</w:t>
      </w:r>
      <w:r w:rsidR="00255A11" w:rsidRPr="00964B6A">
        <w:rPr>
          <w:rFonts w:ascii="Arial" w:hAnsi="Arial" w:cs="Arial"/>
          <w:color w:val="000000"/>
          <w:sz w:val="22"/>
          <w:szCs w:val="22"/>
        </w:rPr>
        <w:t xml:space="preserve">, significantly </w:t>
      </w:r>
      <w:r w:rsidR="003E41DB" w:rsidRPr="00964B6A">
        <w:rPr>
          <w:rFonts w:ascii="Arial" w:hAnsi="Arial" w:cs="Arial"/>
          <w:color w:val="000000"/>
          <w:sz w:val="22"/>
          <w:szCs w:val="22"/>
        </w:rPr>
        <w:t>higher than the projected</w:t>
      </w:r>
      <w:r w:rsidR="00255A11" w:rsidRPr="00964B6A">
        <w:rPr>
          <w:rFonts w:ascii="Arial" w:hAnsi="Arial" w:cs="Arial"/>
          <w:color w:val="000000"/>
          <w:sz w:val="22"/>
          <w:szCs w:val="22"/>
        </w:rPr>
        <w:t xml:space="preserve"> increase </w:t>
      </w:r>
      <w:r w:rsidR="003E41DB" w:rsidRPr="00964B6A">
        <w:rPr>
          <w:rFonts w:ascii="Arial" w:hAnsi="Arial" w:cs="Arial"/>
          <w:color w:val="000000"/>
          <w:sz w:val="22"/>
          <w:szCs w:val="22"/>
        </w:rPr>
        <w:t>(</w:t>
      </w:r>
      <w:r w:rsidR="005E0F3D" w:rsidRPr="00964B6A">
        <w:rPr>
          <w:rFonts w:ascii="Arial" w:hAnsi="Arial" w:cs="Arial"/>
          <w:color w:val="000000"/>
          <w:sz w:val="22"/>
          <w:szCs w:val="22"/>
        </w:rPr>
        <w:t>6.6 per cent to 9.6</w:t>
      </w:r>
      <w:r w:rsidR="00255A11" w:rsidRPr="00964B6A">
        <w:rPr>
          <w:rFonts w:ascii="Arial" w:hAnsi="Arial" w:cs="Arial"/>
          <w:color w:val="000000"/>
          <w:sz w:val="22"/>
          <w:szCs w:val="22"/>
        </w:rPr>
        <w:t> per cent</w:t>
      </w:r>
      <w:r w:rsidR="003E41DB" w:rsidRPr="00964B6A">
        <w:rPr>
          <w:rFonts w:ascii="Arial" w:hAnsi="Arial" w:cs="Arial"/>
          <w:color w:val="000000"/>
          <w:sz w:val="22"/>
          <w:szCs w:val="22"/>
        </w:rPr>
        <w:t>) for the non-Indigenous population</w:t>
      </w:r>
      <w:r w:rsidR="0049281B" w:rsidRPr="00964B6A">
        <w:rPr>
          <w:rFonts w:ascii="Arial" w:hAnsi="Arial" w:cs="Arial"/>
          <w:color w:val="000000"/>
          <w:sz w:val="22"/>
          <w:szCs w:val="22"/>
        </w:rPr>
        <w:t xml:space="preserve">. </w:t>
      </w:r>
    </w:p>
    <w:p w:rsidR="00B13B99" w:rsidRPr="00B92B2E" w:rsidRDefault="00B13B99" w:rsidP="00B92B2E">
      <w:pPr>
        <w:spacing w:before="360" w:after="160" w:line="240" w:lineRule="atLeast"/>
        <w:rPr>
          <w:rFonts w:ascii="Arial" w:hAnsi="Arial" w:cs="Arial"/>
          <w:b/>
          <w:color w:val="000000"/>
          <w:sz w:val="22"/>
          <w:szCs w:val="22"/>
        </w:rPr>
      </w:pPr>
      <w:r w:rsidRPr="00B92B2E">
        <w:rPr>
          <w:rFonts w:ascii="Arial" w:hAnsi="Arial" w:cs="Arial"/>
          <w:b/>
          <w:color w:val="000000"/>
          <w:sz w:val="22"/>
          <w:szCs w:val="22"/>
        </w:rPr>
        <w:t xml:space="preserve">Table </w:t>
      </w:r>
      <w:r w:rsidR="00873ABC" w:rsidRPr="00B92B2E">
        <w:rPr>
          <w:rFonts w:ascii="Arial" w:hAnsi="Arial" w:cs="Arial"/>
          <w:b/>
          <w:color w:val="000000"/>
          <w:sz w:val="22"/>
          <w:szCs w:val="22"/>
        </w:rPr>
        <w:t>4</w:t>
      </w:r>
      <w:r w:rsidRPr="00B92B2E">
        <w:rPr>
          <w:rFonts w:ascii="Arial" w:hAnsi="Arial" w:cs="Arial"/>
          <w:b/>
          <w:color w:val="000000"/>
          <w:sz w:val="22"/>
          <w:szCs w:val="22"/>
        </w:rPr>
        <w:t xml:space="preserve">: </w:t>
      </w:r>
      <w:r w:rsidR="00331F3B" w:rsidRPr="00B92B2E">
        <w:rPr>
          <w:rFonts w:ascii="Arial" w:hAnsi="Arial" w:cs="Arial"/>
          <w:b/>
          <w:color w:val="000000"/>
          <w:sz w:val="22"/>
          <w:szCs w:val="22"/>
        </w:rPr>
        <w:t xml:space="preserve">Territory </w:t>
      </w:r>
      <w:r w:rsidR="00873ABC" w:rsidRPr="00B92B2E">
        <w:rPr>
          <w:rFonts w:ascii="Arial" w:hAnsi="Arial" w:cs="Arial"/>
          <w:b/>
          <w:color w:val="000000"/>
          <w:sz w:val="22"/>
          <w:szCs w:val="22"/>
        </w:rPr>
        <w:t xml:space="preserve">Estimates and Projections, by </w:t>
      </w:r>
      <w:r w:rsidR="00331F3B" w:rsidRPr="00B92B2E">
        <w:rPr>
          <w:rFonts w:ascii="Arial" w:hAnsi="Arial" w:cs="Arial"/>
          <w:b/>
          <w:color w:val="000000"/>
          <w:sz w:val="22"/>
          <w:szCs w:val="22"/>
        </w:rPr>
        <w:t>A</w:t>
      </w:r>
      <w:r w:rsidR="00873ABC" w:rsidRPr="00B92B2E">
        <w:rPr>
          <w:rFonts w:ascii="Arial" w:hAnsi="Arial" w:cs="Arial"/>
          <w:b/>
          <w:color w:val="000000"/>
          <w:sz w:val="22"/>
          <w:szCs w:val="22"/>
        </w:rPr>
        <w:t xml:space="preserve">ge </w:t>
      </w:r>
      <w:r w:rsidR="00331F3B" w:rsidRPr="00B92B2E">
        <w:rPr>
          <w:rFonts w:ascii="Arial" w:hAnsi="Arial" w:cs="Arial"/>
          <w:b/>
          <w:color w:val="000000"/>
          <w:sz w:val="22"/>
          <w:szCs w:val="22"/>
        </w:rPr>
        <w:t>Cohort</w:t>
      </w:r>
      <w:r w:rsidR="00873ABC" w:rsidRPr="00B92B2E">
        <w:rPr>
          <w:rFonts w:ascii="Arial" w:hAnsi="Arial" w:cs="Arial"/>
          <w:b/>
          <w:color w:val="000000"/>
          <w:sz w:val="22"/>
          <w:szCs w:val="22"/>
        </w:rPr>
        <w:t xml:space="preserve">, </w:t>
      </w:r>
      <w:r w:rsidR="005E0F3D" w:rsidRPr="00B92B2E">
        <w:rPr>
          <w:rFonts w:ascii="Arial" w:hAnsi="Arial" w:cs="Arial"/>
          <w:b/>
          <w:color w:val="000000"/>
          <w:sz w:val="22"/>
          <w:szCs w:val="22"/>
        </w:rPr>
        <w:t>2011 to 2041</w:t>
      </w:r>
    </w:p>
    <w:p w:rsidR="005E0F3D" w:rsidRDefault="00502108" w:rsidP="00DC498A">
      <w:pPr>
        <w:autoSpaceDE w:val="0"/>
        <w:autoSpaceDN w:val="0"/>
        <w:adjustRightInd w:val="0"/>
        <w:spacing w:after="120"/>
        <w:rPr>
          <w:rFonts w:ascii="Arial" w:hAnsi="Arial" w:cs="Arial"/>
          <w:sz w:val="16"/>
          <w:szCs w:val="16"/>
        </w:rPr>
      </w:pPr>
      <w:r>
        <w:rPr>
          <w:noProof/>
          <w:szCs w:val="16"/>
          <w:lang w:eastAsia="en-AU"/>
        </w:rPr>
        <w:drawing>
          <wp:inline distT="0" distB="0" distL="0" distR="0">
            <wp:extent cx="5727700" cy="3035935"/>
            <wp:effectExtent l="0" t="0" r="6350" b="0"/>
            <wp:docPr id="13" name="Picture 13" descr="Table 4: Territory Estimates and Projections, by Age Cohort, 2011 to 2041"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7700" cy="3035935"/>
                    </a:xfrm>
                    <a:prstGeom prst="rect">
                      <a:avLst/>
                    </a:prstGeom>
                    <a:noFill/>
                    <a:ln>
                      <a:noFill/>
                    </a:ln>
                  </pic:spPr>
                </pic:pic>
              </a:graphicData>
            </a:graphic>
          </wp:inline>
        </w:drawing>
      </w:r>
    </w:p>
    <w:p w:rsidR="00331F3B" w:rsidRDefault="00754EC2" w:rsidP="00DC498A">
      <w:pPr>
        <w:autoSpaceDE w:val="0"/>
        <w:autoSpaceDN w:val="0"/>
        <w:adjustRightInd w:val="0"/>
        <w:spacing w:after="120"/>
        <w:rPr>
          <w:rFonts w:ascii="Arial" w:hAnsi="Arial" w:cs="Arial"/>
          <w:sz w:val="16"/>
          <w:szCs w:val="16"/>
        </w:rPr>
      </w:pPr>
      <w:r>
        <w:rPr>
          <w:rFonts w:ascii="Arial" w:hAnsi="Arial" w:cs="Arial"/>
          <w:sz w:val="16"/>
          <w:szCs w:val="16"/>
        </w:rPr>
        <w:t xml:space="preserve">Source: </w:t>
      </w:r>
      <w:r w:rsidR="00331F3B" w:rsidRPr="00331F3B">
        <w:rPr>
          <w:rFonts w:ascii="Arial" w:hAnsi="Arial" w:cs="Arial"/>
          <w:sz w:val="16"/>
          <w:szCs w:val="16"/>
        </w:rPr>
        <w:t>Northern Territo</w:t>
      </w:r>
      <w:r w:rsidR="00020B02">
        <w:rPr>
          <w:rFonts w:ascii="Arial" w:hAnsi="Arial" w:cs="Arial"/>
          <w:sz w:val="16"/>
          <w:szCs w:val="16"/>
        </w:rPr>
        <w:t xml:space="preserve">ry Population Projections, </w:t>
      </w:r>
      <w:r w:rsidR="005701D9">
        <w:rPr>
          <w:rFonts w:ascii="Arial" w:hAnsi="Arial" w:cs="Arial"/>
          <w:sz w:val="16"/>
          <w:szCs w:val="16"/>
        </w:rPr>
        <w:t>Interim – Update (2013 Release)</w:t>
      </w:r>
    </w:p>
    <w:p w:rsidR="006459C6" w:rsidRPr="00331F3B" w:rsidRDefault="006459C6" w:rsidP="00DC498A">
      <w:pPr>
        <w:autoSpaceDE w:val="0"/>
        <w:autoSpaceDN w:val="0"/>
        <w:adjustRightInd w:val="0"/>
        <w:spacing w:after="120"/>
        <w:rPr>
          <w:rFonts w:ascii="Arial" w:hAnsi="Arial" w:cs="Arial"/>
          <w:sz w:val="16"/>
          <w:szCs w:val="16"/>
        </w:rPr>
      </w:pPr>
    </w:p>
    <w:p w:rsidR="00144C48" w:rsidRPr="00964B6A" w:rsidRDefault="00836785" w:rsidP="00964B6A">
      <w:pPr>
        <w:spacing w:before="360" w:after="160" w:line="240" w:lineRule="atLeast"/>
        <w:rPr>
          <w:rFonts w:ascii="Arial" w:hAnsi="Arial" w:cs="Arial"/>
          <w:b/>
          <w:color w:val="000000"/>
          <w:sz w:val="22"/>
          <w:szCs w:val="22"/>
        </w:rPr>
      </w:pPr>
      <w:r>
        <w:rPr>
          <w:rFonts w:ascii="Arial" w:hAnsi="Arial" w:cs="Arial"/>
          <w:b/>
        </w:rPr>
        <w:br w:type="page"/>
      </w:r>
      <w:r w:rsidR="00144C48" w:rsidRPr="00964B6A">
        <w:rPr>
          <w:rFonts w:ascii="Arial" w:hAnsi="Arial" w:cs="Arial"/>
          <w:b/>
          <w:color w:val="000000"/>
          <w:sz w:val="22"/>
          <w:szCs w:val="22"/>
        </w:rPr>
        <w:t xml:space="preserve">Table </w:t>
      </w:r>
      <w:r w:rsidR="00873ABC" w:rsidRPr="00964B6A">
        <w:rPr>
          <w:rFonts w:ascii="Arial" w:hAnsi="Arial" w:cs="Arial"/>
          <w:b/>
          <w:color w:val="000000"/>
          <w:sz w:val="22"/>
          <w:szCs w:val="22"/>
        </w:rPr>
        <w:t>5</w:t>
      </w:r>
      <w:r w:rsidR="00144C48" w:rsidRPr="00964B6A">
        <w:rPr>
          <w:rFonts w:ascii="Arial" w:hAnsi="Arial" w:cs="Arial"/>
          <w:b/>
          <w:color w:val="000000"/>
          <w:sz w:val="22"/>
          <w:szCs w:val="22"/>
        </w:rPr>
        <w:t xml:space="preserve">: </w:t>
      </w:r>
      <w:r w:rsidR="00873ABC" w:rsidRPr="00964B6A">
        <w:rPr>
          <w:rFonts w:ascii="Arial" w:hAnsi="Arial" w:cs="Arial"/>
          <w:b/>
          <w:color w:val="000000"/>
          <w:sz w:val="22"/>
          <w:szCs w:val="22"/>
        </w:rPr>
        <w:t>Percentage</w:t>
      </w:r>
      <w:r w:rsidR="009C1D4A" w:rsidRPr="00964B6A">
        <w:rPr>
          <w:rFonts w:ascii="Arial" w:hAnsi="Arial" w:cs="Arial"/>
          <w:b/>
          <w:color w:val="000000"/>
          <w:sz w:val="22"/>
          <w:szCs w:val="22"/>
        </w:rPr>
        <w:t xml:space="preserve"> </w:t>
      </w:r>
      <w:r w:rsidR="00873ABC" w:rsidRPr="00964B6A">
        <w:rPr>
          <w:rFonts w:ascii="Arial" w:hAnsi="Arial" w:cs="Arial"/>
          <w:b/>
          <w:color w:val="000000"/>
          <w:sz w:val="22"/>
          <w:szCs w:val="22"/>
        </w:rPr>
        <w:t xml:space="preserve">by Age Cohort, </w:t>
      </w:r>
      <w:r w:rsidR="006459C6" w:rsidRPr="00964B6A">
        <w:rPr>
          <w:rFonts w:ascii="Arial" w:hAnsi="Arial" w:cs="Arial"/>
          <w:b/>
          <w:color w:val="000000"/>
          <w:sz w:val="22"/>
          <w:szCs w:val="22"/>
        </w:rPr>
        <w:t>2011 to 2041</w:t>
      </w:r>
    </w:p>
    <w:p w:rsidR="006459C6" w:rsidRPr="006459C6" w:rsidRDefault="00502108" w:rsidP="00DC498A">
      <w:pPr>
        <w:autoSpaceDE w:val="0"/>
        <w:autoSpaceDN w:val="0"/>
        <w:adjustRightInd w:val="0"/>
        <w:spacing w:after="120"/>
        <w:rPr>
          <w:rFonts w:ascii="Arial" w:hAnsi="Arial" w:cs="Arial"/>
          <w:sz w:val="16"/>
          <w:szCs w:val="16"/>
        </w:rPr>
      </w:pPr>
      <w:r>
        <w:rPr>
          <w:noProof/>
          <w:szCs w:val="16"/>
          <w:lang w:eastAsia="en-AU"/>
        </w:rPr>
        <w:drawing>
          <wp:inline distT="0" distB="0" distL="0" distR="0">
            <wp:extent cx="5727700" cy="2794635"/>
            <wp:effectExtent l="0" t="0" r="6350" b="5715"/>
            <wp:docPr id="14" name="Picture 14" descr="Table 5: Percentage by Age Cohort, 2011 to 2041"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27700" cy="2794635"/>
                    </a:xfrm>
                    <a:prstGeom prst="rect">
                      <a:avLst/>
                    </a:prstGeom>
                    <a:noFill/>
                    <a:ln>
                      <a:noFill/>
                    </a:ln>
                  </pic:spPr>
                </pic:pic>
              </a:graphicData>
            </a:graphic>
          </wp:inline>
        </w:drawing>
      </w:r>
    </w:p>
    <w:p w:rsidR="00331F3B" w:rsidRPr="006459C6" w:rsidRDefault="00331F3B" w:rsidP="00DC498A">
      <w:pPr>
        <w:autoSpaceDE w:val="0"/>
        <w:autoSpaceDN w:val="0"/>
        <w:adjustRightInd w:val="0"/>
        <w:spacing w:after="120"/>
        <w:rPr>
          <w:rFonts w:ascii="Arial" w:hAnsi="Arial" w:cs="Arial"/>
          <w:sz w:val="16"/>
          <w:szCs w:val="16"/>
        </w:rPr>
      </w:pPr>
      <w:r w:rsidRPr="006459C6">
        <w:rPr>
          <w:rFonts w:ascii="Arial" w:hAnsi="Arial" w:cs="Arial"/>
          <w:sz w:val="16"/>
          <w:szCs w:val="16"/>
        </w:rPr>
        <w:t xml:space="preserve">Source: ABS Cat. </w:t>
      </w:r>
      <w:r w:rsidR="00754EC2" w:rsidRPr="006459C6">
        <w:rPr>
          <w:rFonts w:ascii="Arial" w:hAnsi="Arial" w:cs="Arial"/>
          <w:sz w:val="16"/>
          <w:szCs w:val="16"/>
        </w:rPr>
        <w:t>No. 3238.0</w:t>
      </w:r>
      <w:r w:rsidRPr="006459C6">
        <w:rPr>
          <w:rFonts w:ascii="Arial" w:hAnsi="Arial" w:cs="Arial"/>
          <w:sz w:val="16"/>
          <w:szCs w:val="16"/>
        </w:rPr>
        <w:t>; Northern Territory</w:t>
      </w:r>
      <w:r w:rsidR="00020B02">
        <w:rPr>
          <w:rFonts w:ascii="Arial" w:hAnsi="Arial" w:cs="Arial"/>
          <w:sz w:val="16"/>
          <w:szCs w:val="16"/>
        </w:rPr>
        <w:t xml:space="preserve"> Population Projections, </w:t>
      </w:r>
      <w:r w:rsidR="005701D9">
        <w:rPr>
          <w:rFonts w:ascii="Arial" w:hAnsi="Arial" w:cs="Arial"/>
          <w:sz w:val="16"/>
          <w:szCs w:val="16"/>
        </w:rPr>
        <w:t>Interim - Update (2013 Release)</w:t>
      </w:r>
    </w:p>
    <w:p w:rsidR="006459C6" w:rsidRPr="00964B6A" w:rsidRDefault="006459C6" w:rsidP="00A35DB4">
      <w:pPr>
        <w:autoSpaceDE w:val="0"/>
        <w:autoSpaceDN w:val="0"/>
        <w:adjustRightInd w:val="0"/>
        <w:spacing w:after="120"/>
        <w:rPr>
          <w:rFonts w:ascii="Arial" w:hAnsi="Arial" w:cs="Arial"/>
          <w:sz w:val="22"/>
          <w:szCs w:val="22"/>
        </w:rPr>
      </w:pPr>
    </w:p>
    <w:p w:rsidR="00A35DB4" w:rsidRDefault="00754EC2" w:rsidP="00A35DB4">
      <w:pPr>
        <w:autoSpaceDE w:val="0"/>
        <w:autoSpaceDN w:val="0"/>
        <w:adjustRightInd w:val="0"/>
        <w:spacing w:after="120"/>
        <w:rPr>
          <w:rFonts w:ascii="Arial" w:hAnsi="Arial" w:cs="Arial"/>
          <w:sz w:val="22"/>
          <w:szCs w:val="22"/>
        </w:rPr>
      </w:pPr>
      <w:r w:rsidRPr="006459C6">
        <w:rPr>
          <w:rFonts w:ascii="Arial" w:hAnsi="Arial" w:cs="Arial"/>
          <w:sz w:val="22"/>
          <w:szCs w:val="22"/>
        </w:rPr>
        <w:t>B</w:t>
      </w:r>
      <w:r w:rsidR="006459C6" w:rsidRPr="006459C6">
        <w:rPr>
          <w:rFonts w:ascii="Arial" w:hAnsi="Arial" w:cs="Arial"/>
          <w:sz w:val="22"/>
          <w:szCs w:val="22"/>
        </w:rPr>
        <w:t>y 2041</w:t>
      </w:r>
      <w:r w:rsidR="00A35DB4" w:rsidRPr="006459C6">
        <w:rPr>
          <w:rFonts w:ascii="Arial" w:hAnsi="Arial" w:cs="Arial"/>
          <w:sz w:val="22"/>
          <w:szCs w:val="22"/>
        </w:rPr>
        <w:t xml:space="preserve">, the proportion of the Indigenous population aged over 65 years </w:t>
      </w:r>
      <w:r w:rsidRPr="006459C6">
        <w:rPr>
          <w:rFonts w:ascii="Arial" w:hAnsi="Arial" w:cs="Arial"/>
          <w:sz w:val="22"/>
          <w:szCs w:val="22"/>
        </w:rPr>
        <w:t xml:space="preserve">is projected </w:t>
      </w:r>
      <w:r w:rsidR="006459C6" w:rsidRPr="006459C6">
        <w:rPr>
          <w:rFonts w:ascii="Arial" w:hAnsi="Arial" w:cs="Arial"/>
          <w:sz w:val="22"/>
          <w:szCs w:val="22"/>
        </w:rPr>
        <w:t xml:space="preserve">to be greater than </w:t>
      </w:r>
      <w:r w:rsidR="00A35DB4" w:rsidRPr="006459C6">
        <w:rPr>
          <w:rFonts w:ascii="Arial" w:hAnsi="Arial" w:cs="Arial"/>
          <w:sz w:val="22"/>
          <w:szCs w:val="22"/>
        </w:rPr>
        <w:t>the non</w:t>
      </w:r>
      <w:r w:rsidR="00A35DB4" w:rsidRPr="006459C6">
        <w:rPr>
          <w:rFonts w:ascii="Arial" w:hAnsi="Arial" w:cs="Arial"/>
          <w:sz w:val="22"/>
          <w:szCs w:val="22"/>
        </w:rPr>
        <w:noBreakHyphen/>
        <w:t xml:space="preserve">Indigenous population (Chart </w:t>
      </w:r>
      <w:r w:rsidR="008F21C6" w:rsidRPr="006459C6">
        <w:rPr>
          <w:rFonts w:ascii="Arial" w:hAnsi="Arial" w:cs="Arial"/>
          <w:sz w:val="22"/>
          <w:szCs w:val="22"/>
        </w:rPr>
        <w:t>5</w:t>
      </w:r>
      <w:r w:rsidR="00A35DB4" w:rsidRPr="006459C6">
        <w:rPr>
          <w:rFonts w:ascii="Arial" w:hAnsi="Arial" w:cs="Arial"/>
          <w:sz w:val="22"/>
          <w:szCs w:val="22"/>
        </w:rPr>
        <w:t xml:space="preserve">). This is primarily driven by </w:t>
      </w:r>
      <w:r w:rsidR="002066B9">
        <w:rPr>
          <w:rFonts w:ascii="Arial" w:hAnsi="Arial" w:cs="Arial"/>
          <w:sz w:val="22"/>
          <w:szCs w:val="22"/>
        </w:rPr>
        <w:t xml:space="preserve">out migration of older non-Indigenous people assisted by </w:t>
      </w:r>
      <w:r w:rsidR="00A35DB4" w:rsidRPr="006459C6">
        <w:rPr>
          <w:rFonts w:ascii="Arial" w:hAnsi="Arial" w:cs="Arial"/>
          <w:sz w:val="22"/>
          <w:szCs w:val="22"/>
        </w:rPr>
        <w:t>improvements in Indigenous life expectancy, which is projected to increase from 62.4 years to 7</w:t>
      </w:r>
      <w:r w:rsidR="003C3E32" w:rsidRPr="006459C6">
        <w:rPr>
          <w:rFonts w:ascii="Arial" w:hAnsi="Arial" w:cs="Arial"/>
          <w:sz w:val="22"/>
          <w:szCs w:val="22"/>
        </w:rPr>
        <w:t>1</w:t>
      </w:r>
      <w:r w:rsidR="006459C6" w:rsidRPr="006459C6">
        <w:rPr>
          <w:rFonts w:ascii="Arial" w:hAnsi="Arial" w:cs="Arial"/>
          <w:sz w:val="22"/>
          <w:szCs w:val="22"/>
        </w:rPr>
        <w:t>.4</w:t>
      </w:r>
      <w:r w:rsidR="00A35DB4" w:rsidRPr="006459C6">
        <w:rPr>
          <w:rFonts w:ascii="Arial" w:hAnsi="Arial" w:cs="Arial"/>
          <w:sz w:val="22"/>
          <w:szCs w:val="22"/>
        </w:rPr>
        <w:t> years for Indigenous m</w:t>
      </w:r>
      <w:r w:rsidR="006459C6" w:rsidRPr="006459C6">
        <w:rPr>
          <w:rFonts w:ascii="Arial" w:hAnsi="Arial" w:cs="Arial"/>
          <w:sz w:val="22"/>
          <w:szCs w:val="22"/>
        </w:rPr>
        <w:t>ales and from 70.1 years to 79.1</w:t>
      </w:r>
      <w:r w:rsidR="00A35DB4" w:rsidRPr="006459C6">
        <w:rPr>
          <w:rFonts w:ascii="Arial" w:hAnsi="Arial" w:cs="Arial"/>
          <w:sz w:val="22"/>
          <w:szCs w:val="22"/>
        </w:rPr>
        <w:t> years for Indigenous females</w:t>
      </w:r>
      <w:r w:rsidR="00001191" w:rsidRPr="006459C6">
        <w:rPr>
          <w:rFonts w:ascii="Arial" w:hAnsi="Arial" w:cs="Arial"/>
          <w:sz w:val="22"/>
          <w:szCs w:val="22"/>
        </w:rPr>
        <w:t xml:space="preserve"> (Table 6)</w:t>
      </w:r>
      <w:r w:rsidR="00A35DB4" w:rsidRPr="006459C6">
        <w:rPr>
          <w:rFonts w:ascii="Arial" w:hAnsi="Arial" w:cs="Arial"/>
          <w:sz w:val="22"/>
          <w:szCs w:val="22"/>
        </w:rPr>
        <w:t>.</w:t>
      </w:r>
      <w:r w:rsidR="00A35DB4">
        <w:rPr>
          <w:rFonts w:ascii="Arial" w:hAnsi="Arial" w:cs="Arial"/>
          <w:sz w:val="22"/>
          <w:szCs w:val="22"/>
        </w:rPr>
        <w:t xml:space="preserve">  </w:t>
      </w:r>
    </w:p>
    <w:p w:rsidR="004B2D9C" w:rsidRPr="00964B6A" w:rsidRDefault="004B2D9C" w:rsidP="00964B6A">
      <w:pPr>
        <w:spacing w:before="360" w:after="160" w:line="240" w:lineRule="atLeast"/>
        <w:rPr>
          <w:rFonts w:ascii="Arial" w:hAnsi="Arial" w:cs="Arial"/>
          <w:b/>
          <w:color w:val="000000"/>
          <w:sz w:val="22"/>
          <w:szCs w:val="22"/>
        </w:rPr>
      </w:pPr>
      <w:r w:rsidRPr="00964B6A">
        <w:rPr>
          <w:rFonts w:ascii="Arial" w:hAnsi="Arial" w:cs="Arial"/>
          <w:b/>
          <w:color w:val="000000"/>
          <w:sz w:val="22"/>
          <w:szCs w:val="22"/>
        </w:rPr>
        <w:t xml:space="preserve">Table </w:t>
      </w:r>
      <w:r w:rsidR="00A27C92" w:rsidRPr="00964B6A">
        <w:rPr>
          <w:rFonts w:ascii="Arial" w:hAnsi="Arial" w:cs="Arial"/>
          <w:b/>
          <w:color w:val="000000"/>
          <w:sz w:val="22"/>
          <w:szCs w:val="22"/>
        </w:rPr>
        <w:t>6</w:t>
      </w:r>
      <w:r w:rsidRPr="00964B6A">
        <w:rPr>
          <w:rFonts w:ascii="Arial" w:hAnsi="Arial" w:cs="Arial"/>
          <w:b/>
          <w:color w:val="000000"/>
          <w:sz w:val="22"/>
          <w:szCs w:val="22"/>
        </w:rPr>
        <w:t xml:space="preserve">: </w:t>
      </w:r>
      <w:r w:rsidR="00A27C92" w:rsidRPr="00964B6A">
        <w:rPr>
          <w:rFonts w:ascii="Arial" w:hAnsi="Arial" w:cs="Arial"/>
          <w:b/>
          <w:color w:val="000000"/>
          <w:sz w:val="22"/>
          <w:szCs w:val="22"/>
        </w:rPr>
        <w:t>Life expectancy at birth, NTG projections, Northern Territory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6"/>
        <w:tblDescription w:val="Table 6: Life expectancy at birth, NTG projections, Northern Territory"/>
      </w:tblPr>
      <w:tblGrid>
        <w:gridCol w:w="3333"/>
        <w:gridCol w:w="1092"/>
        <w:gridCol w:w="1092"/>
        <w:gridCol w:w="1092"/>
        <w:gridCol w:w="1092"/>
        <w:gridCol w:w="1093"/>
      </w:tblGrid>
      <w:tr w:rsidR="00B36C66" w:rsidRPr="0043747E" w:rsidTr="008756C4">
        <w:trPr>
          <w:tblHeader/>
        </w:trPr>
        <w:tc>
          <w:tcPr>
            <w:tcW w:w="3333" w:type="dxa"/>
            <w:tcBorders>
              <w:bottom w:val="single" w:sz="4" w:space="0" w:color="auto"/>
            </w:tcBorders>
            <w:vAlign w:val="bottom"/>
          </w:tcPr>
          <w:p w:rsidR="00B36C66" w:rsidRPr="0043747E" w:rsidRDefault="00B36C66" w:rsidP="00600EDC">
            <w:pPr>
              <w:jc w:val="center"/>
              <w:rPr>
                <w:rFonts w:ascii="Arial" w:hAnsi="Arial" w:cs="Arial"/>
              </w:rPr>
            </w:pPr>
          </w:p>
        </w:tc>
        <w:tc>
          <w:tcPr>
            <w:tcW w:w="1092" w:type="dxa"/>
            <w:tcBorders>
              <w:bottom w:val="single" w:sz="4" w:space="0" w:color="auto"/>
            </w:tcBorders>
            <w:vAlign w:val="bottom"/>
          </w:tcPr>
          <w:p w:rsidR="00B36C66" w:rsidRPr="0043747E" w:rsidRDefault="00B36C66" w:rsidP="00600EDC">
            <w:pPr>
              <w:jc w:val="center"/>
              <w:rPr>
                <w:rFonts w:ascii="Arial" w:hAnsi="Arial" w:cs="Arial"/>
              </w:rPr>
            </w:pPr>
            <w:r w:rsidRPr="0043747E">
              <w:rPr>
                <w:rFonts w:ascii="Arial" w:hAnsi="Arial" w:cs="Arial"/>
                <w:b/>
              </w:rPr>
              <w:t>2011</w:t>
            </w:r>
            <w:r w:rsidRPr="0043747E">
              <w:rPr>
                <w:rFonts w:ascii="Arial" w:hAnsi="Arial" w:cs="Arial"/>
                <w:b/>
              </w:rPr>
              <w:br/>
            </w:r>
            <w:r w:rsidRPr="0043747E">
              <w:rPr>
                <w:rFonts w:ascii="Arial" w:hAnsi="Arial" w:cs="Arial"/>
              </w:rPr>
              <w:t>years</w:t>
            </w:r>
          </w:p>
        </w:tc>
        <w:tc>
          <w:tcPr>
            <w:tcW w:w="1092" w:type="dxa"/>
            <w:tcBorders>
              <w:bottom w:val="single" w:sz="4" w:space="0" w:color="auto"/>
            </w:tcBorders>
            <w:vAlign w:val="bottom"/>
          </w:tcPr>
          <w:p w:rsidR="00B36C66" w:rsidRPr="0043747E" w:rsidRDefault="00B36C66" w:rsidP="00600EDC">
            <w:pPr>
              <w:jc w:val="center"/>
              <w:rPr>
                <w:rFonts w:ascii="Arial" w:hAnsi="Arial" w:cs="Arial"/>
              </w:rPr>
            </w:pPr>
            <w:r w:rsidRPr="0043747E">
              <w:rPr>
                <w:rFonts w:ascii="Arial" w:hAnsi="Arial" w:cs="Arial"/>
                <w:b/>
              </w:rPr>
              <w:t>2021</w:t>
            </w:r>
            <w:r w:rsidRPr="0043747E">
              <w:rPr>
                <w:rFonts w:ascii="Arial" w:hAnsi="Arial" w:cs="Arial"/>
              </w:rPr>
              <w:br/>
              <w:t>years</w:t>
            </w:r>
          </w:p>
        </w:tc>
        <w:tc>
          <w:tcPr>
            <w:tcW w:w="1092" w:type="dxa"/>
            <w:tcBorders>
              <w:bottom w:val="single" w:sz="4" w:space="0" w:color="auto"/>
            </w:tcBorders>
            <w:vAlign w:val="bottom"/>
          </w:tcPr>
          <w:p w:rsidR="00B36C66" w:rsidRPr="0043747E" w:rsidRDefault="00B36C66" w:rsidP="00600EDC">
            <w:pPr>
              <w:jc w:val="center"/>
              <w:rPr>
                <w:rFonts w:ascii="Arial" w:hAnsi="Arial" w:cs="Arial"/>
              </w:rPr>
            </w:pPr>
            <w:r w:rsidRPr="0043747E">
              <w:rPr>
                <w:rFonts w:ascii="Arial" w:hAnsi="Arial" w:cs="Arial"/>
                <w:b/>
              </w:rPr>
              <w:t>2031</w:t>
            </w:r>
            <w:r w:rsidRPr="0043747E">
              <w:rPr>
                <w:rFonts w:ascii="Arial" w:hAnsi="Arial" w:cs="Arial"/>
                <w:b/>
              </w:rPr>
              <w:br/>
            </w:r>
            <w:r w:rsidRPr="0043747E">
              <w:rPr>
                <w:rFonts w:ascii="Arial" w:hAnsi="Arial" w:cs="Arial"/>
              </w:rPr>
              <w:t>years</w:t>
            </w:r>
          </w:p>
        </w:tc>
        <w:tc>
          <w:tcPr>
            <w:tcW w:w="1092" w:type="dxa"/>
            <w:tcBorders>
              <w:bottom w:val="single" w:sz="4" w:space="0" w:color="auto"/>
            </w:tcBorders>
            <w:vAlign w:val="bottom"/>
          </w:tcPr>
          <w:p w:rsidR="00B36C66" w:rsidRPr="0043747E" w:rsidRDefault="00B36C66" w:rsidP="00600EDC">
            <w:pPr>
              <w:jc w:val="center"/>
              <w:rPr>
                <w:rFonts w:ascii="Arial" w:hAnsi="Arial" w:cs="Arial"/>
              </w:rPr>
            </w:pPr>
            <w:r w:rsidRPr="0043747E">
              <w:rPr>
                <w:rFonts w:ascii="Arial" w:hAnsi="Arial" w:cs="Arial"/>
                <w:b/>
              </w:rPr>
              <w:t>2041</w:t>
            </w:r>
            <w:r w:rsidRPr="0043747E">
              <w:rPr>
                <w:rFonts w:ascii="Arial" w:hAnsi="Arial" w:cs="Arial"/>
                <w:b/>
              </w:rPr>
              <w:br/>
            </w:r>
            <w:r w:rsidRPr="0043747E">
              <w:rPr>
                <w:rFonts w:ascii="Arial" w:hAnsi="Arial" w:cs="Arial"/>
              </w:rPr>
              <w:t>years</w:t>
            </w:r>
          </w:p>
        </w:tc>
        <w:tc>
          <w:tcPr>
            <w:tcW w:w="1093" w:type="dxa"/>
            <w:tcBorders>
              <w:bottom w:val="single" w:sz="4" w:space="0" w:color="auto"/>
            </w:tcBorders>
            <w:vAlign w:val="bottom"/>
          </w:tcPr>
          <w:p w:rsidR="00B36C66" w:rsidRPr="0043747E" w:rsidRDefault="00B36C66" w:rsidP="00600EDC">
            <w:pPr>
              <w:jc w:val="center"/>
              <w:rPr>
                <w:rFonts w:ascii="Arial" w:hAnsi="Arial" w:cs="Arial"/>
              </w:rPr>
            </w:pPr>
            <w:r w:rsidRPr="0043747E">
              <w:rPr>
                <w:rFonts w:ascii="Arial" w:hAnsi="Arial" w:cs="Arial"/>
                <w:b/>
              </w:rPr>
              <w:t xml:space="preserve">Change 2011-41 </w:t>
            </w:r>
            <w:r w:rsidRPr="0043747E">
              <w:rPr>
                <w:rFonts w:ascii="Arial" w:hAnsi="Arial" w:cs="Arial"/>
              </w:rPr>
              <w:t>years</w:t>
            </w:r>
          </w:p>
        </w:tc>
      </w:tr>
      <w:tr w:rsidR="00B36C66" w:rsidRPr="0043747E" w:rsidTr="00600EDC">
        <w:tc>
          <w:tcPr>
            <w:tcW w:w="3333" w:type="dxa"/>
            <w:tcBorders>
              <w:top w:val="single" w:sz="4" w:space="0" w:color="auto"/>
            </w:tcBorders>
          </w:tcPr>
          <w:p w:rsidR="00B36C66" w:rsidRPr="0043747E" w:rsidRDefault="00B36C66" w:rsidP="00600EDC">
            <w:pPr>
              <w:rPr>
                <w:rFonts w:ascii="Arial" w:hAnsi="Arial" w:cs="Arial"/>
              </w:rPr>
            </w:pPr>
            <w:r w:rsidRPr="0043747E">
              <w:rPr>
                <w:rFonts w:ascii="Arial" w:hAnsi="Arial" w:cs="Arial"/>
              </w:rPr>
              <w:t>Indigenous males</w:t>
            </w:r>
          </w:p>
        </w:tc>
        <w:tc>
          <w:tcPr>
            <w:tcW w:w="1092" w:type="dxa"/>
            <w:tcBorders>
              <w:top w:val="single" w:sz="4" w:space="0" w:color="auto"/>
            </w:tcBorders>
          </w:tcPr>
          <w:p w:rsidR="00B36C66" w:rsidRPr="0043747E" w:rsidRDefault="00B36C66" w:rsidP="00600EDC">
            <w:pPr>
              <w:ind w:right="284"/>
              <w:jc w:val="right"/>
              <w:rPr>
                <w:rFonts w:ascii="Arial" w:hAnsi="Arial" w:cs="Arial"/>
              </w:rPr>
            </w:pPr>
            <w:r w:rsidRPr="0043747E">
              <w:rPr>
                <w:rFonts w:ascii="Arial" w:hAnsi="Arial" w:cs="Arial"/>
              </w:rPr>
              <w:t>62.4</w:t>
            </w:r>
          </w:p>
        </w:tc>
        <w:tc>
          <w:tcPr>
            <w:tcW w:w="1092" w:type="dxa"/>
            <w:tcBorders>
              <w:top w:val="single" w:sz="4" w:space="0" w:color="auto"/>
            </w:tcBorders>
          </w:tcPr>
          <w:p w:rsidR="00B36C66" w:rsidRPr="0043747E" w:rsidRDefault="00B36C66" w:rsidP="00600EDC">
            <w:pPr>
              <w:ind w:right="284"/>
              <w:jc w:val="right"/>
              <w:rPr>
                <w:rFonts w:ascii="Arial" w:hAnsi="Arial" w:cs="Arial"/>
              </w:rPr>
            </w:pPr>
            <w:r w:rsidRPr="0043747E">
              <w:rPr>
                <w:rFonts w:ascii="Arial" w:hAnsi="Arial" w:cs="Arial"/>
              </w:rPr>
              <w:t>65.</w:t>
            </w:r>
            <w:r>
              <w:rPr>
                <w:rFonts w:ascii="Arial" w:hAnsi="Arial" w:cs="Arial"/>
              </w:rPr>
              <w:t>4</w:t>
            </w:r>
          </w:p>
        </w:tc>
        <w:tc>
          <w:tcPr>
            <w:tcW w:w="1092" w:type="dxa"/>
            <w:tcBorders>
              <w:top w:val="single" w:sz="4" w:space="0" w:color="auto"/>
            </w:tcBorders>
          </w:tcPr>
          <w:p w:rsidR="00B36C66" w:rsidRPr="0043747E" w:rsidRDefault="00B36C66" w:rsidP="00600EDC">
            <w:pPr>
              <w:ind w:right="284"/>
              <w:jc w:val="right"/>
              <w:rPr>
                <w:rFonts w:ascii="Arial" w:hAnsi="Arial" w:cs="Arial"/>
              </w:rPr>
            </w:pPr>
            <w:r w:rsidRPr="0043747E">
              <w:rPr>
                <w:rFonts w:ascii="Arial" w:hAnsi="Arial" w:cs="Arial"/>
              </w:rPr>
              <w:t>68.</w:t>
            </w:r>
            <w:r>
              <w:rPr>
                <w:rFonts w:ascii="Arial" w:hAnsi="Arial" w:cs="Arial"/>
              </w:rPr>
              <w:t>4</w:t>
            </w:r>
          </w:p>
        </w:tc>
        <w:tc>
          <w:tcPr>
            <w:tcW w:w="1092" w:type="dxa"/>
            <w:tcBorders>
              <w:top w:val="single" w:sz="4" w:space="0" w:color="auto"/>
            </w:tcBorders>
          </w:tcPr>
          <w:p w:rsidR="00B36C66" w:rsidRPr="0043747E" w:rsidRDefault="00B36C66" w:rsidP="00600EDC">
            <w:pPr>
              <w:ind w:right="284"/>
              <w:jc w:val="right"/>
              <w:rPr>
                <w:rFonts w:ascii="Arial" w:hAnsi="Arial" w:cs="Arial"/>
              </w:rPr>
            </w:pPr>
            <w:r w:rsidRPr="0043747E">
              <w:rPr>
                <w:rFonts w:ascii="Arial" w:hAnsi="Arial" w:cs="Arial"/>
              </w:rPr>
              <w:t>71.4</w:t>
            </w:r>
          </w:p>
        </w:tc>
        <w:tc>
          <w:tcPr>
            <w:tcW w:w="1093" w:type="dxa"/>
            <w:tcBorders>
              <w:top w:val="single" w:sz="4" w:space="0" w:color="auto"/>
            </w:tcBorders>
          </w:tcPr>
          <w:p w:rsidR="00B36C66" w:rsidRPr="0043747E" w:rsidRDefault="00B36C66" w:rsidP="00600EDC">
            <w:pPr>
              <w:ind w:right="284"/>
              <w:jc w:val="right"/>
              <w:rPr>
                <w:rFonts w:ascii="Arial" w:hAnsi="Arial" w:cs="Arial"/>
              </w:rPr>
            </w:pPr>
            <w:r w:rsidRPr="0043747E">
              <w:rPr>
                <w:rFonts w:ascii="Arial" w:hAnsi="Arial" w:cs="Arial"/>
              </w:rPr>
              <w:t>9.0</w:t>
            </w:r>
          </w:p>
        </w:tc>
      </w:tr>
      <w:tr w:rsidR="00B36C66" w:rsidRPr="0043747E" w:rsidTr="00600EDC">
        <w:tc>
          <w:tcPr>
            <w:tcW w:w="3333" w:type="dxa"/>
          </w:tcPr>
          <w:p w:rsidR="00B36C66" w:rsidRPr="0043747E" w:rsidRDefault="00B36C66" w:rsidP="00600EDC">
            <w:pPr>
              <w:rPr>
                <w:rFonts w:ascii="Arial" w:hAnsi="Arial" w:cs="Arial"/>
              </w:rPr>
            </w:pPr>
            <w:r w:rsidRPr="0043747E">
              <w:rPr>
                <w:rFonts w:ascii="Arial" w:hAnsi="Arial" w:cs="Arial"/>
              </w:rPr>
              <w:t>Indigenous females</w:t>
            </w:r>
          </w:p>
        </w:tc>
        <w:tc>
          <w:tcPr>
            <w:tcW w:w="1092" w:type="dxa"/>
          </w:tcPr>
          <w:p w:rsidR="00B36C66" w:rsidRPr="0043747E" w:rsidRDefault="00B36C66" w:rsidP="00600EDC">
            <w:pPr>
              <w:ind w:right="284"/>
              <w:jc w:val="right"/>
              <w:rPr>
                <w:rFonts w:ascii="Arial" w:hAnsi="Arial" w:cs="Arial"/>
              </w:rPr>
            </w:pPr>
            <w:r w:rsidRPr="0043747E">
              <w:rPr>
                <w:rFonts w:ascii="Arial" w:hAnsi="Arial" w:cs="Arial"/>
              </w:rPr>
              <w:t>70.1</w:t>
            </w:r>
          </w:p>
        </w:tc>
        <w:tc>
          <w:tcPr>
            <w:tcW w:w="1092" w:type="dxa"/>
          </w:tcPr>
          <w:p w:rsidR="00B36C66" w:rsidRPr="0043747E" w:rsidRDefault="00B36C66" w:rsidP="00600EDC">
            <w:pPr>
              <w:ind w:right="284"/>
              <w:jc w:val="right"/>
              <w:rPr>
                <w:rFonts w:ascii="Arial" w:hAnsi="Arial" w:cs="Arial"/>
              </w:rPr>
            </w:pPr>
            <w:r w:rsidRPr="0043747E">
              <w:rPr>
                <w:rFonts w:ascii="Arial" w:hAnsi="Arial" w:cs="Arial"/>
              </w:rPr>
              <w:t>73.</w:t>
            </w:r>
            <w:r>
              <w:rPr>
                <w:rFonts w:ascii="Arial" w:hAnsi="Arial" w:cs="Arial"/>
              </w:rPr>
              <w:t>1</w:t>
            </w:r>
          </w:p>
        </w:tc>
        <w:tc>
          <w:tcPr>
            <w:tcW w:w="1092" w:type="dxa"/>
          </w:tcPr>
          <w:p w:rsidR="00B36C66" w:rsidRPr="0043747E" w:rsidRDefault="00B36C66" w:rsidP="00600EDC">
            <w:pPr>
              <w:ind w:right="284"/>
              <w:jc w:val="right"/>
              <w:rPr>
                <w:rFonts w:ascii="Arial" w:hAnsi="Arial" w:cs="Arial"/>
              </w:rPr>
            </w:pPr>
            <w:r w:rsidRPr="0043747E">
              <w:rPr>
                <w:rFonts w:ascii="Arial" w:hAnsi="Arial" w:cs="Arial"/>
              </w:rPr>
              <w:t>76.</w:t>
            </w:r>
            <w:r>
              <w:rPr>
                <w:rFonts w:ascii="Arial" w:hAnsi="Arial" w:cs="Arial"/>
              </w:rPr>
              <w:t>1</w:t>
            </w:r>
          </w:p>
        </w:tc>
        <w:tc>
          <w:tcPr>
            <w:tcW w:w="1092" w:type="dxa"/>
          </w:tcPr>
          <w:p w:rsidR="00B36C66" w:rsidRPr="0043747E" w:rsidRDefault="00B36C66" w:rsidP="00600EDC">
            <w:pPr>
              <w:ind w:right="284"/>
              <w:jc w:val="right"/>
              <w:rPr>
                <w:rFonts w:ascii="Arial" w:hAnsi="Arial" w:cs="Arial"/>
              </w:rPr>
            </w:pPr>
            <w:r w:rsidRPr="0043747E">
              <w:rPr>
                <w:rFonts w:ascii="Arial" w:hAnsi="Arial" w:cs="Arial"/>
              </w:rPr>
              <w:t>79.1</w:t>
            </w:r>
          </w:p>
        </w:tc>
        <w:tc>
          <w:tcPr>
            <w:tcW w:w="1093" w:type="dxa"/>
          </w:tcPr>
          <w:p w:rsidR="00B36C66" w:rsidRPr="0043747E" w:rsidRDefault="00B36C66" w:rsidP="00600EDC">
            <w:pPr>
              <w:ind w:right="284"/>
              <w:jc w:val="right"/>
              <w:rPr>
                <w:rFonts w:ascii="Arial" w:hAnsi="Arial" w:cs="Arial"/>
              </w:rPr>
            </w:pPr>
            <w:r w:rsidRPr="0043747E">
              <w:rPr>
                <w:rFonts w:ascii="Arial" w:hAnsi="Arial" w:cs="Arial"/>
              </w:rPr>
              <w:t>9.0</w:t>
            </w:r>
          </w:p>
        </w:tc>
      </w:tr>
      <w:tr w:rsidR="00B36C66" w:rsidRPr="0043747E" w:rsidTr="00600EDC">
        <w:tc>
          <w:tcPr>
            <w:tcW w:w="3333" w:type="dxa"/>
          </w:tcPr>
          <w:p w:rsidR="00B36C66" w:rsidRPr="0043747E" w:rsidRDefault="00B36C66" w:rsidP="00600EDC">
            <w:pPr>
              <w:rPr>
                <w:rFonts w:ascii="Arial" w:hAnsi="Arial" w:cs="Arial"/>
              </w:rPr>
            </w:pPr>
            <w:r w:rsidRPr="0043747E">
              <w:rPr>
                <w:rFonts w:ascii="Arial" w:hAnsi="Arial" w:cs="Arial"/>
              </w:rPr>
              <w:t>Non-Indigenous males</w:t>
            </w:r>
          </w:p>
        </w:tc>
        <w:tc>
          <w:tcPr>
            <w:tcW w:w="1092" w:type="dxa"/>
          </w:tcPr>
          <w:p w:rsidR="00B36C66" w:rsidRPr="0043747E" w:rsidRDefault="00B36C66" w:rsidP="00600EDC">
            <w:pPr>
              <w:ind w:right="284"/>
              <w:jc w:val="right"/>
              <w:rPr>
                <w:rFonts w:ascii="Arial" w:hAnsi="Arial" w:cs="Arial"/>
              </w:rPr>
            </w:pPr>
            <w:r w:rsidRPr="0043747E">
              <w:rPr>
                <w:rFonts w:ascii="Arial" w:hAnsi="Arial" w:cs="Arial"/>
              </w:rPr>
              <w:t>76.6</w:t>
            </w:r>
          </w:p>
        </w:tc>
        <w:tc>
          <w:tcPr>
            <w:tcW w:w="1092" w:type="dxa"/>
          </w:tcPr>
          <w:p w:rsidR="00B36C66" w:rsidRPr="0043747E" w:rsidRDefault="00B36C66" w:rsidP="00600EDC">
            <w:pPr>
              <w:ind w:right="284"/>
              <w:jc w:val="right"/>
              <w:rPr>
                <w:rFonts w:ascii="Arial" w:hAnsi="Arial" w:cs="Arial"/>
              </w:rPr>
            </w:pPr>
            <w:r w:rsidRPr="0043747E">
              <w:rPr>
                <w:rFonts w:ascii="Arial" w:hAnsi="Arial" w:cs="Arial"/>
              </w:rPr>
              <w:t>78.</w:t>
            </w:r>
            <w:r>
              <w:rPr>
                <w:rFonts w:ascii="Arial" w:hAnsi="Arial" w:cs="Arial"/>
              </w:rPr>
              <w:t>5</w:t>
            </w:r>
          </w:p>
        </w:tc>
        <w:tc>
          <w:tcPr>
            <w:tcW w:w="1092" w:type="dxa"/>
          </w:tcPr>
          <w:p w:rsidR="00B36C66" w:rsidRPr="0043747E" w:rsidRDefault="00B36C66" w:rsidP="00600EDC">
            <w:pPr>
              <w:ind w:right="284"/>
              <w:jc w:val="right"/>
              <w:rPr>
                <w:rFonts w:ascii="Arial" w:hAnsi="Arial" w:cs="Arial"/>
              </w:rPr>
            </w:pPr>
            <w:r w:rsidRPr="0043747E">
              <w:rPr>
                <w:rFonts w:ascii="Arial" w:hAnsi="Arial" w:cs="Arial"/>
              </w:rPr>
              <w:t>79.5</w:t>
            </w:r>
          </w:p>
        </w:tc>
        <w:tc>
          <w:tcPr>
            <w:tcW w:w="1092" w:type="dxa"/>
          </w:tcPr>
          <w:p w:rsidR="00B36C66" w:rsidRPr="0043747E" w:rsidRDefault="00B36C66" w:rsidP="00600EDC">
            <w:pPr>
              <w:ind w:right="284"/>
              <w:jc w:val="right"/>
              <w:rPr>
                <w:rFonts w:ascii="Arial" w:hAnsi="Arial" w:cs="Arial"/>
              </w:rPr>
            </w:pPr>
            <w:r w:rsidRPr="0043747E">
              <w:rPr>
                <w:rFonts w:ascii="Arial" w:hAnsi="Arial" w:cs="Arial"/>
              </w:rPr>
              <w:t>80.</w:t>
            </w:r>
            <w:r>
              <w:rPr>
                <w:rFonts w:ascii="Arial" w:hAnsi="Arial" w:cs="Arial"/>
              </w:rPr>
              <w:t>3</w:t>
            </w:r>
          </w:p>
        </w:tc>
        <w:tc>
          <w:tcPr>
            <w:tcW w:w="1093" w:type="dxa"/>
          </w:tcPr>
          <w:p w:rsidR="00B36C66" w:rsidRPr="0043747E" w:rsidRDefault="00B36C66" w:rsidP="00600EDC">
            <w:pPr>
              <w:ind w:right="284"/>
              <w:jc w:val="right"/>
              <w:rPr>
                <w:rFonts w:ascii="Arial" w:hAnsi="Arial" w:cs="Arial"/>
              </w:rPr>
            </w:pPr>
            <w:r w:rsidRPr="0043747E">
              <w:rPr>
                <w:rFonts w:ascii="Arial" w:hAnsi="Arial" w:cs="Arial"/>
              </w:rPr>
              <w:t>3.</w:t>
            </w:r>
            <w:r>
              <w:rPr>
                <w:rFonts w:ascii="Arial" w:hAnsi="Arial" w:cs="Arial"/>
              </w:rPr>
              <w:t>7</w:t>
            </w:r>
          </w:p>
        </w:tc>
      </w:tr>
      <w:tr w:rsidR="00B36C66" w:rsidRPr="0043747E" w:rsidTr="00600EDC">
        <w:tc>
          <w:tcPr>
            <w:tcW w:w="3333" w:type="dxa"/>
            <w:tcBorders>
              <w:bottom w:val="single" w:sz="4" w:space="0" w:color="auto"/>
            </w:tcBorders>
          </w:tcPr>
          <w:p w:rsidR="00B36C66" w:rsidRPr="0043747E" w:rsidRDefault="00B36C66" w:rsidP="00600EDC">
            <w:pPr>
              <w:rPr>
                <w:rFonts w:ascii="Arial" w:hAnsi="Arial" w:cs="Arial"/>
              </w:rPr>
            </w:pPr>
            <w:r w:rsidRPr="0043747E">
              <w:rPr>
                <w:rFonts w:ascii="Arial" w:hAnsi="Arial" w:cs="Arial"/>
              </w:rPr>
              <w:t>Non-Indigenous females</w:t>
            </w:r>
          </w:p>
        </w:tc>
        <w:tc>
          <w:tcPr>
            <w:tcW w:w="1092" w:type="dxa"/>
            <w:tcBorders>
              <w:bottom w:val="single" w:sz="4" w:space="0" w:color="auto"/>
            </w:tcBorders>
          </w:tcPr>
          <w:p w:rsidR="00B36C66" w:rsidRPr="0043747E" w:rsidRDefault="00B36C66" w:rsidP="00600EDC">
            <w:pPr>
              <w:ind w:right="284"/>
              <w:jc w:val="right"/>
              <w:rPr>
                <w:rFonts w:ascii="Arial" w:hAnsi="Arial" w:cs="Arial"/>
              </w:rPr>
            </w:pPr>
            <w:r w:rsidRPr="0043747E">
              <w:rPr>
                <w:rFonts w:ascii="Arial" w:hAnsi="Arial" w:cs="Arial"/>
              </w:rPr>
              <w:t>81.9</w:t>
            </w:r>
          </w:p>
        </w:tc>
        <w:tc>
          <w:tcPr>
            <w:tcW w:w="1092" w:type="dxa"/>
            <w:tcBorders>
              <w:bottom w:val="single" w:sz="4" w:space="0" w:color="auto"/>
            </w:tcBorders>
          </w:tcPr>
          <w:p w:rsidR="00B36C66" w:rsidRPr="0043747E" w:rsidRDefault="00B36C66" w:rsidP="00600EDC">
            <w:pPr>
              <w:ind w:right="284"/>
              <w:jc w:val="right"/>
              <w:rPr>
                <w:rFonts w:ascii="Arial" w:hAnsi="Arial" w:cs="Arial"/>
              </w:rPr>
            </w:pPr>
            <w:r w:rsidRPr="0043747E">
              <w:rPr>
                <w:rFonts w:ascii="Arial" w:hAnsi="Arial" w:cs="Arial"/>
              </w:rPr>
              <w:t>83.4</w:t>
            </w:r>
          </w:p>
        </w:tc>
        <w:tc>
          <w:tcPr>
            <w:tcW w:w="1092" w:type="dxa"/>
            <w:tcBorders>
              <w:bottom w:val="single" w:sz="4" w:space="0" w:color="auto"/>
            </w:tcBorders>
          </w:tcPr>
          <w:p w:rsidR="00B36C66" w:rsidRPr="0043747E" w:rsidRDefault="00B36C66" w:rsidP="00600EDC">
            <w:pPr>
              <w:ind w:right="284"/>
              <w:jc w:val="right"/>
              <w:rPr>
                <w:rFonts w:ascii="Arial" w:hAnsi="Arial" w:cs="Arial"/>
              </w:rPr>
            </w:pPr>
            <w:r w:rsidRPr="0043747E">
              <w:rPr>
                <w:rFonts w:ascii="Arial" w:hAnsi="Arial" w:cs="Arial"/>
              </w:rPr>
              <w:t>84.1</w:t>
            </w:r>
          </w:p>
        </w:tc>
        <w:tc>
          <w:tcPr>
            <w:tcW w:w="1092" w:type="dxa"/>
            <w:tcBorders>
              <w:bottom w:val="single" w:sz="4" w:space="0" w:color="auto"/>
            </w:tcBorders>
          </w:tcPr>
          <w:p w:rsidR="00B36C66" w:rsidRPr="0043747E" w:rsidRDefault="00B36C66" w:rsidP="00600EDC">
            <w:pPr>
              <w:ind w:right="284"/>
              <w:jc w:val="right"/>
              <w:rPr>
                <w:rFonts w:ascii="Arial" w:hAnsi="Arial" w:cs="Arial"/>
              </w:rPr>
            </w:pPr>
            <w:r w:rsidRPr="0043747E">
              <w:rPr>
                <w:rFonts w:ascii="Arial" w:hAnsi="Arial" w:cs="Arial"/>
              </w:rPr>
              <w:t>84.</w:t>
            </w:r>
            <w:r>
              <w:rPr>
                <w:rFonts w:ascii="Arial" w:hAnsi="Arial" w:cs="Arial"/>
              </w:rPr>
              <w:t>5</w:t>
            </w:r>
          </w:p>
        </w:tc>
        <w:tc>
          <w:tcPr>
            <w:tcW w:w="1093" w:type="dxa"/>
            <w:tcBorders>
              <w:bottom w:val="single" w:sz="4" w:space="0" w:color="auto"/>
            </w:tcBorders>
          </w:tcPr>
          <w:p w:rsidR="00B36C66" w:rsidRPr="0043747E" w:rsidRDefault="00B36C66" w:rsidP="00600EDC">
            <w:pPr>
              <w:ind w:right="284"/>
              <w:jc w:val="right"/>
              <w:rPr>
                <w:rFonts w:ascii="Arial" w:hAnsi="Arial" w:cs="Arial"/>
              </w:rPr>
            </w:pPr>
            <w:r w:rsidRPr="0043747E">
              <w:rPr>
                <w:rFonts w:ascii="Arial" w:hAnsi="Arial" w:cs="Arial"/>
              </w:rPr>
              <w:t>2.</w:t>
            </w:r>
            <w:r>
              <w:rPr>
                <w:rFonts w:ascii="Arial" w:hAnsi="Arial" w:cs="Arial"/>
              </w:rPr>
              <w:t>6</w:t>
            </w:r>
          </w:p>
        </w:tc>
      </w:tr>
    </w:tbl>
    <w:p w:rsidR="002066B9" w:rsidRPr="006459C6" w:rsidRDefault="002066B9" w:rsidP="00A35DB4">
      <w:pPr>
        <w:autoSpaceDE w:val="0"/>
        <w:autoSpaceDN w:val="0"/>
        <w:adjustRightInd w:val="0"/>
        <w:spacing w:after="120"/>
        <w:rPr>
          <w:rFonts w:ascii="Arial" w:hAnsi="Arial" w:cs="Arial"/>
          <w:b/>
          <w:szCs w:val="22"/>
        </w:rPr>
      </w:pPr>
    </w:p>
    <w:p w:rsidR="006459C6" w:rsidRDefault="006459C6" w:rsidP="00DC498A">
      <w:pPr>
        <w:autoSpaceDE w:val="0"/>
        <w:autoSpaceDN w:val="0"/>
        <w:adjustRightInd w:val="0"/>
        <w:spacing w:after="120"/>
        <w:rPr>
          <w:rFonts w:ascii="Arial" w:hAnsi="Arial" w:cs="Arial"/>
          <w:sz w:val="16"/>
          <w:szCs w:val="16"/>
          <w:highlight w:val="yellow"/>
        </w:rPr>
      </w:pPr>
    </w:p>
    <w:p w:rsidR="00A35DB4" w:rsidRPr="00331F3B" w:rsidRDefault="00331F3B" w:rsidP="00DC498A">
      <w:pPr>
        <w:autoSpaceDE w:val="0"/>
        <w:autoSpaceDN w:val="0"/>
        <w:adjustRightInd w:val="0"/>
        <w:spacing w:after="120"/>
        <w:rPr>
          <w:rFonts w:ascii="Arial" w:hAnsi="Arial" w:cs="Arial"/>
          <w:sz w:val="16"/>
          <w:szCs w:val="16"/>
        </w:rPr>
      </w:pPr>
      <w:r w:rsidRPr="006459C6">
        <w:rPr>
          <w:rFonts w:ascii="Arial" w:hAnsi="Arial" w:cs="Arial"/>
          <w:sz w:val="16"/>
          <w:szCs w:val="16"/>
        </w:rPr>
        <w:t xml:space="preserve">Source: </w:t>
      </w:r>
      <w:r w:rsidR="005701D9">
        <w:rPr>
          <w:rFonts w:ascii="Arial" w:hAnsi="Arial" w:cs="Arial"/>
          <w:sz w:val="16"/>
          <w:szCs w:val="16"/>
        </w:rPr>
        <w:t xml:space="preserve">ABS Cat. No. 3238.0; </w:t>
      </w:r>
      <w:r w:rsidR="00F16D9D">
        <w:rPr>
          <w:rFonts w:ascii="Arial" w:hAnsi="Arial" w:cs="Arial"/>
          <w:sz w:val="16"/>
          <w:szCs w:val="16"/>
        </w:rPr>
        <w:t>CDU</w:t>
      </w:r>
      <w:r w:rsidR="00E04743">
        <w:rPr>
          <w:rFonts w:ascii="Arial" w:hAnsi="Arial" w:cs="Arial"/>
          <w:sz w:val="16"/>
          <w:szCs w:val="16"/>
        </w:rPr>
        <w:t xml:space="preserve"> and DTF</w:t>
      </w:r>
    </w:p>
    <w:p w:rsidR="006459C6" w:rsidRDefault="006459C6" w:rsidP="00DC498A">
      <w:pPr>
        <w:autoSpaceDE w:val="0"/>
        <w:autoSpaceDN w:val="0"/>
        <w:adjustRightInd w:val="0"/>
        <w:spacing w:after="120"/>
        <w:rPr>
          <w:rFonts w:ascii="Arial" w:hAnsi="Arial" w:cs="Arial"/>
          <w:b/>
          <w:szCs w:val="22"/>
        </w:rPr>
      </w:pPr>
    </w:p>
    <w:p w:rsidR="00144C48" w:rsidRPr="00964B6A" w:rsidRDefault="00836785" w:rsidP="00964B6A">
      <w:pPr>
        <w:spacing w:before="360" w:after="160" w:line="240" w:lineRule="atLeast"/>
        <w:rPr>
          <w:rFonts w:ascii="Arial" w:hAnsi="Arial" w:cs="Arial"/>
          <w:b/>
          <w:color w:val="000000"/>
          <w:sz w:val="22"/>
          <w:szCs w:val="22"/>
        </w:rPr>
      </w:pPr>
      <w:r>
        <w:rPr>
          <w:rFonts w:ascii="Arial" w:hAnsi="Arial" w:cs="Arial"/>
          <w:b/>
          <w:szCs w:val="22"/>
        </w:rPr>
        <w:br w:type="page"/>
      </w:r>
      <w:r w:rsidR="0049281B" w:rsidRPr="00964B6A">
        <w:rPr>
          <w:rFonts w:ascii="Arial" w:hAnsi="Arial" w:cs="Arial"/>
          <w:b/>
          <w:color w:val="000000"/>
          <w:sz w:val="22"/>
          <w:szCs w:val="22"/>
        </w:rPr>
        <w:t xml:space="preserve">Chart </w:t>
      </w:r>
      <w:r w:rsidR="008F21C6" w:rsidRPr="00964B6A">
        <w:rPr>
          <w:rFonts w:ascii="Arial" w:hAnsi="Arial" w:cs="Arial"/>
          <w:b/>
          <w:color w:val="000000"/>
          <w:sz w:val="22"/>
          <w:szCs w:val="22"/>
        </w:rPr>
        <w:t>5</w:t>
      </w:r>
      <w:r w:rsidR="0049281B" w:rsidRPr="00964B6A">
        <w:rPr>
          <w:rFonts w:ascii="Arial" w:hAnsi="Arial" w:cs="Arial"/>
          <w:b/>
          <w:color w:val="000000"/>
          <w:sz w:val="22"/>
          <w:szCs w:val="22"/>
        </w:rPr>
        <w:t xml:space="preserve">: Proportion of the population aged 65 years and over, Northern Territory, </w:t>
      </w:r>
      <w:r w:rsidR="006459C6" w:rsidRPr="00964B6A">
        <w:rPr>
          <w:rFonts w:ascii="Arial" w:hAnsi="Arial" w:cs="Arial"/>
          <w:b/>
          <w:color w:val="000000"/>
          <w:sz w:val="22"/>
          <w:szCs w:val="22"/>
        </w:rPr>
        <w:t>2011 to 2041</w:t>
      </w:r>
    </w:p>
    <w:p w:rsidR="006459C6" w:rsidRPr="00A27C92" w:rsidRDefault="00502108" w:rsidP="00DC498A">
      <w:pPr>
        <w:autoSpaceDE w:val="0"/>
        <w:autoSpaceDN w:val="0"/>
        <w:adjustRightInd w:val="0"/>
        <w:spacing w:after="120"/>
        <w:rPr>
          <w:rFonts w:ascii="Arial" w:hAnsi="Arial" w:cs="Arial"/>
          <w:b/>
          <w:szCs w:val="22"/>
        </w:rPr>
      </w:pPr>
      <w:r>
        <w:rPr>
          <w:rFonts w:ascii="Arial" w:hAnsi="Arial" w:cs="Arial"/>
          <w:b/>
          <w:noProof/>
          <w:szCs w:val="22"/>
          <w:lang w:eastAsia="en-AU"/>
        </w:rPr>
        <w:drawing>
          <wp:inline distT="0" distB="0" distL="0" distR="0">
            <wp:extent cx="5767705" cy="4082415"/>
            <wp:effectExtent l="0" t="0" r="4445" b="0"/>
            <wp:docPr id="5" name="Picture 5" descr="Chart 5: Proportion of the population aged 65 years and over, Northern Territory, 2011 to 2041" titl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7705" cy="4082415"/>
                    </a:xfrm>
                    <a:prstGeom prst="rect">
                      <a:avLst/>
                    </a:prstGeom>
                    <a:noFill/>
                  </pic:spPr>
                </pic:pic>
              </a:graphicData>
            </a:graphic>
          </wp:inline>
        </w:drawing>
      </w:r>
    </w:p>
    <w:p w:rsidR="00331F3B" w:rsidRPr="00331F3B" w:rsidRDefault="00754EC2" w:rsidP="00331F3B">
      <w:pPr>
        <w:autoSpaceDE w:val="0"/>
        <w:autoSpaceDN w:val="0"/>
        <w:adjustRightInd w:val="0"/>
        <w:spacing w:after="120"/>
        <w:rPr>
          <w:rFonts w:ascii="Arial" w:hAnsi="Arial" w:cs="Arial"/>
          <w:sz w:val="16"/>
          <w:szCs w:val="16"/>
        </w:rPr>
      </w:pPr>
      <w:r w:rsidRPr="006459C6">
        <w:rPr>
          <w:rFonts w:ascii="Arial" w:hAnsi="Arial" w:cs="Arial"/>
          <w:sz w:val="16"/>
          <w:szCs w:val="16"/>
        </w:rPr>
        <w:t xml:space="preserve">Source: </w:t>
      </w:r>
      <w:r w:rsidR="00331F3B" w:rsidRPr="006459C6">
        <w:rPr>
          <w:rFonts w:ascii="Arial" w:hAnsi="Arial" w:cs="Arial"/>
          <w:sz w:val="16"/>
          <w:szCs w:val="16"/>
        </w:rPr>
        <w:t>Northern Territ</w:t>
      </w:r>
      <w:r w:rsidR="00020B02">
        <w:rPr>
          <w:rFonts w:ascii="Arial" w:hAnsi="Arial" w:cs="Arial"/>
          <w:sz w:val="16"/>
          <w:szCs w:val="16"/>
        </w:rPr>
        <w:t xml:space="preserve">ory Population Projections, </w:t>
      </w:r>
      <w:r w:rsidR="000C727E">
        <w:rPr>
          <w:rFonts w:ascii="Arial" w:hAnsi="Arial" w:cs="Arial"/>
          <w:sz w:val="16"/>
          <w:szCs w:val="16"/>
        </w:rPr>
        <w:t>Interim – Update (2013 Release)</w:t>
      </w:r>
    </w:p>
    <w:p w:rsidR="002C1209" w:rsidRDefault="002C1209" w:rsidP="00A41FBC">
      <w:pPr>
        <w:autoSpaceDE w:val="0"/>
        <w:autoSpaceDN w:val="0"/>
        <w:adjustRightInd w:val="0"/>
        <w:spacing w:after="120"/>
        <w:rPr>
          <w:rFonts w:ascii="Arial" w:hAnsi="Arial" w:cs="Arial"/>
          <w:sz w:val="22"/>
          <w:szCs w:val="22"/>
        </w:rPr>
      </w:pPr>
    </w:p>
    <w:p w:rsidR="00A41FBC" w:rsidRPr="00964B6A" w:rsidRDefault="00A41FBC" w:rsidP="00964B6A">
      <w:pPr>
        <w:spacing w:after="160" w:line="240" w:lineRule="atLeast"/>
        <w:rPr>
          <w:rFonts w:ascii="Arial" w:hAnsi="Arial" w:cs="Arial"/>
          <w:color w:val="000000"/>
          <w:sz w:val="22"/>
          <w:szCs w:val="22"/>
        </w:rPr>
      </w:pPr>
      <w:r w:rsidRPr="00964B6A">
        <w:rPr>
          <w:rFonts w:ascii="Arial" w:hAnsi="Arial" w:cs="Arial"/>
          <w:color w:val="000000"/>
          <w:sz w:val="22"/>
          <w:szCs w:val="22"/>
        </w:rPr>
        <w:t xml:space="preserve">Charts </w:t>
      </w:r>
      <w:r w:rsidR="008F21C6" w:rsidRPr="00964B6A">
        <w:rPr>
          <w:rFonts w:ascii="Arial" w:hAnsi="Arial" w:cs="Arial"/>
          <w:color w:val="000000"/>
          <w:sz w:val="22"/>
          <w:szCs w:val="22"/>
        </w:rPr>
        <w:t xml:space="preserve">6 </w:t>
      </w:r>
      <w:r w:rsidRPr="00964B6A">
        <w:rPr>
          <w:rFonts w:ascii="Arial" w:hAnsi="Arial" w:cs="Arial"/>
          <w:color w:val="000000"/>
          <w:sz w:val="22"/>
          <w:szCs w:val="22"/>
        </w:rPr>
        <w:t xml:space="preserve">to </w:t>
      </w:r>
      <w:r w:rsidR="008F21C6" w:rsidRPr="00964B6A">
        <w:rPr>
          <w:rFonts w:ascii="Arial" w:hAnsi="Arial" w:cs="Arial"/>
          <w:color w:val="000000"/>
          <w:sz w:val="22"/>
          <w:szCs w:val="22"/>
        </w:rPr>
        <w:t xml:space="preserve">8 </w:t>
      </w:r>
      <w:r w:rsidRPr="00964B6A">
        <w:rPr>
          <w:rFonts w:ascii="Arial" w:hAnsi="Arial" w:cs="Arial"/>
          <w:color w:val="000000"/>
          <w:sz w:val="22"/>
          <w:szCs w:val="22"/>
        </w:rPr>
        <w:t>show the current (20</w:t>
      </w:r>
      <w:r w:rsidR="002C1209" w:rsidRPr="00964B6A">
        <w:rPr>
          <w:rFonts w:ascii="Arial" w:hAnsi="Arial" w:cs="Arial"/>
          <w:color w:val="000000"/>
          <w:sz w:val="22"/>
          <w:szCs w:val="22"/>
        </w:rPr>
        <w:t>11</w:t>
      </w:r>
      <w:r w:rsidRPr="00964B6A">
        <w:rPr>
          <w:rFonts w:ascii="Arial" w:hAnsi="Arial" w:cs="Arial"/>
          <w:color w:val="000000"/>
          <w:sz w:val="22"/>
          <w:szCs w:val="22"/>
        </w:rPr>
        <w:t xml:space="preserve">) and projected age distributions of the </w:t>
      </w:r>
      <w:r w:rsidR="00C720B4" w:rsidRPr="00964B6A">
        <w:rPr>
          <w:rFonts w:ascii="Arial" w:hAnsi="Arial" w:cs="Arial"/>
          <w:color w:val="000000"/>
          <w:sz w:val="22"/>
          <w:szCs w:val="22"/>
        </w:rPr>
        <w:t>total</w:t>
      </w:r>
      <w:r w:rsidRPr="00964B6A">
        <w:rPr>
          <w:rFonts w:ascii="Arial" w:hAnsi="Arial" w:cs="Arial"/>
          <w:color w:val="000000"/>
          <w:sz w:val="22"/>
          <w:szCs w:val="22"/>
        </w:rPr>
        <w:t xml:space="preserve"> </w:t>
      </w:r>
      <w:r w:rsidR="00C720B4" w:rsidRPr="00964B6A">
        <w:rPr>
          <w:rFonts w:ascii="Arial" w:hAnsi="Arial" w:cs="Arial"/>
          <w:color w:val="000000"/>
          <w:sz w:val="22"/>
          <w:szCs w:val="22"/>
        </w:rPr>
        <w:t xml:space="preserve">Indigenous and </w:t>
      </w:r>
      <w:r w:rsidRPr="00964B6A">
        <w:rPr>
          <w:rFonts w:ascii="Arial" w:hAnsi="Arial" w:cs="Arial"/>
          <w:color w:val="000000"/>
          <w:sz w:val="22"/>
          <w:szCs w:val="22"/>
        </w:rPr>
        <w:t>non-Indigenous populations under the NTG</w:t>
      </w:r>
      <w:r w:rsidR="00C720B4" w:rsidRPr="00964B6A">
        <w:rPr>
          <w:rFonts w:ascii="Arial" w:hAnsi="Arial" w:cs="Arial"/>
          <w:color w:val="000000"/>
          <w:sz w:val="22"/>
          <w:szCs w:val="22"/>
        </w:rPr>
        <w:t xml:space="preserve"> </w:t>
      </w:r>
      <w:r w:rsidRPr="00964B6A">
        <w:rPr>
          <w:rFonts w:ascii="Arial" w:hAnsi="Arial" w:cs="Arial"/>
          <w:color w:val="000000"/>
          <w:sz w:val="22"/>
          <w:szCs w:val="22"/>
        </w:rPr>
        <w:t xml:space="preserve">projections scenario assumptions. The shape of the age pyramids </w:t>
      </w:r>
      <w:r w:rsidR="00001191" w:rsidRPr="00964B6A">
        <w:rPr>
          <w:rFonts w:ascii="Arial" w:hAnsi="Arial" w:cs="Arial"/>
          <w:color w:val="000000"/>
          <w:sz w:val="22"/>
          <w:szCs w:val="22"/>
        </w:rPr>
        <w:t xml:space="preserve">is </w:t>
      </w:r>
      <w:r w:rsidRPr="00964B6A">
        <w:rPr>
          <w:rFonts w:ascii="Arial" w:hAnsi="Arial" w:cs="Arial"/>
          <w:color w:val="000000"/>
          <w:sz w:val="22"/>
          <w:szCs w:val="22"/>
        </w:rPr>
        <w:t xml:space="preserve">not projected to change markedly. </w:t>
      </w:r>
      <w:r w:rsidR="00001191" w:rsidRPr="00964B6A">
        <w:rPr>
          <w:rFonts w:ascii="Arial" w:hAnsi="Arial" w:cs="Arial"/>
          <w:color w:val="000000"/>
          <w:sz w:val="22"/>
          <w:szCs w:val="22"/>
        </w:rPr>
        <w:t>A</w:t>
      </w:r>
      <w:r w:rsidRPr="00964B6A">
        <w:rPr>
          <w:rFonts w:ascii="Arial" w:hAnsi="Arial" w:cs="Arial"/>
          <w:color w:val="000000"/>
          <w:sz w:val="22"/>
          <w:szCs w:val="22"/>
        </w:rPr>
        <w:t>lthough</w:t>
      </w:r>
      <w:r w:rsidR="00001191" w:rsidRPr="00964B6A">
        <w:rPr>
          <w:rFonts w:ascii="Arial" w:hAnsi="Arial" w:cs="Arial"/>
          <w:color w:val="000000"/>
          <w:sz w:val="22"/>
          <w:szCs w:val="22"/>
        </w:rPr>
        <w:t>,</w:t>
      </w:r>
      <w:r w:rsidRPr="00964B6A">
        <w:rPr>
          <w:rFonts w:ascii="Arial" w:hAnsi="Arial" w:cs="Arial"/>
          <w:color w:val="000000"/>
          <w:sz w:val="22"/>
          <w:szCs w:val="22"/>
        </w:rPr>
        <w:t xml:space="preserve"> there is some flattening out of the Indigenous age pyramid for </w:t>
      </w:r>
      <w:r w:rsidR="002C1209" w:rsidRPr="00964B6A">
        <w:rPr>
          <w:rFonts w:ascii="Arial" w:hAnsi="Arial" w:cs="Arial"/>
          <w:color w:val="000000"/>
          <w:sz w:val="22"/>
          <w:szCs w:val="22"/>
        </w:rPr>
        <w:t>2041</w:t>
      </w:r>
      <w:r w:rsidR="00C720B4" w:rsidRPr="00964B6A">
        <w:rPr>
          <w:rFonts w:ascii="Arial" w:hAnsi="Arial" w:cs="Arial"/>
          <w:color w:val="000000"/>
          <w:sz w:val="22"/>
          <w:szCs w:val="22"/>
        </w:rPr>
        <w:t xml:space="preserve"> </w:t>
      </w:r>
      <w:r w:rsidRPr="00964B6A">
        <w:rPr>
          <w:rFonts w:ascii="Arial" w:hAnsi="Arial" w:cs="Arial"/>
          <w:color w:val="000000"/>
          <w:sz w:val="22"/>
          <w:szCs w:val="22"/>
        </w:rPr>
        <w:t>in the older years due to improving life expectancy</w:t>
      </w:r>
      <w:r w:rsidR="00001191" w:rsidRPr="00964B6A">
        <w:rPr>
          <w:rFonts w:ascii="Arial" w:hAnsi="Arial" w:cs="Arial"/>
          <w:color w:val="000000"/>
          <w:sz w:val="22"/>
          <w:szCs w:val="22"/>
        </w:rPr>
        <w:t>. However, the distribution of the age pyramid is still heavily influenced by</w:t>
      </w:r>
      <w:r w:rsidRPr="00964B6A">
        <w:rPr>
          <w:rFonts w:ascii="Arial" w:hAnsi="Arial" w:cs="Arial"/>
          <w:color w:val="000000"/>
          <w:sz w:val="22"/>
          <w:szCs w:val="22"/>
        </w:rPr>
        <w:t xml:space="preserve"> high fertility, high mortality and </w:t>
      </w:r>
      <w:r w:rsidR="00C720B4" w:rsidRPr="00964B6A">
        <w:rPr>
          <w:rFonts w:ascii="Arial" w:hAnsi="Arial" w:cs="Arial"/>
          <w:color w:val="000000"/>
          <w:sz w:val="22"/>
          <w:szCs w:val="22"/>
        </w:rPr>
        <w:t xml:space="preserve">low </w:t>
      </w:r>
      <w:r w:rsidRPr="00964B6A">
        <w:rPr>
          <w:rFonts w:ascii="Arial" w:hAnsi="Arial" w:cs="Arial"/>
          <w:color w:val="000000"/>
          <w:sz w:val="22"/>
          <w:szCs w:val="22"/>
        </w:rPr>
        <w:t xml:space="preserve">net migration. The non-Indigenous population in </w:t>
      </w:r>
      <w:r w:rsidR="002C1209" w:rsidRPr="00964B6A">
        <w:rPr>
          <w:rFonts w:ascii="Arial" w:hAnsi="Arial" w:cs="Arial"/>
          <w:color w:val="000000"/>
          <w:sz w:val="22"/>
          <w:szCs w:val="22"/>
        </w:rPr>
        <w:t>2041</w:t>
      </w:r>
      <w:r w:rsidR="00C720B4" w:rsidRPr="00964B6A">
        <w:rPr>
          <w:rFonts w:ascii="Arial" w:hAnsi="Arial" w:cs="Arial"/>
          <w:color w:val="000000"/>
          <w:sz w:val="22"/>
          <w:szCs w:val="22"/>
        </w:rPr>
        <w:t xml:space="preserve"> </w:t>
      </w:r>
      <w:r w:rsidRPr="00964B6A">
        <w:rPr>
          <w:rFonts w:ascii="Arial" w:hAnsi="Arial" w:cs="Arial"/>
          <w:color w:val="000000"/>
          <w:sz w:val="22"/>
          <w:szCs w:val="22"/>
        </w:rPr>
        <w:t xml:space="preserve">similarly exhibits the same patterns as a consequence of migration churn in the middle years as it did in </w:t>
      </w:r>
      <w:r w:rsidR="002C1209" w:rsidRPr="00964B6A">
        <w:rPr>
          <w:rFonts w:ascii="Arial" w:hAnsi="Arial" w:cs="Arial"/>
          <w:color w:val="000000"/>
          <w:sz w:val="22"/>
          <w:szCs w:val="22"/>
        </w:rPr>
        <w:t>2011</w:t>
      </w:r>
      <w:r w:rsidRPr="00964B6A">
        <w:rPr>
          <w:rFonts w:ascii="Arial" w:hAnsi="Arial" w:cs="Arial"/>
          <w:color w:val="000000"/>
          <w:sz w:val="22"/>
          <w:szCs w:val="22"/>
        </w:rPr>
        <w:t>. The ageing of both populations can be seen in the increasing numbers of older people at the top of the pyramids.</w:t>
      </w:r>
    </w:p>
    <w:p w:rsidR="00A41FBC" w:rsidRPr="00964B6A" w:rsidRDefault="00CA2D32" w:rsidP="00964B6A">
      <w:pPr>
        <w:spacing w:before="360" w:after="160" w:line="240" w:lineRule="atLeast"/>
        <w:rPr>
          <w:rFonts w:ascii="Arial" w:hAnsi="Arial" w:cs="Arial"/>
          <w:b/>
          <w:color w:val="000000"/>
          <w:sz w:val="22"/>
          <w:szCs w:val="22"/>
        </w:rPr>
      </w:pPr>
      <w:r>
        <w:rPr>
          <w:rFonts w:ascii="Arial" w:hAnsi="Arial" w:cs="Arial"/>
          <w:b/>
        </w:rPr>
        <w:br w:type="page"/>
      </w:r>
      <w:r w:rsidR="00A41FBC" w:rsidRPr="00964B6A">
        <w:rPr>
          <w:rFonts w:ascii="Arial" w:hAnsi="Arial" w:cs="Arial"/>
          <w:b/>
          <w:color w:val="000000"/>
          <w:sz w:val="22"/>
          <w:szCs w:val="22"/>
        </w:rPr>
        <w:t xml:space="preserve">Chart </w:t>
      </w:r>
      <w:r w:rsidR="008F21C6" w:rsidRPr="00964B6A">
        <w:rPr>
          <w:rFonts w:ascii="Arial" w:hAnsi="Arial" w:cs="Arial"/>
          <w:b/>
          <w:color w:val="000000"/>
          <w:sz w:val="22"/>
          <w:szCs w:val="22"/>
        </w:rPr>
        <w:t>6</w:t>
      </w:r>
      <w:r w:rsidR="00A41FBC" w:rsidRPr="00964B6A">
        <w:rPr>
          <w:rFonts w:ascii="Arial" w:hAnsi="Arial" w:cs="Arial"/>
          <w:b/>
          <w:color w:val="000000"/>
          <w:sz w:val="22"/>
          <w:szCs w:val="22"/>
        </w:rPr>
        <w:t xml:space="preserve">: Age Pyramid, </w:t>
      </w:r>
      <w:r w:rsidR="00FE3B07" w:rsidRPr="00964B6A">
        <w:rPr>
          <w:rFonts w:ascii="Arial" w:hAnsi="Arial" w:cs="Arial"/>
          <w:b/>
          <w:color w:val="000000"/>
          <w:sz w:val="22"/>
          <w:szCs w:val="22"/>
        </w:rPr>
        <w:t xml:space="preserve">Northern </w:t>
      </w:r>
      <w:r w:rsidR="00A41FBC" w:rsidRPr="00964B6A">
        <w:rPr>
          <w:rFonts w:ascii="Arial" w:hAnsi="Arial" w:cs="Arial"/>
          <w:b/>
          <w:color w:val="000000"/>
          <w:sz w:val="22"/>
          <w:szCs w:val="22"/>
        </w:rPr>
        <w:t>Territory</w:t>
      </w:r>
      <w:r w:rsidR="00FE3B07" w:rsidRPr="00964B6A">
        <w:rPr>
          <w:rFonts w:ascii="Arial" w:hAnsi="Arial" w:cs="Arial"/>
          <w:b/>
          <w:color w:val="000000"/>
          <w:sz w:val="22"/>
          <w:szCs w:val="22"/>
        </w:rPr>
        <w:t>,</w:t>
      </w:r>
      <w:r w:rsidR="00A41FBC" w:rsidRPr="00964B6A">
        <w:rPr>
          <w:rFonts w:ascii="Arial" w:hAnsi="Arial" w:cs="Arial"/>
          <w:b/>
          <w:color w:val="000000"/>
          <w:sz w:val="22"/>
          <w:szCs w:val="22"/>
        </w:rPr>
        <w:t xml:space="preserve"> Age group </w:t>
      </w:r>
      <w:r w:rsidR="002C1209" w:rsidRPr="00964B6A">
        <w:rPr>
          <w:rFonts w:ascii="Arial" w:hAnsi="Arial" w:cs="Arial"/>
          <w:b/>
          <w:color w:val="000000"/>
          <w:sz w:val="22"/>
          <w:szCs w:val="22"/>
        </w:rPr>
        <w:t>2011</w:t>
      </w:r>
      <w:r w:rsidR="00EB7F06" w:rsidRPr="00964B6A">
        <w:rPr>
          <w:rFonts w:ascii="Arial" w:hAnsi="Arial" w:cs="Arial"/>
          <w:b/>
          <w:color w:val="000000"/>
          <w:sz w:val="22"/>
          <w:szCs w:val="22"/>
        </w:rPr>
        <w:t xml:space="preserve"> </w:t>
      </w:r>
      <w:r w:rsidR="00A41FBC" w:rsidRPr="00964B6A">
        <w:rPr>
          <w:rFonts w:ascii="Arial" w:hAnsi="Arial" w:cs="Arial"/>
          <w:b/>
          <w:color w:val="000000"/>
          <w:sz w:val="22"/>
          <w:szCs w:val="22"/>
        </w:rPr>
        <w:t xml:space="preserve">and </w:t>
      </w:r>
      <w:r w:rsidR="002C1209" w:rsidRPr="00964B6A">
        <w:rPr>
          <w:rFonts w:ascii="Arial" w:hAnsi="Arial" w:cs="Arial"/>
          <w:b/>
          <w:color w:val="000000"/>
          <w:sz w:val="22"/>
          <w:szCs w:val="22"/>
        </w:rPr>
        <w:t>2041</w:t>
      </w:r>
    </w:p>
    <w:p w:rsidR="00EB7F06" w:rsidRPr="002C1209" w:rsidRDefault="00502108" w:rsidP="00A41FBC">
      <w:pPr>
        <w:autoSpaceDE w:val="0"/>
        <w:autoSpaceDN w:val="0"/>
        <w:adjustRightInd w:val="0"/>
        <w:spacing w:after="120"/>
        <w:rPr>
          <w:rFonts w:ascii="Arial" w:hAnsi="Arial" w:cs="Arial"/>
        </w:rPr>
      </w:pPr>
      <w:r>
        <w:rPr>
          <w:rFonts w:ascii="Arial" w:hAnsi="Arial" w:cs="Arial"/>
          <w:noProof/>
          <w:lang w:eastAsia="en-AU"/>
        </w:rPr>
        <w:drawing>
          <wp:inline distT="0" distB="0" distL="0" distR="0">
            <wp:extent cx="5290820" cy="3465195"/>
            <wp:effectExtent l="0" t="0" r="5080" b="1905"/>
            <wp:docPr id="4" name="Picture 4" descr="Chart 6: Age Pyramid, Northern Territory, Age group 2011 and 2041" titl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90820" cy="3465195"/>
                    </a:xfrm>
                    <a:prstGeom prst="rect">
                      <a:avLst/>
                    </a:prstGeom>
                    <a:noFill/>
                  </pic:spPr>
                </pic:pic>
              </a:graphicData>
            </a:graphic>
          </wp:inline>
        </w:drawing>
      </w:r>
    </w:p>
    <w:p w:rsidR="000C727E" w:rsidRPr="00331F3B" w:rsidRDefault="000C727E" w:rsidP="000C727E">
      <w:pPr>
        <w:autoSpaceDE w:val="0"/>
        <w:autoSpaceDN w:val="0"/>
        <w:adjustRightInd w:val="0"/>
        <w:spacing w:after="120"/>
        <w:rPr>
          <w:rFonts w:ascii="Arial" w:hAnsi="Arial" w:cs="Arial"/>
          <w:sz w:val="16"/>
          <w:szCs w:val="16"/>
        </w:rPr>
      </w:pPr>
      <w:r w:rsidRPr="006459C6">
        <w:rPr>
          <w:rFonts w:ascii="Arial" w:hAnsi="Arial" w:cs="Arial"/>
          <w:sz w:val="16"/>
          <w:szCs w:val="16"/>
        </w:rPr>
        <w:t>Source: Northern Territ</w:t>
      </w:r>
      <w:r>
        <w:rPr>
          <w:rFonts w:ascii="Arial" w:hAnsi="Arial" w:cs="Arial"/>
          <w:sz w:val="16"/>
          <w:szCs w:val="16"/>
        </w:rPr>
        <w:t>ory Population Projections, Interim – Update (2013 Release)</w:t>
      </w:r>
    </w:p>
    <w:p w:rsidR="002C1209" w:rsidRPr="002C1209" w:rsidRDefault="002C1209" w:rsidP="00A41FBC">
      <w:pPr>
        <w:autoSpaceDE w:val="0"/>
        <w:autoSpaceDN w:val="0"/>
        <w:adjustRightInd w:val="0"/>
        <w:spacing w:after="120"/>
        <w:rPr>
          <w:rFonts w:ascii="Arial" w:hAnsi="Arial" w:cs="Arial"/>
          <w:sz w:val="16"/>
          <w:szCs w:val="16"/>
        </w:rPr>
      </w:pPr>
    </w:p>
    <w:p w:rsidR="00A41FBC" w:rsidRPr="00964B6A" w:rsidRDefault="00A41FBC" w:rsidP="00964B6A">
      <w:pPr>
        <w:spacing w:before="360" w:after="160" w:line="240" w:lineRule="atLeast"/>
        <w:rPr>
          <w:rFonts w:ascii="Arial" w:hAnsi="Arial" w:cs="Arial"/>
          <w:b/>
          <w:color w:val="000000"/>
          <w:sz w:val="22"/>
          <w:szCs w:val="22"/>
        </w:rPr>
      </w:pPr>
      <w:r w:rsidRPr="00964B6A">
        <w:rPr>
          <w:rFonts w:ascii="Arial" w:hAnsi="Arial" w:cs="Arial"/>
          <w:b/>
          <w:color w:val="000000"/>
          <w:sz w:val="22"/>
          <w:szCs w:val="22"/>
        </w:rPr>
        <w:t xml:space="preserve">Chart </w:t>
      </w:r>
      <w:r w:rsidR="008F21C6" w:rsidRPr="00964B6A">
        <w:rPr>
          <w:rFonts w:ascii="Arial" w:hAnsi="Arial" w:cs="Arial"/>
          <w:b/>
          <w:color w:val="000000"/>
          <w:sz w:val="22"/>
          <w:szCs w:val="22"/>
        </w:rPr>
        <w:t>7</w:t>
      </w:r>
      <w:r w:rsidRPr="00964B6A">
        <w:rPr>
          <w:rFonts w:ascii="Arial" w:hAnsi="Arial" w:cs="Arial"/>
          <w:b/>
          <w:color w:val="000000"/>
          <w:sz w:val="22"/>
          <w:szCs w:val="22"/>
        </w:rPr>
        <w:t xml:space="preserve">: Age Pyramid, </w:t>
      </w:r>
      <w:r w:rsidR="00081235" w:rsidRPr="00964B6A">
        <w:rPr>
          <w:rFonts w:ascii="Arial" w:hAnsi="Arial" w:cs="Arial"/>
          <w:b/>
          <w:color w:val="000000"/>
          <w:sz w:val="22"/>
          <w:szCs w:val="22"/>
        </w:rPr>
        <w:t>Northern Territory</w:t>
      </w:r>
      <w:r w:rsidR="00FE3B07" w:rsidRPr="00964B6A">
        <w:rPr>
          <w:rFonts w:ascii="Arial" w:hAnsi="Arial" w:cs="Arial"/>
          <w:b/>
          <w:color w:val="000000"/>
          <w:sz w:val="22"/>
          <w:szCs w:val="22"/>
        </w:rPr>
        <w:t xml:space="preserve"> </w:t>
      </w:r>
      <w:r w:rsidRPr="00964B6A">
        <w:rPr>
          <w:rFonts w:ascii="Arial" w:hAnsi="Arial" w:cs="Arial"/>
          <w:b/>
          <w:color w:val="000000"/>
          <w:sz w:val="22"/>
          <w:szCs w:val="22"/>
        </w:rPr>
        <w:t xml:space="preserve">Indigenous Population </w:t>
      </w:r>
      <w:r w:rsidR="002C1209" w:rsidRPr="00964B6A">
        <w:rPr>
          <w:rFonts w:ascii="Arial" w:hAnsi="Arial" w:cs="Arial"/>
          <w:b/>
          <w:color w:val="000000"/>
          <w:sz w:val="22"/>
          <w:szCs w:val="22"/>
        </w:rPr>
        <w:t>2011</w:t>
      </w:r>
      <w:r w:rsidR="00EB7F06" w:rsidRPr="00964B6A">
        <w:rPr>
          <w:rFonts w:ascii="Arial" w:hAnsi="Arial" w:cs="Arial"/>
          <w:b/>
          <w:color w:val="000000"/>
          <w:sz w:val="22"/>
          <w:szCs w:val="22"/>
        </w:rPr>
        <w:t xml:space="preserve"> </w:t>
      </w:r>
      <w:r w:rsidRPr="00964B6A">
        <w:rPr>
          <w:rFonts w:ascii="Arial" w:hAnsi="Arial" w:cs="Arial"/>
          <w:b/>
          <w:color w:val="000000"/>
          <w:sz w:val="22"/>
          <w:szCs w:val="22"/>
        </w:rPr>
        <w:t xml:space="preserve">and </w:t>
      </w:r>
      <w:r w:rsidR="002C1209" w:rsidRPr="00964B6A">
        <w:rPr>
          <w:rFonts w:ascii="Arial" w:hAnsi="Arial" w:cs="Arial"/>
          <w:b/>
          <w:color w:val="000000"/>
          <w:sz w:val="22"/>
          <w:szCs w:val="22"/>
        </w:rPr>
        <w:t>2041</w:t>
      </w:r>
    </w:p>
    <w:p w:rsidR="002C1209" w:rsidRPr="00EB7F06" w:rsidRDefault="00502108" w:rsidP="00A41FBC">
      <w:pPr>
        <w:autoSpaceDE w:val="0"/>
        <w:autoSpaceDN w:val="0"/>
        <w:adjustRightInd w:val="0"/>
        <w:spacing w:after="120"/>
        <w:rPr>
          <w:rFonts w:ascii="Arial" w:hAnsi="Arial" w:cs="Arial"/>
          <w:b/>
        </w:rPr>
      </w:pPr>
      <w:r>
        <w:rPr>
          <w:rFonts w:ascii="Arial" w:hAnsi="Arial" w:cs="Arial"/>
          <w:b/>
          <w:noProof/>
          <w:lang w:eastAsia="en-AU"/>
        </w:rPr>
        <w:drawing>
          <wp:inline distT="0" distB="0" distL="0" distR="0">
            <wp:extent cx="5276215" cy="3455670"/>
            <wp:effectExtent l="0" t="0" r="635" b="0"/>
            <wp:docPr id="3" name="Picture 3" descr="Chart 7: Age Pyramid, Northern Territory Indigenous Population 2011 and 2041" titl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6215" cy="3455670"/>
                    </a:xfrm>
                    <a:prstGeom prst="rect">
                      <a:avLst/>
                    </a:prstGeom>
                    <a:noFill/>
                  </pic:spPr>
                </pic:pic>
              </a:graphicData>
            </a:graphic>
          </wp:inline>
        </w:drawing>
      </w:r>
    </w:p>
    <w:p w:rsidR="000C727E" w:rsidRPr="00331F3B" w:rsidRDefault="000C727E" w:rsidP="000C727E">
      <w:pPr>
        <w:autoSpaceDE w:val="0"/>
        <w:autoSpaceDN w:val="0"/>
        <w:adjustRightInd w:val="0"/>
        <w:spacing w:after="120"/>
        <w:rPr>
          <w:rFonts w:ascii="Arial" w:hAnsi="Arial" w:cs="Arial"/>
          <w:sz w:val="16"/>
          <w:szCs w:val="16"/>
        </w:rPr>
      </w:pPr>
      <w:r w:rsidRPr="006459C6">
        <w:rPr>
          <w:rFonts w:ascii="Arial" w:hAnsi="Arial" w:cs="Arial"/>
          <w:sz w:val="16"/>
          <w:szCs w:val="16"/>
        </w:rPr>
        <w:t>Source: Northern Territ</w:t>
      </w:r>
      <w:r>
        <w:rPr>
          <w:rFonts w:ascii="Arial" w:hAnsi="Arial" w:cs="Arial"/>
          <w:sz w:val="16"/>
          <w:szCs w:val="16"/>
        </w:rPr>
        <w:t>ory Population Projections, Interim – Update (2013 Release)</w:t>
      </w:r>
    </w:p>
    <w:p w:rsidR="002C1209" w:rsidRDefault="002C1209" w:rsidP="00A41FBC">
      <w:pPr>
        <w:autoSpaceDE w:val="0"/>
        <w:autoSpaceDN w:val="0"/>
        <w:adjustRightInd w:val="0"/>
        <w:spacing w:after="120"/>
        <w:rPr>
          <w:rFonts w:ascii="Arial" w:hAnsi="Arial" w:cs="Arial"/>
          <w:b/>
        </w:rPr>
      </w:pPr>
    </w:p>
    <w:p w:rsidR="002C1209" w:rsidRDefault="002C1209" w:rsidP="00A41FBC">
      <w:pPr>
        <w:autoSpaceDE w:val="0"/>
        <w:autoSpaceDN w:val="0"/>
        <w:adjustRightInd w:val="0"/>
        <w:spacing w:after="120"/>
        <w:rPr>
          <w:rFonts w:ascii="Arial" w:hAnsi="Arial" w:cs="Arial"/>
          <w:b/>
        </w:rPr>
      </w:pPr>
    </w:p>
    <w:p w:rsidR="00104A0D" w:rsidRDefault="00104A0D">
      <w:pPr>
        <w:rPr>
          <w:rFonts w:ascii="Arial" w:hAnsi="Arial" w:cs="Arial"/>
          <w:b/>
          <w:color w:val="000000"/>
          <w:sz w:val="22"/>
          <w:szCs w:val="22"/>
        </w:rPr>
      </w:pPr>
      <w:r>
        <w:rPr>
          <w:rFonts w:ascii="Arial" w:hAnsi="Arial" w:cs="Arial"/>
          <w:b/>
          <w:color w:val="000000"/>
          <w:sz w:val="22"/>
          <w:szCs w:val="22"/>
        </w:rPr>
        <w:br w:type="page"/>
      </w:r>
    </w:p>
    <w:p w:rsidR="00A41FBC" w:rsidRPr="00964B6A" w:rsidRDefault="00A41FBC" w:rsidP="00964B6A">
      <w:pPr>
        <w:spacing w:before="360" w:after="160" w:line="240" w:lineRule="atLeast"/>
        <w:rPr>
          <w:rFonts w:ascii="Arial" w:hAnsi="Arial" w:cs="Arial"/>
          <w:b/>
          <w:color w:val="000000"/>
          <w:sz w:val="22"/>
          <w:szCs w:val="22"/>
        </w:rPr>
      </w:pPr>
      <w:r w:rsidRPr="00964B6A">
        <w:rPr>
          <w:rFonts w:ascii="Arial" w:hAnsi="Arial" w:cs="Arial"/>
          <w:b/>
          <w:color w:val="000000"/>
          <w:sz w:val="22"/>
          <w:szCs w:val="22"/>
        </w:rPr>
        <w:t xml:space="preserve">Chart </w:t>
      </w:r>
      <w:r w:rsidR="008F21C6" w:rsidRPr="00964B6A">
        <w:rPr>
          <w:rFonts w:ascii="Arial" w:hAnsi="Arial" w:cs="Arial"/>
          <w:b/>
          <w:color w:val="000000"/>
          <w:sz w:val="22"/>
          <w:szCs w:val="22"/>
        </w:rPr>
        <w:t>8</w:t>
      </w:r>
      <w:r w:rsidRPr="00964B6A">
        <w:rPr>
          <w:rFonts w:ascii="Arial" w:hAnsi="Arial" w:cs="Arial"/>
          <w:b/>
          <w:color w:val="000000"/>
          <w:sz w:val="22"/>
          <w:szCs w:val="22"/>
        </w:rPr>
        <w:t>: Age Pyramid</w:t>
      </w:r>
      <w:r w:rsidR="00FE3B07" w:rsidRPr="00964B6A">
        <w:rPr>
          <w:rFonts w:ascii="Arial" w:hAnsi="Arial" w:cs="Arial"/>
          <w:b/>
          <w:color w:val="000000"/>
          <w:sz w:val="22"/>
          <w:szCs w:val="22"/>
        </w:rPr>
        <w:t>,</w:t>
      </w:r>
      <w:r w:rsidRPr="00964B6A">
        <w:rPr>
          <w:rFonts w:ascii="Arial" w:hAnsi="Arial" w:cs="Arial"/>
          <w:b/>
          <w:color w:val="000000"/>
          <w:sz w:val="22"/>
          <w:szCs w:val="22"/>
        </w:rPr>
        <w:t xml:space="preserve"> Northern Territory Non-Indigenous Population </w:t>
      </w:r>
      <w:r w:rsidR="002C1209" w:rsidRPr="00964B6A">
        <w:rPr>
          <w:rFonts w:ascii="Arial" w:hAnsi="Arial" w:cs="Arial"/>
          <w:b/>
          <w:color w:val="000000"/>
          <w:sz w:val="22"/>
          <w:szCs w:val="22"/>
        </w:rPr>
        <w:t>2011</w:t>
      </w:r>
      <w:r w:rsidR="00EB7F06" w:rsidRPr="00964B6A">
        <w:rPr>
          <w:rFonts w:ascii="Arial" w:hAnsi="Arial" w:cs="Arial"/>
          <w:b/>
          <w:color w:val="000000"/>
          <w:sz w:val="22"/>
          <w:szCs w:val="22"/>
        </w:rPr>
        <w:t xml:space="preserve"> </w:t>
      </w:r>
      <w:r w:rsidRPr="00964B6A">
        <w:rPr>
          <w:rFonts w:ascii="Arial" w:hAnsi="Arial" w:cs="Arial"/>
          <w:b/>
          <w:color w:val="000000"/>
          <w:sz w:val="22"/>
          <w:szCs w:val="22"/>
        </w:rPr>
        <w:t xml:space="preserve">and </w:t>
      </w:r>
      <w:r w:rsidR="002C1209" w:rsidRPr="00964B6A">
        <w:rPr>
          <w:rFonts w:ascii="Arial" w:hAnsi="Arial" w:cs="Arial"/>
          <w:b/>
          <w:color w:val="000000"/>
          <w:sz w:val="22"/>
          <w:szCs w:val="22"/>
        </w:rPr>
        <w:t>2041</w:t>
      </w:r>
    </w:p>
    <w:p w:rsidR="00EB7F06" w:rsidRPr="002C1209" w:rsidRDefault="00502108" w:rsidP="00A41FBC">
      <w:pPr>
        <w:autoSpaceDE w:val="0"/>
        <w:autoSpaceDN w:val="0"/>
        <w:adjustRightInd w:val="0"/>
        <w:spacing w:after="120"/>
      </w:pPr>
      <w:r>
        <w:rPr>
          <w:noProof/>
          <w:lang w:eastAsia="en-AU"/>
        </w:rPr>
        <w:drawing>
          <wp:inline distT="0" distB="0" distL="0" distR="0">
            <wp:extent cx="5316855" cy="3482340"/>
            <wp:effectExtent l="0" t="0" r="0" b="3810"/>
            <wp:docPr id="1" name="Picture 2" descr="Chart 8: Age Pyramid, Northern Territory Non-Indigenous Population 2011 and 2041" titl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16855" cy="3482340"/>
                    </a:xfrm>
                    <a:prstGeom prst="rect">
                      <a:avLst/>
                    </a:prstGeom>
                    <a:noFill/>
                  </pic:spPr>
                </pic:pic>
              </a:graphicData>
            </a:graphic>
          </wp:inline>
        </w:drawing>
      </w:r>
    </w:p>
    <w:p w:rsidR="000C727E" w:rsidRPr="00331F3B" w:rsidRDefault="000C727E" w:rsidP="000C727E">
      <w:pPr>
        <w:autoSpaceDE w:val="0"/>
        <w:autoSpaceDN w:val="0"/>
        <w:adjustRightInd w:val="0"/>
        <w:spacing w:after="120"/>
        <w:rPr>
          <w:rFonts w:ascii="Arial" w:hAnsi="Arial" w:cs="Arial"/>
          <w:sz w:val="16"/>
          <w:szCs w:val="16"/>
        </w:rPr>
      </w:pPr>
      <w:r w:rsidRPr="006459C6">
        <w:rPr>
          <w:rFonts w:ascii="Arial" w:hAnsi="Arial" w:cs="Arial"/>
          <w:sz w:val="16"/>
          <w:szCs w:val="16"/>
        </w:rPr>
        <w:t>Source: Northern Territ</w:t>
      </w:r>
      <w:r>
        <w:rPr>
          <w:rFonts w:ascii="Arial" w:hAnsi="Arial" w:cs="Arial"/>
          <w:sz w:val="16"/>
          <w:szCs w:val="16"/>
        </w:rPr>
        <w:t>ory Population Projections, Interim – Update (2013 Release)</w:t>
      </w:r>
    </w:p>
    <w:p w:rsidR="002C1209" w:rsidRDefault="002C1209" w:rsidP="00A41FBC">
      <w:pPr>
        <w:autoSpaceDE w:val="0"/>
        <w:autoSpaceDN w:val="0"/>
        <w:adjustRightInd w:val="0"/>
        <w:spacing w:after="120"/>
        <w:rPr>
          <w:rFonts w:ascii="Arial" w:hAnsi="Arial" w:cs="Arial"/>
          <w:b/>
          <w:sz w:val="22"/>
          <w:szCs w:val="22"/>
          <w:highlight w:val="yellow"/>
        </w:rPr>
      </w:pPr>
    </w:p>
    <w:p w:rsidR="00C720B4" w:rsidRPr="00B92B2E" w:rsidRDefault="00C720B4" w:rsidP="00B92B2E">
      <w:pPr>
        <w:spacing w:before="240" w:after="160" w:line="240" w:lineRule="atLeast"/>
        <w:rPr>
          <w:rFonts w:ascii="Arial" w:hAnsi="Arial" w:cs="Arial"/>
          <w:b/>
          <w:color w:val="000000"/>
          <w:sz w:val="28"/>
          <w:szCs w:val="28"/>
        </w:rPr>
      </w:pPr>
      <w:r w:rsidRPr="00B92B2E">
        <w:rPr>
          <w:rFonts w:ascii="Arial" w:hAnsi="Arial" w:cs="Arial"/>
          <w:b/>
          <w:color w:val="000000"/>
          <w:sz w:val="28"/>
          <w:szCs w:val="28"/>
        </w:rPr>
        <w:t>Region</w:t>
      </w:r>
      <w:r w:rsidR="004B2D9C" w:rsidRPr="00B92B2E">
        <w:rPr>
          <w:rFonts w:ascii="Arial" w:hAnsi="Arial" w:cs="Arial"/>
          <w:b/>
          <w:color w:val="000000"/>
          <w:sz w:val="28"/>
          <w:szCs w:val="28"/>
        </w:rPr>
        <w:t>al Projections</w:t>
      </w:r>
    </w:p>
    <w:p w:rsidR="006B1074" w:rsidRPr="00964B6A" w:rsidRDefault="006B1074" w:rsidP="00964B6A">
      <w:pPr>
        <w:spacing w:after="160" w:line="240" w:lineRule="atLeast"/>
        <w:rPr>
          <w:rFonts w:ascii="Arial" w:hAnsi="Arial" w:cs="Arial"/>
          <w:color w:val="000000"/>
          <w:sz w:val="22"/>
          <w:szCs w:val="22"/>
        </w:rPr>
      </w:pPr>
      <w:r w:rsidRPr="00964B6A">
        <w:rPr>
          <w:rFonts w:ascii="Arial" w:hAnsi="Arial" w:cs="Arial"/>
          <w:color w:val="000000"/>
          <w:sz w:val="22"/>
          <w:szCs w:val="22"/>
        </w:rPr>
        <w:t>Projections for the Greater Darwin region (Darwin, Palmerston and Litchfield) and the Rest of the NT are produced for five-year periods and five</w:t>
      </w:r>
      <w:r w:rsidRPr="00964B6A">
        <w:rPr>
          <w:rFonts w:ascii="Arial" w:hAnsi="Arial" w:cs="Arial"/>
          <w:color w:val="000000"/>
          <w:sz w:val="22"/>
          <w:szCs w:val="22"/>
        </w:rPr>
        <w:noBreakHyphen/>
        <w:t>year age groups, from 2011 to 2026, reflecting the uncertainty and difficulty associated in projecting regional populations compared with the total Territory population. One of the major difficulties is the projections of intra-Territory migration by age, sex and Indigenous status due to small numbers for some age and cohort groups and the need to constrain to total migration at the Territory level.</w:t>
      </w:r>
    </w:p>
    <w:p w:rsidR="006B1074" w:rsidRPr="00964B6A" w:rsidRDefault="006B1074" w:rsidP="00964B6A">
      <w:pPr>
        <w:spacing w:after="160" w:line="240" w:lineRule="atLeast"/>
        <w:rPr>
          <w:rFonts w:ascii="Arial" w:hAnsi="Arial" w:cs="Arial"/>
          <w:color w:val="000000"/>
          <w:sz w:val="22"/>
          <w:szCs w:val="22"/>
        </w:rPr>
      </w:pPr>
      <w:r w:rsidRPr="00964B6A">
        <w:rPr>
          <w:rFonts w:ascii="Arial" w:hAnsi="Arial" w:cs="Arial"/>
          <w:color w:val="000000"/>
          <w:sz w:val="22"/>
          <w:szCs w:val="22"/>
        </w:rPr>
        <w:t>Analyses of Census patterns of movement between 200</w:t>
      </w:r>
      <w:r w:rsidR="00F656E4" w:rsidRPr="00964B6A">
        <w:rPr>
          <w:rFonts w:ascii="Arial" w:hAnsi="Arial" w:cs="Arial"/>
          <w:color w:val="000000"/>
          <w:sz w:val="22"/>
          <w:szCs w:val="22"/>
        </w:rPr>
        <w:t>1</w:t>
      </w:r>
      <w:r w:rsidRPr="00964B6A">
        <w:rPr>
          <w:rFonts w:ascii="Arial" w:hAnsi="Arial" w:cs="Arial"/>
          <w:color w:val="000000"/>
          <w:sz w:val="22"/>
          <w:szCs w:val="22"/>
        </w:rPr>
        <w:t xml:space="preserve"> and 2011 are used to set the main parameters and the trend for regional migration. There are limitations in this approach in that the period chosen, in this case 200</w:t>
      </w:r>
      <w:r w:rsidR="00F656E4" w:rsidRPr="00964B6A">
        <w:rPr>
          <w:rFonts w:ascii="Arial" w:hAnsi="Arial" w:cs="Arial"/>
          <w:color w:val="000000"/>
          <w:sz w:val="22"/>
          <w:szCs w:val="22"/>
        </w:rPr>
        <w:t>1</w:t>
      </w:r>
      <w:r w:rsidRPr="00964B6A">
        <w:rPr>
          <w:rFonts w:ascii="Arial" w:hAnsi="Arial" w:cs="Arial"/>
          <w:color w:val="000000"/>
          <w:sz w:val="22"/>
          <w:szCs w:val="22"/>
        </w:rPr>
        <w:t xml:space="preserve">-11, may be atypical for some regions; however, it is most likely to capture contemporary influences on migration patterns including the impact of technology and employment and education opportunities. </w:t>
      </w:r>
    </w:p>
    <w:p w:rsidR="006B1074" w:rsidRPr="00964B6A" w:rsidRDefault="006B1074" w:rsidP="00964B6A">
      <w:pPr>
        <w:spacing w:after="160" w:line="240" w:lineRule="atLeast"/>
        <w:rPr>
          <w:rFonts w:ascii="Arial" w:hAnsi="Arial" w:cs="Arial"/>
          <w:color w:val="000000"/>
          <w:sz w:val="22"/>
          <w:szCs w:val="22"/>
        </w:rPr>
      </w:pPr>
      <w:r w:rsidRPr="00964B6A">
        <w:rPr>
          <w:rFonts w:ascii="Arial" w:hAnsi="Arial" w:cs="Arial"/>
          <w:color w:val="000000"/>
          <w:sz w:val="22"/>
          <w:szCs w:val="22"/>
        </w:rPr>
        <w:t xml:space="preserve">The assumptions for fertility and mortality used for the Territory total projections are </w:t>
      </w:r>
      <w:r w:rsidR="00F656E4" w:rsidRPr="00964B6A">
        <w:rPr>
          <w:rFonts w:ascii="Arial" w:hAnsi="Arial" w:cs="Arial"/>
          <w:color w:val="000000"/>
          <w:sz w:val="22"/>
          <w:szCs w:val="22"/>
        </w:rPr>
        <w:t xml:space="preserve">applied to both regions </w:t>
      </w:r>
      <w:r w:rsidRPr="00964B6A">
        <w:rPr>
          <w:rFonts w:ascii="Arial" w:hAnsi="Arial" w:cs="Arial"/>
          <w:color w:val="000000"/>
          <w:sz w:val="22"/>
          <w:szCs w:val="22"/>
        </w:rPr>
        <w:t>in the regional model. Currently, the available births and deaths data does not support the accurate estimation of regional fertility and mortality patterns.</w:t>
      </w:r>
    </w:p>
    <w:p w:rsidR="000C257D" w:rsidRPr="00964B6A" w:rsidRDefault="006B1074" w:rsidP="00964B6A">
      <w:pPr>
        <w:spacing w:after="160" w:line="240" w:lineRule="atLeast"/>
        <w:rPr>
          <w:rFonts w:ascii="Arial" w:hAnsi="Arial" w:cs="Arial"/>
          <w:color w:val="000000"/>
          <w:sz w:val="22"/>
          <w:szCs w:val="22"/>
        </w:rPr>
      </w:pPr>
      <w:r w:rsidRPr="00964B6A">
        <w:rPr>
          <w:rFonts w:ascii="Arial" w:hAnsi="Arial" w:cs="Arial"/>
          <w:color w:val="000000"/>
          <w:sz w:val="22"/>
          <w:szCs w:val="22"/>
        </w:rPr>
        <w:t xml:space="preserve">The results from the regional projections model (Table 7) show the population of the </w:t>
      </w:r>
      <w:r w:rsidR="00F52E23" w:rsidRPr="00964B6A">
        <w:rPr>
          <w:rFonts w:ascii="Arial" w:hAnsi="Arial" w:cs="Arial"/>
          <w:color w:val="000000"/>
          <w:sz w:val="22"/>
          <w:szCs w:val="22"/>
        </w:rPr>
        <w:t xml:space="preserve">Greater </w:t>
      </w:r>
      <w:r w:rsidRPr="00964B6A">
        <w:rPr>
          <w:rFonts w:ascii="Arial" w:hAnsi="Arial" w:cs="Arial"/>
          <w:color w:val="000000"/>
          <w:sz w:val="22"/>
          <w:szCs w:val="22"/>
        </w:rPr>
        <w:t>Darwin region</w:t>
      </w:r>
      <w:r w:rsidR="00FE0E54" w:rsidRPr="00964B6A">
        <w:rPr>
          <w:rFonts w:ascii="Arial" w:hAnsi="Arial" w:cs="Arial"/>
          <w:color w:val="000000"/>
          <w:sz w:val="22"/>
          <w:szCs w:val="22"/>
        </w:rPr>
        <w:t xml:space="preserve"> is projected to increase to </w:t>
      </w:r>
      <w:r w:rsidR="000C257D" w:rsidRPr="00964B6A">
        <w:rPr>
          <w:rFonts w:ascii="Arial" w:hAnsi="Arial" w:cs="Arial"/>
          <w:color w:val="000000"/>
          <w:sz w:val="22"/>
          <w:szCs w:val="22"/>
        </w:rPr>
        <w:t xml:space="preserve">164 916 </w:t>
      </w:r>
      <w:r w:rsidRPr="00964B6A">
        <w:rPr>
          <w:rFonts w:ascii="Arial" w:hAnsi="Arial" w:cs="Arial"/>
          <w:color w:val="000000"/>
          <w:sz w:val="22"/>
          <w:szCs w:val="22"/>
        </w:rPr>
        <w:t>persons by 2026. The share of the Territory’s population living in the Greater Darwin region is projected</w:t>
      </w:r>
      <w:r w:rsidR="00FE0E54" w:rsidRPr="00964B6A">
        <w:rPr>
          <w:rFonts w:ascii="Arial" w:hAnsi="Arial" w:cs="Arial"/>
          <w:color w:val="000000"/>
          <w:sz w:val="22"/>
          <w:szCs w:val="22"/>
        </w:rPr>
        <w:t xml:space="preserve"> to gradually increase from 56 per cent to 58</w:t>
      </w:r>
      <w:r w:rsidRPr="00964B6A">
        <w:rPr>
          <w:rFonts w:ascii="Arial" w:hAnsi="Arial" w:cs="Arial"/>
          <w:color w:val="000000"/>
          <w:sz w:val="22"/>
          <w:szCs w:val="22"/>
        </w:rPr>
        <w:t xml:space="preserve"> per cent in 2026 with corresponding gradual declines in the Rest of </w:t>
      </w:r>
      <w:r w:rsidR="009912E5" w:rsidRPr="00964B6A">
        <w:rPr>
          <w:rFonts w:ascii="Arial" w:hAnsi="Arial" w:cs="Arial"/>
          <w:color w:val="000000"/>
          <w:sz w:val="22"/>
          <w:szCs w:val="22"/>
        </w:rPr>
        <w:t>NT.</w:t>
      </w:r>
    </w:p>
    <w:p w:rsidR="0027051E" w:rsidRPr="00964B6A" w:rsidRDefault="006B1074" w:rsidP="00964B6A">
      <w:pPr>
        <w:spacing w:after="160" w:line="240" w:lineRule="atLeast"/>
        <w:rPr>
          <w:rFonts w:ascii="Arial" w:hAnsi="Arial" w:cs="Arial"/>
          <w:color w:val="000000"/>
          <w:sz w:val="22"/>
          <w:szCs w:val="22"/>
        </w:rPr>
      </w:pPr>
      <w:r w:rsidRPr="00964B6A">
        <w:rPr>
          <w:rFonts w:ascii="Arial" w:hAnsi="Arial" w:cs="Arial"/>
          <w:color w:val="000000"/>
          <w:sz w:val="22"/>
          <w:szCs w:val="22"/>
        </w:rPr>
        <w:t xml:space="preserve">The Greater Darwin region is projected to increase by an average of 1.7 per cent per annum in </w:t>
      </w:r>
      <w:r w:rsidR="00FE0E54" w:rsidRPr="00964B6A">
        <w:rPr>
          <w:rFonts w:ascii="Arial" w:hAnsi="Arial" w:cs="Arial"/>
          <w:color w:val="000000"/>
          <w:sz w:val="22"/>
          <w:szCs w:val="22"/>
        </w:rPr>
        <w:t>the five years t</w:t>
      </w:r>
      <w:r w:rsidR="000C257D" w:rsidRPr="00964B6A">
        <w:rPr>
          <w:rFonts w:ascii="Arial" w:hAnsi="Arial" w:cs="Arial"/>
          <w:color w:val="000000"/>
          <w:sz w:val="22"/>
          <w:szCs w:val="22"/>
        </w:rPr>
        <w:t>o 2016, before decreasing to 1.4</w:t>
      </w:r>
      <w:r w:rsidRPr="00964B6A">
        <w:rPr>
          <w:rFonts w:ascii="Arial" w:hAnsi="Arial" w:cs="Arial"/>
          <w:color w:val="000000"/>
          <w:sz w:val="22"/>
          <w:szCs w:val="22"/>
        </w:rPr>
        <w:t xml:space="preserve"> per cent per annum </w:t>
      </w:r>
      <w:r w:rsidR="000C257D" w:rsidRPr="00964B6A">
        <w:rPr>
          <w:rFonts w:ascii="Arial" w:hAnsi="Arial" w:cs="Arial"/>
          <w:color w:val="000000"/>
          <w:sz w:val="22"/>
          <w:szCs w:val="22"/>
        </w:rPr>
        <w:t xml:space="preserve">on average between 2021 and 2026. Growth in the Rest of </w:t>
      </w:r>
      <w:r w:rsidR="009912E5" w:rsidRPr="00964B6A">
        <w:rPr>
          <w:rFonts w:ascii="Arial" w:hAnsi="Arial" w:cs="Arial"/>
          <w:color w:val="000000"/>
          <w:sz w:val="22"/>
          <w:szCs w:val="22"/>
        </w:rPr>
        <w:t>NT</w:t>
      </w:r>
      <w:r w:rsidR="000C257D" w:rsidRPr="00964B6A">
        <w:rPr>
          <w:rFonts w:ascii="Arial" w:hAnsi="Arial" w:cs="Arial"/>
          <w:color w:val="000000"/>
          <w:sz w:val="22"/>
          <w:szCs w:val="22"/>
        </w:rPr>
        <w:t xml:space="preserve"> is projected to increase from 1.1 per cent in 201</w:t>
      </w:r>
      <w:r w:rsidR="00371F77" w:rsidRPr="00964B6A">
        <w:rPr>
          <w:rFonts w:ascii="Arial" w:hAnsi="Arial" w:cs="Arial"/>
          <w:color w:val="000000"/>
          <w:sz w:val="22"/>
          <w:szCs w:val="22"/>
        </w:rPr>
        <w:t>1</w:t>
      </w:r>
      <w:r w:rsidR="00E16FBB">
        <w:rPr>
          <w:rFonts w:ascii="Arial" w:hAnsi="Arial" w:cs="Arial"/>
          <w:color w:val="000000"/>
          <w:sz w:val="22"/>
          <w:szCs w:val="22"/>
        </w:rPr>
        <w:noBreakHyphen/>
      </w:r>
      <w:r w:rsidR="00371F77" w:rsidRPr="00964B6A">
        <w:rPr>
          <w:rFonts w:ascii="Arial" w:hAnsi="Arial" w:cs="Arial"/>
          <w:color w:val="000000"/>
          <w:sz w:val="22"/>
          <w:szCs w:val="22"/>
        </w:rPr>
        <w:t xml:space="preserve">16 to 1.2 per cent in 2021-26. </w:t>
      </w:r>
      <w:r w:rsidR="00F656E4" w:rsidRPr="00964B6A">
        <w:rPr>
          <w:rFonts w:ascii="Arial" w:hAnsi="Arial" w:cs="Arial"/>
          <w:color w:val="000000"/>
          <w:sz w:val="22"/>
          <w:szCs w:val="22"/>
        </w:rPr>
        <w:t xml:space="preserve">The projected growth rate for </w:t>
      </w:r>
      <w:r w:rsidR="00F52E23" w:rsidRPr="00964B6A">
        <w:rPr>
          <w:rFonts w:ascii="Arial" w:hAnsi="Arial" w:cs="Arial"/>
          <w:color w:val="000000"/>
          <w:sz w:val="22"/>
          <w:szCs w:val="22"/>
        </w:rPr>
        <w:t xml:space="preserve">Greater </w:t>
      </w:r>
      <w:r w:rsidR="00F656E4" w:rsidRPr="00964B6A">
        <w:rPr>
          <w:rFonts w:ascii="Arial" w:hAnsi="Arial" w:cs="Arial"/>
          <w:color w:val="000000"/>
          <w:sz w:val="22"/>
          <w:szCs w:val="22"/>
        </w:rPr>
        <w:t xml:space="preserve">Darwin is higher than for the rest of NT throughout the projection period despite a small decline in the </w:t>
      </w:r>
      <w:r w:rsidR="00F52E23" w:rsidRPr="00964B6A">
        <w:rPr>
          <w:rFonts w:ascii="Arial" w:hAnsi="Arial" w:cs="Arial"/>
          <w:color w:val="000000"/>
          <w:sz w:val="22"/>
          <w:szCs w:val="22"/>
        </w:rPr>
        <w:t xml:space="preserve">Greater </w:t>
      </w:r>
      <w:r w:rsidR="00F656E4" w:rsidRPr="00964B6A">
        <w:rPr>
          <w:rFonts w:ascii="Arial" w:hAnsi="Arial" w:cs="Arial"/>
          <w:color w:val="000000"/>
          <w:sz w:val="22"/>
          <w:szCs w:val="22"/>
        </w:rPr>
        <w:t xml:space="preserve">Darwin projected growth rate and a corresponding small increase in the projected growth rate of Rest of NT. This convergence of projected growth rates appears to be associated with slight differences in the relative net numbers of non-Indigenous females of child bearing ages migrating to the two NT regions. </w:t>
      </w:r>
    </w:p>
    <w:p w:rsidR="006B1074" w:rsidRPr="00964B6A" w:rsidRDefault="006B1074" w:rsidP="00964B6A">
      <w:pPr>
        <w:spacing w:after="160" w:line="240" w:lineRule="atLeast"/>
        <w:rPr>
          <w:rFonts w:ascii="Arial" w:hAnsi="Arial" w:cs="Arial"/>
          <w:color w:val="000000"/>
          <w:sz w:val="22"/>
          <w:szCs w:val="22"/>
        </w:rPr>
      </w:pPr>
      <w:r w:rsidRPr="00964B6A">
        <w:rPr>
          <w:rFonts w:ascii="Arial" w:hAnsi="Arial" w:cs="Arial"/>
          <w:color w:val="000000"/>
          <w:sz w:val="22"/>
          <w:szCs w:val="22"/>
        </w:rPr>
        <w:t>The Indigenous population in the Greater Darwin region is projected to grow more strongly than the non</w:t>
      </w:r>
      <w:r w:rsidRPr="00964B6A">
        <w:rPr>
          <w:rFonts w:ascii="Arial" w:hAnsi="Arial" w:cs="Arial"/>
          <w:color w:val="000000"/>
          <w:sz w:val="22"/>
          <w:szCs w:val="22"/>
        </w:rPr>
        <w:noBreakHyphen/>
        <w:t xml:space="preserve">Indigenous population, although from a lower base, mainly due to the impact of </w:t>
      </w:r>
      <w:r w:rsidR="00F656E4" w:rsidRPr="00964B6A">
        <w:rPr>
          <w:rFonts w:ascii="Arial" w:hAnsi="Arial" w:cs="Arial"/>
          <w:color w:val="000000"/>
          <w:sz w:val="22"/>
          <w:szCs w:val="22"/>
        </w:rPr>
        <w:t xml:space="preserve">net intrastate Indigenous migration to </w:t>
      </w:r>
      <w:r w:rsidR="00F52E23" w:rsidRPr="00964B6A">
        <w:rPr>
          <w:rFonts w:ascii="Arial" w:hAnsi="Arial" w:cs="Arial"/>
          <w:color w:val="000000"/>
          <w:sz w:val="22"/>
          <w:szCs w:val="22"/>
        </w:rPr>
        <w:t xml:space="preserve">Greater </w:t>
      </w:r>
      <w:r w:rsidR="00F656E4" w:rsidRPr="00964B6A">
        <w:rPr>
          <w:rFonts w:ascii="Arial" w:hAnsi="Arial" w:cs="Arial"/>
          <w:color w:val="000000"/>
          <w:sz w:val="22"/>
          <w:szCs w:val="22"/>
        </w:rPr>
        <w:t xml:space="preserve">Darwin from the rest of NT. </w:t>
      </w:r>
    </w:p>
    <w:p w:rsidR="00294C40" w:rsidRPr="00964B6A" w:rsidRDefault="00294C40" w:rsidP="00964B6A">
      <w:pPr>
        <w:spacing w:before="360" w:after="160" w:line="240" w:lineRule="atLeast"/>
        <w:rPr>
          <w:rFonts w:ascii="Arial" w:hAnsi="Arial" w:cs="Arial"/>
          <w:b/>
          <w:color w:val="000000"/>
          <w:sz w:val="22"/>
          <w:szCs w:val="22"/>
        </w:rPr>
      </w:pPr>
      <w:r w:rsidRPr="00964B6A">
        <w:rPr>
          <w:rFonts w:ascii="Arial" w:hAnsi="Arial" w:cs="Arial"/>
          <w:b/>
          <w:color w:val="000000"/>
          <w:sz w:val="22"/>
          <w:szCs w:val="22"/>
        </w:rPr>
        <w:t xml:space="preserve">Table </w:t>
      </w:r>
      <w:r w:rsidR="007726E8" w:rsidRPr="00964B6A">
        <w:rPr>
          <w:rFonts w:ascii="Arial" w:hAnsi="Arial" w:cs="Arial"/>
          <w:b/>
          <w:color w:val="000000"/>
          <w:sz w:val="22"/>
          <w:szCs w:val="22"/>
        </w:rPr>
        <w:t>7</w:t>
      </w:r>
      <w:r w:rsidRPr="00964B6A">
        <w:rPr>
          <w:rFonts w:ascii="Arial" w:hAnsi="Arial" w:cs="Arial"/>
          <w:b/>
          <w:color w:val="000000"/>
          <w:sz w:val="22"/>
          <w:szCs w:val="22"/>
        </w:rPr>
        <w:t>: Estimates and Projections and Average Annual Growth Rates (5-Year Periods</w:t>
      </w:r>
      <w:r w:rsidR="00A95FF4" w:rsidRPr="00964B6A">
        <w:rPr>
          <w:rFonts w:ascii="Arial" w:hAnsi="Arial" w:cs="Arial"/>
          <w:b/>
          <w:color w:val="000000"/>
          <w:sz w:val="22"/>
          <w:szCs w:val="22"/>
        </w:rPr>
        <w:t>)</w:t>
      </w:r>
    </w:p>
    <w:p w:rsidR="00402A7D" w:rsidRPr="00065A27" w:rsidRDefault="00502108" w:rsidP="00294C40">
      <w:pPr>
        <w:autoSpaceDE w:val="0"/>
        <w:autoSpaceDN w:val="0"/>
        <w:adjustRightInd w:val="0"/>
        <w:spacing w:after="120"/>
        <w:rPr>
          <w:rFonts w:ascii="Arial" w:hAnsi="Arial" w:cs="Arial"/>
          <w:b/>
          <w:highlight w:val="yellow"/>
        </w:rPr>
      </w:pPr>
      <w:r>
        <w:rPr>
          <w:noProof/>
          <w:lang w:eastAsia="en-AU"/>
        </w:rPr>
        <w:drawing>
          <wp:inline distT="0" distB="0" distL="0" distR="0">
            <wp:extent cx="5727700" cy="2296795"/>
            <wp:effectExtent l="0" t="0" r="6350" b="8255"/>
            <wp:docPr id="16" name="Picture 16" descr="Table 7: Estimates and Projections and Average Annual Growth Rates (5-Year Periods)"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27700" cy="2296795"/>
                    </a:xfrm>
                    <a:prstGeom prst="rect">
                      <a:avLst/>
                    </a:prstGeom>
                    <a:noFill/>
                    <a:ln>
                      <a:noFill/>
                    </a:ln>
                  </pic:spPr>
                </pic:pic>
              </a:graphicData>
            </a:graphic>
          </wp:inline>
        </w:drawing>
      </w:r>
    </w:p>
    <w:p w:rsidR="000C727E" w:rsidRPr="00331F3B" w:rsidRDefault="000C727E" w:rsidP="000C727E">
      <w:pPr>
        <w:autoSpaceDE w:val="0"/>
        <w:autoSpaceDN w:val="0"/>
        <w:adjustRightInd w:val="0"/>
        <w:spacing w:after="120"/>
        <w:rPr>
          <w:rFonts w:ascii="Arial" w:hAnsi="Arial" w:cs="Arial"/>
          <w:sz w:val="16"/>
          <w:szCs w:val="16"/>
        </w:rPr>
      </w:pPr>
      <w:r w:rsidRPr="006459C6">
        <w:rPr>
          <w:rFonts w:ascii="Arial" w:hAnsi="Arial" w:cs="Arial"/>
          <w:sz w:val="16"/>
          <w:szCs w:val="16"/>
        </w:rPr>
        <w:t>Source: Northern Territ</w:t>
      </w:r>
      <w:r>
        <w:rPr>
          <w:rFonts w:ascii="Arial" w:hAnsi="Arial" w:cs="Arial"/>
          <w:sz w:val="16"/>
          <w:szCs w:val="16"/>
        </w:rPr>
        <w:t>ory Population Projections, Interim – Update (2013 Release)</w:t>
      </w:r>
    </w:p>
    <w:p w:rsidR="00402A7D" w:rsidRDefault="00402A7D" w:rsidP="00C75F47">
      <w:pPr>
        <w:autoSpaceDE w:val="0"/>
        <w:autoSpaceDN w:val="0"/>
        <w:adjustRightInd w:val="0"/>
        <w:spacing w:after="120"/>
        <w:rPr>
          <w:rFonts w:ascii="Arial" w:hAnsi="Arial" w:cs="Arial"/>
          <w:sz w:val="24"/>
          <w:szCs w:val="24"/>
        </w:rPr>
      </w:pPr>
    </w:p>
    <w:p w:rsidR="00C75F47" w:rsidRPr="00B92B2E" w:rsidRDefault="00C75F47" w:rsidP="00B92B2E">
      <w:pPr>
        <w:spacing w:before="240" w:after="160" w:line="240" w:lineRule="atLeast"/>
        <w:rPr>
          <w:rFonts w:ascii="Arial" w:hAnsi="Arial" w:cs="Arial"/>
          <w:b/>
          <w:color w:val="000000"/>
          <w:sz w:val="28"/>
          <w:szCs w:val="28"/>
        </w:rPr>
      </w:pPr>
      <w:r w:rsidRPr="00B92B2E">
        <w:rPr>
          <w:rFonts w:ascii="Arial" w:hAnsi="Arial" w:cs="Arial"/>
          <w:b/>
          <w:color w:val="000000"/>
          <w:sz w:val="28"/>
          <w:szCs w:val="28"/>
        </w:rPr>
        <w:t>Comparison</w:t>
      </w:r>
      <w:r w:rsidR="00186B5D" w:rsidRPr="00B92B2E">
        <w:rPr>
          <w:rFonts w:ascii="Arial" w:hAnsi="Arial" w:cs="Arial"/>
          <w:b/>
          <w:color w:val="000000"/>
          <w:sz w:val="28"/>
          <w:szCs w:val="28"/>
        </w:rPr>
        <w:t xml:space="preserve"> of </w:t>
      </w:r>
      <w:r w:rsidR="00110B80" w:rsidRPr="00B92B2E">
        <w:rPr>
          <w:rFonts w:ascii="Arial" w:hAnsi="Arial" w:cs="Arial"/>
          <w:b/>
          <w:color w:val="000000"/>
          <w:sz w:val="28"/>
          <w:szCs w:val="28"/>
        </w:rPr>
        <w:t>Projection Releases</w:t>
      </w:r>
    </w:p>
    <w:p w:rsidR="00F075D0" w:rsidRPr="00964B6A" w:rsidRDefault="006B1074" w:rsidP="00964B6A">
      <w:pPr>
        <w:spacing w:after="160" w:line="240" w:lineRule="atLeast"/>
        <w:rPr>
          <w:rFonts w:ascii="Arial" w:hAnsi="Arial" w:cs="Arial"/>
          <w:color w:val="000000"/>
          <w:sz w:val="22"/>
          <w:szCs w:val="22"/>
        </w:rPr>
      </w:pPr>
      <w:r w:rsidRPr="00964B6A">
        <w:rPr>
          <w:rFonts w:ascii="Arial" w:hAnsi="Arial" w:cs="Arial"/>
          <w:color w:val="000000"/>
          <w:sz w:val="22"/>
          <w:szCs w:val="22"/>
        </w:rPr>
        <w:t xml:space="preserve">This section compares the </w:t>
      </w:r>
      <w:r w:rsidR="00FA4642" w:rsidRPr="00964B6A">
        <w:rPr>
          <w:rFonts w:ascii="Arial" w:hAnsi="Arial" w:cs="Arial"/>
          <w:color w:val="000000"/>
          <w:sz w:val="22"/>
          <w:szCs w:val="22"/>
        </w:rPr>
        <w:t>output from this release (based on the 2011 Census) with two prior releases of population projections in 2009 and 2011, both of which</w:t>
      </w:r>
      <w:r w:rsidR="000D001E">
        <w:rPr>
          <w:rFonts w:ascii="Arial" w:hAnsi="Arial" w:cs="Arial"/>
          <w:color w:val="000000"/>
          <w:sz w:val="22"/>
          <w:szCs w:val="22"/>
        </w:rPr>
        <w:t xml:space="preserve"> were based on the 2006 Census.</w:t>
      </w:r>
    </w:p>
    <w:p w:rsidR="006B1074" w:rsidRPr="00964B6A" w:rsidRDefault="00F075D0" w:rsidP="00964B6A">
      <w:pPr>
        <w:spacing w:after="160" w:line="240" w:lineRule="atLeast"/>
        <w:rPr>
          <w:rFonts w:ascii="Arial" w:hAnsi="Arial" w:cs="Arial"/>
          <w:color w:val="000000"/>
          <w:sz w:val="22"/>
          <w:szCs w:val="22"/>
        </w:rPr>
      </w:pPr>
      <w:r w:rsidRPr="00964B6A">
        <w:rPr>
          <w:rFonts w:ascii="Arial" w:hAnsi="Arial" w:cs="Arial"/>
          <w:color w:val="000000"/>
          <w:sz w:val="22"/>
          <w:szCs w:val="22"/>
        </w:rPr>
        <w:t>Each</w:t>
      </w:r>
      <w:r w:rsidR="006B1074" w:rsidRPr="00964B6A">
        <w:rPr>
          <w:rFonts w:ascii="Arial" w:hAnsi="Arial" w:cs="Arial"/>
          <w:color w:val="000000"/>
          <w:sz w:val="22"/>
          <w:szCs w:val="22"/>
        </w:rPr>
        <w:t xml:space="preserve"> release</w:t>
      </w:r>
      <w:r w:rsidRPr="00964B6A">
        <w:rPr>
          <w:rFonts w:ascii="Arial" w:hAnsi="Arial" w:cs="Arial"/>
          <w:color w:val="000000"/>
          <w:sz w:val="22"/>
          <w:szCs w:val="22"/>
        </w:rPr>
        <w:t xml:space="preserve"> has a</w:t>
      </w:r>
      <w:r w:rsidR="006B1074" w:rsidRPr="00964B6A">
        <w:rPr>
          <w:rFonts w:ascii="Arial" w:hAnsi="Arial" w:cs="Arial"/>
          <w:color w:val="000000"/>
          <w:sz w:val="22"/>
          <w:szCs w:val="22"/>
        </w:rPr>
        <w:t xml:space="preserve"> different starting (‘jump-off’ year) and end point so comparison is made based on years common to all </w:t>
      </w:r>
      <w:r w:rsidR="00FA4642" w:rsidRPr="00964B6A">
        <w:rPr>
          <w:rFonts w:ascii="Arial" w:hAnsi="Arial" w:cs="Arial"/>
          <w:color w:val="000000"/>
          <w:sz w:val="22"/>
          <w:szCs w:val="22"/>
        </w:rPr>
        <w:t xml:space="preserve">three </w:t>
      </w:r>
      <w:r w:rsidR="006B1074" w:rsidRPr="00964B6A">
        <w:rPr>
          <w:rFonts w:ascii="Arial" w:hAnsi="Arial" w:cs="Arial"/>
          <w:color w:val="000000"/>
          <w:sz w:val="22"/>
          <w:szCs w:val="22"/>
        </w:rPr>
        <w:t>releases – 2020 and 2030</w:t>
      </w:r>
      <w:r w:rsidR="00FA4642" w:rsidRPr="00964B6A">
        <w:rPr>
          <w:rFonts w:ascii="Arial" w:hAnsi="Arial" w:cs="Arial"/>
          <w:color w:val="000000"/>
          <w:sz w:val="22"/>
          <w:szCs w:val="22"/>
        </w:rPr>
        <w:t xml:space="preserve"> (Table 8)</w:t>
      </w:r>
      <w:r w:rsidR="006B1074" w:rsidRPr="00964B6A">
        <w:rPr>
          <w:rFonts w:ascii="Arial" w:hAnsi="Arial" w:cs="Arial"/>
          <w:color w:val="000000"/>
          <w:sz w:val="22"/>
          <w:szCs w:val="22"/>
        </w:rPr>
        <w:t>.</w:t>
      </w:r>
    </w:p>
    <w:p w:rsidR="007E054A" w:rsidRPr="00964B6A" w:rsidRDefault="009A7DD3" w:rsidP="00964B6A">
      <w:pPr>
        <w:spacing w:after="160" w:line="240" w:lineRule="atLeast"/>
        <w:rPr>
          <w:rFonts w:ascii="Arial" w:hAnsi="Arial" w:cs="Arial"/>
          <w:color w:val="000000"/>
          <w:sz w:val="22"/>
          <w:szCs w:val="22"/>
        </w:rPr>
      </w:pPr>
      <w:r w:rsidRPr="00964B6A">
        <w:rPr>
          <w:rFonts w:ascii="Arial" w:hAnsi="Arial" w:cs="Arial"/>
          <w:color w:val="000000"/>
          <w:sz w:val="22"/>
          <w:szCs w:val="22"/>
        </w:rPr>
        <w:t>At both time periods, t</w:t>
      </w:r>
      <w:r w:rsidR="00864EC0" w:rsidRPr="00964B6A">
        <w:rPr>
          <w:rFonts w:ascii="Arial" w:hAnsi="Arial" w:cs="Arial"/>
          <w:color w:val="000000"/>
          <w:sz w:val="22"/>
          <w:szCs w:val="22"/>
        </w:rPr>
        <w:t xml:space="preserve">his release (based on the 2011 </w:t>
      </w:r>
      <w:r w:rsidR="00FA4642" w:rsidRPr="00964B6A">
        <w:rPr>
          <w:rFonts w:ascii="Arial" w:hAnsi="Arial" w:cs="Arial"/>
          <w:color w:val="000000"/>
          <w:sz w:val="22"/>
          <w:szCs w:val="22"/>
        </w:rPr>
        <w:t>Census</w:t>
      </w:r>
      <w:r w:rsidR="00864EC0" w:rsidRPr="00964B6A">
        <w:rPr>
          <w:rFonts w:ascii="Arial" w:hAnsi="Arial" w:cs="Arial"/>
          <w:color w:val="000000"/>
          <w:sz w:val="22"/>
          <w:szCs w:val="22"/>
        </w:rPr>
        <w:t xml:space="preserve">) projects a lower </w:t>
      </w:r>
      <w:r w:rsidR="00FA4642" w:rsidRPr="00964B6A">
        <w:rPr>
          <w:rFonts w:ascii="Arial" w:hAnsi="Arial" w:cs="Arial"/>
          <w:color w:val="000000"/>
          <w:sz w:val="22"/>
          <w:szCs w:val="22"/>
        </w:rPr>
        <w:t xml:space="preserve">total </w:t>
      </w:r>
      <w:r w:rsidR="00864EC0" w:rsidRPr="00964B6A">
        <w:rPr>
          <w:rFonts w:ascii="Arial" w:hAnsi="Arial" w:cs="Arial"/>
          <w:color w:val="000000"/>
          <w:sz w:val="22"/>
          <w:szCs w:val="22"/>
        </w:rPr>
        <w:t xml:space="preserve">population </w:t>
      </w:r>
      <w:r w:rsidR="00FA4642" w:rsidRPr="00964B6A">
        <w:rPr>
          <w:rFonts w:ascii="Arial" w:hAnsi="Arial" w:cs="Arial"/>
          <w:color w:val="000000"/>
          <w:sz w:val="22"/>
          <w:szCs w:val="22"/>
        </w:rPr>
        <w:t xml:space="preserve">than in the 2011 Release, but a higher population than </w:t>
      </w:r>
      <w:r w:rsidRPr="00964B6A">
        <w:rPr>
          <w:rFonts w:ascii="Arial" w:hAnsi="Arial" w:cs="Arial"/>
          <w:color w:val="000000"/>
          <w:sz w:val="22"/>
          <w:szCs w:val="22"/>
        </w:rPr>
        <w:t xml:space="preserve">was projected </w:t>
      </w:r>
      <w:r w:rsidR="00FA4642" w:rsidRPr="00964B6A">
        <w:rPr>
          <w:rFonts w:ascii="Arial" w:hAnsi="Arial" w:cs="Arial"/>
          <w:color w:val="000000"/>
          <w:sz w:val="22"/>
          <w:szCs w:val="22"/>
        </w:rPr>
        <w:t>in the 2009</w:t>
      </w:r>
      <w:r w:rsidR="00BC7B25">
        <w:rPr>
          <w:rFonts w:ascii="Arial" w:hAnsi="Arial" w:cs="Arial"/>
          <w:color w:val="000000"/>
          <w:sz w:val="22"/>
          <w:szCs w:val="22"/>
        </w:rPr>
        <w:t> </w:t>
      </w:r>
      <w:r w:rsidR="00D8737F" w:rsidRPr="00964B6A">
        <w:rPr>
          <w:rFonts w:ascii="Arial" w:hAnsi="Arial" w:cs="Arial"/>
          <w:color w:val="000000"/>
          <w:sz w:val="22"/>
          <w:szCs w:val="22"/>
        </w:rPr>
        <w:t>Release. This result is mirrored in the projection for the non-Indigenous population, but for the Indigenous population the result differs with the current projection being lower than in the both the 2009 and 2011 Releases.</w:t>
      </w:r>
    </w:p>
    <w:p w:rsidR="002516E3" w:rsidRPr="00964B6A" w:rsidRDefault="007E054A" w:rsidP="00964B6A">
      <w:pPr>
        <w:spacing w:after="160" w:line="240" w:lineRule="atLeast"/>
        <w:rPr>
          <w:rFonts w:ascii="Arial" w:hAnsi="Arial" w:cs="Arial"/>
          <w:color w:val="000000"/>
          <w:sz w:val="22"/>
          <w:szCs w:val="22"/>
        </w:rPr>
      </w:pPr>
      <w:r w:rsidRPr="00964B6A">
        <w:rPr>
          <w:rFonts w:ascii="Arial" w:hAnsi="Arial" w:cs="Arial"/>
          <w:color w:val="000000"/>
          <w:sz w:val="22"/>
          <w:szCs w:val="22"/>
        </w:rPr>
        <w:t xml:space="preserve">Changes in the projections between each of the releases are a reflection of changes in the ‘jump-off’ populations used as well as changes in the input assumptions. </w:t>
      </w:r>
    </w:p>
    <w:p w:rsidR="00C75F47" w:rsidRPr="00964B6A" w:rsidRDefault="00836785" w:rsidP="00964B6A">
      <w:pPr>
        <w:spacing w:before="360" w:after="160" w:line="240" w:lineRule="atLeast"/>
        <w:rPr>
          <w:rFonts w:ascii="Arial" w:hAnsi="Arial" w:cs="Arial"/>
          <w:b/>
          <w:color w:val="000000"/>
          <w:sz w:val="22"/>
          <w:szCs w:val="22"/>
        </w:rPr>
      </w:pPr>
      <w:r>
        <w:rPr>
          <w:rFonts w:ascii="Arial" w:hAnsi="Arial" w:cs="Arial"/>
          <w:b/>
        </w:rPr>
        <w:br w:type="page"/>
      </w:r>
      <w:r w:rsidR="006D61A4" w:rsidRPr="00964B6A">
        <w:rPr>
          <w:rFonts w:ascii="Arial" w:hAnsi="Arial" w:cs="Arial"/>
          <w:b/>
          <w:color w:val="000000"/>
          <w:sz w:val="22"/>
          <w:szCs w:val="22"/>
        </w:rPr>
        <w:t>Table 8: Comparison of projection results for years 2020 and 2030</w:t>
      </w:r>
    </w:p>
    <w:tbl>
      <w:tblPr>
        <w:tblW w:w="9322" w:type="dxa"/>
        <w:tblLayout w:type="fixed"/>
        <w:tblCellMar>
          <w:top w:w="6" w:type="dxa"/>
        </w:tblCellMar>
        <w:tblLook w:val="04A0" w:firstRow="1" w:lastRow="0" w:firstColumn="1" w:lastColumn="0" w:noHBand="0" w:noVBand="1"/>
        <w:tblCaption w:val="Table"/>
        <w:tblDescription w:val="Table 8: Comparison of projection results for years 2020 and 2030"/>
      </w:tblPr>
      <w:tblGrid>
        <w:gridCol w:w="1844"/>
        <w:gridCol w:w="1089"/>
        <w:gridCol w:w="1358"/>
        <w:gridCol w:w="1224"/>
        <w:gridCol w:w="1224"/>
        <w:gridCol w:w="1359"/>
        <w:gridCol w:w="1224"/>
      </w:tblGrid>
      <w:tr w:rsidR="00FC2ABD" w:rsidRPr="00065A27" w:rsidTr="00153719">
        <w:tc>
          <w:tcPr>
            <w:tcW w:w="1928" w:type="dxa"/>
            <w:tcBorders>
              <w:bottom w:val="single" w:sz="4" w:space="0" w:color="auto"/>
            </w:tcBorders>
            <w:shd w:val="clear" w:color="auto" w:fill="D9D9D9"/>
          </w:tcPr>
          <w:p w:rsidR="009F28F8" w:rsidRPr="006B1074" w:rsidRDefault="009F28F8" w:rsidP="005A3816">
            <w:pPr>
              <w:autoSpaceDE w:val="0"/>
              <w:autoSpaceDN w:val="0"/>
              <w:adjustRightInd w:val="0"/>
              <w:spacing w:after="120"/>
              <w:rPr>
                <w:rFonts w:ascii="Arial" w:hAnsi="Arial" w:cs="Arial"/>
                <w:b/>
              </w:rPr>
            </w:pPr>
            <w:r w:rsidRPr="006B1074">
              <w:rPr>
                <w:rFonts w:ascii="Arial" w:hAnsi="Arial" w:cs="Arial"/>
                <w:b/>
              </w:rPr>
              <w:t>2020</w:t>
            </w:r>
          </w:p>
        </w:tc>
        <w:tc>
          <w:tcPr>
            <w:tcW w:w="1134" w:type="dxa"/>
            <w:tcBorders>
              <w:bottom w:val="single" w:sz="4" w:space="0" w:color="auto"/>
            </w:tcBorders>
            <w:shd w:val="clear" w:color="auto" w:fill="D9D9D9"/>
          </w:tcPr>
          <w:p w:rsidR="009F28F8" w:rsidRDefault="009F28F8" w:rsidP="00FC2ABD">
            <w:pPr>
              <w:autoSpaceDE w:val="0"/>
              <w:autoSpaceDN w:val="0"/>
              <w:adjustRightInd w:val="0"/>
              <w:spacing w:after="120"/>
              <w:jc w:val="center"/>
              <w:rPr>
                <w:rFonts w:ascii="Arial" w:hAnsi="Arial" w:cs="Arial"/>
                <w:b/>
              </w:rPr>
            </w:pPr>
            <w:r>
              <w:rPr>
                <w:rFonts w:ascii="Arial" w:hAnsi="Arial" w:cs="Arial"/>
                <w:b/>
              </w:rPr>
              <w:t>2009 Release</w:t>
            </w:r>
          </w:p>
          <w:p w:rsidR="009F28F8" w:rsidRPr="00402A7D" w:rsidRDefault="009F28F8" w:rsidP="00FC2ABD">
            <w:pPr>
              <w:autoSpaceDE w:val="0"/>
              <w:autoSpaceDN w:val="0"/>
              <w:adjustRightInd w:val="0"/>
              <w:spacing w:after="120"/>
              <w:jc w:val="center"/>
              <w:rPr>
                <w:rFonts w:ascii="Arial" w:hAnsi="Arial" w:cs="Arial"/>
                <w:b/>
              </w:rPr>
            </w:pPr>
            <w:r>
              <w:rPr>
                <w:rFonts w:ascii="Arial" w:hAnsi="Arial" w:cs="Arial"/>
                <w:b/>
              </w:rPr>
              <w:t>(2006 Census based)</w:t>
            </w:r>
          </w:p>
        </w:tc>
        <w:tc>
          <w:tcPr>
            <w:tcW w:w="1417" w:type="dxa"/>
            <w:tcBorders>
              <w:bottom w:val="single" w:sz="4" w:space="0" w:color="auto"/>
            </w:tcBorders>
            <w:shd w:val="clear" w:color="auto" w:fill="D9D9D9"/>
          </w:tcPr>
          <w:p w:rsidR="009F28F8" w:rsidRPr="00402A7D" w:rsidRDefault="009F28F8" w:rsidP="00FC2ABD">
            <w:pPr>
              <w:autoSpaceDE w:val="0"/>
              <w:autoSpaceDN w:val="0"/>
              <w:adjustRightInd w:val="0"/>
              <w:spacing w:after="120"/>
              <w:jc w:val="center"/>
              <w:rPr>
                <w:rFonts w:ascii="Arial" w:hAnsi="Arial" w:cs="Arial"/>
                <w:b/>
              </w:rPr>
            </w:pPr>
            <w:r w:rsidRPr="00402A7D">
              <w:rPr>
                <w:rFonts w:ascii="Arial" w:hAnsi="Arial" w:cs="Arial"/>
                <w:b/>
              </w:rPr>
              <w:t>2013 Interim Release</w:t>
            </w:r>
          </w:p>
          <w:p w:rsidR="009F28F8" w:rsidRPr="00402A7D" w:rsidRDefault="009F28F8" w:rsidP="00FC2ABD">
            <w:pPr>
              <w:autoSpaceDE w:val="0"/>
              <w:autoSpaceDN w:val="0"/>
              <w:adjustRightInd w:val="0"/>
              <w:spacing w:after="120"/>
              <w:jc w:val="center"/>
              <w:rPr>
                <w:rFonts w:ascii="Arial" w:hAnsi="Arial" w:cs="Arial"/>
                <w:b/>
              </w:rPr>
            </w:pPr>
            <w:r w:rsidRPr="00402A7D">
              <w:rPr>
                <w:rFonts w:ascii="Arial" w:hAnsi="Arial" w:cs="Arial"/>
                <w:b/>
              </w:rPr>
              <w:t>(2011 Census based)</w:t>
            </w:r>
          </w:p>
        </w:tc>
        <w:tc>
          <w:tcPr>
            <w:tcW w:w="1276" w:type="dxa"/>
            <w:tcBorders>
              <w:bottom w:val="single" w:sz="4" w:space="0" w:color="auto"/>
            </w:tcBorders>
            <w:shd w:val="clear" w:color="auto" w:fill="D9D9D9"/>
          </w:tcPr>
          <w:p w:rsidR="009F28F8" w:rsidRPr="00402A7D" w:rsidRDefault="009F28F8" w:rsidP="00FC2ABD">
            <w:pPr>
              <w:autoSpaceDE w:val="0"/>
              <w:autoSpaceDN w:val="0"/>
              <w:adjustRightInd w:val="0"/>
              <w:spacing w:after="120"/>
              <w:jc w:val="center"/>
              <w:rPr>
                <w:rFonts w:ascii="Arial" w:hAnsi="Arial" w:cs="Arial"/>
                <w:b/>
              </w:rPr>
            </w:pPr>
            <w:r>
              <w:rPr>
                <w:rFonts w:ascii="Arial" w:hAnsi="Arial" w:cs="Arial"/>
                <w:b/>
              </w:rPr>
              <w:t>Difference</w:t>
            </w:r>
          </w:p>
        </w:tc>
        <w:tc>
          <w:tcPr>
            <w:tcW w:w="1276" w:type="dxa"/>
            <w:tcBorders>
              <w:bottom w:val="single" w:sz="4" w:space="0" w:color="auto"/>
            </w:tcBorders>
            <w:shd w:val="clear" w:color="auto" w:fill="D9D9D9"/>
          </w:tcPr>
          <w:p w:rsidR="009F28F8" w:rsidRPr="00402A7D" w:rsidRDefault="009F28F8" w:rsidP="00FC2ABD">
            <w:pPr>
              <w:autoSpaceDE w:val="0"/>
              <w:autoSpaceDN w:val="0"/>
              <w:adjustRightInd w:val="0"/>
              <w:spacing w:after="120"/>
              <w:jc w:val="center"/>
              <w:rPr>
                <w:rFonts w:ascii="Arial" w:hAnsi="Arial" w:cs="Arial"/>
                <w:b/>
              </w:rPr>
            </w:pPr>
            <w:r w:rsidRPr="00402A7D">
              <w:rPr>
                <w:rFonts w:ascii="Arial" w:hAnsi="Arial" w:cs="Arial"/>
                <w:b/>
              </w:rPr>
              <w:t>2011 Release</w:t>
            </w:r>
          </w:p>
          <w:p w:rsidR="009F28F8" w:rsidRPr="00402A7D" w:rsidRDefault="009F28F8" w:rsidP="00FC2ABD">
            <w:pPr>
              <w:autoSpaceDE w:val="0"/>
              <w:autoSpaceDN w:val="0"/>
              <w:adjustRightInd w:val="0"/>
              <w:spacing w:after="120"/>
              <w:jc w:val="center"/>
              <w:rPr>
                <w:rFonts w:ascii="Arial" w:hAnsi="Arial" w:cs="Arial"/>
                <w:b/>
              </w:rPr>
            </w:pPr>
            <w:r w:rsidRPr="00402A7D">
              <w:rPr>
                <w:rFonts w:ascii="Arial" w:hAnsi="Arial" w:cs="Arial"/>
                <w:b/>
              </w:rPr>
              <w:t>(2006 Census based)</w:t>
            </w:r>
          </w:p>
        </w:tc>
        <w:tc>
          <w:tcPr>
            <w:tcW w:w="1418" w:type="dxa"/>
            <w:tcBorders>
              <w:bottom w:val="single" w:sz="4" w:space="0" w:color="auto"/>
            </w:tcBorders>
            <w:shd w:val="clear" w:color="auto" w:fill="D9D9D9"/>
          </w:tcPr>
          <w:p w:rsidR="009F28F8" w:rsidRPr="00402A7D" w:rsidRDefault="009F28F8" w:rsidP="00FC2ABD">
            <w:pPr>
              <w:autoSpaceDE w:val="0"/>
              <w:autoSpaceDN w:val="0"/>
              <w:adjustRightInd w:val="0"/>
              <w:spacing w:after="120"/>
              <w:jc w:val="center"/>
              <w:rPr>
                <w:rFonts w:ascii="Arial" w:hAnsi="Arial" w:cs="Arial"/>
                <w:b/>
              </w:rPr>
            </w:pPr>
            <w:r w:rsidRPr="00402A7D">
              <w:rPr>
                <w:rFonts w:ascii="Arial" w:hAnsi="Arial" w:cs="Arial"/>
                <w:b/>
              </w:rPr>
              <w:t>2013 Interim Release</w:t>
            </w:r>
          </w:p>
          <w:p w:rsidR="009F28F8" w:rsidRPr="00402A7D" w:rsidRDefault="009F28F8" w:rsidP="00FC2ABD">
            <w:pPr>
              <w:autoSpaceDE w:val="0"/>
              <w:autoSpaceDN w:val="0"/>
              <w:adjustRightInd w:val="0"/>
              <w:spacing w:after="120"/>
              <w:jc w:val="center"/>
              <w:rPr>
                <w:rFonts w:ascii="Arial" w:hAnsi="Arial" w:cs="Arial"/>
                <w:b/>
              </w:rPr>
            </w:pPr>
            <w:r w:rsidRPr="00402A7D">
              <w:rPr>
                <w:rFonts w:ascii="Arial" w:hAnsi="Arial" w:cs="Arial"/>
                <w:b/>
              </w:rPr>
              <w:t>(2011 Census based)</w:t>
            </w:r>
          </w:p>
        </w:tc>
        <w:tc>
          <w:tcPr>
            <w:tcW w:w="1276" w:type="dxa"/>
            <w:tcBorders>
              <w:bottom w:val="single" w:sz="4" w:space="0" w:color="auto"/>
            </w:tcBorders>
            <w:shd w:val="clear" w:color="auto" w:fill="D9D9D9"/>
          </w:tcPr>
          <w:p w:rsidR="009F28F8" w:rsidRPr="00334DDF" w:rsidRDefault="009F28F8" w:rsidP="00FC2ABD">
            <w:pPr>
              <w:autoSpaceDE w:val="0"/>
              <w:autoSpaceDN w:val="0"/>
              <w:adjustRightInd w:val="0"/>
              <w:spacing w:after="120"/>
              <w:jc w:val="center"/>
              <w:rPr>
                <w:rFonts w:ascii="Arial" w:hAnsi="Arial" w:cs="Arial"/>
                <w:b/>
              </w:rPr>
            </w:pPr>
            <w:r w:rsidRPr="00334DDF">
              <w:rPr>
                <w:rFonts w:ascii="Arial" w:hAnsi="Arial" w:cs="Arial"/>
                <w:b/>
              </w:rPr>
              <w:t>Difference</w:t>
            </w:r>
          </w:p>
        </w:tc>
      </w:tr>
      <w:tr w:rsidR="00FC2ABD" w:rsidRPr="00065A27" w:rsidTr="00153719">
        <w:tc>
          <w:tcPr>
            <w:tcW w:w="1928" w:type="dxa"/>
            <w:tcBorders>
              <w:top w:val="single" w:sz="4" w:space="0" w:color="auto"/>
            </w:tcBorders>
          </w:tcPr>
          <w:p w:rsidR="009F28F8" w:rsidRPr="006B1074" w:rsidRDefault="009F28F8" w:rsidP="005A3816">
            <w:pPr>
              <w:autoSpaceDE w:val="0"/>
              <w:autoSpaceDN w:val="0"/>
              <w:adjustRightInd w:val="0"/>
              <w:spacing w:after="120"/>
              <w:rPr>
                <w:rFonts w:ascii="Arial" w:hAnsi="Arial" w:cs="Arial"/>
                <w:b/>
              </w:rPr>
            </w:pPr>
            <w:r w:rsidRPr="006B1074">
              <w:rPr>
                <w:rFonts w:ascii="Arial" w:hAnsi="Arial" w:cs="Arial"/>
                <w:b/>
              </w:rPr>
              <w:t>NT Total</w:t>
            </w:r>
          </w:p>
        </w:tc>
        <w:tc>
          <w:tcPr>
            <w:tcW w:w="1134" w:type="dxa"/>
            <w:tcBorders>
              <w:top w:val="single" w:sz="4" w:space="0" w:color="auto"/>
            </w:tcBorders>
          </w:tcPr>
          <w:p w:rsidR="009F28F8" w:rsidRPr="00065A27" w:rsidRDefault="009F28F8" w:rsidP="005A3816">
            <w:pPr>
              <w:autoSpaceDE w:val="0"/>
              <w:autoSpaceDN w:val="0"/>
              <w:adjustRightInd w:val="0"/>
              <w:spacing w:after="120"/>
              <w:rPr>
                <w:rFonts w:ascii="Arial" w:hAnsi="Arial" w:cs="Arial"/>
                <w:highlight w:val="yellow"/>
              </w:rPr>
            </w:pPr>
          </w:p>
        </w:tc>
        <w:tc>
          <w:tcPr>
            <w:tcW w:w="1417" w:type="dxa"/>
            <w:tcBorders>
              <w:top w:val="single" w:sz="4" w:space="0" w:color="auto"/>
            </w:tcBorders>
          </w:tcPr>
          <w:p w:rsidR="009F28F8" w:rsidRPr="00065A27" w:rsidRDefault="009F28F8" w:rsidP="005A3816">
            <w:pPr>
              <w:autoSpaceDE w:val="0"/>
              <w:autoSpaceDN w:val="0"/>
              <w:adjustRightInd w:val="0"/>
              <w:spacing w:after="120"/>
              <w:rPr>
                <w:rFonts w:ascii="Arial" w:hAnsi="Arial" w:cs="Arial"/>
                <w:highlight w:val="yellow"/>
              </w:rPr>
            </w:pPr>
          </w:p>
        </w:tc>
        <w:tc>
          <w:tcPr>
            <w:tcW w:w="1276" w:type="dxa"/>
            <w:tcBorders>
              <w:top w:val="single" w:sz="4" w:space="0" w:color="auto"/>
            </w:tcBorders>
          </w:tcPr>
          <w:p w:rsidR="009F28F8" w:rsidRPr="00065A27" w:rsidRDefault="009F28F8" w:rsidP="005A3816">
            <w:pPr>
              <w:autoSpaceDE w:val="0"/>
              <w:autoSpaceDN w:val="0"/>
              <w:adjustRightInd w:val="0"/>
              <w:spacing w:after="120"/>
              <w:rPr>
                <w:rFonts w:ascii="Arial" w:hAnsi="Arial" w:cs="Arial"/>
                <w:highlight w:val="yellow"/>
              </w:rPr>
            </w:pPr>
          </w:p>
        </w:tc>
        <w:tc>
          <w:tcPr>
            <w:tcW w:w="1276" w:type="dxa"/>
            <w:tcBorders>
              <w:top w:val="single" w:sz="4" w:space="0" w:color="auto"/>
            </w:tcBorders>
          </w:tcPr>
          <w:p w:rsidR="009F28F8" w:rsidRPr="00065A27" w:rsidRDefault="009F28F8" w:rsidP="005A3816">
            <w:pPr>
              <w:autoSpaceDE w:val="0"/>
              <w:autoSpaceDN w:val="0"/>
              <w:adjustRightInd w:val="0"/>
              <w:spacing w:after="120"/>
              <w:rPr>
                <w:rFonts w:ascii="Arial" w:hAnsi="Arial" w:cs="Arial"/>
                <w:highlight w:val="yellow"/>
              </w:rPr>
            </w:pPr>
          </w:p>
        </w:tc>
        <w:tc>
          <w:tcPr>
            <w:tcW w:w="1418" w:type="dxa"/>
            <w:tcBorders>
              <w:top w:val="single" w:sz="4" w:space="0" w:color="auto"/>
            </w:tcBorders>
          </w:tcPr>
          <w:p w:rsidR="009F28F8" w:rsidRPr="00065A27" w:rsidRDefault="009F28F8" w:rsidP="005A3816">
            <w:pPr>
              <w:autoSpaceDE w:val="0"/>
              <w:autoSpaceDN w:val="0"/>
              <w:adjustRightInd w:val="0"/>
              <w:spacing w:after="120"/>
              <w:rPr>
                <w:rFonts w:ascii="Arial" w:hAnsi="Arial" w:cs="Arial"/>
                <w:highlight w:val="yellow"/>
              </w:rPr>
            </w:pPr>
          </w:p>
        </w:tc>
        <w:tc>
          <w:tcPr>
            <w:tcW w:w="1276" w:type="dxa"/>
            <w:tcBorders>
              <w:top w:val="single" w:sz="4" w:space="0" w:color="auto"/>
            </w:tcBorders>
          </w:tcPr>
          <w:p w:rsidR="009F28F8" w:rsidRPr="00334DDF" w:rsidRDefault="009F28F8" w:rsidP="005A3816">
            <w:pPr>
              <w:autoSpaceDE w:val="0"/>
              <w:autoSpaceDN w:val="0"/>
              <w:adjustRightInd w:val="0"/>
              <w:spacing w:after="120"/>
              <w:rPr>
                <w:rFonts w:ascii="Arial" w:hAnsi="Arial" w:cs="Arial"/>
              </w:rPr>
            </w:pPr>
          </w:p>
        </w:tc>
      </w:tr>
      <w:tr w:rsidR="00FC2ABD" w:rsidRPr="00864EC0" w:rsidTr="00153719">
        <w:tc>
          <w:tcPr>
            <w:tcW w:w="1928" w:type="dxa"/>
          </w:tcPr>
          <w:p w:rsidR="009F28F8" w:rsidRPr="006B1074" w:rsidRDefault="009F28F8" w:rsidP="005A3816">
            <w:pPr>
              <w:autoSpaceDE w:val="0"/>
              <w:autoSpaceDN w:val="0"/>
              <w:adjustRightInd w:val="0"/>
              <w:spacing w:after="120"/>
              <w:rPr>
                <w:rFonts w:ascii="Arial" w:hAnsi="Arial" w:cs="Arial"/>
                <w:i/>
              </w:rPr>
            </w:pPr>
            <w:r w:rsidRPr="006B1074">
              <w:rPr>
                <w:rFonts w:ascii="Arial" w:hAnsi="Arial" w:cs="Arial"/>
                <w:i/>
              </w:rPr>
              <w:t xml:space="preserve">Indigenous </w:t>
            </w:r>
          </w:p>
        </w:tc>
        <w:tc>
          <w:tcPr>
            <w:tcW w:w="1134" w:type="dxa"/>
          </w:tcPr>
          <w:p w:rsidR="009F28F8" w:rsidRPr="006B1074" w:rsidRDefault="009F28F8" w:rsidP="00FC2ABD">
            <w:pPr>
              <w:autoSpaceDE w:val="0"/>
              <w:autoSpaceDN w:val="0"/>
              <w:adjustRightInd w:val="0"/>
              <w:spacing w:after="120"/>
              <w:ind w:right="82"/>
              <w:jc w:val="right"/>
              <w:rPr>
                <w:rFonts w:ascii="Arial" w:hAnsi="Arial" w:cs="Arial"/>
              </w:rPr>
            </w:pPr>
            <w:r>
              <w:rPr>
                <w:rFonts w:ascii="Arial" w:hAnsi="Arial" w:cs="Arial"/>
              </w:rPr>
              <w:t>80</w:t>
            </w:r>
            <w:r w:rsidR="003F310C">
              <w:rPr>
                <w:rFonts w:ascii="Arial" w:hAnsi="Arial" w:cs="Arial"/>
              </w:rPr>
              <w:t xml:space="preserve"> </w:t>
            </w:r>
            <w:r>
              <w:rPr>
                <w:rFonts w:ascii="Arial" w:hAnsi="Arial" w:cs="Arial"/>
              </w:rPr>
              <w:t>330</w:t>
            </w:r>
          </w:p>
        </w:tc>
        <w:tc>
          <w:tcPr>
            <w:tcW w:w="1417" w:type="dxa"/>
          </w:tcPr>
          <w:p w:rsidR="009F28F8" w:rsidRPr="006B1074" w:rsidRDefault="009F28F8" w:rsidP="00FC2ABD">
            <w:pPr>
              <w:autoSpaceDE w:val="0"/>
              <w:autoSpaceDN w:val="0"/>
              <w:adjustRightInd w:val="0"/>
              <w:spacing w:after="120"/>
              <w:ind w:right="253"/>
              <w:jc w:val="right"/>
              <w:rPr>
                <w:rFonts w:ascii="Arial" w:hAnsi="Arial" w:cs="Arial"/>
              </w:rPr>
            </w:pPr>
            <w:r w:rsidRPr="00402A7D">
              <w:rPr>
                <w:rFonts w:ascii="Arial" w:hAnsi="Arial" w:cs="Arial"/>
              </w:rPr>
              <w:t>77 7</w:t>
            </w:r>
            <w:r>
              <w:rPr>
                <w:rFonts w:ascii="Arial" w:hAnsi="Arial" w:cs="Arial"/>
              </w:rPr>
              <w:t>90</w:t>
            </w:r>
          </w:p>
        </w:tc>
        <w:tc>
          <w:tcPr>
            <w:tcW w:w="1276" w:type="dxa"/>
          </w:tcPr>
          <w:p w:rsidR="009F28F8" w:rsidRPr="006B1074" w:rsidRDefault="00F075D0" w:rsidP="00FC2ABD">
            <w:pPr>
              <w:autoSpaceDE w:val="0"/>
              <w:autoSpaceDN w:val="0"/>
              <w:adjustRightInd w:val="0"/>
              <w:spacing w:after="120"/>
              <w:ind w:right="93"/>
              <w:jc w:val="right"/>
              <w:rPr>
                <w:rFonts w:ascii="Arial" w:hAnsi="Arial" w:cs="Arial"/>
              </w:rPr>
            </w:pPr>
            <w:r w:rsidRPr="0032331B">
              <w:rPr>
                <w:rFonts w:ascii="Arial" w:hAnsi="Arial" w:cs="Arial"/>
              </w:rPr>
              <w:t>-</w:t>
            </w:r>
            <w:r w:rsidR="00E16FBB">
              <w:rPr>
                <w:rFonts w:ascii="Arial" w:hAnsi="Arial" w:cs="Arial"/>
              </w:rPr>
              <w:t xml:space="preserve"> </w:t>
            </w:r>
            <w:r w:rsidR="009F28F8" w:rsidRPr="0032331B">
              <w:rPr>
                <w:rFonts w:ascii="Arial" w:hAnsi="Arial" w:cs="Arial"/>
              </w:rPr>
              <w:t>2</w:t>
            </w:r>
            <w:r w:rsidR="003F310C">
              <w:rPr>
                <w:rFonts w:ascii="Arial" w:hAnsi="Arial" w:cs="Arial"/>
              </w:rPr>
              <w:t xml:space="preserve"> </w:t>
            </w:r>
            <w:r w:rsidR="009F28F8" w:rsidRPr="0032331B">
              <w:rPr>
                <w:rFonts w:ascii="Arial" w:hAnsi="Arial" w:cs="Arial"/>
              </w:rPr>
              <w:t>540</w:t>
            </w:r>
          </w:p>
        </w:tc>
        <w:tc>
          <w:tcPr>
            <w:tcW w:w="1276" w:type="dxa"/>
          </w:tcPr>
          <w:p w:rsidR="009F28F8" w:rsidRPr="006B1074" w:rsidRDefault="009F28F8" w:rsidP="00FC2ABD">
            <w:pPr>
              <w:autoSpaceDE w:val="0"/>
              <w:autoSpaceDN w:val="0"/>
              <w:adjustRightInd w:val="0"/>
              <w:spacing w:after="120"/>
              <w:ind w:right="216"/>
              <w:jc w:val="right"/>
              <w:rPr>
                <w:rFonts w:ascii="Arial" w:hAnsi="Arial" w:cs="Arial"/>
              </w:rPr>
            </w:pPr>
            <w:r w:rsidRPr="006B1074">
              <w:rPr>
                <w:rFonts w:ascii="Arial" w:hAnsi="Arial" w:cs="Arial"/>
              </w:rPr>
              <w:t>80 </w:t>
            </w:r>
            <w:r>
              <w:rPr>
                <w:rFonts w:ascii="Arial" w:hAnsi="Arial" w:cs="Arial"/>
              </w:rPr>
              <w:t>778</w:t>
            </w:r>
          </w:p>
        </w:tc>
        <w:tc>
          <w:tcPr>
            <w:tcW w:w="1418" w:type="dxa"/>
          </w:tcPr>
          <w:p w:rsidR="009F28F8" w:rsidRPr="00402A7D" w:rsidRDefault="009F28F8" w:rsidP="00FC2ABD">
            <w:pPr>
              <w:autoSpaceDE w:val="0"/>
              <w:autoSpaceDN w:val="0"/>
              <w:adjustRightInd w:val="0"/>
              <w:spacing w:after="120"/>
              <w:ind w:right="194"/>
              <w:jc w:val="right"/>
              <w:rPr>
                <w:rFonts w:ascii="Arial" w:hAnsi="Arial" w:cs="Arial"/>
              </w:rPr>
            </w:pPr>
            <w:r w:rsidRPr="00402A7D">
              <w:rPr>
                <w:rFonts w:ascii="Arial" w:hAnsi="Arial" w:cs="Arial"/>
              </w:rPr>
              <w:t>77 7</w:t>
            </w:r>
            <w:r>
              <w:rPr>
                <w:rFonts w:ascii="Arial" w:hAnsi="Arial" w:cs="Arial"/>
              </w:rPr>
              <w:t>90</w:t>
            </w:r>
          </w:p>
        </w:tc>
        <w:tc>
          <w:tcPr>
            <w:tcW w:w="1276" w:type="dxa"/>
          </w:tcPr>
          <w:p w:rsidR="009F28F8" w:rsidRPr="00864EC0" w:rsidRDefault="009F28F8"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2</w:t>
            </w:r>
            <w:r w:rsidR="003F310C">
              <w:rPr>
                <w:rFonts w:ascii="Arial" w:hAnsi="Arial" w:cs="Arial"/>
              </w:rPr>
              <w:t xml:space="preserve"> </w:t>
            </w:r>
            <w:r w:rsidRPr="00864EC0">
              <w:rPr>
                <w:rFonts w:ascii="Arial" w:hAnsi="Arial" w:cs="Arial"/>
              </w:rPr>
              <w:t>9</w:t>
            </w:r>
            <w:r>
              <w:rPr>
                <w:rFonts w:ascii="Arial" w:hAnsi="Arial" w:cs="Arial"/>
              </w:rPr>
              <w:t>88</w:t>
            </w:r>
          </w:p>
        </w:tc>
      </w:tr>
      <w:tr w:rsidR="00FC2ABD" w:rsidRPr="00864EC0" w:rsidTr="00153719">
        <w:tc>
          <w:tcPr>
            <w:tcW w:w="1928" w:type="dxa"/>
          </w:tcPr>
          <w:p w:rsidR="009F28F8" w:rsidRPr="006B1074" w:rsidRDefault="009F28F8" w:rsidP="005A3816">
            <w:pPr>
              <w:autoSpaceDE w:val="0"/>
              <w:autoSpaceDN w:val="0"/>
              <w:adjustRightInd w:val="0"/>
              <w:spacing w:after="120"/>
              <w:rPr>
                <w:rFonts w:ascii="Arial" w:hAnsi="Arial" w:cs="Arial"/>
                <w:i/>
              </w:rPr>
            </w:pPr>
            <w:r w:rsidRPr="006B1074">
              <w:rPr>
                <w:rFonts w:ascii="Arial" w:hAnsi="Arial" w:cs="Arial"/>
                <w:i/>
              </w:rPr>
              <w:t>Non-Indigenous</w:t>
            </w:r>
          </w:p>
        </w:tc>
        <w:tc>
          <w:tcPr>
            <w:tcW w:w="1134" w:type="dxa"/>
          </w:tcPr>
          <w:p w:rsidR="009F28F8" w:rsidRPr="006B1074" w:rsidRDefault="009F28F8" w:rsidP="00FC2ABD">
            <w:pPr>
              <w:autoSpaceDE w:val="0"/>
              <w:autoSpaceDN w:val="0"/>
              <w:adjustRightInd w:val="0"/>
              <w:spacing w:after="120"/>
              <w:ind w:right="82"/>
              <w:jc w:val="right"/>
              <w:rPr>
                <w:rFonts w:ascii="Arial" w:hAnsi="Arial" w:cs="Arial"/>
              </w:rPr>
            </w:pPr>
            <w:r>
              <w:rPr>
                <w:rFonts w:ascii="Arial" w:hAnsi="Arial" w:cs="Arial"/>
              </w:rPr>
              <w:t>179</w:t>
            </w:r>
            <w:r w:rsidR="003F310C">
              <w:rPr>
                <w:rFonts w:ascii="Arial" w:hAnsi="Arial" w:cs="Arial"/>
              </w:rPr>
              <w:t xml:space="preserve"> </w:t>
            </w:r>
            <w:r>
              <w:rPr>
                <w:rFonts w:ascii="Arial" w:hAnsi="Arial" w:cs="Arial"/>
              </w:rPr>
              <w:t>446</w:t>
            </w:r>
          </w:p>
        </w:tc>
        <w:tc>
          <w:tcPr>
            <w:tcW w:w="1417" w:type="dxa"/>
          </w:tcPr>
          <w:p w:rsidR="009F28F8" w:rsidRPr="006B1074" w:rsidRDefault="009F28F8" w:rsidP="00FC2ABD">
            <w:pPr>
              <w:autoSpaceDE w:val="0"/>
              <w:autoSpaceDN w:val="0"/>
              <w:adjustRightInd w:val="0"/>
              <w:spacing w:after="120"/>
              <w:ind w:right="253"/>
              <w:jc w:val="right"/>
              <w:rPr>
                <w:rFonts w:ascii="Arial" w:hAnsi="Arial" w:cs="Arial"/>
              </w:rPr>
            </w:pPr>
            <w:r w:rsidRPr="00402A7D">
              <w:rPr>
                <w:rFonts w:ascii="Arial" w:hAnsi="Arial" w:cs="Arial"/>
              </w:rPr>
              <w:t>185 1</w:t>
            </w:r>
            <w:r>
              <w:rPr>
                <w:rFonts w:ascii="Arial" w:hAnsi="Arial" w:cs="Arial"/>
              </w:rPr>
              <w:t>65</w:t>
            </w:r>
          </w:p>
        </w:tc>
        <w:tc>
          <w:tcPr>
            <w:tcW w:w="1276" w:type="dxa"/>
          </w:tcPr>
          <w:p w:rsidR="009F28F8" w:rsidRPr="006B1074" w:rsidRDefault="009F28F8" w:rsidP="00FC2ABD">
            <w:pPr>
              <w:autoSpaceDE w:val="0"/>
              <w:autoSpaceDN w:val="0"/>
              <w:adjustRightInd w:val="0"/>
              <w:spacing w:after="120"/>
              <w:ind w:right="93"/>
              <w:jc w:val="right"/>
              <w:rPr>
                <w:rFonts w:ascii="Arial" w:hAnsi="Arial" w:cs="Arial"/>
              </w:rPr>
            </w:pPr>
            <w:r w:rsidRPr="0032331B">
              <w:rPr>
                <w:rFonts w:ascii="Arial" w:hAnsi="Arial" w:cs="Arial"/>
              </w:rPr>
              <w:t>5</w:t>
            </w:r>
            <w:r w:rsidR="003F310C">
              <w:rPr>
                <w:rFonts w:ascii="Arial" w:hAnsi="Arial" w:cs="Arial"/>
              </w:rPr>
              <w:t xml:space="preserve"> </w:t>
            </w:r>
            <w:r w:rsidRPr="0032331B">
              <w:rPr>
                <w:rFonts w:ascii="Arial" w:hAnsi="Arial" w:cs="Arial"/>
              </w:rPr>
              <w:t>719</w:t>
            </w:r>
          </w:p>
        </w:tc>
        <w:tc>
          <w:tcPr>
            <w:tcW w:w="1276" w:type="dxa"/>
          </w:tcPr>
          <w:p w:rsidR="009F28F8" w:rsidRPr="006B1074" w:rsidRDefault="009F28F8" w:rsidP="00FC2ABD">
            <w:pPr>
              <w:autoSpaceDE w:val="0"/>
              <w:autoSpaceDN w:val="0"/>
              <w:adjustRightInd w:val="0"/>
              <w:spacing w:after="120"/>
              <w:ind w:right="216"/>
              <w:jc w:val="right"/>
              <w:rPr>
                <w:rFonts w:ascii="Arial" w:hAnsi="Arial" w:cs="Arial"/>
              </w:rPr>
            </w:pPr>
            <w:r w:rsidRPr="006B1074">
              <w:rPr>
                <w:rFonts w:ascii="Arial" w:hAnsi="Arial" w:cs="Arial"/>
              </w:rPr>
              <w:t>1</w:t>
            </w:r>
            <w:r>
              <w:rPr>
                <w:rFonts w:ascii="Arial" w:hAnsi="Arial" w:cs="Arial"/>
              </w:rPr>
              <w:t>86 229</w:t>
            </w:r>
          </w:p>
        </w:tc>
        <w:tc>
          <w:tcPr>
            <w:tcW w:w="1418" w:type="dxa"/>
          </w:tcPr>
          <w:p w:rsidR="009F28F8" w:rsidRPr="00402A7D" w:rsidRDefault="009F28F8" w:rsidP="00FC2ABD">
            <w:pPr>
              <w:autoSpaceDE w:val="0"/>
              <w:autoSpaceDN w:val="0"/>
              <w:adjustRightInd w:val="0"/>
              <w:spacing w:after="120"/>
              <w:ind w:right="194"/>
              <w:jc w:val="right"/>
              <w:rPr>
                <w:rFonts w:ascii="Arial" w:hAnsi="Arial" w:cs="Arial"/>
              </w:rPr>
            </w:pPr>
            <w:r w:rsidRPr="00402A7D">
              <w:rPr>
                <w:rFonts w:ascii="Arial" w:hAnsi="Arial" w:cs="Arial"/>
              </w:rPr>
              <w:t>185 1</w:t>
            </w:r>
            <w:r>
              <w:rPr>
                <w:rFonts w:ascii="Arial" w:hAnsi="Arial" w:cs="Arial"/>
              </w:rPr>
              <w:t>65</w:t>
            </w:r>
          </w:p>
        </w:tc>
        <w:tc>
          <w:tcPr>
            <w:tcW w:w="1276" w:type="dxa"/>
          </w:tcPr>
          <w:p w:rsidR="009F28F8" w:rsidRPr="00864EC0" w:rsidRDefault="009F28F8"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1</w:t>
            </w:r>
            <w:r w:rsidR="003F310C">
              <w:rPr>
                <w:rFonts w:ascii="Arial" w:hAnsi="Arial" w:cs="Arial"/>
              </w:rPr>
              <w:t xml:space="preserve"> </w:t>
            </w:r>
            <w:r w:rsidRPr="00864EC0">
              <w:rPr>
                <w:rFonts w:ascii="Arial" w:hAnsi="Arial" w:cs="Arial"/>
              </w:rPr>
              <w:t>0</w:t>
            </w:r>
            <w:r>
              <w:rPr>
                <w:rFonts w:ascii="Arial" w:hAnsi="Arial" w:cs="Arial"/>
              </w:rPr>
              <w:t>64</w:t>
            </w:r>
          </w:p>
        </w:tc>
      </w:tr>
      <w:tr w:rsidR="00FC2ABD" w:rsidRPr="00864EC0" w:rsidTr="00153719">
        <w:tc>
          <w:tcPr>
            <w:tcW w:w="1928" w:type="dxa"/>
          </w:tcPr>
          <w:p w:rsidR="009F28F8" w:rsidRPr="006B1074" w:rsidRDefault="009F28F8" w:rsidP="005A3816">
            <w:pPr>
              <w:autoSpaceDE w:val="0"/>
              <w:autoSpaceDN w:val="0"/>
              <w:adjustRightInd w:val="0"/>
              <w:spacing w:after="120"/>
              <w:rPr>
                <w:rFonts w:ascii="Arial" w:hAnsi="Arial" w:cs="Arial"/>
                <w:i/>
              </w:rPr>
            </w:pPr>
            <w:r w:rsidRPr="006B1074">
              <w:rPr>
                <w:rFonts w:ascii="Arial" w:hAnsi="Arial" w:cs="Arial"/>
                <w:i/>
              </w:rPr>
              <w:t>Total</w:t>
            </w:r>
          </w:p>
        </w:tc>
        <w:tc>
          <w:tcPr>
            <w:tcW w:w="1134" w:type="dxa"/>
          </w:tcPr>
          <w:p w:rsidR="009F28F8" w:rsidRDefault="009F28F8" w:rsidP="00FC2ABD">
            <w:pPr>
              <w:autoSpaceDE w:val="0"/>
              <w:autoSpaceDN w:val="0"/>
              <w:adjustRightInd w:val="0"/>
              <w:spacing w:after="120"/>
              <w:ind w:right="82"/>
              <w:jc w:val="right"/>
              <w:rPr>
                <w:rFonts w:ascii="Arial" w:hAnsi="Arial" w:cs="Arial"/>
              </w:rPr>
            </w:pPr>
            <w:r>
              <w:rPr>
                <w:rFonts w:ascii="Arial" w:hAnsi="Arial" w:cs="Arial"/>
              </w:rPr>
              <w:t>259</w:t>
            </w:r>
            <w:r w:rsidR="003F310C">
              <w:rPr>
                <w:rFonts w:ascii="Arial" w:hAnsi="Arial" w:cs="Arial"/>
              </w:rPr>
              <w:t xml:space="preserve"> </w:t>
            </w:r>
            <w:r>
              <w:rPr>
                <w:rFonts w:ascii="Arial" w:hAnsi="Arial" w:cs="Arial"/>
              </w:rPr>
              <w:t>776</w:t>
            </w:r>
          </w:p>
        </w:tc>
        <w:tc>
          <w:tcPr>
            <w:tcW w:w="1417" w:type="dxa"/>
          </w:tcPr>
          <w:p w:rsidR="009F28F8" w:rsidRDefault="009F28F8" w:rsidP="00FC2ABD">
            <w:pPr>
              <w:autoSpaceDE w:val="0"/>
              <w:autoSpaceDN w:val="0"/>
              <w:adjustRightInd w:val="0"/>
              <w:spacing w:after="120"/>
              <w:ind w:right="253"/>
              <w:jc w:val="right"/>
              <w:rPr>
                <w:rFonts w:ascii="Arial" w:hAnsi="Arial" w:cs="Arial"/>
              </w:rPr>
            </w:pPr>
            <w:r w:rsidRPr="00402A7D">
              <w:rPr>
                <w:rFonts w:ascii="Arial" w:hAnsi="Arial" w:cs="Arial"/>
              </w:rPr>
              <w:t>262 954</w:t>
            </w:r>
          </w:p>
        </w:tc>
        <w:tc>
          <w:tcPr>
            <w:tcW w:w="1276" w:type="dxa"/>
          </w:tcPr>
          <w:p w:rsidR="009F28F8" w:rsidRDefault="009F28F8" w:rsidP="00FC2ABD">
            <w:pPr>
              <w:autoSpaceDE w:val="0"/>
              <w:autoSpaceDN w:val="0"/>
              <w:adjustRightInd w:val="0"/>
              <w:spacing w:after="120"/>
              <w:ind w:right="93"/>
              <w:jc w:val="right"/>
              <w:rPr>
                <w:rFonts w:ascii="Arial" w:hAnsi="Arial" w:cs="Arial"/>
              </w:rPr>
            </w:pPr>
            <w:r w:rsidRPr="0032331B">
              <w:rPr>
                <w:rFonts w:ascii="Arial" w:hAnsi="Arial" w:cs="Arial"/>
              </w:rPr>
              <w:t>3</w:t>
            </w:r>
            <w:r w:rsidR="003F310C">
              <w:rPr>
                <w:rFonts w:ascii="Arial" w:hAnsi="Arial" w:cs="Arial"/>
              </w:rPr>
              <w:t xml:space="preserve"> </w:t>
            </w:r>
            <w:r w:rsidRPr="0032331B">
              <w:rPr>
                <w:rFonts w:ascii="Arial" w:hAnsi="Arial" w:cs="Arial"/>
              </w:rPr>
              <w:t>178</w:t>
            </w:r>
          </w:p>
        </w:tc>
        <w:tc>
          <w:tcPr>
            <w:tcW w:w="1276" w:type="dxa"/>
          </w:tcPr>
          <w:p w:rsidR="009F28F8" w:rsidRPr="006B1074" w:rsidRDefault="009F28F8" w:rsidP="00FC2ABD">
            <w:pPr>
              <w:autoSpaceDE w:val="0"/>
              <w:autoSpaceDN w:val="0"/>
              <w:adjustRightInd w:val="0"/>
              <w:spacing w:after="120"/>
              <w:ind w:right="216"/>
              <w:jc w:val="right"/>
              <w:rPr>
                <w:rFonts w:ascii="Arial" w:hAnsi="Arial" w:cs="Arial"/>
              </w:rPr>
            </w:pPr>
            <w:r>
              <w:rPr>
                <w:rFonts w:ascii="Arial" w:hAnsi="Arial" w:cs="Arial"/>
              </w:rPr>
              <w:t>267 077</w:t>
            </w:r>
          </w:p>
        </w:tc>
        <w:tc>
          <w:tcPr>
            <w:tcW w:w="1418" w:type="dxa"/>
          </w:tcPr>
          <w:p w:rsidR="009F28F8" w:rsidRPr="00402A7D" w:rsidRDefault="009F28F8" w:rsidP="00FC2ABD">
            <w:pPr>
              <w:autoSpaceDE w:val="0"/>
              <w:autoSpaceDN w:val="0"/>
              <w:adjustRightInd w:val="0"/>
              <w:spacing w:after="120"/>
              <w:ind w:right="194"/>
              <w:jc w:val="right"/>
              <w:rPr>
                <w:rFonts w:ascii="Arial" w:hAnsi="Arial" w:cs="Arial"/>
              </w:rPr>
            </w:pPr>
            <w:r w:rsidRPr="00402A7D">
              <w:rPr>
                <w:rFonts w:ascii="Arial" w:hAnsi="Arial" w:cs="Arial"/>
              </w:rPr>
              <w:t>262 954</w:t>
            </w:r>
          </w:p>
        </w:tc>
        <w:tc>
          <w:tcPr>
            <w:tcW w:w="1276" w:type="dxa"/>
          </w:tcPr>
          <w:p w:rsidR="009F28F8" w:rsidRPr="00864EC0" w:rsidRDefault="009F28F8"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4</w:t>
            </w:r>
            <w:r w:rsidR="003F310C">
              <w:rPr>
                <w:rFonts w:ascii="Arial" w:hAnsi="Arial" w:cs="Arial"/>
              </w:rPr>
              <w:t xml:space="preserve"> </w:t>
            </w:r>
            <w:r w:rsidRPr="00864EC0">
              <w:rPr>
                <w:rFonts w:ascii="Arial" w:hAnsi="Arial" w:cs="Arial"/>
              </w:rPr>
              <w:t>123</w:t>
            </w:r>
          </w:p>
        </w:tc>
      </w:tr>
      <w:tr w:rsidR="00FC2ABD" w:rsidRPr="00864EC0" w:rsidTr="00153719">
        <w:tc>
          <w:tcPr>
            <w:tcW w:w="1928" w:type="dxa"/>
          </w:tcPr>
          <w:p w:rsidR="009F28F8" w:rsidRPr="006B1074" w:rsidRDefault="009F28F8" w:rsidP="005A3816">
            <w:pPr>
              <w:autoSpaceDE w:val="0"/>
              <w:autoSpaceDN w:val="0"/>
              <w:adjustRightInd w:val="0"/>
              <w:spacing w:after="120"/>
              <w:rPr>
                <w:rFonts w:ascii="Arial" w:hAnsi="Arial" w:cs="Arial"/>
                <w:b/>
              </w:rPr>
            </w:pPr>
            <w:r w:rsidRPr="006B1074">
              <w:rPr>
                <w:rFonts w:ascii="Arial" w:hAnsi="Arial" w:cs="Arial"/>
                <w:b/>
              </w:rPr>
              <w:t>Age Structure</w:t>
            </w:r>
          </w:p>
        </w:tc>
        <w:tc>
          <w:tcPr>
            <w:tcW w:w="1134" w:type="dxa"/>
          </w:tcPr>
          <w:p w:rsidR="009F28F8" w:rsidRPr="006B1074" w:rsidRDefault="009F28F8" w:rsidP="00FC2ABD">
            <w:pPr>
              <w:autoSpaceDE w:val="0"/>
              <w:autoSpaceDN w:val="0"/>
              <w:adjustRightInd w:val="0"/>
              <w:spacing w:after="120"/>
              <w:ind w:right="82"/>
              <w:jc w:val="right"/>
              <w:rPr>
                <w:rFonts w:ascii="Arial" w:hAnsi="Arial" w:cs="Arial"/>
              </w:rPr>
            </w:pPr>
          </w:p>
        </w:tc>
        <w:tc>
          <w:tcPr>
            <w:tcW w:w="1417" w:type="dxa"/>
          </w:tcPr>
          <w:p w:rsidR="009F28F8" w:rsidRPr="006B1074" w:rsidRDefault="009F28F8" w:rsidP="00FC2ABD">
            <w:pPr>
              <w:autoSpaceDE w:val="0"/>
              <w:autoSpaceDN w:val="0"/>
              <w:adjustRightInd w:val="0"/>
              <w:spacing w:after="120"/>
              <w:ind w:right="253"/>
              <w:jc w:val="right"/>
              <w:rPr>
                <w:rFonts w:ascii="Arial" w:hAnsi="Arial" w:cs="Arial"/>
              </w:rPr>
            </w:pPr>
          </w:p>
        </w:tc>
        <w:tc>
          <w:tcPr>
            <w:tcW w:w="1276" w:type="dxa"/>
          </w:tcPr>
          <w:p w:rsidR="009F28F8" w:rsidRPr="006B1074" w:rsidRDefault="009F28F8" w:rsidP="00FC2ABD">
            <w:pPr>
              <w:autoSpaceDE w:val="0"/>
              <w:autoSpaceDN w:val="0"/>
              <w:adjustRightInd w:val="0"/>
              <w:spacing w:after="120"/>
              <w:ind w:right="93"/>
              <w:jc w:val="right"/>
              <w:rPr>
                <w:rFonts w:ascii="Arial" w:hAnsi="Arial" w:cs="Arial"/>
              </w:rPr>
            </w:pPr>
          </w:p>
        </w:tc>
        <w:tc>
          <w:tcPr>
            <w:tcW w:w="1276" w:type="dxa"/>
          </w:tcPr>
          <w:p w:rsidR="009F28F8" w:rsidRPr="006B1074" w:rsidRDefault="009F28F8" w:rsidP="00FC2ABD">
            <w:pPr>
              <w:autoSpaceDE w:val="0"/>
              <w:autoSpaceDN w:val="0"/>
              <w:adjustRightInd w:val="0"/>
              <w:spacing w:after="120"/>
              <w:ind w:right="216"/>
              <w:jc w:val="right"/>
              <w:rPr>
                <w:rFonts w:ascii="Arial" w:hAnsi="Arial" w:cs="Arial"/>
              </w:rPr>
            </w:pPr>
          </w:p>
        </w:tc>
        <w:tc>
          <w:tcPr>
            <w:tcW w:w="1418" w:type="dxa"/>
          </w:tcPr>
          <w:p w:rsidR="009F28F8" w:rsidRPr="00065A27" w:rsidRDefault="009F28F8" w:rsidP="00FC2ABD">
            <w:pPr>
              <w:autoSpaceDE w:val="0"/>
              <w:autoSpaceDN w:val="0"/>
              <w:adjustRightInd w:val="0"/>
              <w:spacing w:after="120"/>
              <w:ind w:right="194"/>
              <w:jc w:val="right"/>
              <w:rPr>
                <w:rFonts w:ascii="Arial" w:hAnsi="Arial" w:cs="Arial"/>
                <w:highlight w:val="yellow"/>
              </w:rPr>
            </w:pPr>
          </w:p>
        </w:tc>
        <w:tc>
          <w:tcPr>
            <w:tcW w:w="1276" w:type="dxa"/>
          </w:tcPr>
          <w:p w:rsidR="009F28F8" w:rsidRPr="00864EC0" w:rsidRDefault="009F28F8" w:rsidP="00FC2ABD">
            <w:pPr>
              <w:autoSpaceDE w:val="0"/>
              <w:autoSpaceDN w:val="0"/>
              <w:adjustRightInd w:val="0"/>
              <w:spacing w:after="120"/>
              <w:ind w:right="175"/>
              <w:jc w:val="right"/>
              <w:rPr>
                <w:rFonts w:ascii="Arial" w:hAnsi="Arial" w:cs="Arial"/>
              </w:rPr>
            </w:pPr>
          </w:p>
        </w:tc>
      </w:tr>
      <w:tr w:rsidR="00FC2ABD" w:rsidRPr="00864EC0" w:rsidTr="00153719">
        <w:tc>
          <w:tcPr>
            <w:tcW w:w="1928" w:type="dxa"/>
          </w:tcPr>
          <w:p w:rsidR="00111CE1" w:rsidRPr="006B1074" w:rsidRDefault="00111CE1" w:rsidP="005A3816">
            <w:pPr>
              <w:autoSpaceDE w:val="0"/>
              <w:autoSpaceDN w:val="0"/>
              <w:adjustRightInd w:val="0"/>
              <w:spacing w:after="120"/>
              <w:rPr>
                <w:rFonts w:ascii="Arial" w:hAnsi="Arial" w:cs="Arial"/>
                <w:i/>
              </w:rPr>
            </w:pPr>
            <w:r w:rsidRPr="006B1074">
              <w:rPr>
                <w:rFonts w:ascii="Arial" w:hAnsi="Arial" w:cs="Arial"/>
                <w:i/>
              </w:rPr>
              <w:t>15 years and under</w:t>
            </w:r>
          </w:p>
        </w:tc>
        <w:tc>
          <w:tcPr>
            <w:tcW w:w="1134" w:type="dxa"/>
          </w:tcPr>
          <w:p w:rsidR="00111CE1" w:rsidRDefault="00111CE1" w:rsidP="00FC2ABD">
            <w:pPr>
              <w:autoSpaceDE w:val="0"/>
              <w:autoSpaceDN w:val="0"/>
              <w:adjustRightInd w:val="0"/>
              <w:spacing w:after="120"/>
              <w:ind w:right="82"/>
              <w:jc w:val="right"/>
              <w:rPr>
                <w:rFonts w:ascii="Arial" w:hAnsi="Arial" w:cs="Arial"/>
              </w:rPr>
            </w:pPr>
            <w:r>
              <w:rPr>
                <w:rFonts w:ascii="Arial" w:hAnsi="Arial" w:cs="Arial"/>
              </w:rPr>
              <w:t>63</w:t>
            </w:r>
            <w:r w:rsidR="003F310C">
              <w:rPr>
                <w:rFonts w:ascii="Arial" w:hAnsi="Arial" w:cs="Arial"/>
              </w:rPr>
              <w:t xml:space="preserve"> </w:t>
            </w:r>
            <w:r>
              <w:rPr>
                <w:rFonts w:ascii="Arial" w:hAnsi="Arial" w:cs="Arial"/>
              </w:rPr>
              <w:t>928</w:t>
            </w:r>
          </w:p>
        </w:tc>
        <w:tc>
          <w:tcPr>
            <w:tcW w:w="1417" w:type="dxa"/>
          </w:tcPr>
          <w:p w:rsidR="00111CE1" w:rsidRDefault="00111CE1" w:rsidP="00FC2ABD">
            <w:pPr>
              <w:autoSpaceDE w:val="0"/>
              <w:autoSpaceDN w:val="0"/>
              <w:adjustRightInd w:val="0"/>
              <w:spacing w:after="120"/>
              <w:ind w:right="253"/>
              <w:jc w:val="right"/>
              <w:rPr>
                <w:rFonts w:ascii="Arial" w:hAnsi="Arial" w:cs="Arial"/>
              </w:rPr>
            </w:pPr>
            <w:r w:rsidRPr="008D4399">
              <w:rPr>
                <w:rFonts w:ascii="Arial" w:hAnsi="Arial" w:cs="Arial"/>
              </w:rPr>
              <w:t>60 485</w:t>
            </w:r>
          </w:p>
        </w:tc>
        <w:tc>
          <w:tcPr>
            <w:tcW w:w="1276" w:type="dxa"/>
          </w:tcPr>
          <w:p w:rsidR="00111CE1" w:rsidRDefault="00F075D0" w:rsidP="00FC2ABD">
            <w:pPr>
              <w:autoSpaceDE w:val="0"/>
              <w:autoSpaceDN w:val="0"/>
              <w:adjustRightInd w:val="0"/>
              <w:spacing w:after="120"/>
              <w:ind w:right="93"/>
              <w:jc w:val="right"/>
              <w:rPr>
                <w:rFonts w:ascii="Arial" w:hAnsi="Arial" w:cs="Arial"/>
              </w:rPr>
            </w:pPr>
            <w:r w:rsidRPr="0032331B">
              <w:rPr>
                <w:rFonts w:ascii="Arial" w:hAnsi="Arial" w:cs="Arial"/>
              </w:rPr>
              <w:t>-</w:t>
            </w:r>
            <w:r w:rsidR="00111CE1" w:rsidRPr="0032331B">
              <w:rPr>
                <w:rFonts w:ascii="Arial" w:hAnsi="Arial" w:cs="Arial"/>
              </w:rPr>
              <w:t>3</w:t>
            </w:r>
            <w:r w:rsidR="003F310C">
              <w:rPr>
                <w:rFonts w:ascii="Arial" w:hAnsi="Arial" w:cs="Arial"/>
              </w:rPr>
              <w:t xml:space="preserve"> </w:t>
            </w:r>
            <w:r w:rsidR="00111CE1" w:rsidRPr="0032331B">
              <w:rPr>
                <w:rFonts w:ascii="Arial" w:hAnsi="Arial" w:cs="Arial"/>
              </w:rPr>
              <w:t>443</w:t>
            </w:r>
          </w:p>
        </w:tc>
        <w:tc>
          <w:tcPr>
            <w:tcW w:w="1276" w:type="dxa"/>
          </w:tcPr>
          <w:p w:rsidR="00111CE1" w:rsidRPr="006B1074" w:rsidRDefault="00111CE1" w:rsidP="00FC2ABD">
            <w:pPr>
              <w:autoSpaceDE w:val="0"/>
              <w:autoSpaceDN w:val="0"/>
              <w:adjustRightInd w:val="0"/>
              <w:spacing w:after="120"/>
              <w:ind w:right="216"/>
              <w:jc w:val="right"/>
              <w:rPr>
                <w:rFonts w:ascii="Arial" w:hAnsi="Arial" w:cs="Arial"/>
              </w:rPr>
            </w:pPr>
            <w:r>
              <w:rPr>
                <w:rFonts w:ascii="Arial" w:hAnsi="Arial" w:cs="Arial"/>
              </w:rPr>
              <w:t>64 261</w:t>
            </w:r>
          </w:p>
        </w:tc>
        <w:tc>
          <w:tcPr>
            <w:tcW w:w="1418" w:type="dxa"/>
          </w:tcPr>
          <w:p w:rsidR="00111CE1" w:rsidRPr="008D4399" w:rsidRDefault="00111CE1" w:rsidP="00FC2ABD">
            <w:pPr>
              <w:autoSpaceDE w:val="0"/>
              <w:autoSpaceDN w:val="0"/>
              <w:adjustRightInd w:val="0"/>
              <w:spacing w:after="120"/>
              <w:ind w:right="194"/>
              <w:jc w:val="right"/>
              <w:rPr>
                <w:rFonts w:ascii="Arial" w:hAnsi="Arial" w:cs="Arial"/>
              </w:rPr>
            </w:pPr>
            <w:r w:rsidRPr="008D4399">
              <w:rPr>
                <w:rFonts w:ascii="Arial" w:hAnsi="Arial" w:cs="Arial"/>
              </w:rPr>
              <w:t>60 485</w:t>
            </w:r>
          </w:p>
        </w:tc>
        <w:tc>
          <w:tcPr>
            <w:tcW w:w="1276" w:type="dxa"/>
          </w:tcPr>
          <w:p w:rsidR="00111CE1" w:rsidRPr="00864EC0" w:rsidRDefault="00111CE1"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3</w:t>
            </w:r>
            <w:r w:rsidR="003F310C">
              <w:rPr>
                <w:rFonts w:ascii="Arial" w:hAnsi="Arial" w:cs="Arial"/>
              </w:rPr>
              <w:t xml:space="preserve"> </w:t>
            </w:r>
            <w:r w:rsidRPr="00864EC0">
              <w:rPr>
                <w:rFonts w:ascii="Arial" w:hAnsi="Arial" w:cs="Arial"/>
              </w:rPr>
              <w:t>776</w:t>
            </w:r>
          </w:p>
        </w:tc>
      </w:tr>
      <w:tr w:rsidR="00FC2ABD" w:rsidRPr="00864EC0" w:rsidTr="00153719">
        <w:tc>
          <w:tcPr>
            <w:tcW w:w="1928" w:type="dxa"/>
          </w:tcPr>
          <w:p w:rsidR="00111CE1" w:rsidRPr="006B1074" w:rsidRDefault="00111CE1" w:rsidP="005A3816">
            <w:pPr>
              <w:autoSpaceDE w:val="0"/>
              <w:autoSpaceDN w:val="0"/>
              <w:adjustRightInd w:val="0"/>
              <w:spacing w:after="120"/>
              <w:rPr>
                <w:rFonts w:ascii="Arial" w:hAnsi="Arial" w:cs="Arial"/>
                <w:i/>
              </w:rPr>
            </w:pPr>
            <w:r w:rsidRPr="006B1074">
              <w:rPr>
                <w:rFonts w:ascii="Arial" w:hAnsi="Arial" w:cs="Arial"/>
                <w:i/>
              </w:rPr>
              <w:t>15-64 years</w:t>
            </w:r>
          </w:p>
        </w:tc>
        <w:tc>
          <w:tcPr>
            <w:tcW w:w="1134" w:type="dxa"/>
          </w:tcPr>
          <w:p w:rsidR="00111CE1" w:rsidRDefault="00111CE1" w:rsidP="00FC2ABD">
            <w:pPr>
              <w:autoSpaceDE w:val="0"/>
              <w:autoSpaceDN w:val="0"/>
              <w:adjustRightInd w:val="0"/>
              <w:spacing w:after="120"/>
              <w:ind w:right="82"/>
              <w:jc w:val="right"/>
              <w:rPr>
                <w:rFonts w:ascii="Arial" w:hAnsi="Arial" w:cs="Arial"/>
              </w:rPr>
            </w:pPr>
            <w:r>
              <w:rPr>
                <w:rFonts w:ascii="Arial" w:hAnsi="Arial" w:cs="Arial"/>
              </w:rPr>
              <w:t>179</w:t>
            </w:r>
            <w:r w:rsidR="003F310C">
              <w:rPr>
                <w:rFonts w:ascii="Arial" w:hAnsi="Arial" w:cs="Arial"/>
              </w:rPr>
              <w:t xml:space="preserve"> </w:t>
            </w:r>
            <w:r>
              <w:rPr>
                <w:rFonts w:ascii="Arial" w:hAnsi="Arial" w:cs="Arial"/>
              </w:rPr>
              <w:t>132</w:t>
            </w:r>
          </w:p>
        </w:tc>
        <w:tc>
          <w:tcPr>
            <w:tcW w:w="1417" w:type="dxa"/>
          </w:tcPr>
          <w:p w:rsidR="00111CE1" w:rsidRDefault="00111CE1" w:rsidP="00FC2ABD">
            <w:pPr>
              <w:autoSpaceDE w:val="0"/>
              <w:autoSpaceDN w:val="0"/>
              <w:adjustRightInd w:val="0"/>
              <w:spacing w:after="120"/>
              <w:ind w:right="253"/>
              <w:jc w:val="right"/>
              <w:rPr>
                <w:rFonts w:ascii="Arial" w:hAnsi="Arial" w:cs="Arial"/>
              </w:rPr>
            </w:pPr>
            <w:r w:rsidRPr="008D4399">
              <w:rPr>
                <w:rFonts w:ascii="Arial" w:hAnsi="Arial" w:cs="Arial"/>
              </w:rPr>
              <w:t>183 115</w:t>
            </w:r>
          </w:p>
        </w:tc>
        <w:tc>
          <w:tcPr>
            <w:tcW w:w="1276" w:type="dxa"/>
          </w:tcPr>
          <w:p w:rsidR="00111CE1" w:rsidRDefault="00111CE1" w:rsidP="00FC2ABD">
            <w:pPr>
              <w:autoSpaceDE w:val="0"/>
              <w:autoSpaceDN w:val="0"/>
              <w:adjustRightInd w:val="0"/>
              <w:spacing w:after="120"/>
              <w:ind w:right="93"/>
              <w:jc w:val="right"/>
              <w:rPr>
                <w:rFonts w:ascii="Arial" w:hAnsi="Arial" w:cs="Arial"/>
              </w:rPr>
            </w:pPr>
            <w:r w:rsidRPr="0032331B">
              <w:rPr>
                <w:rFonts w:ascii="Arial" w:hAnsi="Arial" w:cs="Arial"/>
              </w:rPr>
              <w:t>3</w:t>
            </w:r>
            <w:r w:rsidR="003F310C">
              <w:rPr>
                <w:rFonts w:ascii="Arial" w:hAnsi="Arial" w:cs="Arial"/>
              </w:rPr>
              <w:t xml:space="preserve"> </w:t>
            </w:r>
            <w:r w:rsidRPr="0032331B">
              <w:rPr>
                <w:rFonts w:ascii="Arial" w:hAnsi="Arial" w:cs="Arial"/>
              </w:rPr>
              <w:t>983</w:t>
            </w:r>
          </w:p>
        </w:tc>
        <w:tc>
          <w:tcPr>
            <w:tcW w:w="1276" w:type="dxa"/>
          </w:tcPr>
          <w:p w:rsidR="00111CE1" w:rsidRPr="006B1074" w:rsidRDefault="00111CE1" w:rsidP="00FC2ABD">
            <w:pPr>
              <w:autoSpaceDE w:val="0"/>
              <w:autoSpaceDN w:val="0"/>
              <w:adjustRightInd w:val="0"/>
              <w:spacing w:after="120"/>
              <w:ind w:right="216"/>
              <w:jc w:val="right"/>
              <w:rPr>
                <w:rFonts w:ascii="Arial" w:hAnsi="Arial" w:cs="Arial"/>
              </w:rPr>
            </w:pPr>
            <w:r>
              <w:rPr>
                <w:rFonts w:ascii="Arial" w:hAnsi="Arial" w:cs="Arial"/>
              </w:rPr>
              <w:t>183 242</w:t>
            </w:r>
          </w:p>
        </w:tc>
        <w:tc>
          <w:tcPr>
            <w:tcW w:w="1418" w:type="dxa"/>
          </w:tcPr>
          <w:p w:rsidR="00111CE1" w:rsidRPr="008D4399" w:rsidRDefault="00111CE1" w:rsidP="00FC2ABD">
            <w:pPr>
              <w:autoSpaceDE w:val="0"/>
              <w:autoSpaceDN w:val="0"/>
              <w:adjustRightInd w:val="0"/>
              <w:spacing w:after="120"/>
              <w:ind w:right="194"/>
              <w:jc w:val="right"/>
              <w:rPr>
                <w:rFonts w:ascii="Arial" w:hAnsi="Arial" w:cs="Arial"/>
              </w:rPr>
            </w:pPr>
            <w:r w:rsidRPr="008D4399">
              <w:rPr>
                <w:rFonts w:ascii="Arial" w:hAnsi="Arial" w:cs="Arial"/>
              </w:rPr>
              <w:t>183 115</w:t>
            </w:r>
          </w:p>
        </w:tc>
        <w:tc>
          <w:tcPr>
            <w:tcW w:w="1276" w:type="dxa"/>
          </w:tcPr>
          <w:p w:rsidR="00111CE1" w:rsidRPr="00864EC0" w:rsidRDefault="00111CE1"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127</w:t>
            </w:r>
          </w:p>
        </w:tc>
      </w:tr>
      <w:tr w:rsidR="00FC2ABD" w:rsidRPr="00864EC0" w:rsidTr="00153719">
        <w:tc>
          <w:tcPr>
            <w:tcW w:w="1928" w:type="dxa"/>
          </w:tcPr>
          <w:p w:rsidR="00111CE1" w:rsidRPr="006B1074" w:rsidRDefault="00111CE1" w:rsidP="005A3816">
            <w:pPr>
              <w:autoSpaceDE w:val="0"/>
              <w:autoSpaceDN w:val="0"/>
              <w:adjustRightInd w:val="0"/>
              <w:spacing w:after="120"/>
              <w:rPr>
                <w:rFonts w:ascii="Arial" w:hAnsi="Arial" w:cs="Arial"/>
                <w:i/>
              </w:rPr>
            </w:pPr>
            <w:r w:rsidRPr="006B1074">
              <w:rPr>
                <w:rFonts w:ascii="Arial" w:hAnsi="Arial" w:cs="Arial"/>
                <w:i/>
              </w:rPr>
              <w:t>65 years and over</w:t>
            </w:r>
          </w:p>
        </w:tc>
        <w:tc>
          <w:tcPr>
            <w:tcW w:w="1134" w:type="dxa"/>
          </w:tcPr>
          <w:p w:rsidR="00111CE1" w:rsidRDefault="00111CE1" w:rsidP="00FC2ABD">
            <w:pPr>
              <w:autoSpaceDE w:val="0"/>
              <w:autoSpaceDN w:val="0"/>
              <w:adjustRightInd w:val="0"/>
              <w:spacing w:after="120"/>
              <w:ind w:right="82"/>
              <w:jc w:val="right"/>
              <w:rPr>
                <w:rFonts w:ascii="Arial" w:hAnsi="Arial" w:cs="Arial"/>
              </w:rPr>
            </w:pPr>
            <w:r>
              <w:rPr>
                <w:rFonts w:ascii="Arial" w:hAnsi="Arial" w:cs="Arial"/>
              </w:rPr>
              <w:t>20</w:t>
            </w:r>
            <w:r w:rsidR="003F310C">
              <w:rPr>
                <w:rFonts w:ascii="Arial" w:hAnsi="Arial" w:cs="Arial"/>
              </w:rPr>
              <w:t xml:space="preserve"> </w:t>
            </w:r>
            <w:r>
              <w:rPr>
                <w:rFonts w:ascii="Arial" w:hAnsi="Arial" w:cs="Arial"/>
              </w:rPr>
              <w:t>272</w:t>
            </w:r>
          </w:p>
        </w:tc>
        <w:tc>
          <w:tcPr>
            <w:tcW w:w="1417" w:type="dxa"/>
          </w:tcPr>
          <w:p w:rsidR="00111CE1" w:rsidRDefault="00111CE1" w:rsidP="00FC2ABD">
            <w:pPr>
              <w:autoSpaceDE w:val="0"/>
              <w:autoSpaceDN w:val="0"/>
              <w:adjustRightInd w:val="0"/>
              <w:spacing w:after="120"/>
              <w:ind w:right="253"/>
              <w:jc w:val="right"/>
              <w:rPr>
                <w:rFonts w:ascii="Arial" w:hAnsi="Arial" w:cs="Arial"/>
              </w:rPr>
            </w:pPr>
            <w:r w:rsidRPr="008D4399">
              <w:rPr>
                <w:rFonts w:ascii="Arial" w:hAnsi="Arial" w:cs="Arial"/>
              </w:rPr>
              <w:t>19 354</w:t>
            </w:r>
          </w:p>
        </w:tc>
        <w:tc>
          <w:tcPr>
            <w:tcW w:w="1276" w:type="dxa"/>
          </w:tcPr>
          <w:p w:rsidR="00111CE1" w:rsidRDefault="00F075D0" w:rsidP="00FC2ABD">
            <w:pPr>
              <w:autoSpaceDE w:val="0"/>
              <w:autoSpaceDN w:val="0"/>
              <w:adjustRightInd w:val="0"/>
              <w:spacing w:after="120"/>
              <w:ind w:right="93"/>
              <w:jc w:val="right"/>
              <w:rPr>
                <w:rFonts w:ascii="Arial" w:hAnsi="Arial" w:cs="Arial"/>
              </w:rPr>
            </w:pPr>
            <w:r w:rsidRPr="0032331B">
              <w:rPr>
                <w:rFonts w:ascii="Arial" w:hAnsi="Arial" w:cs="Arial"/>
              </w:rPr>
              <w:t>-</w:t>
            </w:r>
            <w:r w:rsidR="00111CE1" w:rsidRPr="0032331B">
              <w:rPr>
                <w:rFonts w:ascii="Arial" w:hAnsi="Arial" w:cs="Arial"/>
              </w:rPr>
              <w:t>918</w:t>
            </w:r>
          </w:p>
        </w:tc>
        <w:tc>
          <w:tcPr>
            <w:tcW w:w="1276" w:type="dxa"/>
          </w:tcPr>
          <w:p w:rsidR="00111CE1" w:rsidRPr="006B1074" w:rsidRDefault="00111CE1" w:rsidP="00FC2ABD">
            <w:pPr>
              <w:autoSpaceDE w:val="0"/>
              <w:autoSpaceDN w:val="0"/>
              <w:adjustRightInd w:val="0"/>
              <w:spacing w:after="120"/>
              <w:ind w:right="216"/>
              <w:jc w:val="right"/>
              <w:rPr>
                <w:rFonts w:ascii="Arial" w:hAnsi="Arial" w:cs="Arial"/>
              </w:rPr>
            </w:pPr>
            <w:r>
              <w:rPr>
                <w:rFonts w:ascii="Arial" w:hAnsi="Arial" w:cs="Arial"/>
              </w:rPr>
              <w:t>19 574</w:t>
            </w:r>
          </w:p>
        </w:tc>
        <w:tc>
          <w:tcPr>
            <w:tcW w:w="1418" w:type="dxa"/>
          </w:tcPr>
          <w:p w:rsidR="00111CE1" w:rsidRPr="008D4399" w:rsidRDefault="00111CE1" w:rsidP="00FC2ABD">
            <w:pPr>
              <w:autoSpaceDE w:val="0"/>
              <w:autoSpaceDN w:val="0"/>
              <w:adjustRightInd w:val="0"/>
              <w:spacing w:after="120"/>
              <w:ind w:right="194"/>
              <w:jc w:val="right"/>
              <w:rPr>
                <w:rFonts w:ascii="Arial" w:hAnsi="Arial" w:cs="Arial"/>
              </w:rPr>
            </w:pPr>
            <w:r w:rsidRPr="008D4399">
              <w:rPr>
                <w:rFonts w:ascii="Arial" w:hAnsi="Arial" w:cs="Arial"/>
              </w:rPr>
              <w:t>19 354</w:t>
            </w:r>
          </w:p>
        </w:tc>
        <w:tc>
          <w:tcPr>
            <w:tcW w:w="1276" w:type="dxa"/>
          </w:tcPr>
          <w:p w:rsidR="00111CE1" w:rsidRPr="00864EC0" w:rsidRDefault="00111CE1"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220</w:t>
            </w:r>
          </w:p>
        </w:tc>
      </w:tr>
      <w:tr w:rsidR="00FC2ABD" w:rsidRPr="00864EC0" w:rsidTr="00153719">
        <w:tc>
          <w:tcPr>
            <w:tcW w:w="1928" w:type="dxa"/>
            <w:tcBorders>
              <w:bottom w:val="single" w:sz="4" w:space="0" w:color="auto"/>
            </w:tcBorders>
            <w:shd w:val="clear" w:color="auto" w:fill="D9D9D9"/>
          </w:tcPr>
          <w:p w:rsidR="009F28F8" w:rsidRPr="006B1074" w:rsidRDefault="009F28F8" w:rsidP="005A3816">
            <w:pPr>
              <w:autoSpaceDE w:val="0"/>
              <w:autoSpaceDN w:val="0"/>
              <w:adjustRightInd w:val="0"/>
              <w:spacing w:after="120"/>
              <w:rPr>
                <w:rFonts w:ascii="Arial" w:hAnsi="Arial" w:cs="Arial"/>
                <w:b/>
              </w:rPr>
            </w:pPr>
            <w:r w:rsidRPr="006B1074">
              <w:rPr>
                <w:rFonts w:ascii="Arial" w:hAnsi="Arial" w:cs="Arial"/>
                <w:b/>
              </w:rPr>
              <w:t>2030</w:t>
            </w:r>
          </w:p>
        </w:tc>
        <w:tc>
          <w:tcPr>
            <w:tcW w:w="1134" w:type="dxa"/>
            <w:tcBorders>
              <w:bottom w:val="single" w:sz="4" w:space="0" w:color="auto"/>
            </w:tcBorders>
            <w:shd w:val="clear" w:color="auto" w:fill="D9D9D9"/>
          </w:tcPr>
          <w:p w:rsidR="009F28F8" w:rsidRPr="006B1074" w:rsidRDefault="009F28F8" w:rsidP="00FC2ABD">
            <w:pPr>
              <w:autoSpaceDE w:val="0"/>
              <w:autoSpaceDN w:val="0"/>
              <w:adjustRightInd w:val="0"/>
              <w:spacing w:after="120"/>
              <w:ind w:right="82"/>
              <w:jc w:val="right"/>
              <w:rPr>
                <w:rFonts w:ascii="Arial" w:hAnsi="Arial" w:cs="Arial"/>
              </w:rPr>
            </w:pPr>
          </w:p>
        </w:tc>
        <w:tc>
          <w:tcPr>
            <w:tcW w:w="1417" w:type="dxa"/>
            <w:tcBorders>
              <w:bottom w:val="single" w:sz="4" w:space="0" w:color="auto"/>
            </w:tcBorders>
            <w:shd w:val="clear" w:color="auto" w:fill="D9D9D9"/>
          </w:tcPr>
          <w:p w:rsidR="009F28F8" w:rsidRPr="006B1074" w:rsidRDefault="009F28F8" w:rsidP="00FC2ABD">
            <w:pPr>
              <w:autoSpaceDE w:val="0"/>
              <w:autoSpaceDN w:val="0"/>
              <w:adjustRightInd w:val="0"/>
              <w:spacing w:after="120"/>
              <w:ind w:right="253"/>
              <w:jc w:val="right"/>
              <w:rPr>
                <w:rFonts w:ascii="Arial" w:hAnsi="Arial" w:cs="Arial"/>
              </w:rPr>
            </w:pPr>
          </w:p>
        </w:tc>
        <w:tc>
          <w:tcPr>
            <w:tcW w:w="1276" w:type="dxa"/>
            <w:tcBorders>
              <w:bottom w:val="single" w:sz="4" w:space="0" w:color="auto"/>
            </w:tcBorders>
            <w:shd w:val="clear" w:color="auto" w:fill="D9D9D9"/>
          </w:tcPr>
          <w:p w:rsidR="009F28F8" w:rsidRPr="006B1074" w:rsidRDefault="009F28F8" w:rsidP="00FC2ABD">
            <w:pPr>
              <w:autoSpaceDE w:val="0"/>
              <w:autoSpaceDN w:val="0"/>
              <w:adjustRightInd w:val="0"/>
              <w:spacing w:after="120"/>
              <w:ind w:right="93"/>
              <w:jc w:val="right"/>
              <w:rPr>
                <w:rFonts w:ascii="Arial" w:hAnsi="Arial" w:cs="Arial"/>
              </w:rPr>
            </w:pPr>
          </w:p>
        </w:tc>
        <w:tc>
          <w:tcPr>
            <w:tcW w:w="1276" w:type="dxa"/>
            <w:tcBorders>
              <w:bottom w:val="single" w:sz="4" w:space="0" w:color="auto"/>
            </w:tcBorders>
            <w:shd w:val="clear" w:color="auto" w:fill="D9D9D9"/>
          </w:tcPr>
          <w:p w:rsidR="009F28F8" w:rsidRPr="006B1074" w:rsidRDefault="009F28F8" w:rsidP="00FC2ABD">
            <w:pPr>
              <w:autoSpaceDE w:val="0"/>
              <w:autoSpaceDN w:val="0"/>
              <w:adjustRightInd w:val="0"/>
              <w:spacing w:after="120"/>
              <w:ind w:right="216"/>
              <w:jc w:val="right"/>
              <w:rPr>
                <w:rFonts w:ascii="Arial" w:hAnsi="Arial" w:cs="Arial"/>
              </w:rPr>
            </w:pPr>
          </w:p>
        </w:tc>
        <w:tc>
          <w:tcPr>
            <w:tcW w:w="1418" w:type="dxa"/>
            <w:tcBorders>
              <w:bottom w:val="single" w:sz="4" w:space="0" w:color="auto"/>
            </w:tcBorders>
            <w:shd w:val="clear" w:color="auto" w:fill="D9D9D9"/>
          </w:tcPr>
          <w:p w:rsidR="009F28F8" w:rsidRPr="008D4399" w:rsidRDefault="009F28F8" w:rsidP="00FC2ABD">
            <w:pPr>
              <w:autoSpaceDE w:val="0"/>
              <w:autoSpaceDN w:val="0"/>
              <w:adjustRightInd w:val="0"/>
              <w:spacing w:after="120"/>
              <w:ind w:right="194"/>
              <w:jc w:val="right"/>
              <w:rPr>
                <w:rFonts w:ascii="Arial" w:hAnsi="Arial" w:cs="Arial"/>
              </w:rPr>
            </w:pPr>
          </w:p>
        </w:tc>
        <w:tc>
          <w:tcPr>
            <w:tcW w:w="1276" w:type="dxa"/>
            <w:tcBorders>
              <w:bottom w:val="single" w:sz="4" w:space="0" w:color="auto"/>
            </w:tcBorders>
            <w:shd w:val="clear" w:color="auto" w:fill="D9D9D9"/>
          </w:tcPr>
          <w:p w:rsidR="009F28F8" w:rsidRPr="00864EC0" w:rsidRDefault="009F28F8" w:rsidP="00FC2ABD">
            <w:pPr>
              <w:autoSpaceDE w:val="0"/>
              <w:autoSpaceDN w:val="0"/>
              <w:adjustRightInd w:val="0"/>
              <w:spacing w:after="120"/>
              <w:ind w:right="175"/>
              <w:jc w:val="right"/>
              <w:rPr>
                <w:rFonts w:ascii="Arial" w:hAnsi="Arial" w:cs="Arial"/>
              </w:rPr>
            </w:pPr>
          </w:p>
        </w:tc>
      </w:tr>
      <w:tr w:rsidR="00FC2ABD" w:rsidRPr="00864EC0" w:rsidTr="00153719">
        <w:tc>
          <w:tcPr>
            <w:tcW w:w="1928" w:type="dxa"/>
            <w:tcBorders>
              <w:top w:val="single" w:sz="4" w:space="0" w:color="auto"/>
            </w:tcBorders>
          </w:tcPr>
          <w:p w:rsidR="009F28F8" w:rsidRPr="006B1074" w:rsidRDefault="009F28F8" w:rsidP="005A3816">
            <w:pPr>
              <w:autoSpaceDE w:val="0"/>
              <w:autoSpaceDN w:val="0"/>
              <w:adjustRightInd w:val="0"/>
              <w:spacing w:after="120"/>
              <w:rPr>
                <w:rFonts w:ascii="Arial" w:hAnsi="Arial" w:cs="Arial"/>
                <w:b/>
              </w:rPr>
            </w:pPr>
            <w:r w:rsidRPr="006B1074">
              <w:rPr>
                <w:rFonts w:ascii="Arial" w:hAnsi="Arial" w:cs="Arial"/>
                <w:b/>
              </w:rPr>
              <w:t>NT Total</w:t>
            </w:r>
          </w:p>
        </w:tc>
        <w:tc>
          <w:tcPr>
            <w:tcW w:w="1134" w:type="dxa"/>
            <w:tcBorders>
              <w:top w:val="single" w:sz="4" w:space="0" w:color="auto"/>
            </w:tcBorders>
          </w:tcPr>
          <w:p w:rsidR="009F28F8" w:rsidRPr="006B1074" w:rsidRDefault="009F28F8" w:rsidP="00FC2ABD">
            <w:pPr>
              <w:autoSpaceDE w:val="0"/>
              <w:autoSpaceDN w:val="0"/>
              <w:adjustRightInd w:val="0"/>
              <w:spacing w:after="120"/>
              <w:ind w:right="82"/>
              <w:jc w:val="right"/>
              <w:rPr>
                <w:rFonts w:ascii="Arial" w:hAnsi="Arial" w:cs="Arial"/>
              </w:rPr>
            </w:pPr>
          </w:p>
        </w:tc>
        <w:tc>
          <w:tcPr>
            <w:tcW w:w="1417" w:type="dxa"/>
            <w:tcBorders>
              <w:top w:val="single" w:sz="4" w:space="0" w:color="auto"/>
            </w:tcBorders>
          </w:tcPr>
          <w:p w:rsidR="009F28F8" w:rsidRPr="006B1074" w:rsidRDefault="009F28F8" w:rsidP="00FC2ABD">
            <w:pPr>
              <w:autoSpaceDE w:val="0"/>
              <w:autoSpaceDN w:val="0"/>
              <w:adjustRightInd w:val="0"/>
              <w:spacing w:after="120"/>
              <w:ind w:right="253"/>
              <w:jc w:val="right"/>
              <w:rPr>
                <w:rFonts w:ascii="Arial" w:hAnsi="Arial" w:cs="Arial"/>
              </w:rPr>
            </w:pPr>
          </w:p>
        </w:tc>
        <w:tc>
          <w:tcPr>
            <w:tcW w:w="1276" w:type="dxa"/>
            <w:tcBorders>
              <w:top w:val="single" w:sz="4" w:space="0" w:color="auto"/>
            </w:tcBorders>
          </w:tcPr>
          <w:p w:rsidR="009F28F8" w:rsidRPr="006B1074" w:rsidRDefault="009F28F8" w:rsidP="00FC2ABD">
            <w:pPr>
              <w:autoSpaceDE w:val="0"/>
              <w:autoSpaceDN w:val="0"/>
              <w:adjustRightInd w:val="0"/>
              <w:spacing w:after="120"/>
              <w:ind w:right="93"/>
              <w:jc w:val="right"/>
              <w:rPr>
                <w:rFonts w:ascii="Arial" w:hAnsi="Arial" w:cs="Arial"/>
              </w:rPr>
            </w:pPr>
          </w:p>
        </w:tc>
        <w:tc>
          <w:tcPr>
            <w:tcW w:w="1276" w:type="dxa"/>
            <w:tcBorders>
              <w:top w:val="single" w:sz="4" w:space="0" w:color="auto"/>
            </w:tcBorders>
          </w:tcPr>
          <w:p w:rsidR="009F28F8" w:rsidRPr="006B1074" w:rsidRDefault="009F28F8" w:rsidP="00FC2ABD">
            <w:pPr>
              <w:autoSpaceDE w:val="0"/>
              <w:autoSpaceDN w:val="0"/>
              <w:adjustRightInd w:val="0"/>
              <w:spacing w:after="120"/>
              <w:ind w:right="216"/>
              <w:jc w:val="right"/>
              <w:rPr>
                <w:rFonts w:ascii="Arial" w:hAnsi="Arial" w:cs="Arial"/>
              </w:rPr>
            </w:pPr>
          </w:p>
        </w:tc>
        <w:tc>
          <w:tcPr>
            <w:tcW w:w="1418" w:type="dxa"/>
            <w:tcBorders>
              <w:top w:val="single" w:sz="4" w:space="0" w:color="auto"/>
            </w:tcBorders>
          </w:tcPr>
          <w:p w:rsidR="009F28F8" w:rsidRPr="008D4399" w:rsidRDefault="009F28F8" w:rsidP="00FC2ABD">
            <w:pPr>
              <w:autoSpaceDE w:val="0"/>
              <w:autoSpaceDN w:val="0"/>
              <w:adjustRightInd w:val="0"/>
              <w:spacing w:after="120"/>
              <w:ind w:right="194"/>
              <w:jc w:val="right"/>
              <w:rPr>
                <w:rFonts w:ascii="Arial" w:hAnsi="Arial" w:cs="Arial"/>
              </w:rPr>
            </w:pPr>
          </w:p>
        </w:tc>
        <w:tc>
          <w:tcPr>
            <w:tcW w:w="1276" w:type="dxa"/>
            <w:tcBorders>
              <w:top w:val="single" w:sz="4" w:space="0" w:color="auto"/>
            </w:tcBorders>
          </w:tcPr>
          <w:p w:rsidR="009F28F8" w:rsidRPr="00864EC0" w:rsidRDefault="009F28F8" w:rsidP="00FC2ABD">
            <w:pPr>
              <w:autoSpaceDE w:val="0"/>
              <w:autoSpaceDN w:val="0"/>
              <w:adjustRightInd w:val="0"/>
              <w:spacing w:after="120"/>
              <w:ind w:right="175"/>
              <w:jc w:val="right"/>
              <w:rPr>
                <w:rFonts w:ascii="Arial" w:hAnsi="Arial" w:cs="Arial"/>
              </w:rPr>
            </w:pPr>
          </w:p>
        </w:tc>
      </w:tr>
      <w:tr w:rsidR="00FC2ABD" w:rsidRPr="00864EC0" w:rsidTr="00153719">
        <w:tc>
          <w:tcPr>
            <w:tcW w:w="1928" w:type="dxa"/>
          </w:tcPr>
          <w:p w:rsidR="00111CE1" w:rsidRPr="006B1074" w:rsidRDefault="00111CE1" w:rsidP="005A3816">
            <w:pPr>
              <w:autoSpaceDE w:val="0"/>
              <w:autoSpaceDN w:val="0"/>
              <w:adjustRightInd w:val="0"/>
              <w:spacing w:after="120"/>
              <w:rPr>
                <w:rFonts w:ascii="Arial" w:hAnsi="Arial" w:cs="Arial"/>
                <w:i/>
              </w:rPr>
            </w:pPr>
            <w:r w:rsidRPr="006B1074">
              <w:rPr>
                <w:rFonts w:ascii="Arial" w:hAnsi="Arial" w:cs="Arial"/>
                <w:i/>
              </w:rPr>
              <w:t xml:space="preserve">Indigenous </w:t>
            </w:r>
          </w:p>
        </w:tc>
        <w:tc>
          <w:tcPr>
            <w:tcW w:w="1134" w:type="dxa"/>
          </w:tcPr>
          <w:p w:rsidR="00111CE1" w:rsidRDefault="00111CE1" w:rsidP="00FC2ABD">
            <w:pPr>
              <w:autoSpaceDE w:val="0"/>
              <w:autoSpaceDN w:val="0"/>
              <w:adjustRightInd w:val="0"/>
              <w:spacing w:after="120"/>
              <w:ind w:right="82"/>
              <w:jc w:val="right"/>
              <w:rPr>
                <w:rFonts w:ascii="Arial" w:hAnsi="Arial" w:cs="Arial"/>
              </w:rPr>
            </w:pPr>
            <w:r>
              <w:rPr>
                <w:rFonts w:ascii="Arial" w:hAnsi="Arial" w:cs="Arial"/>
              </w:rPr>
              <w:t>93</w:t>
            </w:r>
            <w:r w:rsidR="003F310C">
              <w:rPr>
                <w:rFonts w:ascii="Arial" w:hAnsi="Arial" w:cs="Arial"/>
              </w:rPr>
              <w:t xml:space="preserve"> </w:t>
            </w:r>
            <w:r>
              <w:rPr>
                <w:rFonts w:ascii="Arial" w:hAnsi="Arial" w:cs="Arial"/>
              </w:rPr>
              <w:t>181</w:t>
            </w:r>
          </w:p>
        </w:tc>
        <w:tc>
          <w:tcPr>
            <w:tcW w:w="1417" w:type="dxa"/>
          </w:tcPr>
          <w:p w:rsidR="00111CE1" w:rsidRDefault="00111CE1" w:rsidP="00FC2ABD">
            <w:pPr>
              <w:autoSpaceDE w:val="0"/>
              <w:autoSpaceDN w:val="0"/>
              <w:adjustRightInd w:val="0"/>
              <w:spacing w:after="120"/>
              <w:ind w:right="253"/>
              <w:jc w:val="right"/>
              <w:rPr>
                <w:rFonts w:ascii="Arial" w:hAnsi="Arial" w:cs="Arial"/>
              </w:rPr>
            </w:pPr>
            <w:r w:rsidRPr="008D4399">
              <w:rPr>
                <w:rFonts w:ascii="Arial" w:hAnsi="Arial" w:cs="Arial"/>
              </w:rPr>
              <w:t>88 3</w:t>
            </w:r>
            <w:r>
              <w:rPr>
                <w:rFonts w:ascii="Arial" w:hAnsi="Arial" w:cs="Arial"/>
              </w:rPr>
              <w:t>58</w:t>
            </w:r>
          </w:p>
        </w:tc>
        <w:tc>
          <w:tcPr>
            <w:tcW w:w="1276" w:type="dxa"/>
          </w:tcPr>
          <w:p w:rsidR="00111CE1" w:rsidRDefault="00F075D0" w:rsidP="00FC2ABD">
            <w:pPr>
              <w:autoSpaceDE w:val="0"/>
              <w:autoSpaceDN w:val="0"/>
              <w:adjustRightInd w:val="0"/>
              <w:spacing w:after="120"/>
              <w:ind w:right="93"/>
              <w:jc w:val="right"/>
              <w:rPr>
                <w:rFonts w:ascii="Arial" w:hAnsi="Arial" w:cs="Arial"/>
              </w:rPr>
            </w:pPr>
            <w:r w:rsidRPr="0032331B">
              <w:rPr>
                <w:rFonts w:ascii="Arial" w:hAnsi="Arial" w:cs="Arial"/>
              </w:rPr>
              <w:t>-</w:t>
            </w:r>
            <w:r w:rsidR="00111CE1" w:rsidRPr="0032331B">
              <w:rPr>
                <w:rFonts w:ascii="Arial" w:hAnsi="Arial" w:cs="Arial"/>
              </w:rPr>
              <w:t>4</w:t>
            </w:r>
            <w:r w:rsidR="003F310C">
              <w:rPr>
                <w:rFonts w:ascii="Arial" w:hAnsi="Arial" w:cs="Arial"/>
              </w:rPr>
              <w:t xml:space="preserve"> </w:t>
            </w:r>
            <w:r w:rsidR="00111CE1" w:rsidRPr="0032331B">
              <w:rPr>
                <w:rFonts w:ascii="Arial" w:hAnsi="Arial" w:cs="Arial"/>
              </w:rPr>
              <w:t>823</w:t>
            </w:r>
          </w:p>
        </w:tc>
        <w:tc>
          <w:tcPr>
            <w:tcW w:w="1276" w:type="dxa"/>
          </w:tcPr>
          <w:p w:rsidR="00111CE1" w:rsidRPr="006B1074" w:rsidRDefault="00111CE1" w:rsidP="00FC2ABD">
            <w:pPr>
              <w:autoSpaceDE w:val="0"/>
              <w:autoSpaceDN w:val="0"/>
              <w:adjustRightInd w:val="0"/>
              <w:spacing w:after="120"/>
              <w:ind w:right="216"/>
              <w:jc w:val="right"/>
              <w:rPr>
                <w:rFonts w:ascii="Arial" w:hAnsi="Arial" w:cs="Arial"/>
              </w:rPr>
            </w:pPr>
            <w:r>
              <w:rPr>
                <w:rFonts w:ascii="Arial" w:hAnsi="Arial" w:cs="Arial"/>
              </w:rPr>
              <w:t>94</w:t>
            </w:r>
            <w:r w:rsidR="003F310C">
              <w:rPr>
                <w:rFonts w:ascii="Arial" w:hAnsi="Arial" w:cs="Arial"/>
              </w:rPr>
              <w:t xml:space="preserve"> </w:t>
            </w:r>
            <w:r>
              <w:rPr>
                <w:rFonts w:ascii="Arial" w:hAnsi="Arial" w:cs="Arial"/>
              </w:rPr>
              <w:t>018</w:t>
            </w:r>
          </w:p>
        </w:tc>
        <w:tc>
          <w:tcPr>
            <w:tcW w:w="1418" w:type="dxa"/>
          </w:tcPr>
          <w:p w:rsidR="00111CE1" w:rsidRPr="008D4399" w:rsidRDefault="00111CE1" w:rsidP="00FC2ABD">
            <w:pPr>
              <w:autoSpaceDE w:val="0"/>
              <w:autoSpaceDN w:val="0"/>
              <w:adjustRightInd w:val="0"/>
              <w:spacing w:after="120"/>
              <w:ind w:right="194"/>
              <w:jc w:val="right"/>
              <w:rPr>
                <w:rFonts w:ascii="Arial" w:hAnsi="Arial" w:cs="Arial"/>
              </w:rPr>
            </w:pPr>
            <w:r w:rsidRPr="008D4399">
              <w:rPr>
                <w:rFonts w:ascii="Arial" w:hAnsi="Arial" w:cs="Arial"/>
              </w:rPr>
              <w:t>88 3</w:t>
            </w:r>
            <w:r>
              <w:rPr>
                <w:rFonts w:ascii="Arial" w:hAnsi="Arial" w:cs="Arial"/>
              </w:rPr>
              <w:t>58</w:t>
            </w:r>
          </w:p>
        </w:tc>
        <w:tc>
          <w:tcPr>
            <w:tcW w:w="1276" w:type="dxa"/>
          </w:tcPr>
          <w:p w:rsidR="00111CE1" w:rsidRPr="00864EC0" w:rsidRDefault="00111CE1"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5</w:t>
            </w:r>
            <w:r w:rsidR="003F310C">
              <w:rPr>
                <w:rFonts w:ascii="Arial" w:hAnsi="Arial" w:cs="Arial"/>
              </w:rPr>
              <w:t xml:space="preserve"> </w:t>
            </w:r>
            <w:r w:rsidRPr="00864EC0">
              <w:rPr>
                <w:rFonts w:ascii="Arial" w:hAnsi="Arial" w:cs="Arial"/>
              </w:rPr>
              <w:t>6</w:t>
            </w:r>
            <w:r>
              <w:rPr>
                <w:rFonts w:ascii="Arial" w:hAnsi="Arial" w:cs="Arial"/>
              </w:rPr>
              <w:t>60</w:t>
            </w:r>
          </w:p>
        </w:tc>
      </w:tr>
      <w:tr w:rsidR="00FC2ABD" w:rsidRPr="00864EC0" w:rsidTr="00153719">
        <w:tc>
          <w:tcPr>
            <w:tcW w:w="1928" w:type="dxa"/>
          </w:tcPr>
          <w:p w:rsidR="00111CE1" w:rsidRPr="006B1074" w:rsidRDefault="00111CE1" w:rsidP="005A3816">
            <w:pPr>
              <w:autoSpaceDE w:val="0"/>
              <w:autoSpaceDN w:val="0"/>
              <w:adjustRightInd w:val="0"/>
              <w:spacing w:after="120"/>
              <w:rPr>
                <w:rFonts w:ascii="Arial" w:hAnsi="Arial" w:cs="Arial"/>
                <w:i/>
              </w:rPr>
            </w:pPr>
            <w:r w:rsidRPr="006B1074">
              <w:rPr>
                <w:rFonts w:ascii="Arial" w:hAnsi="Arial" w:cs="Arial"/>
                <w:i/>
              </w:rPr>
              <w:t>Non-Indigenous</w:t>
            </w:r>
          </w:p>
        </w:tc>
        <w:tc>
          <w:tcPr>
            <w:tcW w:w="1134" w:type="dxa"/>
          </w:tcPr>
          <w:p w:rsidR="00111CE1" w:rsidRDefault="00111CE1" w:rsidP="00FC2ABD">
            <w:pPr>
              <w:autoSpaceDE w:val="0"/>
              <w:autoSpaceDN w:val="0"/>
              <w:adjustRightInd w:val="0"/>
              <w:spacing w:after="120"/>
              <w:ind w:right="82"/>
              <w:jc w:val="right"/>
              <w:rPr>
                <w:rFonts w:ascii="Arial" w:hAnsi="Arial" w:cs="Arial"/>
              </w:rPr>
            </w:pPr>
            <w:r>
              <w:rPr>
                <w:rFonts w:ascii="Arial" w:hAnsi="Arial" w:cs="Arial"/>
              </w:rPr>
              <w:t>201</w:t>
            </w:r>
            <w:r w:rsidR="003F310C">
              <w:rPr>
                <w:rFonts w:ascii="Arial" w:hAnsi="Arial" w:cs="Arial"/>
              </w:rPr>
              <w:t xml:space="preserve"> </w:t>
            </w:r>
            <w:r>
              <w:rPr>
                <w:rFonts w:ascii="Arial" w:hAnsi="Arial" w:cs="Arial"/>
              </w:rPr>
              <w:t>673</w:t>
            </w:r>
          </w:p>
        </w:tc>
        <w:tc>
          <w:tcPr>
            <w:tcW w:w="1417" w:type="dxa"/>
          </w:tcPr>
          <w:p w:rsidR="00111CE1" w:rsidRDefault="00111CE1" w:rsidP="00FC2ABD">
            <w:pPr>
              <w:autoSpaceDE w:val="0"/>
              <w:autoSpaceDN w:val="0"/>
              <w:adjustRightInd w:val="0"/>
              <w:spacing w:after="120"/>
              <w:ind w:right="253"/>
              <w:jc w:val="right"/>
              <w:rPr>
                <w:rFonts w:ascii="Arial" w:hAnsi="Arial" w:cs="Arial"/>
              </w:rPr>
            </w:pPr>
            <w:r w:rsidRPr="008D4399">
              <w:rPr>
                <w:rFonts w:ascii="Arial" w:hAnsi="Arial" w:cs="Arial"/>
              </w:rPr>
              <w:t>212 0</w:t>
            </w:r>
            <w:r>
              <w:rPr>
                <w:rFonts w:ascii="Arial" w:hAnsi="Arial" w:cs="Arial"/>
              </w:rPr>
              <w:t>45</w:t>
            </w:r>
          </w:p>
        </w:tc>
        <w:tc>
          <w:tcPr>
            <w:tcW w:w="1276" w:type="dxa"/>
          </w:tcPr>
          <w:p w:rsidR="00111CE1" w:rsidRDefault="00111CE1" w:rsidP="00FC2ABD">
            <w:pPr>
              <w:autoSpaceDE w:val="0"/>
              <w:autoSpaceDN w:val="0"/>
              <w:adjustRightInd w:val="0"/>
              <w:spacing w:after="120"/>
              <w:ind w:right="93"/>
              <w:jc w:val="right"/>
              <w:rPr>
                <w:rFonts w:ascii="Arial" w:hAnsi="Arial" w:cs="Arial"/>
              </w:rPr>
            </w:pPr>
            <w:r w:rsidRPr="0032331B">
              <w:rPr>
                <w:rFonts w:ascii="Arial" w:hAnsi="Arial" w:cs="Arial"/>
              </w:rPr>
              <w:t>10</w:t>
            </w:r>
            <w:r w:rsidR="003F310C">
              <w:rPr>
                <w:rFonts w:ascii="Arial" w:hAnsi="Arial" w:cs="Arial"/>
              </w:rPr>
              <w:t xml:space="preserve"> </w:t>
            </w:r>
            <w:r w:rsidRPr="0032331B">
              <w:rPr>
                <w:rFonts w:ascii="Arial" w:hAnsi="Arial" w:cs="Arial"/>
              </w:rPr>
              <w:t>372</w:t>
            </w:r>
          </w:p>
        </w:tc>
        <w:tc>
          <w:tcPr>
            <w:tcW w:w="1276" w:type="dxa"/>
          </w:tcPr>
          <w:p w:rsidR="00111CE1" w:rsidRPr="006B1074" w:rsidRDefault="00111CE1" w:rsidP="00FC2ABD">
            <w:pPr>
              <w:autoSpaceDE w:val="0"/>
              <w:autoSpaceDN w:val="0"/>
              <w:adjustRightInd w:val="0"/>
              <w:spacing w:after="120"/>
              <w:ind w:right="216"/>
              <w:jc w:val="right"/>
              <w:rPr>
                <w:rFonts w:ascii="Arial" w:hAnsi="Arial" w:cs="Arial"/>
              </w:rPr>
            </w:pPr>
            <w:r>
              <w:rPr>
                <w:rFonts w:ascii="Arial" w:hAnsi="Arial" w:cs="Arial"/>
              </w:rPr>
              <w:t>215 459</w:t>
            </w:r>
          </w:p>
        </w:tc>
        <w:tc>
          <w:tcPr>
            <w:tcW w:w="1418" w:type="dxa"/>
          </w:tcPr>
          <w:p w:rsidR="00111CE1" w:rsidRPr="008D4399" w:rsidRDefault="00111CE1" w:rsidP="00FC2ABD">
            <w:pPr>
              <w:autoSpaceDE w:val="0"/>
              <w:autoSpaceDN w:val="0"/>
              <w:adjustRightInd w:val="0"/>
              <w:spacing w:after="120"/>
              <w:ind w:right="194"/>
              <w:jc w:val="right"/>
              <w:rPr>
                <w:rFonts w:ascii="Arial" w:hAnsi="Arial" w:cs="Arial"/>
              </w:rPr>
            </w:pPr>
            <w:r w:rsidRPr="008D4399">
              <w:rPr>
                <w:rFonts w:ascii="Arial" w:hAnsi="Arial" w:cs="Arial"/>
              </w:rPr>
              <w:t>212 0</w:t>
            </w:r>
            <w:r>
              <w:rPr>
                <w:rFonts w:ascii="Arial" w:hAnsi="Arial" w:cs="Arial"/>
              </w:rPr>
              <w:t>45</w:t>
            </w:r>
          </w:p>
        </w:tc>
        <w:tc>
          <w:tcPr>
            <w:tcW w:w="1276" w:type="dxa"/>
          </w:tcPr>
          <w:p w:rsidR="00111CE1" w:rsidRPr="00864EC0" w:rsidRDefault="00111CE1"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3</w:t>
            </w:r>
            <w:r w:rsidR="003F310C">
              <w:rPr>
                <w:rFonts w:ascii="Arial" w:hAnsi="Arial" w:cs="Arial"/>
              </w:rPr>
              <w:t xml:space="preserve"> </w:t>
            </w:r>
            <w:r>
              <w:rPr>
                <w:rFonts w:ascii="Arial" w:hAnsi="Arial" w:cs="Arial"/>
              </w:rPr>
              <w:t>414</w:t>
            </w:r>
          </w:p>
        </w:tc>
      </w:tr>
      <w:tr w:rsidR="00FC2ABD" w:rsidRPr="00864EC0" w:rsidTr="00153719">
        <w:tc>
          <w:tcPr>
            <w:tcW w:w="1928" w:type="dxa"/>
          </w:tcPr>
          <w:p w:rsidR="00111CE1" w:rsidRPr="006B1074" w:rsidRDefault="00111CE1" w:rsidP="005A3816">
            <w:pPr>
              <w:autoSpaceDE w:val="0"/>
              <w:autoSpaceDN w:val="0"/>
              <w:adjustRightInd w:val="0"/>
              <w:spacing w:after="120"/>
              <w:rPr>
                <w:rFonts w:ascii="Arial" w:hAnsi="Arial" w:cs="Arial"/>
                <w:i/>
              </w:rPr>
            </w:pPr>
            <w:r w:rsidRPr="006B1074">
              <w:rPr>
                <w:rFonts w:ascii="Arial" w:hAnsi="Arial" w:cs="Arial"/>
                <w:i/>
              </w:rPr>
              <w:t>Total</w:t>
            </w:r>
          </w:p>
        </w:tc>
        <w:tc>
          <w:tcPr>
            <w:tcW w:w="1134" w:type="dxa"/>
          </w:tcPr>
          <w:p w:rsidR="00111CE1" w:rsidRDefault="00111CE1" w:rsidP="00FC2ABD">
            <w:pPr>
              <w:autoSpaceDE w:val="0"/>
              <w:autoSpaceDN w:val="0"/>
              <w:adjustRightInd w:val="0"/>
              <w:spacing w:after="120"/>
              <w:ind w:right="82"/>
              <w:jc w:val="right"/>
              <w:rPr>
                <w:rFonts w:ascii="Arial" w:hAnsi="Arial" w:cs="Arial"/>
              </w:rPr>
            </w:pPr>
            <w:r>
              <w:rPr>
                <w:rFonts w:ascii="Arial" w:hAnsi="Arial" w:cs="Arial"/>
              </w:rPr>
              <w:t>294</w:t>
            </w:r>
            <w:r w:rsidR="003F310C">
              <w:rPr>
                <w:rFonts w:ascii="Arial" w:hAnsi="Arial" w:cs="Arial"/>
              </w:rPr>
              <w:t xml:space="preserve"> </w:t>
            </w:r>
            <w:r>
              <w:rPr>
                <w:rFonts w:ascii="Arial" w:hAnsi="Arial" w:cs="Arial"/>
              </w:rPr>
              <w:t>854</w:t>
            </w:r>
          </w:p>
        </w:tc>
        <w:tc>
          <w:tcPr>
            <w:tcW w:w="1417" w:type="dxa"/>
          </w:tcPr>
          <w:p w:rsidR="00111CE1" w:rsidRDefault="00111CE1" w:rsidP="00FC2ABD">
            <w:pPr>
              <w:autoSpaceDE w:val="0"/>
              <w:autoSpaceDN w:val="0"/>
              <w:adjustRightInd w:val="0"/>
              <w:spacing w:after="120"/>
              <w:ind w:right="253"/>
              <w:jc w:val="right"/>
              <w:rPr>
                <w:rFonts w:ascii="Arial" w:hAnsi="Arial" w:cs="Arial"/>
              </w:rPr>
            </w:pPr>
            <w:r w:rsidRPr="008D4399">
              <w:rPr>
                <w:rFonts w:ascii="Arial" w:hAnsi="Arial" w:cs="Arial"/>
              </w:rPr>
              <w:t>300 40</w:t>
            </w:r>
            <w:r>
              <w:rPr>
                <w:rFonts w:ascii="Arial" w:hAnsi="Arial" w:cs="Arial"/>
              </w:rPr>
              <w:t>3</w:t>
            </w:r>
          </w:p>
        </w:tc>
        <w:tc>
          <w:tcPr>
            <w:tcW w:w="1276" w:type="dxa"/>
          </w:tcPr>
          <w:p w:rsidR="00111CE1" w:rsidRDefault="00111CE1" w:rsidP="00FC2ABD">
            <w:pPr>
              <w:autoSpaceDE w:val="0"/>
              <w:autoSpaceDN w:val="0"/>
              <w:adjustRightInd w:val="0"/>
              <w:spacing w:after="120"/>
              <w:ind w:right="93"/>
              <w:jc w:val="right"/>
              <w:rPr>
                <w:rFonts w:ascii="Arial" w:hAnsi="Arial" w:cs="Arial"/>
              </w:rPr>
            </w:pPr>
            <w:r w:rsidRPr="0032331B">
              <w:rPr>
                <w:rFonts w:ascii="Arial" w:hAnsi="Arial" w:cs="Arial"/>
              </w:rPr>
              <w:t>5</w:t>
            </w:r>
            <w:r w:rsidR="003F310C">
              <w:rPr>
                <w:rFonts w:ascii="Arial" w:hAnsi="Arial" w:cs="Arial"/>
              </w:rPr>
              <w:t xml:space="preserve"> </w:t>
            </w:r>
            <w:r w:rsidRPr="0032331B">
              <w:rPr>
                <w:rFonts w:ascii="Arial" w:hAnsi="Arial" w:cs="Arial"/>
              </w:rPr>
              <w:t>549</w:t>
            </w:r>
          </w:p>
        </w:tc>
        <w:tc>
          <w:tcPr>
            <w:tcW w:w="1276" w:type="dxa"/>
          </w:tcPr>
          <w:p w:rsidR="00111CE1" w:rsidRPr="006B1074" w:rsidRDefault="00111CE1" w:rsidP="00FC2ABD">
            <w:pPr>
              <w:autoSpaceDE w:val="0"/>
              <w:autoSpaceDN w:val="0"/>
              <w:adjustRightInd w:val="0"/>
              <w:spacing w:after="120"/>
              <w:ind w:right="216"/>
              <w:jc w:val="right"/>
              <w:rPr>
                <w:rFonts w:ascii="Arial" w:hAnsi="Arial" w:cs="Arial"/>
              </w:rPr>
            </w:pPr>
            <w:r>
              <w:rPr>
                <w:rFonts w:ascii="Arial" w:hAnsi="Arial" w:cs="Arial"/>
              </w:rPr>
              <w:t>309 477</w:t>
            </w:r>
          </w:p>
        </w:tc>
        <w:tc>
          <w:tcPr>
            <w:tcW w:w="1418" w:type="dxa"/>
          </w:tcPr>
          <w:p w:rsidR="00111CE1" w:rsidRPr="008D4399" w:rsidRDefault="00111CE1" w:rsidP="00FC2ABD">
            <w:pPr>
              <w:autoSpaceDE w:val="0"/>
              <w:autoSpaceDN w:val="0"/>
              <w:adjustRightInd w:val="0"/>
              <w:spacing w:after="120"/>
              <w:ind w:right="194"/>
              <w:jc w:val="right"/>
              <w:rPr>
                <w:rFonts w:ascii="Arial" w:hAnsi="Arial" w:cs="Arial"/>
              </w:rPr>
            </w:pPr>
            <w:r w:rsidRPr="008D4399">
              <w:rPr>
                <w:rFonts w:ascii="Arial" w:hAnsi="Arial" w:cs="Arial"/>
              </w:rPr>
              <w:t>300 40</w:t>
            </w:r>
            <w:r>
              <w:rPr>
                <w:rFonts w:ascii="Arial" w:hAnsi="Arial" w:cs="Arial"/>
              </w:rPr>
              <w:t>3</w:t>
            </w:r>
          </w:p>
        </w:tc>
        <w:tc>
          <w:tcPr>
            <w:tcW w:w="1276" w:type="dxa"/>
          </w:tcPr>
          <w:p w:rsidR="00111CE1" w:rsidRPr="00864EC0" w:rsidRDefault="00111CE1"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9</w:t>
            </w:r>
            <w:r w:rsidR="003F310C">
              <w:rPr>
                <w:rFonts w:ascii="Arial" w:hAnsi="Arial" w:cs="Arial"/>
              </w:rPr>
              <w:t xml:space="preserve"> </w:t>
            </w:r>
            <w:r w:rsidRPr="00864EC0">
              <w:rPr>
                <w:rFonts w:ascii="Arial" w:hAnsi="Arial" w:cs="Arial"/>
              </w:rPr>
              <w:t>07</w:t>
            </w:r>
            <w:r>
              <w:rPr>
                <w:rFonts w:ascii="Arial" w:hAnsi="Arial" w:cs="Arial"/>
              </w:rPr>
              <w:t>4</w:t>
            </w:r>
          </w:p>
        </w:tc>
      </w:tr>
      <w:tr w:rsidR="00FC2ABD" w:rsidRPr="00864EC0" w:rsidTr="00153719">
        <w:tc>
          <w:tcPr>
            <w:tcW w:w="1928" w:type="dxa"/>
          </w:tcPr>
          <w:p w:rsidR="009F28F8" w:rsidRPr="006B1074" w:rsidRDefault="009F28F8" w:rsidP="005A3816">
            <w:pPr>
              <w:autoSpaceDE w:val="0"/>
              <w:autoSpaceDN w:val="0"/>
              <w:adjustRightInd w:val="0"/>
              <w:spacing w:after="120"/>
              <w:rPr>
                <w:rFonts w:ascii="Arial" w:hAnsi="Arial" w:cs="Arial"/>
                <w:b/>
              </w:rPr>
            </w:pPr>
            <w:r w:rsidRPr="006B1074">
              <w:rPr>
                <w:rFonts w:ascii="Arial" w:hAnsi="Arial" w:cs="Arial"/>
                <w:b/>
              </w:rPr>
              <w:t>Age Structure</w:t>
            </w:r>
          </w:p>
        </w:tc>
        <w:tc>
          <w:tcPr>
            <w:tcW w:w="1134" w:type="dxa"/>
          </w:tcPr>
          <w:p w:rsidR="009F28F8" w:rsidRPr="006B1074" w:rsidRDefault="009F28F8" w:rsidP="00FC2ABD">
            <w:pPr>
              <w:autoSpaceDE w:val="0"/>
              <w:autoSpaceDN w:val="0"/>
              <w:adjustRightInd w:val="0"/>
              <w:spacing w:after="120"/>
              <w:ind w:right="82"/>
              <w:jc w:val="right"/>
              <w:rPr>
                <w:rFonts w:ascii="Arial" w:hAnsi="Arial" w:cs="Arial"/>
              </w:rPr>
            </w:pPr>
          </w:p>
        </w:tc>
        <w:tc>
          <w:tcPr>
            <w:tcW w:w="1417" w:type="dxa"/>
          </w:tcPr>
          <w:p w:rsidR="009F28F8" w:rsidRPr="006B1074" w:rsidRDefault="009F28F8" w:rsidP="00FC2ABD">
            <w:pPr>
              <w:autoSpaceDE w:val="0"/>
              <w:autoSpaceDN w:val="0"/>
              <w:adjustRightInd w:val="0"/>
              <w:spacing w:after="120"/>
              <w:ind w:right="253"/>
              <w:jc w:val="right"/>
              <w:rPr>
                <w:rFonts w:ascii="Arial" w:hAnsi="Arial" w:cs="Arial"/>
              </w:rPr>
            </w:pPr>
          </w:p>
        </w:tc>
        <w:tc>
          <w:tcPr>
            <w:tcW w:w="1276" w:type="dxa"/>
          </w:tcPr>
          <w:p w:rsidR="009F28F8" w:rsidRPr="006B1074" w:rsidRDefault="009F28F8" w:rsidP="00FC2ABD">
            <w:pPr>
              <w:autoSpaceDE w:val="0"/>
              <w:autoSpaceDN w:val="0"/>
              <w:adjustRightInd w:val="0"/>
              <w:spacing w:after="120"/>
              <w:ind w:right="93"/>
              <w:jc w:val="right"/>
              <w:rPr>
                <w:rFonts w:ascii="Arial" w:hAnsi="Arial" w:cs="Arial"/>
              </w:rPr>
            </w:pPr>
          </w:p>
        </w:tc>
        <w:tc>
          <w:tcPr>
            <w:tcW w:w="1276" w:type="dxa"/>
          </w:tcPr>
          <w:p w:rsidR="009F28F8" w:rsidRPr="006B1074" w:rsidRDefault="009F28F8" w:rsidP="00FC2ABD">
            <w:pPr>
              <w:autoSpaceDE w:val="0"/>
              <w:autoSpaceDN w:val="0"/>
              <w:adjustRightInd w:val="0"/>
              <w:spacing w:after="120"/>
              <w:ind w:right="216"/>
              <w:jc w:val="right"/>
              <w:rPr>
                <w:rFonts w:ascii="Arial" w:hAnsi="Arial" w:cs="Arial"/>
              </w:rPr>
            </w:pPr>
          </w:p>
        </w:tc>
        <w:tc>
          <w:tcPr>
            <w:tcW w:w="1418" w:type="dxa"/>
          </w:tcPr>
          <w:p w:rsidR="009F28F8" w:rsidRPr="008D4399" w:rsidRDefault="009F28F8" w:rsidP="00FC2ABD">
            <w:pPr>
              <w:autoSpaceDE w:val="0"/>
              <w:autoSpaceDN w:val="0"/>
              <w:adjustRightInd w:val="0"/>
              <w:spacing w:after="120"/>
              <w:ind w:right="194"/>
              <w:jc w:val="right"/>
              <w:rPr>
                <w:rFonts w:ascii="Arial" w:hAnsi="Arial" w:cs="Arial"/>
              </w:rPr>
            </w:pPr>
          </w:p>
        </w:tc>
        <w:tc>
          <w:tcPr>
            <w:tcW w:w="1276" w:type="dxa"/>
          </w:tcPr>
          <w:p w:rsidR="009F28F8" w:rsidRPr="00864EC0" w:rsidRDefault="009F28F8" w:rsidP="00FC2ABD">
            <w:pPr>
              <w:autoSpaceDE w:val="0"/>
              <w:autoSpaceDN w:val="0"/>
              <w:adjustRightInd w:val="0"/>
              <w:spacing w:after="120"/>
              <w:ind w:right="175"/>
              <w:jc w:val="right"/>
              <w:rPr>
                <w:rFonts w:ascii="Arial" w:hAnsi="Arial" w:cs="Arial"/>
              </w:rPr>
            </w:pPr>
          </w:p>
        </w:tc>
      </w:tr>
      <w:tr w:rsidR="00FC2ABD" w:rsidRPr="00864EC0" w:rsidTr="00153719">
        <w:tc>
          <w:tcPr>
            <w:tcW w:w="1928" w:type="dxa"/>
          </w:tcPr>
          <w:p w:rsidR="00111CE1" w:rsidRPr="006B1074" w:rsidRDefault="00153719" w:rsidP="005A3816">
            <w:pPr>
              <w:autoSpaceDE w:val="0"/>
              <w:autoSpaceDN w:val="0"/>
              <w:adjustRightInd w:val="0"/>
              <w:spacing w:after="120"/>
              <w:rPr>
                <w:rFonts w:ascii="Arial" w:hAnsi="Arial" w:cs="Arial"/>
                <w:i/>
              </w:rPr>
            </w:pPr>
            <w:r>
              <w:rPr>
                <w:rFonts w:ascii="Arial" w:hAnsi="Arial" w:cs="Arial"/>
                <w:i/>
              </w:rPr>
              <w:t>1</w:t>
            </w:r>
            <w:r w:rsidR="00111CE1" w:rsidRPr="006B1074">
              <w:rPr>
                <w:rFonts w:ascii="Arial" w:hAnsi="Arial" w:cs="Arial"/>
                <w:i/>
              </w:rPr>
              <w:t>5 years and under</w:t>
            </w:r>
          </w:p>
        </w:tc>
        <w:tc>
          <w:tcPr>
            <w:tcW w:w="1134" w:type="dxa"/>
          </w:tcPr>
          <w:p w:rsidR="00111CE1" w:rsidRDefault="00111CE1" w:rsidP="00FC2ABD">
            <w:pPr>
              <w:autoSpaceDE w:val="0"/>
              <w:autoSpaceDN w:val="0"/>
              <w:adjustRightInd w:val="0"/>
              <w:spacing w:after="120"/>
              <w:ind w:right="82"/>
              <w:jc w:val="right"/>
              <w:rPr>
                <w:rFonts w:ascii="Arial" w:hAnsi="Arial" w:cs="Arial"/>
              </w:rPr>
            </w:pPr>
            <w:r>
              <w:rPr>
                <w:rFonts w:ascii="Arial" w:hAnsi="Arial" w:cs="Arial"/>
              </w:rPr>
              <w:t>71</w:t>
            </w:r>
            <w:r w:rsidR="003F310C">
              <w:rPr>
                <w:rFonts w:ascii="Arial" w:hAnsi="Arial" w:cs="Arial"/>
              </w:rPr>
              <w:t xml:space="preserve"> </w:t>
            </w:r>
            <w:r>
              <w:rPr>
                <w:rFonts w:ascii="Arial" w:hAnsi="Arial" w:cs="Arial"/>
              </w:rPr>
              <w:t>387</w:t>
            </w:r>
          </w:p>
        </w:tc>
        <w:tc>
          <w:tcPr>
            <w:tcW w:w="1417" w:type="dxa"/>
          </w:tcPr>
          <w:p w:rsidR="00111CE1" w:rsidRDefault="00111CE1" w:rsidP="00FC2ABD">
            <w:pPr>
              <w:autoSpaceDE w:val="0"/>
              <w:autoSpaceDN w:val="0"/>
              <w:adjustRightInd w:val="0"/>
              <w:spacing w:after="120"/>
              <w:ind w:right="253"/>
              <w:jc w:val="right"/>
              <w:rPr>
                <w:rFonts w:ascii="Arial" w:hAnsi="Arial" w:cs="Arial"/>
              </w:rPr>
            </w:pPr>
            <w:r w:rsidRPr="008D4399">
              <w:rPr>
                <w:rFonts w:ascii="Arial" w:hAnsi="Arial" w:cs="Arial"/>
              </w:rPr>
              <w:t>67 311</w:t>
            </w:r>
          </w:p>
        </w:tc>
        <w:tc>
          <w:tcPr>
            <w:tcW w:w="1276" w:type="dxa"/>
          </w:tcPr>
          <w:p w:rsidR="00111CE1" w:rsidRDefault="00F075D0" w:rsidP="00FC2ABD">
            <w:pPr>
              <w:autoSpaceDE w:val="0"/>
              <w:autoSpaceDN w:val="0"/>
              <w:adjustRightInd w:val="0"/>
              <w:spacing w:after="120"/>
              <w:ind w:right="93"/>
              <w:jc w:val="right"/>
              <w:rPr>
                <w:rFonts w:ascii="Arial" w:hAnsi="Arial" w:cs="Arial"/>
              </w:rPr>
            </w:pPr>
            <w:r w:rsidRPr="0032331B">
              <w:rPr>
                <w:rFonts w:ascii="Arial" w:hAnsi="Arial" w:cs="Arial"/>
              </w:rPr>
              <w:t>-</w:t>
            </w:r>
            <w:r w:rsidR="00111CE1" w:rsidRPr="0032331B">
              <w:rPr>
                <w:rFonts w:ascii="Arial" w:hAnsi="Arial" w:cs="Arial"/>
              </w:rPr>
              <w:t>4</w:t>
            </w:r>
            <w:r w:rsidR="003F310C">
              <w:rPr>
                <w:rFonts w:ascii="Arial" w:hAnsi="Arial" w:cs="Arial"/>
              </w:rPr>
              <w:t xml:space="preserve"> </w:t>
            </w:r>
            <w:r w:rsidR="00111CE1" w:rsidRPr="0032331B">
              <w:rPr>
                <w:rFonts w:ascii="Arial" w:hAnsi="Arial" w:cs="Arial"/>
              </w:rPr>
              <w:t>076</w:t>
            </w:r>
          </w:p>
        </w:tc>
        <w:tc>
          <w:tcPr>
            <w:tcW w:w="1276" w:type="dxa"/>
          </w:tcPr>
          <w:p w:rsidR="00111CE1" w:rsidRPr="006B1074" w:rsidRDefault="00111CE1" w:rsidP="00FC2ABD">
            <w:pPr>
              <w:autoSpaceDE w:val="0"/>
              <w:autoSpaceDN w:val="0"/>
              <w:adjustRightInd w:val="0"/>
              <w:spacing w:after="120"/>
              <w:ind w:right="216"/>
              <w:jc w:val="right"/>
              <w:rPr>
                <w:rFonts w:ascii="Arial" w:hAnsi="Arial" w:cs="Arial"/>
              </w:rPr>
            </w:pPr>
            <w:r>
              <w:rPr>
                <w:rFonts w:ascii="Arial" w:hAnsi="Arial" w:cs="Arial"/>
              </w:rPr>
              <w:t>73 390</w:t>
            </w:r>
          </w:p>
        </w:tc>
        <w:tc>
          <w:tcPr>
            <w:tcW w:w="1418" w:type="dxa"/>
          </w:tcPr>
          <w:p w:rsidR="00111CE1" w:rsidRPr="008D4399" w:rsidRDefault="00111CE1" w:rsidP="00FC2ABD">
            <w:pPr>
              <w:autoSpaceDE w:val="0"/>
              <w:autoSpaceDN w:val="0"/>
              <w:adjustRightInd w:val="0"/>
              <w:spacing w:after="120"/>
              <w:ind w:right="194"/>
              <w:jc w:val="right"/>
              <w:rPr>
                <w:rFonts w:ascii="Arial" w:hAnsi="Arial" w:cs="Arial"/>
              </w:rPr>
            </w:pPr>
            <w:r w:rsidRPr="008D4399">
              <w:rPr>
                <w:rFonts w:ascii="Arial" w:hAnsi="Arial" w:cs="Arial"/>
              </w:rPr>
              <w:t>67 311</w:t>
            </w:r>
          </w:p>
        </w:tc>
        <w:tc>
          <w:tcPr>
            <w:tcW w:w="1276" w:type="dxa"/>
          </w:tcPr>
          <w:p w:rsidR="00111CE1" w:rsidRPr="00864EC0" w:rsidRDefault="00111CE1"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6</w:t>
            </w:r>
            <w:r w:rsidR="003F310C">
              <w:rPr>
                <w:rFonts w:ascii="Arial" w:hAnsi="Arial" w:cs="Arial"/>
              </w:rPr>
              <w:t xml:space="preserve"> </w:t>
            </w:r>
            <w:r w:rsidRPr="00864EC0">
              <w:rPr>
                <w:rFonts w:ascii="Arial" w:hAnsi="Arial" w:cs="Arial"/>
              </w:rPr>
              <w:t>079</w:t>
            </w:r>
          </w:p>
        </w:tc>
      </w:tr>
      <w:tr w:rsidR="00FC2ABD" w:rsidRPr="00864EC0" w:rsidTr="00153719">
        <w:tc>
          <w:tcPr>
            <w:tcW w:w="1928" w:type="dxa"/>
          </w:tcPr>
          <w:p w:rsidR="00111CE1" w:rsidRPr="006B1074" w:rsidRDefault="00111CE1" w:rsidP="005A3816">
            <w:pPr>
              <w:autoSpaceDE w:val="0"/>
              <w:autoSpaceDN w:val="0"/>
              <w:adjustRightInd w:val="0"/>
              <w:spacing w:after="120"/>
              <w:rPr>
                <w:rFonts w:ascii="Arial" w:hAnsi="Arial" w:cs="Arial"/>
                <w:i/>
              </w:rPr>
            </w:pPr>
            <w:r w:rsidRPr="006B1074">
              <w:rPr>
                <w:rFonts w:ascii="Arial" w:hAnsi="Arial" w:cs="Arial"/>
                <w:i/>
              </w:rPr>
              <w:t>15-64 years</w:t>
            </w:r>
          </w:p>
        </w:tc>
        <w:tc>
          <w:tcPr>
            <w:tcW w:w="1134" w:type="dxa"/>
          </w:tcPr>
          <w:p w:rsidR="00111CE1" w:rsidRDefault="00111CE1" w:rsidP="00FC2ABD">
            <w:pPr>
              <w:autoSpaceDE w:val="0"/>
              <w:autoSpaceDN w:val="0"/>
              <w:adjustRightInd w:val="0"/>
              <w:spacing w:after="120"/>
              <w:ind w:right="82"/>
              <w:jc w:val="right"/>
              <w:rPr>
                <w:rFonts w:ascii="Arial" w:hAnsi="Arial" w:cs="Arial"/>
              </w:rPr>
            </w:pPr>
            <w:r>
              <w:rPr>
                <w:rFonts w:ascii="Arial" w:hAnsi="Arial" w:cs="Arial"/>
              </w:rPr>
              <w:t>199</w:t>
            </w:r>
            <w:r w:rsidR="003F310C">
              <w:rPr>
                <w:rFonts w:ascii="Arial" w:hAnsi="Arial" w:cs="Arial"/>
              </w:rPr>
              <w:t xml:space="preserve"> </w:t>
            </w:r>
            <w:r>
              <w:rPr>
                <w:rFonts w:ascii="Arial" w:hAnsi="Arial" w:cs="Arial"/>
              </w:rPr>
              <w:t>357</w:t>
            </w:r>
          </w:p>
        </w:tc>
        <w:tc>
          <w:tcPr>
            <w:tcW w:w="1417" w:type="dxa"/>
          </w:tcPr>
          <w:p w:rsidR="00111CE1" w:rsidRDefault="00111CE1" w:rsidP="00FC2ABD">
            <w:pPr>
              <w:autoSpaceDE w:val="0"/>
              <w:autoSpaceDN w:val="0"/>
              <w:adjustRightInd w:val="0"/>
              <w:spacing w:after="120"/>
              <w:ind w:right="253"/>
              <w:jc w:val="right"/>
              <w:rPr>
                <w:rFonts w:ascii="Arial" w:hAnsi="Arial" w:cs="Arial"/>
              </w:rPr>
            </w:pPr>
            <w:r w:rsidRPr="008D4399">
              <w:rPr>
                <w:rFonts w:ascii="Arial" w:hAnsi="Arial" w:cs="Arial"/>
              </w:rPr>
              <w:t>207 104</w:t>
            </w:r>
          </w:p>
        </w:tc>
        <w:tc>
          <w:tcPr>
            <w:tcW w:w="1276" w:type="dxa"/>
          </w:tcPr>
          <w:p w:rsidR="00111CE1" w:rsidRDefault="00111CE1" w:rsidP="00FC2ABD">
            <w:pPr>
              <w:autoSpaceDE w:val="0"/>
              <w:autoSpaceDN w:val="0"/>
              <w:adjustRightInd w:val="0"/>
              <w:spacing w:after="120"/>
              <w:ind w:right="93"/>
              <w:jc w:val="right"/>
              <w:rPr>
                <w:rFonts w:ascii="Arial" w:hAnsi="Arial" w:cs="Arial"/>
              </w:rPr>
            </w:pPr>
            <w:r w:rsidRPr="0032331B">
              <w:rPr>
                <w:rFonts w:ascii="Arial" w:hAnsi="Arial" w:cs="Arial"/>
              </w:rPr>
              <w:t>7</w:t>
            </w:r>
            <w:r w:rsidR="003F310C">
              <w:rPr>
                <w:rFonts w:ascii="Arial" w:hAnsi="Arial" w:cs="Arial"/>
              </w:rPr>
              <w:t xml:space="preserve"> </w:t>
            </w:r>
            <w:r w:rsidRPr="0032331B">
              <w:rPr>
                <w:rFonts w:ascii="Arial" w:hAnsi="Arial" w:cs="Arial"/>
              </w:rPr>
              <w:t>747</w:t>
            </w:r>
          </w:p>
        </w:tc>
        <w:tc>
          <w:tcPr>
            <w:tcW w:w="1276" w:type="dxa"/>
          </w:tcPr>
          <w:p w:rsidR="00111CE1" w:rsidRPr="006B1074" w:rsidRDefault="00111CE1" w:rsidP="00FC2ABD">
            <w:pPr>
              <w:autoSpaceDE w:val="0"/>
              <w:autoSpaceDN w:val="0"/>
              <w:adjustRightInd w:val="0"/>
              <w:spacing w:after="120"/>
              <w:ind w:right="216"/>
              <w:jc w:val="right"/>
              <w:rPr>
                <w:rFonts w:ascii="Arial" w:hAnsi="Arial" w:cs="Arial"/>
              </w:rPr>
            </w:pPr>
            <w:r>
              <w:rPr>
                <w:rFonts w:ascii="Arial" w:hAnsi="Arial" w:cs="Arial"/>
              </w:rPr>
              <w:t>209 639</w:t>
            </w:r>
          </w:p>
        </w:tc>
        <w:tc>
          <w:tcPr>
            <w:tcW w:w="1418" w:type="dxa"/>
          </w:tcPr>
          <w:p w:rsidR="00111CE1" w:rsidRPr="008D4399" w:rsidRDefault="00111CE1" w:rsidP="00FC2ABD">
            <w:pPr>
              <w:autoSpaceDE w:val="0"/>
              <w:autoSpaceDN w:val="0"/>
              <w:adjustRightInd w:val="0"/>
              <w:spacing w:after="120"/>
              <w:ind w:right="194"/>
              <w:jc w:val="right"/>
              <w:rPr>
                <w:rFonts w:ascii="Arial" w:hAnsi="Arial" w:cs="Arial"/>
              </w:rPr>
            </w:pPr>
            <w:r w:rsidRPr="008D4399">
              <w:rPr>
                <w:rFonts w:ascii="Arial" w:hAnsi="Arial" w:cs="Arial"/>
              </w:rPr>
              <w:t>207 104</w:t>
            </w:r>
          </w:p>
        </w:tc>
        <w:tc>
          <w:tcPr>
            <w:tcW w:w="1276" w:type="dxa"/>
          </w:tcPr>
          <w:p w:rsidR="00111CE1" w:rsidRPr="00864EC0" w:rsidRDefault="00111CE1"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2</w:t>
            </w:r>
            <w:r w:rsidR="003F310C">
              <w:rPr>
                <w:rFonts w:ascii="Arial" w:hAnsi="Arial" w:cs="Arial"/>
              </w:rPr>
              <w:t xml:space="preserve"> </w:t>
            </w:r>
            <w:r w:rsidRPr="00864EC0">
              <w:rPr>
                <w:rFonts w:ascii="Arial" w:hAnsi="Arial" w:cs="Arial"/>
              </w:rPr>
              <w:t>535</w:t>
            </w:r>
          </w:p>
        </w:tc>
      </w:tr>
      <w:tr w:rsidR="00FC2ABD" w:rsidRPr="00864EC0" w:rsidTr="00153719">
        <w:tc>
          <w:tcPr>
            <w:tcW w:w="1928" w:type="dxa"/>
            <w:tcBorders>
              <w:bottom w:val="single" w:sz="4" w:space="0" w:color="auto"/>
            </w:tcBorders>
          </w:tcPr>
          <w:p w:rsidR="00111CE1" w:rsidRPr="006B1074" w:rsidRDefault="00111CE1" w:rsidP="005A3816">
            <w:pPr>
              <w:autoSpaceDE w:val="0"/>
              <w:autoSpaceDN w:val="0"/>
              <w:adjustRightInd w:val="0"/>
              <w:spacing w:after="120"/>
              <w:rPr>
                <w:rFonts w:ascii="Arial" w:hAnsi="Arial" w:cs="Arial"/>
                <w:i/>
              </w:rPr>
            </w:pPr>
            <w:r w:rsidRPr="006B1074">
              <w:rPr>
                <w:rFonts w:ascii="Arial" w:hAnsi="Arial" w:cs="Arial"/>
                <w:i/>
              </w:rPr>
              <w:t>65 years and over</w:t>
            </w:r>
          </w:p>
        </w:tc>
        <w:tc>
          <w:tcPr>
            <w:tcW w:w="1134" w:type="dxa"/>
            <w:tcBorders>
              <w:bottom w:val="single" w:sz="4" w:space="0" w:color="auto"/>
            </w:tcBorders>
          </w:tcPr>
          <w:p w:rsidR="00111CE1" w:rsidRDefault="00111CE1" w:rsidP="00FC2ABD">
            <w:pPr>
              <w:autoSpaceDE w:val="0"/>
              <w:autoSpaceDN w:val="0"/>
              <w:adjustRightInd w:val="0"/>
              <w:spacing w:after="120"/>
              <w:ind w:right="82"/>
              <w:jc w:val="right"/>
              <w:rPr>
                <w:rFonts w:ascii="Arial" w:hAnsi="Arial" w:cs="Arial"/>
              </w:rPr>
            </w:pPr>
            <w:r>
              <w:rPr>
                <w:rFonts w:ascii="Arial" w:hAnsi="Arial" w:cs="Arial"/>
              </w:rPr>
              <w:t>28</w:t>
            </w:r>
            <w:r w:rsidR="003F310C">
              <w:rPr>
                <w:rFonts w:ascii="Arial" w:hAnsi="Arial" w:cs="Arial"/>
              </w:rPr>
              <w:t xml:space="preserve"> </w:t>
            </w:r>
            <w:r>
              <w:rPr>
                <w:rFonts w:ascii="Arial" w:hAnsi="Arial" w:cs="Arial"/>
              </w:rPr>
              <w:t>109</w:t>
            </w:r>
          </w:p>
        </w:tc>
        <w:tc>
          <w:tcPr>
            <w:tcW w:w="1417" w:type="dxa"/>
            <w:tcBorders>
              <w:bottom w:val="single" w:sz="4" w:space="0" w:color="auto"/>
            </w:tcBorders>
          </w:tcPr>
          <w:p w:rsidR="00111CE1" w:rsidRDefault="00111CE1" w:rsidP="00FC2ABD">
            <w:pPr>
              <w:autoSpaceDE w:val="0"/>
              <w:autoSpaceDN w:val="0"/>
              <w:adjustRightInd w:val="0"/>
              <w:spacing w:after="120"/>
              <w:ind w:right="253"/>
              <w:jc w:val="right"/>
              <w:rPr>
                <w:rFonts w:ascii="Arial" w:hAnsi="Arial" w:cs="Arial"/>
              </w:rPr>
            </w:pPr>
            <w:r w:rsidRPr="008D4399">
              <w:rPr>
                <w:rFonts w:ascii="Arial" w:hAnsi="Arial" w:cs="Arial"/>
              </w:rPr>
              <w:t>25 988</w:t>
            </w:r>
          </w:p>
        </w:tc>
        <w:tc>
          <w:tcPr>
            <w:tcW w:w="1276" w:type="dxa"/>
            <w:tcBorders>
              <w:bottom w:val="single" w:sz="4" w:space="0" w:color="auto"/>
            </w:tcBorders>
          </w:tcPr>
          <w:p w:rsidR="00111CE1" w:rsidRDefault="00F075D0" w:rsidP="00FC2ABD">
            <w:pPr>
              <w:autoSpaceDE w:val="0"/>
              <w:autoSpaceDN w:val="0"/>
              <w:adjustRightInd w:val="0"/>
              <w:spacing w:after="120"/>
              <w:ind w:right="93"/>
              <w:jc w:val="right"/>
              <w:rPr>
                <w:rFonts w:ascii="Arial" w:hAnsi="Arial" w:cs="Arial"/>
              </w:rPr>
            </w:pPr>
            <w:r w:rsidRPr="0032331B">
              <w:rPr>
                <w:rFonts w:ascii="Arial" w:hAnsi="Arial" w:cs="Arial"/>
              </w:rPr>
              <w:t>-</w:t>
            </w:r>
            <w:r w:rsidR="00111CE1" w:rsidRPr="0032331B">
              <w:rPr>
                <w:rFonts w:ascii="Arial" w:hAnsi="Arial" w:cs="Arial"/>
              </w:rPr>
              <w:t>2</w:t>
            </w:r>
            <w:r w:rsidR="003F310C">
              <w:rPr>
                <w:rFonts w:ascii="Arial" w:hAnsi="Arial" w:cs="Arial"/>
              </w:rPr>
              <w:t xml:space="preserve"> </w:t>
            </w:r>
            <w:r w:rsidR="00111CE1" w:rsidRPr="0032331B">
              <w:rPr>
                <w:rFonts w:ascii="Arial" w:hAnsi="Arial" w:cs="Arial"/>
              </w:rPr>
              <w:t>121</w:t>
            </w:r>
          </w:p>
        </w:tc>
        <w:tc>
          <w:tcPr>
            <w:tcW w:w="1276" w:type="dxa"/>
            <w:tcBorders>
              <w:bottom w:val="single" w:sz="4" w:space="0" w:color="auto"/>
            </w:tcBorders>
          </w:tcPr>
          <w:p w:rsidR="00111CE1" w:rsidRPr="006B1074" w:rsidRDefault="00111CE1" w:rsidP="00FC2ABD">
            <w:pPr>
              <w:autoSpaceDE w:val="0"/>
              <w:autoSpaceDN w:val="0"/>
              <w:adjustRightInd w:val="0"/>
              <w:spacing w:after="120"/>
              <w:ind w:right="216"/>
              <w:jc w:val="right"/>
              <w:rPr>
                <w:rFonts w:ascii="Arial" w:hAnsi="Arial" w:cs="Arial"/>
              </w:rPr>
            </w:pPr>
            <w:r>
              <w:rPr>
                <w:rFonts w:ascii="Arial" w:hAnsi="Arial" w:cs="Arial"/>
              </w:rPr>
              <w:t>26 448</w:t>
            </w:r>
          </w:p>
        </w:tc>
        <w:tc>
          <w:tcPr>
            <w:tcW w:w="1418" w:type="dxa"/>
            <w:tcBorders>
              <w:bottom w:val="single" w:sz="4" w:space="0" w:color="auto"/>
            </w:tcBorders>
          </w:tcPr>
          <w:p w:rsidR="00111CE1" w:rsidRPr="008D4399" w:rsidRDefault="00111CE1" w:rsidP="00FC2ABD">
            <w:pPr>
              <w:autoSpaceDE w:val="0"/>
              <w:autoSpaceDN w:val="0"/>
              <w:adjustRightInd w:val="0"/>
              <w:spacing w:after="120"/>
              <w:ind w:right="194"/>
              <w:jc w:val="right"/>
              <w:rPr>
                <w:rFonts w:ascii="Arial" w:hAnsi="Arial" w:cs="Arial"/>
              </w:rPr>
            </w:pPr>
            <w:r w:rsidRPr="008D4399">
              <w:rPr>
                <w:rFonts w:ascii="Arial" w:hAnsi="Arial" w:cs="Arial"/>
              </w:rPr>
              <w:t>25 988</w:t>
            </w:r>
          </w:p>
        </w:tc>
        <w:tc>
          <w:tcPr>
            <w:tcW w:w="1276" w:type="dxa"/>
            <w:tcBorders>
              <w:bottom w:val="single" w:sz="4" w:space="0" w:color="auto"/>
            </w:tcBorders>
          </w:tcPr>
          <w:p w:rsidR="00111CE1" w:rsidRPr="00864EC0" w:rsidRDefault="00111CE1" w:rsidP="00FC2ABD">
            <w:pPr>
              <w:autoSpaceDE w:val="0"/>
              <w:autoSpaceDN w:val="0"/>
              <w:adjustRightInd w:val="0"/>
              <w:spacing w:after="120"/>
              <w:ind w:right="175"/>
              <w:jc w:val="right"/>
              <w:rPr>
                <w:rFonts w:ascii="Arial" w:hAnsi="Arial" w:cs="Arial"/>
              </w:rPr>
            </w:pPr>
            <w:r>
              <w:rPr>
                <w:rFonts w:ascii="Arial" w:hAnsi="Arial" w:cs="Arial"/>
              </w:rPr>
              <w:t>-</w:t>
            </w:r>
            <w:r w:rsidRPr="00864EC0">
              <w:rPr>
                <w:rFonts w:ascii="Arial" w:hAnsi="Arial" w:cs="Arial"/>
              </w:rPr>
              <w:t>460</w:t>
            </w:r>
          </w:p>
        </w:tc>
      </w:tr>
    </w:tbl>
    <w:p w:rsidR="000C727E" w:rsidRPr="00331F3B" w:rsidRDefault="000C727E" w:rsidP="000C727E">
      <w:pPr>
        <w:autoSpaceDE w:val="0"/>
        <w:autoSpaceDN w:val="0"/>
        <w:adjustRightInd w:val="0"/>
        <w:spacing w:after="120"/>
        <w:rPr>
          <w:rFonts w:ascii="Arial" w:hAnsi="Arial" w:cs="Arial"/>
          <w:sz w:val="16"/>
          <w:szCs w:val="16"/>
        </w:rPr>
      </w:pPr>
      <w:r w:rsidRPr="006459C6">
        <w:rPr>
          <w:rFonts w:ascii="Arial" w:hAnsi="Arial" w:cs="Arial"/>
          <w:sz w:val="16"/>
          <w:szCs w:val="16"/>
        </w:rPr>
        <w:t>Source: Northern Territ</w:t>
      </w:r>
      <w:r>
        <w:rPr>
          <w:rFonts w:ascii="Arial" w:hAnsi="Arial" w:cs="Arial"/>
          <w:sz w:val="16"/>
          <w:szCs w:val="16"/>
        </w:rPr>
        <w:t>ory Population Projections, 2009, 2011 and Interim – Update (2013 Release)</w:t>
      </w:r>
    </w:p>
    <w:p w:rsidR="00623FA1" w:rsidRPr="00B92B2E" w:rsidRDefault="00836785" w:rsidP="00623FA1">
      <w:pPr>
        <w:autoSpaceDE w:val="0"/>
        <w:autoSpaceDN w:val="0"/>
        <w:adjustRightInd w:val="0"/>
        <w:spacing w:after="120"/>
        <w:rPr>
          <w:rFonts w:ascii="Arial" w:hAnsi="Arial" w:cs="Arial"/>
          <w:b/>
          <w:sz w:val="44"/>
          <w:szCs w:val="44"/>
        </w:rPr>
      </w:pPr>
      <w:r>
        <w:rPr>
          <w:rFonts w:ascii="Arial" w:hAnsi="Arial" w:cs="Arial"/>
          <w:sz w:val="24"/>
          <w:szCs w:val="24"/>
        </w:rPr>
        <w:br w:type="page"/>
      </w:r>
      <w:r w:rsidR="00623FA1" w:rsidRPr="00B92B2E">
        <w:rPr>
          <w:rFonts w:ascii="Arial" w:hAnsi="Arial" w:cs="Arial"/>
          <w:b/>
          <w:sz w:val="44"/>
          <w:szCs w:val="44"/>
        </w:rPr>
        <w:t xml:space="preserve">Appendix 1: </w:t>
      </w:r>
      <w:bookmarkStart w:id="7" w:name="_Toc303162900"/>
      <w:r w:rsidR="00623FA1" w:rsidRPr="00B92B2E">
        <w:rPr>
          <w:rFonts w:ascii="Arial" w:hAnsi="Arial" w:cs="Arial"/>
          <w:b/>
          <w:sz w:val="44"/>
          <w:szCs w:val="44"/>
        </w:rPr>
        <w:t>Alternative net interstate migration scenarios for the Northern Territory</w:t>
      </w:r>
    </w:p>
    <w:p w:rsidR="00623FA1" w:rsidRPr="00964B6A" w:rsidRDefault="00623FA1" w:rsidP="00964B6A">
      <w:pPr>
        <w:spacing w:after="160" w:line="240" w:lineRule="atLeast"/>
        <w:rPr>
          <w:rFonts w:ascii="Arial" w:hAnsi="Arial" w:cs="Arial"/>
          <w:color w:val="000000"/>
          <w:sz w:val="22"/>
          <w:szCs w:val="22"/>
        </w:rPr>
      </w:pPr>
      <w:r w:rsidRPr="00964B6A">
        <w:rPr>
          <w:rFonts w:ascii="Arial" w:hAnsi="Arial" w:cs="Arial"/>
          <w:color w:val="000000"/>
          <w:sz w:val="22"/>
          <w:szCs w:val="22"/>
        </w:rPr>
        <w:t xml:space="preserve">The principle driver of volatility in the Territory’s annual population growth rate is net interstate migration (see Chart 1, page 8). This section explores the effects of some alternative net interstate migration assumptions on the Territory’s projected population over the medium and long term. </w:t>
      </w:r>
    </w:p>
    <w:p w:rsidR="00623FA1" w:rsidRPr="00964B6A" w:rsidRDefault="00623FA1" w:rsidP="00964B6A">
      <w:pPr>
        <w:spacing w:after="160" w:line="240" w:lineRule="atLeast"/>
        <w:rPr>
          <w:rFonts w:ascii="Arial" w:hAnsi="Arial" w:cs="Arial"/>
          <w:color w:val="000000"/>
          <w:sz w:val="22"/>
          <w:szCs w:val="22"/>
        </w:rPr>
      </w:pPr>
      <w:r w:rsidRPr="00964B6A">
        <w:rPr>
          <w:rFonts w:ascii="Arial" w:hAnsi="Arial" w:cs="Arial"/>
          <w:color w:val="000000"/>
          <w:sz w:val="22"/>
          <w:szCs w:val="22"/>
        </w:rPr>
        <w:t xml:space="preserve">The net annual interstate inflow has </w:t>
      </w:r>
      <w:r w:rsidR="001F4BF6" w:rsidRPr="00964B6A">
        <w:rPr>
          <w:rFonts w:ascii="Arial" w:hAnsi="Arial" w:cs="Arial"/>
          <w:color w:val="000000"/>
          <w:sz w:val="22"/>
          <w:szCs w:val="22"/>
        </w:rPr>
        <w:t xml:space="preserve">ranged from a </w:t>
      </w:r>
      <w:r w:rsidRPr="00964B6A">
        <w:rPr>
          <w:rFonts w:ascii="Arial" w:hAnsi="Arial" w:cs="Arial"/>
          <w:color w:val="000000"/>
          <w:sz w:val="22"/>
          <w:szCs w:val="22"/>
        </w:rPr>
        <w:t xml:space="preserve">low of -2800 </w:t>
      </w:r>
      <w:r w:rsidR="001F4BF6" w:rsidRPr="00964B6A">
        <w:rPr>
          <w:rFonts w:ascii="Arial" w:hAnsi="Arial" w:cs="Arial"/>
          <w:color w:val="000000"/>
          <w:sz w:val="22"/>
          <w:szCs w:val="22"/>
        </w:rPr>
        <w:t>to</w:t>
      </w:r>
      <w:r w:rsidR="00FC2ABD" w:rsidRPr="00964B6A">
        <w:rPr>
          <w:rFonts w:ascii="Arial" w:hAnsi="Arial" w:cs="Arial"/>
          <w:color w:val="000000"/>
          <w:sz w:val="22"/>
          <w:szCs w:val="22"/>
        </w:rPr>
        <w:t xml:space="preserve"> </w:t>
      </w:r>
      <w:r w:rsidRPr="00964B6A">
        <w:rPr>
          <w:rFonts w:ascii="Arial" w:hAnsi="Arial" w:cs="Arial"/>
          <w:color w:val="000000"/>
          <w:sz w:val="22"/>
          <w:szCs w:val="22"/>
        </w:rPr>
        <w:t>a high of +1700 over the last two decades. In the short term, positive net interstate migration related to the construction of major projects can drive above average growth and negative net migration can follow after the completion of major construction projects or other economic downturns. Consequently, annual fluctuations in net interstate migration tend not to be randomly distributed in time but to follow broadly the cycles of economic activity (see Chart 9). It is not possible to make realistic long</w:t>
      </w:r>
      <w:r w:rsidRPr="00964B6A">
        <w:rPr>
          <w:rFonts w:ascii="Arial" w:hAnsi="Arial" w:cs="Arial"/>
          <w:color w:val="000000"/>
          <w:sz w:val="22"/>
          <w:szCs w:val="22"/>
        </w:rPr>
        <w:noBreakHyphen/>
        <w:t>term assumptions about the timing or size of future economic cycles</w:t>
      </w:r>
      <w:r w:rsidR="001F4BF6" w:rsidRPr="00964B6A">
        <w:rPr>
          <w:rFonts w:ascii="Arial" w:hAnsi="Arial" w:cs="Arial"/>
          <w:color w:val="000000"/>
          <w:sz w:val="22"/>
          <w:szCs w:val="22"/>
        </w:rPr>
        <w:t xml:space="preserve"> or similar</w:t>
      </w:r>
      <w:r w:rsidRPr="00964B6A">
        <w:rPr>
          <w:rFonts w:ascii="Arial" w:hAnsi="Arial" w:cs="Arial"/>
          <w:color w:val="000000"/>
          <w:sz w:val="22"/>
          <w:szCs w:val="22"/>
        </w:rPr>
        <w:t xml:space="preserve"> assumptions about </w:t>
      </w:r>
      <w:r w:rsidR="0005744B" w:rsidRPr="00964B6A">
        <w:rPr>
          <w:rFonts w:ascii="Arial" w:hAnsi="Arial" w:cs="Arial"/>
          <w:color w:val="000000"/>
          <w:sz w:val="22"/>
          <w:szCs w:val="22"/>
        </w:rPr>
        <w:t xml:space="preserve">cycles of </w:t>
      </w:r>
      <w:r w:rsidRPr="00964B6A">
        <w:rPr>
          <w:rFonts w:ascii="Arial" w:hAnsi="Arial" w:cs="Arial"/>
          <w:color w:val="000000"/>
          <w:sz w:val="22"/>
          <w:szCs w:val="22"/>
        </w:rPr>
        <w:t>net interstate migration. As such, future net interstate migration assumptions used to develop the NT Population Projections are based on the average over a reasonable period of time (10 years</w:t>
      </w:r>
      <w:r w:rsidR="0005744B" w:rsidRPr="00964B6A">
        <w:rPr>
          <w:rFonts w:ascii="Arial" w:hAnsi="Arial" w:cs="Arial"/>
          <w:color w:val="000000"/>
          <w:sz w:val="22"/>
          <w:szCs w:val="22"/>
        </w:rPr>
        <w:t>)</w:t>
      </w:r>
      <w:r w:rsidRPr="00964B6A">
        <w:rPr>
          <w:rFonts w:ascii="Arial" w:hAnsi="Arial" w:cs="Arial"/>
          <w:color w:val="000000"/>
          <w:sz w:val="22"/>
          <w:szCs w:val="22"/>
        </w:rPr>
        <w:t xml:space="preserve">. </w:t>
      </w:r>
    </w:p>
    <w:p w:rsidR="00623FA1" w:rsidRPr="00964B6A" w:rsidRDefault="00623FA1" w:rsidP="00964B6A">
      <w:pPr>
        <w:spacing w:before="360" w:after="160" w:line="240" w:lineRule="atLeast"/>
        <w:rPr>
          <w:rFonts w:ascii="Arial" w:hAnsi="Arial" w:cs="Arial"/>
          <w:b/>
          <w:color w:val="000000"/>
          <w:sz w:val="22"/>
          <w:szCs w:val="22"/>
        </w:rPr>
      </w:pPr>
      <w:r w:rsidRPr="00964B6A">
        <w:rPr>
          <w:rFonts w:ascii="Arial" w:hAnsi="Arial" w:cs="Arial"/>
          <w:b/>
          <w:color w:val="000000"/>
          <w:sz w:val="22"/>
          <w:szCs w:val="22"/>
        </w:rPr>
        <w:t xml:space="preserve">Chart 9: Territory Net Interstate Migration, Quarterly (moving annual average) and occurrence of major events. </w:t>
      </w:r>
    </w:p>
    <w:p w:rsidR="00623FA1" w:rsidRPr="00964B6A" w:rsidRDefault="00502108" w:rsidP="00964B6A">
      <w:pPr>
        <w:spacing w:after="160" w:line="240" w:lineRule="atLeast"/>
        <w:rPr>
          <w:rFonts w:ascii="Arial" w:hAnsi="Arial" w:cs="Arial"/>
          <w:color w:val="000000"/>
          <w:sz w:val="22"/>
          <w:szCs w:val="22"/>
        </w:rPr>
      </w:pPr>
      <w:r>
        <w:rPr>
          <w:rFonts w:ascii="Arial" w:hAnsi="Arial" w:cs="Arial"/>
          <w:noProof/>
          <w:color w:val="000000"/>
          <w:sz w:val="22"/>
          <w:szCs w:val="22"/>
          <w:lang w:eastAsia="en-AU"/>
        </w:rPr>
        <w:drawing>
          <wp:inline distT="0" distB="0" distL="0" distR="0">
            <wp:extent cx="5735320" cy="3730625"/>
            <wp:effectExtent l="0" t="0" r="0" b="3175"/>
            <wp:docPr id="17" name="Picture 1" descr="Chart 9: Territory Net Interstate Migration, Quarterly (moving annual average) and occurrence of major events. " titl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5320" cy="3730625"/>
                    </a:xfrm>
                    <a:prstGeom prst="rect">
                      <a:avLst/>
                    </a:prstGeom>
                    <a:noFill/>
                    <a:ln>
                      <a:noFill/>
                    </a:ln>
                  </pic:spPr>
                </pic:pic>
              </a:graphicData>
            </a:graphic>
          </wp:inline>
        </w:drawing>
      </w:r>
    </w:p>
    <w:p w:rsidR="00623FA1" w:rsidRPr="00964B6A" w:rsidRDefault="0005744B" w:rsidP="00964B6A">
      <w:pPr>
        <w:spacing w:after="160" w:line="240" w:lineRule="atLeast"/>
        <w:rPr>
          <w:rFonts w:ascii="Arial" w:hAnsi="Arial" w:cs="Arial"/>
          <w:color w:val="000000"/>
          <w:sz w:val="22"/>
          <w:szCs w:val="22"/>
        </w:rPr>
      </w:pPr>
      <w:r w:rsidRPr="00964B6A">
        <w:rPr>
          <w:rFonts w:ascii="Arial" w:hAnsi="Arial" w:cs="Arial"/>
          <w:color w:val="000000"/>
          <w:sz w:val="22"/>
          <w:szCs w:val="22"/>
        </w:rPr>
        <w:t>However, to demonstrate the influence of migration on the projections, various</w:t>
      </w:r>
      <w:r w:rsidR="00623FA1" w:rsidRPr="00964B6A">
        <w:rPr>
          <w:rFonts w:ascii="Arial" w:hAnsi="Arial" w:cs="Arial"/>
          <w:color w:val="000000"/>
          <w:sz w:val="22"/>
          <w:szCs w:val="22"/>
        </w:rPr>
        <w:t xml:space="preserve"> scenarios have been developed by assuming different levels of constant annual net migration and holding all other parameters fixed. The following net interstate migration assumptions were chosen to cover a wide range of spectrums: -1000, -500, -250 and 0 and 250, 500 and 1000. </w:t>
      </w:r>
      <w:r w:rsidR="00FC2ABD" w:rsidRPr="00964B6A">
        <w:rPr>
          <w:rFonts w:ascii="Arial" w:hAnsi="Arial" w:cs="Arial"/>
          <w:color w:val="000000"/>
          <w:sz w:val="22"/>
          <w:szCs w:val="22"/>
        </w:rPr>
        <w:t xml:space="preserve">Additional context is provided by looking at the migration outcomes recorded in the Territory. </w:t>
      </w:r>
      <w:r w:rsidR="00623FA1" w:rsidRPr="00964B6A">
        <w:rPr>
          <w:rFonts w:ascii="Arial" w:hAnsi="Arial" w:cs="Arial"/>
          <w:color w:val="000000"/>
          <w:sz w:val="22"/>
          <w:szCs w:val="22"/>
        </w:rPr>
        <w:t>Chart 10</w:t>
      </w:r>
      <w:r w:rsidR="00F2225E" w:rsidRPr="00964B6A">
        <w:rPr>
          <w:rFonts w:ascii="Arial" w:hAnsi="Arial" w:cs="Arial"/>
          <w:color w:val="000000"/>
          <w:sz w:val="22"/>
          <w:szCs w:val="22"/>
        </w:rPr>
        <w:t>a</w:t>
      </w:r>
      <w:r w:rsidR="00623FA1" w:rsidRPr="00964B6A">
        <w:rPr>
          <w:rFonts w:ascii="Arial" w:hAnsi="Arial" w:cs="Arial"/>
          <w:color w:val="000000"/>
          <w:sz w:val="22"/>
          <w:szCs w:val="22"/>
        </w:rPr>
        <w:t xml:space="preserve"> shows a histogram of the 10 year moving averages for net interstate migration from 1981-1991 to 2001-2011</w:t>
      </w:r>
      <w:r w:rsidR="00F2225E" w:rsidRPr="00964B6A">
        <w:rPr>
          <w:rFonts w:ascii="Arial" w:hAnsi="Arial" w:cs="Arial"/>
          <w:color w:val="000000"/>
          <w:sz w:val="22"/>
          <w:szCs w:val="22"/>
        </w:rPr>
        <w:t xml:space="preserve"> while Chart 10b shows a histogram of annual changes for interstate migration between 1981 and 2011 to provide additional context</w:t>
      </w:r>
      <w:r w:rsidR="0095595E" w:rsidRPr="00964B6A">
        <w:rPr>
          <w:rFonts w:ascii="Arial" w:hAnsi="Arial" w:cs="Arial"/>
          <w:color w:val="000000"/>
          <w:sz w:val="22"/>
          <w:szCs w:val="22"/>
        </w:rPr>
        <w:t>.</w:t>
      </w:r>
    </w:p>
    <w:p w:rsidR="001F1C58" w:rsidRPr="001F1C58" w:rsidRDefault="001F1C58" w:rsidP="001F1C58">
      <w:pPr>
        <w:spacing w:before="360" w:after="160" w:line="240" w:lineRule="atLeast"/>
        <w:rPr>
          <w:rFonts w:ascii="Arial" w:hAnsi="Arial" w:cs="Arial"/>
          <w:b/>
          <w:color w:val="000000"/>
          <w:sz w:val="22"/>
          <w:szCs w:val="22"/>
        </w:rPr>
      </w:pPr>
      <w:r w:rsidRPr="00964B6A">
        <w:rPr>
          <w:rFonts w:ascii="Arial" w:hAnsi="Arial" w:cs="Arial"/>
          <w:b/>
          <w:color w:val="000000"/>
          <w:sz w:val="22"/>
          <w:szCs w:val="22"/>
        </w:rPr>
        <w:t xml:space="preserve">Chart 10a: Net interstate migration averages: Historical 10-year moving averages (histogram) </w:t>
      </w:r>
    </w:p>
    <w:p w:rsidR="001F1C58" w:rsidRDefault="00502108" w:rsidP="001F1C58">
      <w:pPr>
        <w:rPr>
          <w:rFonts w:ascii="Arial" w:hAnsi="Arial" w:cs="Arial"/>
          <w:sz w:val="22"/>
          <w:szCs w:val="22"/>
        </w:rPr>
      </w:pPr>
      <w:r>
        <w:rPr>
          <w:rFonts w:ascii="Arial" w:hAnsi="Arial" w:cs="Arial"/>
          <w:noProof/>
          <w:sz w:val="22"/>
          <w:szCs w:val="22"/>
          <w:lang w:eastAsia="en-AU"/>
        </w:rPr>
        <w:drawing>
          <wp:inline distT="0" distB="0" distL="0" distR="0">
            <wp:extent cx="5062220" cy="2750820"/>
            <wp:effectExtent l="0" t="0" r="0" b="0"/>
            <wp:docPr id="18" name="Chart 4" descr="Chart 10a: Net interstate migration averages: Historical 10-year moving averages (histogram) " title="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30">
                      <a:extLst>
                        <a:ext uri="{28A0092B-C50C-407E-A947-70E740481C1C}">
                          <a14:useLocalDpi xmlns:a14="http://schemas.microsoft.com/office/drawing/2010/main" val="0"/>
                        </a:ext>
                      </a:extLst>
                    </a:blip>
                    <a:srcRect l="-2049" t="8145" r="-3355" b="-3566"/>
                    <a:stretch>
                      <a:fillRect/>
                    </a:stretch>
                  </pic:blipFill>
                  <pic:spPr bwMode="auto">
                    <a:xfrm>
                      <a:off x="0" y="0"/>
                      <a:ext cx="5062220" cy="2750820"/>
                    </a:xfrm>
                    <a:prstGeom prst="rect">
                      <a:avLst/>
                    </a:prstGeom>
                    <a:noFill/>
                    <a:ln>
                      <a:noFill/>
                    </a:ln>
                  </pic:spPr>
                </pic:pic>
              </a:graphicData>
            </a:graphic>
          </wp:inline>
        </w:drawing>
      </w:r>
    </w:p>
    <w:p w:rsidR="001F1C58" w:rsidRPr="00964B6A" w:rsidRDefault="001F1C58" w:rsidP="001F1C58">
      <w:pPr>
        <w:spacing w:before="360" w:after="160" w:line="240" w:lineRule="atLeast"/>
        <w:rPr>
          <w:rFonts w:ascii="Arial" w:hAnsi="Arial" w:cs="Arial"/>
          <w:b/>
          <w:color w:val="000000"/>
          <w:sz w:val="22"/>
          <w:szCs w:val="22"/>
        </w:rPr>
      </w:pPr>
      <w:r w:rsidRPr="00964B6A">
        <w:rPr>
          <w:rFonts w:ascii="Arial" w:hAnsi="Arial" w:cs="Arial"/>
          <w:b/>
          <w:color w:val="000000"/>
          <w:sz w:val="22"/>
          <w:szCs w:val="22"/>
        </w:rPr>
        <w:t xml:space="preserve">Chart 10b: Net interstate migration annual averages, 1981 to 2011 </w:t>
      </w:r>
    </w:p>
    <w:p w:rsidR="001F1C58" w:rsidRPr="00964B6A" w:rsidRDefault="00502108" w:rsidP="001F1C58">
      <w:pPr>
        <w:spacing w:after="160" w:line="240" w:lineRule="atLeast"/>
        <w:rPr>
          <w:rFonts w:ascii="Arial" w:hAnsi="Arial" w:cs="Arial"/>
          <w:color w:val="000000"/>
          <w:sz w:val="22"/>
          <w:szCs w:val="22"/>
        </w:rPr>
      </w:pPr>
      <w:r>
        <w:rPr>
          <w:rFonts w:ascii="Arial" w:hAnsi="Arial" w:cs="Arial"/>
          <w:noProof/>
          <w:color w:val="000000"/>
          <w:sz w:val="22"/>
          <w:szCs w:val="22"/>
          <w:lang w:eastAsia="en-AU"/>
        </w:rPr>
        <w:drawing>
          <wp:inline distT="0" distB="0" distL="0" distR="0">
            <wp:extent cx="4930140" cy="3291840"/>
            <wp:effectExtent l="0" t="0" r="3810" b="0"/>
            <wp:docPr id="19" name="Chart 5" descr="Chart 10b: Net interstate migration annual averages, 1981 to 2011 " title="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31">
                      <a:extLst>
                        <a:ext uri="{28A0092B-C50C-407E-A947-70E740481C1C}">
                          <a14:useLocalDpi xmlns:a14="http://schemas.microsoft.com/office/drawing/2010/main" val="0"/>
                        </a:ext>
                      </a:extLst>
                    </a:blip>
                    <a:srcRect l="-2068" t="7930" r="-522" b="-3259"/>
                    <a:stretch>
                      <a:fillRect/>
                    </a:stretch>
                  </pic:blipFill>
                  <pic:spPr bwMode="auto">
                    <a:xfrm>
                      <a:off x="0" y="0"/>
                      <a:ext cx="4930140" cy="3291840"/>
                    </a:xfrm>
                    <a:prstGeom prst="rect">
                      <a:avLst/>
                    </a:prstGeom>
                    <a:noFill/>
                    <a:ln>
                      <a:noFill/>
                    </a:ln>
                  </pic:spPr>
                </pic:pic>
              </a:graphicData>
            </a:graphic>
          </wp:inline>
        </w:drawing>
      </w:r>
    </w:p>
    <w:p w:rsidR="00623FA1" w:rsidRPr="00964B6A" w:rsidRDefault="00623FA1" w:rsidP="00964B6A">
      <w:pPr>
        <w:spacing w:after="160" w:line="240" w:lineRule="atLeast"/>
        <w:rPr>
          <w:rFonts w:ascii="Arial" w:hAnsi="Arial" w:cs="Arial"/>
          <w:color w:val="000000"/>
          <w:sz w:val="22"/>
          <w:szCs w:val="22"/>
        </w:rPr>
      </w:pPr>
      <w:r w:rsidRPr="00964B6A">
        <w:rPr>
          <w:rFonts w:ascii="Arial" w:hAnsi="Arial" w:cs="Arial"/>
          <w:color w:val="000000"/>
          <w:sz w:val="22"/>
          <w:szCs w:val="22"/>
        </w:rPr>
        <w:t>Table 9 and Chart 11 show the Territory’s projected population and growth rates under the different interstate migration scenarios. As can be seen, increasing net interstate migration has a predictable positive effect on the size of the Territory’s population. The difference between the -1000 and 1000 net interstate migration scenarios reached 61</w:t>
      </w:r>
      <w:r w:rsidR="00DB24A3" w:rsidRPr="00964B6A">
        <w:rPr>
          <w:rFonts w:ascii="Arial" w:hAnsi="Arial" w:cs="Arial"/>
          <w:color w:val="000000"/>
          <w:sz w:val="22"/>
          <w:szCs w:val="22"/>
        </w:rPr>
        <w:t> </w:t>
      </w:r>
      <w:r w:rsidRPr="00964B6A">
        <w:rPr>
          <w:rFonts w:ascii="Arial" w:hAnsi="Arial" w:cs="Arial"/>
          <w:color w:val="000000"/>
          <w:sz w:val="22"/>
          <w:szCs w:val="22"/>
        </w:rPr>
        <w:t>521 by 2037 (</w:t>
      </w:r>
      <w:r w:rsidR="00DB24A3" w:rsidRPr="00964B6A">
        <w:rPr>
          <w:rFonts w:ascii="Arial" w:hAnsi="Arial" w:cs="Arial"/>
          <w:color w:val="000000"/>
          <w:sz w:val="22"/>
          <w:szCs w:val="22"/>
        </w:rPr>
        <w:t xml:space="preserve">that is </w:t>
      </w:r>
      <w:r w:rsidRPr="00964B6A">
        <w:rPr>
          <w:rFonts w:ascii="Arial" w:hAnsi="Arial" w:cs="Arial"/>
          <w:color w:val="000000"/>
          <w:sz w:val="22"/>
          <w:szCs w:val="22"/>
        </w:rPr>
        <w:t xml:space="preserve">after 25 years of growth). </w:t>
      </w:r>
    </w:p>
    <w:p w:rsidR="00623FA1" w:rsidRPr="00964B6A" w:rsidRDefault="0095595E" w:rsidP="00964B6A">
      <w:pPr>
        <w:spacing w:before="360" w:after="160" w:line="240" w:lineRule="atLeast"/>
        <w:rPr>
          <w:rFonts w:ascii="Arial" w:hAnsi="Arial" w:cs="Arial"/>
          <w:b/>
          <w:color w:val="000000"/>
          <w:sz w:val="22"/>
          <w:szCs w:val="22"/>
        </w:rPr>
      </w:pPr>
      <w:r w:rsidRPr="00964B6A">
        <w:rPr>
          <w:rFonts w:ascii="Arial" w:hAnsi="Arial" w:cs="Arial"/>
          <w:color w:val="000000"/>
          <w:sz w:val="22"/>
          <w:szCs w:val="22"/>
        </w:rPr>
        <w:br w:type="page"/>
      </w:r>
      <w:r w:rsidR="00623FA1" w:rsidRPr="00964B6A">
        <w:rPr>
          <w:rFonts w:ascii="Arial" w:hAnsi="Arial" w:cs="Arial"/>
          <w:b/>
          <w:color w:val="000000"/>
          <w:sz w:val="22"/>
          <w:szCs w:val="22"/>
        </w:rPr>
        <w:t>Table 9: Territory population projection scenarios under different interstate migration assumptions</w:t>
      </w:r>
    </w:p>
    <w:tbl>
      <w:tblPr>
        <w:tblW w:w="7800" w:type="dxa"/>
        <w:tblInd w:w="96" w:type="dxa"/>
        <w:tblLook w:val="04A0" w:firstRow="1" w:lastRow="0" w:firstColumn="1" w:lastColumn="0" w:noHBand="0" w:noVBand="1"/>
      </w:tblPr>
      <w:tblGrid>
        <w:gridCol w:w="2040"/>
        <w:gridCol w:w="1311"/>
        <w:gridCol w:w="894"/>
        <w:gridCol w:w="1311"/>
        <w:gridCol w:w="894"/>
        <w:gridCol w:w="1296"/>
        <w:gridCol w:w="894"/>
      </w:tblGrid>
      <w:tr w:rsidR="00623FA1" w:rsidRPr="00E3692C" w:rsidTr="0095595E">
        <w:trPr>
          <w:trHeight w:val="300"/>
        </w:trPr>
        <w:tc>
          <w:tcPr>
            <w:tcW w:w="2040" w:type="dxa"/>
            <w:tcBorders>
              <w:top w:val="nil"/>
              <w:left w:val="nil"/>
              <w:bottom w:val="nil"/>
              <w:right w:val="nil"/>
            </w:tcBorders>
            <w:shd w:val="clear" w:color="000000" w:fill="FFFFFF"/>
            <w:noWrap/>
            <w:vAlign w:val="bottom"/>
            <w:hideMark/>
          </w:tcPr>
          <w:p w:rsidR="00623FA1" w:rsidRPr="0095595E" w:rsidRDefault="00623FA1" w:rsidP="001A773C">
            <w:pPr>
              <w:rPr>
                <w:rFonts w:ascii="Arial" w:eastAsia="Times New Roman" w:hAnsi="Arial" w:cs="Arial"/>
                <w:lang w:eastAsia="en-AU"/>
              </w:rPr>
            </w:pPr>
          </w:p>
        </w:tc>
        <w:tc>
          <w:tcPr>
            <w:tcW w:w="1920" w:type="dxa"/>
            <w:gridSpan w:val="2"/>
            <w:tcBorders>
              <w:top w:val="nil"/>
              <w:left w:val="nil"/>
              <w:bottom w:val="single" w:sz="4" w:space="0" w:color="auto"/>
              <w:right w:val="nil"/>
            </w:tcBorders>
            <w:shd w:val="clear" w:color="000000" w:fill="FFFFFF"/>
            <w:noWrap/>
            <w:vAlign w:val="bottom"/>
            <w:hideMark/>
          </w:tcPr>
          <w:p w:rsidR="00623FA1" w:rsidRPr="0095595E" w:rsidRDefault="00623FA1" w:rsidP="001A773C">
            <w:pPr>
              <w:jc w:val="center"/>
              <w:rPr>
                <w:rFonts w:ascii="Arial" w:eastAsia="Times New Roman" w:hAnsi="Arial" w:cs="Arial"/>
                <w:b/>
                <w:lang w:eastAsia="en-AU"/>
              </w:rPr>
            </w:pPr>
            <w:r w:rsidRPr="0095595E">
              <w:rPr>
                <w:rFonts w:ascii="Arial" w:eastAsia="Times New Roman" w:hAnsi="Arial" w:cs="Arial"/>
                <w:b/>
                <w:lang w:eastAsia="en-AU"/>
              </w:rPr>
              <w:t>2012</w:t>
            </w:r>
          </w:p>
        </w:tc>
        <w:tc>
          <w:tcPr>
            <w:tcW w:w="1920" w:type="dxa"/>
            <w:gridSpan w:val="2"/>
            <w:tcBorders>
              <w:top w:val="nil"/>
              <w:left w:val="nil"/>
              <w:bottom w:val="single" w:sz="4" w:space="0" w:color="auto"/>
              <w:right w:val="nil"/>
            </w:tcBorders>
            <w:shd w:val="clear" w:color="000000" w:fill="FFFFFF"/>
            <w:noWrap/>
            <w:vAlign w:val="bottom"/>
            <w:hideMark/>
          </w:tcPr>
          <w:p w:rsidR="00623FA1" w:rsidRPr="0095595E" w:rsidRDefault="00623FA1" w:rsidP="001A773C">
            <w:pPr>
              <w:jc w:val="center"/>
              <w:rPr>
                <w:rFonts w:ascii="Arial" w:eastAsia="Times New Roman" w:hAnsi="Arial" w:cs="Arial"/>
                <w:b/>
                <w:lang w:eastAsia="en-AU"/>
              </w:rPr>
            </w:pPr>
            <w:r w:rsidRPr="0095595E">
              <w:rPr>
                <w:rFonts w:ascii="Arial" w:eastAsia="Times New Roman" w:hAnsi="Arial" w:cs="Arial"/>
                <w:b/>
                <w:lang w:eastAsia="en-AU"/>
              </w:rPr>
              <w:t>2022</w:t>
            </w:r>
          </w:p>
        </w:tc>
        <w:tc>
          <w:tcPr>
            <w:tcW w:w="1920" w:type="dxa"/>
            <w:gridSpan w:val="2"/>
            <w:tcBorders>
              <w:top w:val="nil"/>
              <w:left w:val="nil"/>
              <w:bottom w:val="single" w:sz="4" w:space="0" w:color="auto"/>
              <w:right w:val="nil"/>
            </w:tcBorders>
            <w:shd w:val="clear" w:color="000000" w:fill="FFFFFF"/>
            <w:noWrap/>
            <w:vAlign w:val="bottom"/>
            <w:hideMark/>
          </w:tcPr>
          <w:p w:rsidR="00623FA1" w:rsidRPr="0095595E" w:rsidRDefault="00623FA1" w:rsidP="001A773C">
            <w:pPr>
              <w:jc w:val="center"/>
              <w:rPr>
                <w:rFonts w:ascii="Arial" w:eastAsia="Times New Roman" w:hAnsi="Arial" w:cs="Arial"/>
                <w:b/>
                <w:lang w:eastAsia="en-AU"/>
              </w:rPr>
            </w:pPr>
            <w:r w:rsidRPr="0095595E">
              <w:rPr>
                <w:rFonts w:ascii="Arial" w:eastAsia="Times New Roman" w:hAnsi="Arial" w:cs="Arial"/>
                <w:b/>
                <w:lang w:eastAsia="en-AU"/>
              </w:rPr>
              <w:t>2037</w:t>
            </w:r>
          </w:p>
        </w:tc>
      </w:tr>
      <w:tr w:rsidR="00623FA1" w:rsidRPr="00E3692C" w:rsidTr="0095595E">
        <w:trPr>
          <w:trHeight w:val="300"/>
        </w:trPr>
        <w:tc>
          <w:tcPr>
            <w:tcW w:w="2040" w:type="dxa"/>
            <w:tcBorders>
              <w:top w:val="nil"/>
              <w:left w:val="nil"/>
              <w:bottom w:val="single" w:sz="4" w:space="0" w:color="auto"/>
              <w:right w:val="nil"/>
            </w:tcBorders>
            <w:shd w:val="clear" w:color="000000" w:fill="FFFFFF"/>
            <w:noWrap/>
            <w:vAlign w:val="bottom"/>
            <w:hideMark/>
          </w:tcPr>
          <w:p w:rsidR="00623FA1" w:rsidRPr="0095595E" w:rsidRDefault="0095595E" w:rsidP="001A773C">
            <w:pPr>
              <w:rPr>
                <w:rFonts w:ascii="Arial" w:eastAsia="Times New Roman" w:hAnsi="Arial" w:cs="Arial"/>
                <w:lang w:eastAsia="en-AU"/>
              </w:rPr>
            </w:pPr>
            <w:r w:rsidRPr="0095595E">
              <w:rPr>
                <w:rFonts w:ascii="Arial" w:eastAsia="Times New Roman" w:hAnsi="Arial" w:cs="Arial"/>
                <w:lang w:eastAsia="en-AU"/>
              </w:rPr>
              <w:t>Interstate Migration Assumption</w:t>
            </w:r>
            <w:r w:rsidR="00623FA1" w:rsidRPr="0095595E">
              <w:rPr>
                <w:rFonts w:ascii="Arial" w:eastAsia="Times New Roman" w:hAnsi="Arial" w:cs="Arial"/>
                <w:lang w:eastAsia="en-AU"/>
              </w:rPr>
              <w:t> </w:t>
            </w:r>
          </w:p>
        </w:tc>
        <w:tc>
          <w:tcPr>
            <w:tcW w:w="1311" w:type="dxa"/>
            <w:tcBorders>
              <w:top w:val="single" w:sz="4" w:space="0" w:color="auto"/>
              <w:left w:val="nil"/>
              <w:bottom w:val="single" w:sz="4" w:space="0" w:color="auto"/>
              <w:right w:val="nil"/>
            </w:tcBorders>
            <w:shd w:val="clear" w:color="000000" w:fill="FFFFFF"/>
            <w:noWrap/>
            <w:vAlign w:val="bottom"/>
            <w:hideMark/>
          </w:tcPr>
          <w:p w:rsidR="00623FA1" w:rsidRPr="0095595E" w:rsidRDefault="00623FA1" w:rsidP="001A773C">
            <w:pPr>
              <w:jc w:val="center"/>
              <w:rPr>
                <w:rFonts w:ascii="Arial" w:eastAsia="Times New Roman" w:hAnsi="Arial" w:cs="Arial"/>
                <w:b/>
                <w:lang w:eastAsia="en-AU"/>
              </w:rPr>
            </w:pPr>
            <w:r w:rsidRPr="0095595E">
              <w:rPr>
                <w:rFonts w:ascii="Arial" w:eastAsia="Times New Roman" w:hAnsi="Arial" w:cs="Arial"/>
                <w:b/>
                <w:lang w:eastAsia="en-AU"/>
              </w:rPr>
              <w:t>No</w:t>
            </w:r>
          </w:p>
        </w:tc>
        <w:tc>
          <w:tcPr>
            <w:tcW w:w="609" w:type="dxa"/>
            <w:tcBorders>
              <w:top w:val="single" w:sz="4" w:space="0" w:color="auto"/>
              <w:left w:val="nil"/>
              <w:bottom w:val="single" w:sz="4" w:space="0" w:color="auto"/>
              <w:right w:val="nil"/>
            </w:tcBorders>
            <w:shd w:val="clear" w:color="000000" w:fill="FFFFFF"/>
            <w:noWrap/>
            <w:vAlign w:val="bottom"/>
            <w:hideMark/>
          </w:tcPr>
          <w:p w:rsidR="00623FA1" w:rsidRPr="0095595E" w:rsidRDefault="00623FA1" w:rsidP="001A773C">
            <w:pPr>
              <w:jc w:val="center"/>
              <w:rPr>
                <w:rFonts w:ascii="Arial" w:eastAsia="Times New Roman" w:hAnsi="Arial" w:cs="Arial"/>
                <w:b/>
                <w:lang w:eastAsia="en-AU"/>
              </w:rPr>
            </w:pPr>
            <w:r w:rsidRPr="0095595E">
              <w:rPr>
                <w:rFonts w:ascii="Arial" w:eastAsia="Times New Roman" w:hAnsi="Arial" w:cs="Arial"/>
                <w:b/>
                <w:lang w:eastAsia="en-AU"/>
              </w:rPr>
              <w:t>Annual GR (%)</w:t>
            </w:r>
          </w:p>
        </w:tc>
        <w:tc>
          <w:tcPr>
            <w:tcW w:w="1311" w:type="dxa"/>
            <w:tcBorders>
              <w:top w:val="single" w:sz="4" w:space="0" w:color="auto"/>
              <w:left w:val="nil"/>
              <w:bottom w:val="single" w:sz="4" w:space="0" w:color="auto"/>
              <w:right w:val="nil"/>
            </w:tcBorders>
            <w:shd w:val="clear" w:color="000000" w:fill="FFFFFF"/>
            <w:noWrap/>
            <w:vAlign w:val="bottom"/>
            <w:hideMark/>
          </w:tcPr>
          <w:p w:rsidR="00623FA1" w:rsidRPr="0095595E" w:rsidRDefault="00623FA1" w:rsidP="001A773C">
            <w:pPr>
              <w:jc w:val="center"/>
              <w:rPr>
                <w:rFonts w:ascii="Arial" w:eastAsia="Times New Roman" w:hAnsi="Arial" w:cs="Arial"/>
                <w:b/>
                <w:lang w:eastAsia="en-AU"/>
              </w:rPr>
            </w:pPr>
            <w:r w:rsidRPr="0095595E">
              <w:rPr>
                <w:rFonts w:ascii="Arial" w:eastAsia="Times New Roman" w:hAnsi="Arial" w:cs="Arial"/>
                <w:b/>
                <w:lang w:eastAsia="en-AU"/>
              </w:rPr>
              <w:t>No</w:t>
            </w:r>
          </w:p>
        </w:tc>
        <w:tc>
          <w:tcPr>
            <w:tcW w:w="609" w:type="dxa"/>
            <w:tcBorders>
              <w:top w:val="single" w:sz="4" w:space="0" w:color="auto"/>
              <w:left w:val="nil"/>
              <w:bottom w:val="single" w:sz="4" w:space="0" w:color="auto"/>
              <w:right w:val="nil"/>
            </w:tcBorders>
            <w:shd w:val="clear" w:color="000000" w:fill="FFFFFF"/>
            <w:noWrap/>
            <w:vAlign w:val="bottom"/>
            <w:hideMark/>
          </w:tcPr>
          <w:p w:rsidR="00623FA1" w:rsidRPr="0095595E" w:rsidRDefault="00623FA1" w:rsidP="001A773C">
            <w:pPr>
              <w:jc w:val="center"/>
              <w:rPr>
                <w:rFonts w:ascii="Arial" w:eastAsia="Times New Roman" w:hAnsi="Arial" w:cs="Arial"/>
                <w:b/>
                <w:lang w:eastAsia="en-AU"/>
              </w:rPr>
            </w:pPr>
            <w:r w:rsidRPr="0095595E">
              <w:rPr>
                <w:rFonts w:ascii="Arial" w:eastAsia="Times New Roman" w:hAnsi="Arial" w:cs="Arial"/>
                <w:b/>
                <w:lang w:eastAsia="en-AU"/>
              </w:rPr>
              <w:t>Annual GR (%)</w:t>
            </w:r>
          </w:p>
        </w:tc>
        <w:tc>
          <w:tcPr>
            <w:tcW w:w="1296" w:type="dxa"/>
            <w:tcBorders>
              <w:top w:val="single" w:sz="4" w:space="0" w:color="auto"/>
              <w:left w:val="nil"/>
              <w:bottom w:val="single" w:sz="4" w:space="0" w:color="auto"/>
              <w:right w:val="nil"/>
            </w:tcBorders>
            <w:shd w:val="clear" w:color="000000" w:fill="FFFFFF"/>
            <w:noWrap/>
            <w:vAlign w:val="bottom"/>
            <w:hideMark/>
          </w:tcPr>
          <w:p w:rsidR="00623FA1" w:rsidRPr="0095595E" w:rsidRDefault="00623FA1" w:rsidP="001A773C">
            <w:pPr>
              <w:jc w:val="center"/>
              <w:rPr>
                <w:rFonts w:ascii="Arial" w:eastAsia="Times New Roman" w:hAnsi="Arial" w:cs="Arial"/>
                <w:b/>
                <w:lang w:eastAsia="en-AU"/>
              </w:rPr>
            </w:pPr>
            <w:r w:rsidRPr="0095595E">
              <w:rPr>
                <w:rFonts w:ascii="Arial" w:eastAsia="Times New Roman" w:hAnsi="Arial" w:cs="Arial"/>
                <w:b/>
                <w:lang w:eastAsia="en-AU"/>
              </w:rPr>
              <w:t>No</w:t>
            </w:r>
          </w:p>
        </w:tc>
        <w:tc>
          <w:tcPr>
            <w:tcW w:w="624" w:type="dxa"/>
            <w:tcBorders>
              <w:top w:val="single" w:sz="4" w:space="0" w:color="auto"/>
              <w:left w:val="nil"/>
              <w:bottom w:val="single" w:sz="4" w:space="0" w:color="auto"/>
              <w:right w:val="nil"/>
            </w:tcBorders>
            <w:shd w:val="clear" w:color="000000" w:fill="FFFFFF"/>
            <w:noWrap/>
            <w:vAlign w:val="bottom"/>
            <w:hideMark/>
          </w:tcPr>
          <w:p w:rsidR="00623FA1" w:rsidRPr="0095595E" w:rsidRDefault="00623FA1" w:rsidP="001A773C">
            <w:pPr>
              <w:jc w:val="center"/>
              <w:rPr>
                <w:rFonts w:ascii="Arial" w:eastAsia="Times New Roman" w:hAnsi="Arial" w:cs="Arial"/>
                <w:b/>
                <w:lang w:eastAsia="en-AU"/>
              </w:rPr>
            </w:pPr>
            <w:r w:rsidRPr="0095595E">
              <w:rPr>
                <w:rFonts w:ascii="Arial" w:eastAsia="Times New Roman" w:hAnsi="Arial" w:cs="Arial"/>
                <w:b/>
                <w:lang w:eastAsia="en-AU"/>
              </w:rPr>
              <w:t>Annual GR (%)</w:t>
            </w:r>
          </w:p>
        </w:tc>
      </w:tr>
      <w:tr w:rsidR="00623FA1" w:rsidRPr="00E3692C" w:rsidTr="0095595E">
        <w:trPr>
          <w:trHeight w:val="300"/>
        </w:trPr>
        <w:tc>
          <w:tcPr>
            <w:tcW w:w="2040" w:type="dxa"/>
            <w:tcBorders>
              <w:top w:val="single" w:sz="4" w:space="0" w:color="auto"/>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Net Migration -1000 </w:t>
            </w:r>
          </w:p>
        </w:tc>
        <w:tc>
          <w:tcPr>
            <w:tcW w:w="1311" w:type="dxa"/>
            <w:tcBorders>
              <w:top w:val="single" w:sz="4" w:space="0" w:color="auto"/>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234 676 </w:t>
            </w:r>
          </w:p>
        </w:tc>
        <w:tc>
          <w:tcPr>
            <w:tcW w:w="609" w:type="dxa"/>
            <w:tcBorders>
              <w:top w:val="single" w:sz="4" w:space="0" w:color="auto"/>
              <w:left w:val="nil"/>
              <w:bottom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1.34</w:t>
            </w:r>
          </w:p>
        </w:tc>
        <w:tc>
          <w:tcPr>
            <w:tcW w:w="1311" w:type="dxa"/>
            <w:tcBorders>
              <w:top w:val="single" w:sz="4" w:space="0" w:color="auto"/>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266 812 </w:t>
            </w:r>
          </w:p>
        </w:tc>
        <w:tc>
          <w:tcPr>
            <w:tcW w:w="609" w:type="dxa"/>
            <w:tcBorders>
              <w:top w:val="single" w:sz="4" w:space="0" w:color="auto"/>
              <w:left w:val="nil"/>
              <w:bottom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1.24</w:t>
            </w:r>
          </w:p>
        </w:tc>
        <w:tc>
          <w:tcPr>
            <w:tcW w:w="1296" w:type="dxa"/>
            <w:tcBorders>
              <w:top w:val="single" w:sz="4" w:space="0" w:color="auto"/>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318 466 </w:t>
            </w:r>
          </w:p>
        </w:tc>
        <w:tc>
          <w:tcPr>
            <w:tcW w:w="624" w:type="dxa"/>
            <w:tcBorders>
              <w:top w:val="single" w:sz="4" w:space="0" w:color="auto"/>
              <w:left w:val="nil"/>
              <w:bottom w:val="nil"/>
              <w:right w:val="nil"/>
            </w:tcBorders>
            <w:shd w:val="clear" w:color="000000" w:fill="FFFFFF"/>
            <w:noWrap/>
            <w:vAlign w:val="bottom"/>
            <w:hideMark/>
          </w:tcPr>
          <w:p w:rsidR="00623FA1" w:rsidRPr="00E3692C" w:rsidRDefault="00623FA1" w:rsidP="0095595E">
            <w:pPr>
              <w:ind w:right="-20"/>
              <w:jc w:val="right"/>
              <w:rPr>
                <w:rFonts w:ascii="Arial" w:eastAsia="Times New Roman" w:hAnsi="Arial" w:cs="Arial"/>
                <w:lang w:eastAsia="en-AU"/>
              </w:rPr>
            </w:pPr>
            <w:r w:rsidRPr="00E3692C">
              <w:rPr>
                <w:rFonts w:ascii="Arial" w:eastAsia="Times New Roman" w:hAnsi="Arial" w:cs="Arial"/>
                <w:lang w:eastAsia="en-AU"/>
              </w:rPr>
              <w:t>1.14</w:t>
            </w:r>
          </w:p>
        </w:tc>
      </w:tr>
      <w:tr w:rsidR="00623FA1" w:rsidRPr="00924DD7" w:rsidTr="001A773C">
        <w:trPr>
          <w:trHeight w:val="300"/>
        </w:trPr>
        <w:tc>
          <w:tcPr>
            <w:tcW w:w="2040" w:type="dxa"/>
            <w:tcBorders>
              <w:top w:val="nil"/>
              <w:left w:val="nil"/>
              <w:bottom w:val="nil"/>
              <w:right w:val="nil"/>
            </w:tcBorders>
            <w:shd w:val="clear" w:color="000000" w:fill="FFFFFF"/>
            <w:noWrap/>
            <w:vAlign w:val="bottom"/>
            <w:hideMark/>
          </w:tcPr>
          <w:p w:rsidR="00623FA1" w:rsidRPr="00924DD7" w:rsidRDefault="00623FA1" w:rsidP="001A773C">
            <w:pPr>
              <w:rPr>
                <w:rFonts w:ascii="Arial" w:eastAsia="Times New Roman" w:hAnsi="Arial" w:cs="Arial"/>
                <w:b/>
                <w:i/>
                <w:lang w:eastAsia="en-AU"/>
              </w:rPr>
            </w:pPr>
            <w:r>
              <w:rPr>
                <w:rFonts w:ascii="Arial" w:eastAsia="Times New Roman" w:hAnsi="Arial" w:cs="Arial"/>
                <w:b/>
                <w:i/>
                <w:lang w:eastAsia="en-AU"/>
              </w:rPr>
              <w:t>NTPOP Model</w:t>
            </w:r>
            <w:r w:rsidRPr="00924DD7">
              <w:rPr>
                <w:rFonts w:ascii="Arial" w:eastAsia="Times New Roman" w:hAnsi="Arial" w:cs="Arial"/>
                <w:b/>
                <w:i/>
                <w:lang w:eastAsia="en-AU"/>
              </w:rPr>
              <w:t xml:space="preserve"> -689 </w:t>
            </w:r>
          </w:p>
        </w:tc>
        <w:tc>
          <w:tcPr>
            <w:tcW w:w="1311" w:type="dxa"/>
            <w:tcBorders>
              <w:top w:val="nil"/>
              <w:left w:val="nil"/>
              <w:bottom w:val="nil"/>
              <w:right w:val="nil"/>
            </w:tcBorders>
            <w:shd w:val="clear" w:color="000000" w:fill="FFFFFF"/>
            <w:noWrap/>
            <w:vAlign w:val="bottom"/>
            <w:hideMark/>
          </w:tcPr>
          <w:p w:rsidR="00623FA1" w:rsidRPr="00924DD7" w:rsidRDefault="00623FA1" w:rsidP="001A773C">
            <w:pPr>
              <w:rPr>
                <w:rFonts w:ascii="Calibri" w:eastAsia="Times New Roman" w:hAnsi="Calibri"/>
                <w:b/>
                <w:i/>
                <w:color w:val="000000"/>
                <w:lang w:eastAsia="en-AU"/>
              </w:rPr>
            </w:pPr>
            <w:r w:rsidRPr="00924DD7">
              <w:rPr>
                <w:rFonts w:ascii="Calibri" w:eastAsia="Times New Roman" w:hAnsi="Calibri"/>
                <w:b/>
                <w:i/>
                <w:color w:val="000000"/>
                <w:lang w:eastAsia="en-AU"/>
              </w:rPr>
              <w:t xml:space="preserve">   234 676 </w:t>
            </w:r>
          </w:p>
        </w:tc>
        <w:tc>
          <w:tcPr>
            <w:tcW w:w="609" w:type="dxa"/>
            <w:tcBorders>
              <w:top w:val="nil"/>
              <w:left w:val="nil"/>
              <w:bottom w:val="nil"/>
              <w:right w:val="nil"/>
            </w:tcBorders>
            <w:shd w:val="clear" w:color="000000" w:fill="FFFFFF"/>
            <w:noWrap/>
            <w:vAlign w:val="bottom"/>
            <w:hideMark/>
          </w:tcPr>
          <w:p w:rsidR="00623FA1" w:rsidRPr="00924DD7" w:rsidRDefault="00623FA1" w:rsidP="001A773C">
            <w:pPr>
              <w:jc w:val="right"/>
              <w:rPr>
                <w:rFonts w:ascii="Arial" w:eastAsia="Times New Roman" w:hAnsi="Arial" w:cs="Arial"/>
                <w:b/>
                <w:i/>
                <w:lang w:eastAsia="en-AU"/>
              </w:rPr>
            </w:pPr>
            <w:r w:rsidRPr="00924DD7">
              <w:rPr>
                <w:rFonts w:ascii="Arial" w:eastAsia="Times New Roman" w:hAnsi="Arial" w:cs="Arial"/>
                <w:b/>
                <w:i/>
                <w:lang w:eastAsia="en-AU"/>
              </w:rPr>
              <w:t>1.47</w:t>
            </w:r>
          </w:p>
        </w:tc>
        <w:tc>
          <w:tcPr>
            <w:tcW w:w="1311" w:type="dxa"/>
            <w:tcBorders>
              <w:top w:val="nil"/>
              <w:left w:val="nil"/>
              <w:bottom w:val="nil"/>
              <w:right w:val="nil"/>
            </w:tcBorders>
            <w:shd w:val="clear" w:color="000000" w:fill="FFFFFF"/>
            <w:noWrap/>
            <w:vAlign w:val="bottom"/>
            <w:hideMark/>
          </w:tcPr>
          <w:p w:rsidR="00623FA1" w:rsidRPr="00924DD7" w:rsidRDefault="00623FA1" w:rsidP="001A773C">
            <w:pPr>
              <w:rPr>
                <w:rFonts w:ascii="Calibri" w:eastAsia="Times New Roman" w:hAnsi="Calibri"/>
                <w:b/>
                <w:i/>
                <w:color w:val="000000"/>
                <w:lang w:eastAsia="en-AU"/>
              </w:rPr>
            </w:pPr>
            <w:r w:rsidRPr="00924DD7">
              <w:rPr>
                <w:rFonts w:ascii="Calibri" w:eastAsia="Times New Roman" w:hAnsi="Calibri"/>
                <w:b/>
                <w:i/>
                <w:color w:val="000000"/>
                <w:lang w:eastAsia="en-AU"/>
              </w:rPr>
              <w:t xml:space="preserve">   270 254 </w:t>
            </w:r>
          </w:p>
        </w:tc>
        <w:tc>
          <w:tcPr>
            <w:tcW w:w="609" w:type="dxa"/>
            <w:tcBorders>
              <w:top w:val="nil"/>
              <w:left w:val="nil"/>
              <w:bottom w:val="nil"/>
              <w:right w:val="nil"/>
            </w:tcBorders>
            <w:shd w:val="clear" w:color="000000" w:fill="FFFFFF"/>
            <w:noWrap/>
            <w:vAlign w:val="bottom"/>
            <w:hideMark/>
          </w:tcPr>
          <w:p w:rsidR="00623FA1" w:rsidRPr="00924DD7" w:rsidRDefault="00623FA1" w:rsidP="001A773C">
            <w:pPr>
              <w:jc w:val="right"/>
              <w:rPr>
                <w:rFonts w:ascii="Arial" w:eastAsia="Times New Roman" w:hAnsi="Arial" w:cs="Arial"/>
                <w:b/>
                <w:i/>
                <w:lang w:eastAsia="en-AU"/>
              </w:rPr>
            </w:pPr>
            <w:r w:rsidRPr="00924DD7">
              <w:rPr>
                <w:rFonts w:ascii="Arial" w:eastAsia="Times New Roman" w:hAnsi="Arial" w:cs="Arial"/>
                <w:b/>
                <w:i/>
                <w:lang w:eastAsia="en-AU"/>
              </w:rPr>
              <w:t>1.37</w:t>
            </w:r>
          </w:p>
        </w:tc>
        <w:tc>
          <w:tcPr>
            <w:tcW w:w="1296" w:type="dxa"/>
            <w:tcBorders>
              <w:top w:val="nil"/>
              <w:left w:val="nil"/>
              <w:bottom w:val="nil"/>
              <w:right w:val="nil"/>
            </w:tcBorders>
            <w:shd w:val="clear" w:color="000000" w:fill="FFFFFF"/>
            <w:noWrap/>
            <w:vAlign w:val="bottom"/>
            <w:hideMark/>
          </w:tcPr>
          <w:p w:rsidR="00623FA1" w:rsidRPr="00924DD7" w:rsidRDefault="00623FA1" w:rsidP="001A773C">
            <w:pPr>
              <w:rPr>
                <w:rFonts w:ascii="Arial" w:eastAsia="Times New Roman" w:hAnsi="Arial" w:cs="Arial"/>
                <w:b/>
                <w:i/>
                <w:lang w:eastAsia="en-AU"/>
              </w:rPr>
            </w:pPr>
            <w:r w:rsidRPr="00924DD7">
              <w:rPr>
                <w:rFonts w:ascii="Arial" w:eastAsia="Times New Roman" w:hAnsi="Arial" w:cs="Arial"/>
                <w:b/>
                <w:i/>
                <w:lang w:eastAsia="en-AU"/>
              </w:rPr>
              <w:t xml:space="preserve">  328 044 </w:t>
            </w:r>
          </w:p>
        </w:tc>
        <w:tc>
          <w:tcPr>
            <w:tcW w:w="624" w:type="dxa"/>
            <w:tcBorders>
              <w:top w:val="nil"/>
              <w:left w:val="nil"/>
              <w:bottom w:val="nil"/>
              <w:right w:val="nil"/>
            </w:tcBorders>
            <w:shd w:val="clear" w:color="000000" w:fill="FFFFFF"/>
            <w:noWrap/>
            <w:vAlign w:val="bottom"/>
            <w:hideMark/>
          </w:tcPr>
          <w:p w:rsidR="00623FA1" w:rsidRPr="00924DD7" w:rsidRDefault="00623FA1" w:rsidP="0095595E">
            <w:pPr>
              <w:ind w:right="-20"/>
              <w:jc w:val="right"/>
              <w:rPr>
                <w:rFonts w:ascii="Arial" w:eastAsia="Times New Roman" w:hAnsi="Arial" w:cs="Arial"/>
                <w:b/>
                <w:i/>
                <w:lang w:eastAsia="en-AU"/>
              </w:rPr>
            </w:pPr>
            <w:r w:rsidRPr="00924DD7">
              <w:rPr>
                <w:rFonts w:ascii="Arial" w:eastAsia="Times New Roman" w:hAnsi="Arial" w:cs="Arial"/>
                <w:b/>
                <w:i/>
                <w:lang w:eastAsia="en-AU"/>
              </w:rPr>
              <w:t>1.24</w:t>
            </w:r>
          </w:p>
        </w:tc>
      </w:tr>
      <w:tr w:rsidR="00623FA1" w:rsidRPr="00E3692C" w:rsidTr="001A773C">
        <w:trPr>
          <w:trHeight w:val="300"/>
        </w:trPr>
        <w:tc>
          <w:tcPr>
            <w:tcW w:w="2040"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Net Migration -500 </w:t>
            </w:r>
          </w:p>
        </w:tc>
        <w:tc>
          <w:tcPr>
            <w:tcW w:w="1311"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234 676 </w:t>
            </w:r>
          </w:p>
        </w:tc>
        <w:tc>
          <w:tcPr>
            <w:tcW w:w="609" w:type="dxa"/>
            <w:tcBorders>
              <w:top w:val="nil"/>
              <w:left w:val="nil"/>
              <w:bottom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1.55</w:t>
            </w:r>
          </w:p>
        </w:tc>
        <w:tc>
          <w:tcPr>
            <w:tcW w:w="1311"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272 336 </w:t>
            </w:r>
          </w:p>
        </w:tc>
        <w:tc>
          <w:tcPr>
            <w:tcW w:w="609" w:type="dxa"/>
            <w:tcBorders>
              <w:top w:val="nil"/>
              <w:left w:val="nil"/>
              <w:bottom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1.44</w:t>
            </w:r>
          </w:p>
        </w:tc>
        <w:tc>
          <w:tcPr>
            <w:tcW w:w="1296"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333 841 </w:t>
            </w:r>
          </w:p>
        </w:tc>
        <w:tc>
          <w:tcPr>
            <w:tcW w:w="624" w:type="dxa"/>
            <w:tcBorders>
              <w:top w:val="nil"/>
              <w:left w:val="nil"/>
              <w:bottom w:val="nil"/>
              <w:right w:val="nil"/>
            </w:tcBorders>
            <w:shd w:val="clear" w:color="000000" w:fill="FFFFFF"/>
            <w:noWrap/>
            <w:vAlign w:val="bottom"/>
            <w:hideMark/>
          </w:tcPr>
          <w:p w:rsidR="00623FA1" w:rsidRPr="00E3692C" w:rsidRDefault="00623FA1" w:rsidP="0095595E">
            <w:pPr>
              <w:ind w:right="-20"/>
              <w:jc w:val="right"/>
              <w:rPr>
                <w:rFonts w:ascii="Arial" w:eastAsia="Times New Roman" w:hAnsi="Arial" w:cs="Arial"/>
                <w:lang w:eastAsia="en-AU"/>
              </w:rPr>
            </w:pPr>
            <w:r w:rsidRPr="00E3692C">
              <w:rPr>
                <w:rFonts w:ascii="Arial" w:eastAsia="Times New Roman" w:hAnsi="Arial" w:cs="Arial"/>
                <w:lang w:eastAsia="en-AU"/>
              </w:rPr>
              <w:t>1.30</w:t>
            </w:r>
          </w:p>
        </w:tc>
      </w:tr>
      <w:tr w:rsidR="00623FA1" w:rsidRPr="00E3692C" w:rsidTr="001A773C">
        <w:trPr>
          <w:trHeight w:val="300"/>
        </w:trPr>
        <w:tc>
          <w:tcPr>
            <w:tcW w:w="2040"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Net Migration -250 </w:t>
            </w:r>
          </w:p>
        </w:tc>
        <w:tc>
          <w:tcPr>
            <w:tcW w:w="1311"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color w:val="000000"/>
                <w:lang w:eastAsia="en-AU"/>
              </w:rPr>
            </w:pPr>
            <w:r w:rsidRPr="00E3692C">
              <w:rPr>
                <w:rFonts w:ascii="Arial" w:eastAsia="Times New Roman" w:hAnsi="Arial" w:cs="Arial"/>
                <w:color w:val="000000"/>
                <w:lang w:eastAsia="en-AU"/>
              </w:rPr>
              <w:t xml:space="preserve">  234 676 </w:t>
            </w:r>
          </w:p>
        </w:tc>
        <w:tc>
          <w:tcPr>
            <w:tcW w:w="609" w:type="dxa"/>
            <w:tcBorders>
              <w:top w:val="nil"/>
              <w:left w:val="nil"/>
              <w:bottom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1.66</w:t>
            </w:r>
          </w:p>
        </w:tc>
        <w:tc>
          <w:tcPr>
            <w:tcW w:w="1311"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color w:val="000000"/>
                <w:lang w:eastAsia="en-AU"/>
              </w:rPr>
            </w:pPr>
            <w:r w:rsidRPr="00E3692C">
              <w:rPr>
                <w:rFonts w:ascii="Arial" w:eastAsia="Times New Roman" w:hAnsi="Arial" w:cs="Arial"/>
                <w:color w:val="000000"/>
                <w:lang w:eastAsia="en-AU"/>
              </w:rPr>
              <w:t xml:space="preserve">  275 099 </w:t>
            </w:r>
          </w:p>
        </w:tc>
        <w:tc>
          <w:tcPr>
            <w:tcW w:w="609" w:type="dxa"/>
            <w:tcBorders>
              <w:top w:val="nil"/>
              <w:left w:val="nil"/>
              <w:bottom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1.53</w:t>
            </w:r>
          </w:p>
        </w:tc>
        <w:tc>
          <w:tcPr>
            <w:tcW w:w="1296"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color w:val="000000"/>
                <w:lang w:eastAsia="en-AU"/>
              </w:rPr>
            </w:pPr>
            <w:r w:rsidRPr="00E3692C">
              <w:rPr>
                <w:rFonts w:ascii="Arial" w:eastAsia="Times New Roman" w:hAnsi="Arial" w:cs="Arial"/>
                <w:color w:val="000000"/>
                <w:lang w:eastAsia="en-AU"/>
              </w:rPr>
              <w:t xml:space="preserve">  341 530 </w:t>
            </w:r>
          </w:p>
        </w:tc>
        <w:tc>
          <w:tcPr>
            <w:tcW w:w="624" w:type="dxa"/>
            <w:tcBorders>
              <w:top w:val="nil"/>
              <w:left w:val="nil"/>
              <w:bottom w:val="nil"/>
              <w:right w:val="nil"/>
            </w:tcBorders>
            <w:shd w:val="clear" w:color="000000" w:fill="FFFFFF"/>
            <w:noWrap/>
            <w:vAlign w:val="bottom"/>
            <w:hideMark/>
          </w:tcPr>
          <w:p w:rsidR="00623FA1" w:rsidRPr="00E3692C" w:rsidRDefault="00623FA1" w:rsidP="0095595E">
            <w:pPr>
              <w:ind w:right="-20"/>
              <w:jc w:val="right"/>
              <w:rPr>
                <w:rFonts w:ascii="Arial" w:eastAsia="Times New Roman" w:hAnsi="Arial" w:cs="Arial"/>
                <w:lang w:eastAsia="en-AU"/>
              </w:rPr>
            </w:pPr>
            <w:r w:rsidRPr="00E3692C">
              <w:rPr>
                <w:rFonts w:ascii="Arial" w:eastAsia="Times New Roman" w:hAnsi="Arial" w:cs="Arial"/>
                <w:lang w:eastAsia="en-AU"/>
              </w:rPr>
              <w:t>1.38</w:t>
            </w:r>
          </w:p>
        </w:tc>
      </w:tr>
      <w:tr w:rsidR="00623FA1" w:rsidRPr="00E3692C" w:rsidTr="001A773C">
        <w:trPr>
          <w:trHeight w:val="300"/>
        </w:trPr>
        <w:tc>
          <w:tcPr>
            <w:tcW w:w="2040"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Net Migration 0 </w:t>
            </w:r>
          </w:p>
        </w:tc>
        <w:tc>
          <w:tcPr>
            <w:tcW w:w="1311"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234 676 </w:t>
            </w:r>
          </w:p>
        </w:tc>
        <w:tc>
          <w:tcPr>
            <w:tcW w:w="609" w:type="dxa"/>
            <w:tcBorders>
              <w:top w:val="nil"/>
              <w:left w:val="nil"/>
              <w:bottom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1.77</w:t>
            </w:r>
          </w:p>
        </w:tc>
        <w:tc>
          <w:tcPr>
            <w:tcW w:w="1311"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277 861 </w:t>
            </w:r>
          </w:p>
        </w:tc>
        <w:tc>
          <w:tcPr>
            <w:tcW w:w="609" w:type="dxa"/>
            <w:tcBorders>
              <w:top w:val="nil"/>
              <w:left w:val="nil"/>
              <w:bottom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1.63</w:t>
            </w:r>
          </w:p>
        </w:tc>
        <w:tc>
          <w:tcPr>
            <w:tcW w:w="1296"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349 220 </w:t>
            </w:r>
          </w:p>
        </w:tc>
        <w:tc>
          <w:tcPr>
            <w:tcW w:w="624" w:type="dxa"/>
            <w:tcBorders>
              <w:top w:val="nil"/>
              <w:left w:val="nil"/>
              <w:bottom w:val="nil"/>
              <w:right w:val="nil"/>
            </w:tcBorders>
            <w:shd w:val="clear" w:color="000000" w:fill="FFFFFF"/>
            <w:noWrap/>
            <w:vAlign w:val="bottom"/>
            <w:hideMark/>
          </w:tcPr>
          <w:p w:rsidR="00623FA1" w:rsidRPr="00E3692C" w:rsidRDefault="00623FA1" w:rsidP="0095595E">
            <w:pPr>
              <w:ind w:right="-20"/>
              <w:jc w:val="right"/>
              <w:rPr>
                <w:rFonts w:ascii="Arial" w:eastAsia="Times New Roman" w:hAnsi="Arial" w:cs="Arial"/>
                <w:lang w:eastAsia="en-AU"/>
              </w:rPr>
            </w:pPr>
            <w:r w:rsidRPr="00E3692C">
              <w:rPr>
                <w:rFonts w:ascii="Arial" w:eastAsia="Times New Roman" w:hAnsi="Arial" w:cs="Arial"/>
                <w:lang w:eastAsia="en-AU"/>
              </w:rPr>
              <w:t>1.45</w:t>
            </w:r>
          </w:p>
        </w:tc>
      </w:tr>
      <w:tr w:rsidR="00623FA1" w:rsidRPr="00E3692C" w:rsidTr="001A773C">
        <w:trPr>
          <w:trHeight w:val="300"/>
        </w:trPr>
        <w:tc>
          <w:tcPr>
            <w:tcW w:w="2040"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Net Migration 250 </w:t>
            </w:r>
          </w:p>
        </w:tc>
        <w:tc>
          <w:tcPr>
            <w:tcW w:w="1311"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234 676 </w:t>
            </w:r>
          </w:p>
        </w:tc>
        <w:tc>
          <w:tcPr>
            <w:tcW w:w="609" w:type="dxa"/>
            <w:tcBorders>
              <w:top w:val="nil"/>
              <w:left w:val="nil"/>
              <w:bottom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1.88</w:t>
            </w:r>
          </w:p>
        </w:tc>
        <w:tc>
          <w:tcPr>
            <w:tcW w:w="1311"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280 635 </w:t>
            </w:r>
          </w:p>
        </w:tc>
        <w:tc>
          <w:tcPr>
            <w:tcW w:w="609" w:type="dxa"/>
            <w:tcBorders>
              <w:top w:val="nil"/>
              <w:left w:val="nil"/>
              <w:bottom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1.72</w:t>
            </w:r>
          </w:p>
        </w:tc>
        <w:tc>
          <w:tcPr>
            <w:tcW w:w="1296" w:type="dxa"/>
            <w:tcBorders>
              <w:top w:val="nil"/>
              <w:left w:val="nil"/>
              <w:bottom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356 941 </w:t>
            </w:r>
          </w:p>
        </w:tc>
        <w:tc>
          <w:tcPr>
            <w:tcW w:w="624" w:type="dxa"/>
            <w:tcBorders>
              <w:top w:val="nil"/>
              <w:left w:val="nil"/>
              <w:bottom w:val="nil"/>
              <w:right w:val="nil"/>
            </w:tcBorders>
            <w:shd w:val="clear" w:color="000000" w:fill="FFFFFF"/>
            <w:noWrap/>
            <w:vAlign w:val="bottom"/>
            <w:hideMark/>
          </w:tcPr>
          <w:p w:rsidR="00623FA1" w:rsidRPr="00E3692C" w:rsidRDefault="00623FA1" w:rsidP="0095595E">
            <w:pPr>
              <w:ind w:right="-20"/>
              <w:jc w:val="right"/>
              <w:rPr>
                <w:rFonts w:ascii="Arial" w:eastAsia="Times New Roman" w:hAnsi="Arial" w:cs="Arial"/>
                <w:lang w:eastAsia="en-AU"/>
              </w:rPr>
            </w:pPr>
            <w:r w:rsidRPr="00E3692C">
              <w:rPr>
                <w:rFonts w:ascii="Arial" w:eastAsia="Times New Roman" w:hAnsi="Arial" w:cs="Arial"/>
                <w:lang w:eastAsia="en-AU"/>
              </w:rPr>
              <w:t>1.52</w:t>
            </w:r>
          </w:p>
        </w:tc>
      </w:tr>
      <w:tr w:rsidR="00623FA1" w:rsidRPr="00E3692C" w:rsidTr="0095595E">
        <w:trPr>
          <w:trHeight w:val="300"/>
        </w:trPr>
        <w:tc>
          <w:tcPr>
            <w:tcW w:w="2040" w:type="dxa"/>
            <w:tcBorders>
              <w:top w:val="nil"/>
              <w:left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Net migration 500 </w:t>
            </w:r>
          </w:p>
        </w:tc>
        <w:tc>
          <w:tcPr>
            <w:tcW w:w="1311" w:type="dxa"/>
            <w:tcBorders>
              <w:top w:val="nil"/>
              <w:left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234 676 </w:t>
            </w:r>
          </w:p>
        </w:tc>
        <w:tc>
          <w:tcPr>
            <w:tcW w:w="609" w:type="dxa"/>
            <w:tcBorders>
              <w:top w:val="nil"/>
              <w:left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1.98</w:t>
            </w:r>
          </w:p>
        </w:tc>
        <w:tc>
          <w:tcPr>
            <w:tcW w:w="1311" w:type="dxa"/>
            <w:tcBorders>
              <w:top w:val="nil"/>
              <w:left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283 386 </w:t>
            </w:r>
          </w:p>
        </w:tc>
        <w:tc>
          <w:tcPr>
            <w:tcW w:w="609" w:type="dxa"/>
            <w:tcBorders>
              <w:top w:val="nil"/>
              <w:left w:val="nil"/>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1.81</w:t>
            </w:r>
          </w:p>
        </w:tc>
        <w:tc>
          <w:tcPr>
            <w:tcW w:w="1296" w:type="dxa"/>
            <w:tcBorders>
              <w:top w:val="nil"/>
              <w:left w:val="nil"/>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364 603 </w:t>
            </w:r>
          </w:p>
        </w:tc>
        <w:tc>
          <w:tcPr>
            <w:tcW w:w="624" w:type="dxa"/>
            <w:tcBorders>
              <w:top w:val="nil"/>
              <w:left w:val="nil"/>
              <w:right w:val="nil"/>
            </w:tcBorders>
            <w:shd w:val="clear" w:color="000000" w:fill="FFFFFF"/>
            <w:noWrap/>
            <w:vAlign w:val="bottom"/>
            <w:hideMark/>
          </w:tcPr>
          <w:p w:rsidR="00623FA1" w:rsidRPr="00E3692C" w:rsidRDefault="00623FA1" w:rsidP="0095595E">
            <w:pPr>
              <w:ind w:right="-20"/>
              <w:jc w:val="right"/>
              <w:rPr>
                <w:rFonts w:ascii="Arial" w:eastAsia="Times New Roman" w:hAnsi="Arial" w:cs="Arial"/>
                <w:lang w:eastAsia="en-AU"/>
              </w:rPr>
            </w:pPr>
            <w:r w:rsidRPr="00E3692C">
              <w:rPr>
                <w:rFonts w:ascii="Arial" w:eastAsia="Times New Roman" w:hAnsi="Arial" w:cs="Arial"/>
                <w:lang w:eastAsia="en-AU"/>
              </w:rPr>
              <w:t>1.59</w:t>
            </w:r>
          </w:p>
        </w:tc>
      </w:tr>
      <w:tr w:rsidR="00623FA1" w:rsidRPr="00E3692C" w:rsidTr="0095595E">
        <w:trPr>
          <w:trHeight w:val="300"/>
        </w:trPr>
        <w:tc>
          <w:tcPr>
            <w:tcW w:w="2040" w:type="dxa"/>
            <w:tcBorders>
              <w:top w:val="nil"/>
              <w:left w:val="nil"/>
              <w:bottom w:val="single" w:sz="4" w:space="0" w:color="auto"/>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Net migration 1000 </w:t>
            </w:r>
          </w:p>
        </w:tc>
        <w:tc>
          <w:tcPr>
            <w:tcW w:w="1311" w:type="dxa"/>
            <w:tcBorders>
              <w:top w:val="nil"/>
              <w:left w:val="nil"/>
              <w:bottom w:val="single" w:sz="4" w:space="0" w:color="auto"/>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234 676 </w:t>
            </w:r>
          </w:p>
        </w:tc>
        <w:tc>
          <w:tcPr>
            <w:tcW w:w="609" w:type="dxa"/>
            <w:tcBorders>
              <w:top w:val="nil"/>
              <w:left w:val="nil"/>
              <w:bottom w:val="single" w:sz="4" w:space="0" w:color="auto"/>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2.20</w:t>
            </w:r>
          </w:p>
        </w:tc>
        <w:tc>
          <w:tcPr>
            <w:tcW w:w="1311" w:type="dxa"/>
            <w:tcBorders>
              <w:top w:val="nil"/>
              <w:left w:val="nil"/>
              <w:bottom w:val="single" w:sz="4" w:space="0" w:color="auto"/>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288 911 </w:t>
            </w:r>
          </w:p>
        </w:tc>
        <w:tc>
          <w:tcPr>
            <w:tcW w:w="609" w:type="dxa"/>
            <w:tcBorders>
              <w:top w:val="nil"/>
              <w:left w:val="nil"/>
              <w:bottom w:val="single" w:sz="4" w:space="0" w:color="auto"/>
              <w:right w:val="nil"/>
            </w:tcBorders>
            <w:shd w:val="clear" w:color="000000" w:fill="FFFFFF"/>
            <w:noWrap/>
            <w:vAlign w:val="bottom"/>
            <w:hideMark/>
          </w:tcPr>
          <w:p w:rsidR="00623FA1" w:rsidRPr="00E3692C" w:rsidRDefault="00623FA1" w:rsidP="001A773C">
            <w:pPr>
              <w:jc w:val="right"/>
              <w:rPr>
                <w:rFonts w:ascii="Arial" w:eastAsia="Times New Roman" w:hAnsi="Arial" w:cs="Arial"/>
                <w:lang w:eastAsia="en-AU"/>
              </w:rPr>
            </w:pPr>
            <w:r w:rsidRPr="00E3692C">
              <w:rPr>
                <w:rFonts w:ascii="Arial" w:eastAsia="Times New Roman" w:hAnsi="Arial" w:cs="Arial"/>
                <w:lang w:eastAsia="en-AU"/>
              </w:rPr>
              <w:t>1.98</w:t>
            </w:r>
          </w:p>
        </w:tc>
        <w:tc>
          <w:tcPr>
            <w:tcW w:w="1296" w:type="dxa"/>
            <w:tcBorders>
              <w:top w:val="nil"/>
              <w:left w:val="nil"/>
              <w:bottom w:val="single" w:sz="4" w:space="0" w:color="auto"/>
              <w:right w:val="nil"/>
            </w:tcBorders>
            <w:shd w:val="clear" w:color="000000" w:fill="FFFFFF"/>
            <w:noWrap/>
            <w:vAlign w:val="bottom"/>
            <w:hideMark/>
          </w:tcPr>
          <w:p w:rsidR="00623FA1" w:rsidRPr="00E3692C" w:rsidRDefault="00623FA1" w:rsidP="001A773C">
            <w:pPr>
              <w:rPr>
                <w:rFonts w:ascii="Arial" w:eastAsia="Times New Roman" w:hAnsi="Arial" w:cs="Arial"/>
                <w:lang w:eastAsia="en-AU"/>
              </w:rPr>
            </w:pPr>
            <w:r w:rsidRPr="00E3692C">
              <w:rPr>
                <w:rFonts w:ascii="Arial" w:eastAsia="Times New Roman" w:hAnsi="Arial" w:cs="Arial"/>
                <w:lang w:eastAsia="en-AU"/>
              </w:rPr>
              <w:t xml:space="preserve">  379 986 </w:t>
            </w:r>
          </w:p>
        </w:tc>
        <w:tc>
          <w:tcPr>
            <w:tcW w:w="624" w:type="dxa"/>
            <w:tcBorders>
              <w:top w:val="nil"/>
              <w:left w:val="nil"/>
              <w:bottom w:val="single" w:sz="4" w:space="0" w:color="auto"/>
              <w:right w:val="nil"/>
            </w:tcBorders>
            <w:shd w:val="clear" w:color="000000" w:fill="FFFFFF"/>
            <w:noWrap/>
            <w:vAlign w:val="bottom"/>
            <w:hideMark/>
          </w:tcPr>
          <w:p w:rsidR="00623FA1" w:rsidRPr="00E3692C" w:rsidRDefault="00623FA1" w:rsidP="0095595E">
            <w:pPr>
              <w:ind w:right="-20"/>
              <w:jc w:val="right"/>
              <w:rPr>
                <w:rFonts w:ascii="Arial" w:eastAsia="Times New Roman" w:hAnsi="Arial" w:cs="Arial"/>
                <w:lang w:eastAsia="en-AU"/>
              </w:rPr>
            </w:pPr>
            <w:r w:rsidRPr="00E3692C">
              <w:rPr>
                <w:rFonts w:ascii="Arial" w:eastAsia="Times New Roman" w:hAnsi="Arial" w:cs="Arial"/>
                <w:lang w:eastAsia="en-AU"/>
              </w:rPr>
              <w:t>1.71</w:t>
            </w:r>
          </w:p>
        </w:tc>
      </w:tr>
    </w:tbl>
    <w:p w:rsidR="00623FA1" w:rsidRPr="00623FA1" w:rsidRDefault="00623FA1" w:rsidP="00623FA1">
      <w:pPr>
        <w:autoSpaceDE w:val="0"/>
        <w:autoSpaceDN w:val="0"/>
        <w:adjustRightInd w:val="0"/>
        <w:spacing w:after="120"/>
        <w:rPr>
          <w:rFonts w:ascii="Arial" w:hAnsi="Arial" w:cs="Arial"/>
          <w:b/>
        </w:rPr>
      </w:pPr>
    </w:p>
    <w:p w:rsidR="00623FA1" w:rsidRPr="00964B6A" w:rsidRDefault="00623FA1" w:rsidP="00964B6A">
      <w:pPr>
        <w:spacing w:before="360" w:after="160" w:line="240" w:lineRule="atLeast"/>
        <w:rPr>
          <w:rFonts w:ascii="Arial" w:hAnsi="Arial" w:cs="Arial"/>
          <w:b/>
          <w:color w:val="000000"/>
          <w:sz w:val="22"/>
          <w:szCs w:val="22"/>
        </w:rPr>
      </w:pPr>
      <w:r w:rsidRPr="00964B6A">
        <w:rPr>
          <w:rFonts w:ascii="Arial" w:hAnsi="Arial" w:cs="Arial"/>
          <w:b/>
          <w:color w:val="000000"/>
          <w:sz w:val="22"/>
          <w:szCs w:val="22"/>
        </w:rPr>
        <w:t>Chart 11: Territory population projection scenarios under different net interstate migration (NIM) assumptions</w:t>
      </w:r>
    </w:p>
    <w:p w:rsidR="00623FA1" w:rsidRPr="00623FA1" w:rsidRDefault="00623FA1" w:rsidP="00623FA1">
      <w:pPr>
        <w:autoSpaceDE w:val="0"/>
        <w:autoSpaceDN w:val="0"/>
        <w:adjustRightInd w:val="0"/>
        <w:spacing w:after="120"/>
        <w:rPr>
          <w:rFonts w:ascii="Arial" w:hAnsi="Arial" w:cs="Arial"/>
          <w:b/>
        </w:rPr>
      </w:pPr>
    </w:p>
    <w:p w:rsidR="00623FA1" w:rsidRDefault="00502108" w:rsidP="00623FA1">
      <w:pPr>
        <w:rPr>
          <w:rFonts w:ascii="Arial" w:hAnsi="Arial" w:cs="Arial"/>
          <w:b/>
          <w:sz w:val="24"/>
          <w:szCs w:val="24"/>
        </w:rPr>
      </w:pPr>
      <w:r>
        <w:rPr>
          <w:noProof/>
          <w:szCs w:val="24"/>
          <w:lang w:eastAsia="en-AU"/>
        </w:rPr>
        <w:drawing>
          <wp:inline distT="0" distB="0" distL="0" distR="0">
            <wp:extent cx="5398770" cy="3665220"/>
            <wp:effectExtent l="0" t="0" r="0" b="0"/>
            <wp:docPr id="20" name="Picture 1" descr="Chart 11: Territory population projection scenarios under different net interstate migration (NIM) assumptions" titl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98770" cy="3665220"/>
                    </a:xfrm>
                    <a:prstGeom prst="rect">
                      <a:avLst/>
                    </a:prstGeom>
                    <a:noFill/>
                    <a:ln>
                      <a:noFill/>
                    </a:ln>
                  </pic:spPr>
                </pic:pic>
              </a:graphicData>
            </a:graphic>
          </wp:inline>
        </w:drawing>
      </w:r>
    </w:p>
    <w:p w:rsidR="00294C40" w:rsidRPr="00B92B2E" w:rsidRDefault="00623FA1" w:rsidP="00D92A86">
      <w:pPr>
        <w:autoSpaceDE w:val="0"/>
        <w:autoSpaceDN w:val="0"/>
        <w:adjustRightInd w:val="0"/>
        <w:spacing w:after="120"/>
        <w:rPr>
          <w:rFonts w:ascii="Arial" w:hAnsi="Arial" w:cs="Arial"/>
          <w:b/>
          <w:sz w:val="44"/>
          <w:szCs w:val="44"/>
        </w:rPr>
      </w:pPr>
      <w:r>
        <w:rPr>
          <w:rStyle w:val="Heading1Char"/>
          <w:rFonts w:ascii="Arial" w:eastAsia="Calibri" w:hAnsi="Arial" w:cs="Arial"/>
          <w:b w:val="0"/>
          <w:sz w:val="40"/>
          <w:szCs w:val="40"/>
        </w:rPr>
        <w:br w:type="page"/>
      </w:r>
      <w:r w:rsidR="00AF71F7" w:rsidRPr="00B92B2E">
        <w:rPr>
          <w:rFonts w:ascii="Arial" w:hAnsi="Arial" w:cs="Arial"/>
          <w:b/>
          <w:sz w:val="44"/>
          <w:szCs w:val="44"/>
        </w:rPr>
        <w:t xml:space="preserve">Appendix </w:t>
      </w:r>
      <w:r w:rsidRPr="00B92B2E">
        <w:rPr>
          <w:rFonts w:ascii="Arial" w:hAnsi="Arial" w:cs="Arial"/>
          <w:b/>
          <w:sz w:val="44"/>
          <w:szCs w:val="44"/>
        </w:rPr>
        <w:t>2</w:t>
      </w:r>
      <w:r w:rsidR="00AF71F7" w:rsidRPr="00B92B2E">
        <w:rPr>
          <w:rFonts w:ascii="Arial" w:hAnsi="Arial" w:cs="Arial"/>
          <w:b/>
          <w:sz w:val="44"/>
          <w:szCs w:val="44"/>
        </w:rPr>
        <w:t xml:space="preserve">: </w:t>
      </w:r>
      <w:r w:rsidR="00294C40" w:rsidRPr="00B92B2E">
        <w:rPr>
          <w:rFonts w:ascii="Arial" w:hAnsi="Arial" w:cs="Arial"/>
          <w:b/>
          <w:sz w:val="44"/>
          <w:szCs w:val="44"/>
        </w:rPr>
        <w:t>Technical Details of the</w:t>
      </w:r>
      <w:r w:rsidR="00A35AF3" w:rsidRPr="00B92B2E">
        <w:rPr>
          <w:rFonts w:ascii="Arial" w:hAnsi="Arial" w:cs="Arial"/>
          <w:b/>
          <w:sz w:val="44"/>
          <w:szCs w:val="44"/>
        </w:rPr>
        <w:t xml:space="preserve"> NTPOP Population </w:t>
      </w:r>
      <w:r w:rsidR="00294C40" w:rsidRPr="00B92B2E">
        <w:rPr>
          <w:rFonts w:ascii="Arial" w:hAnsi="Arial" w:cs="Arial"/>
          <w:b/>
          <w:sz w:val="44"/>
          <w:szCs w:val="44"/>
        </w:rPr>
        <w:t>Projection</w:t>
      </w:r>
      <w:r w:rsidR="00A35AF3" w:rsidRPr="00B92B2E">
        <w:rPr>
          <w:rFonts w:ascii="Arial" w:hAnsi="Arial" w:cs="Arial"/>
          <w:b/>
          <w:sz w:val="44"/>
          <w:szCs w:val="44"/>
        </w:rPr>
        <w:t>s Model</w:t>
      </w:r>
      <w:bookmarkEnd w:id="7"/>
    </w:p>
    <w:p w:rsidR="00294C40" w:rsidRPr="00964B6A" w:rsidRDefault="00294C40" w:rsidP="006F0D77">
      <w:pPr>
        <w:spacing w:after="140" w:line="240" w:lineRule="atLeast"/>
        <w:rPr>
          <w:rFonts w:ascii="Arial" w:hAnsi="Arial" w:cs="Arial"/>
          <w:color w:val="000000"/>
          <w:sz w:val="22"/>
          <w:szCs w:val="22"/>
        </w:rPr>
      </w:pPr>
      <w:r w:rsidRPr="00964B6A">
        <w:rPr>
          <w:rFonts w:ascii="Arial" w:hAnsi="Arial" w:cs="Arial"/>
          <w:color w:val="000000"/>
          <w:sz w:val="22"/>
          <w:szCs w:val="22"/>
        </w:rPr>
        <w:t>In addition to the summary presented below, interested readers are referred</w:t>
      </w:r>
      <w:r w:rsidR="00AF71F7" w:rsidRPr="00964B6A">
        <w:rPr>
          <w:rFonts w:ascii="Arial" w:hAnsi="Arial" w:cs="Arial"/>
          <w:color w:val="000000"/>
          <w:sz w:val="22"/>
          <w:szCs w:val="22"/>
        </w:rPr>
        <w:t xml:space="preserve"> </w:t>
      </w:r>
      <w:r w:rsidRPr="00964B6A">
        <w:rPr>
          <w:rFonts w:ascii="Arial" w:hAnsi="Arial" w:cs="Arial"/>
          <w:color w:val="000000"/>
          <w:sz w:val="22"/>
          <w:szCs w:val="22"/>
        </w:rPr>
        <w:t xml:space="preserve">to the </w:t>
      </w:r>
      <w:r w:rsidR="000F7394" w:rsidRPr="00964B6A">
        <w:rPr>
          <w:rFonts w:ascii="Arial" w:hAnsi="Arial" w:cs="Arial"/>
          <w:color w:val="000000"/>
          <w:sz w:val="22"/>
          <w:szCs w:val="22"/>
        </w:rPr>
        <w:t xml:space="preserve">DTF </w:t>
      </w:r>
      <w:r w:rsidRPr="00804DDF">
        <w:rPr>
          <w:rFonts w:ascii="Arial" w:hAnsi="Arial" w:cs="Arial"/>
          <w:color w:val="000000"/>
          <w:sz w:val="22"/>
          <w:szCs w:val="22"/>
        </w:rPr>
        <w:t xml:space="preserve">website </w:t>
      </w:r>
      <w:hyperlink r:id="rId33" w:history="1">
        <w:r w:rsidR="00244C1C">
          <w:rPr>
            <w:rStyle w:val="Hyperlink"/>
            <w:rFonts w:ascii="Arial" w:hAnsi="Arial" w:cs="Arial"/>
            <w:sz w:val="22"/>
            <w:szCs w:val="22"/>
          </w:rPr>
          <w:t>https://treasury.nt.gov.au/dtf/economic-group/population-projections</w:t>
        </w:r>
      </w:hyperlink>
      <w:r w:rsidR="00C54D99" w:rsidRPr="00804DDF">
        <w:rPr>
          <w:rFonts w:ascii="Arial" w:hAnsi="Arial" w:cs="Arial"/>
          <w:color w:val="000000"/>
          <w:sz w:val="22"/>
          <w:szCs w:val="22"/>
        </w:rPr>
        <w:t xml:space="preserve"> </w:t>
      </w:r>
      <w:r w:rsidRPr="00804DDF">
        <w:rPr>
          <w:rFonts w:ascii="Arial" w:hAnsi="Arial" w:cs="Arial"/>
          <w:color w:val="000000"/>
          <w:sz w:val="22"/>
          <w:szCs w:val="22"/>
        </w:rPr>
        <w:t>for the mathematical details of</w:t>
      </w:r>
      <w:r w:rsidR="00AF71F7" w:rsidRPr="00964B6A">
        <w:rPr>
          <w:rFonts w:ascii="Arial" w:hAnsi="Arial" w:cs="Arial"/>
          <w:color w:val="000000"/>
          <w:sz w:val="22"/>
          <w:szCs w:val="22"/>
        </w:rPr>
        <w:t xml:space="preserve"> </w:t>
      </w:r>
      <w:r w:rsidRPr="00964B6A">
        <w:rPr>
          <w:rFonts w:ascii="Arial" w:hAnsi="Arial" w:cs="Arial"/>
          <w:color w:val="000000"/>
          <w:sz w:val="22"/>
          <w:szCs w:val="22"/>
        </w:rPr>
        <w:t>NTPOP (Wilson, T, Mathematical details of the NTPOP projection model,</w:t>
      </w:r>
      <w:r w:rsidR="00AF71F7" w:rsidRPr="00964B6A">
        <w:rPr>
          <w:rFonts w:ascii="Arial" w:hAnsi="Arial" w:cs="Arial"/>
          <w:color w:val="000000"/>
          <w:sz w:val="22"/>
          <w:szCs w:val="22"/>
        </w:rPr>
        <w:t xml:space="preserve"> </w:t>
      </w:r>
      <w:r w:rsidRPr="00964B6A">
        <w:rPr>
          <w:rFonts w:ascii="Arial" w:hAnsi="Arial" w:cs="Arial"/>
          <w:color w:val="000000"/>
          <w:sz w:val="22"/>
          <w:szCs w:val="22"/>
        </w:rPr>
        <w:t>School for Social and Policy Research, CDU, Darwin).</w:t>
      </w:r>
    </w:p>
    <w:p w:rsidR="00CF0D07" w:rsidRPr="00964B6A" w:rsidRDefault="00294C40" w:rsidP="006F0D77">
      <w:pPr>
        <w:spacing w:after="140" w:line="240" w:lineRule="atLeast"/>
        <w:rPr>
          <w:rFonts w:ascii="Arial" w:hAnsi="Arial" w:cs="Arial"/>
          <w:color w:val="000000"/>
          <w:sz w:val="22"/>
          <w:szCs w:val="22"/>
        </w:rPr>
      </w:pPr>
      <w:r w:rsidRPr="00964B6A">
        <w:rPr>
          <w:rFonts w:ascii="Arial" w:hAnsi="Arial" w:cs="Arial"/>
          <w:color w:val="000000"/>
          <w:sz w:val="22"/>
          <w:szCs w:val="22"/>
        </w:rPr>
        <w:t>The projections in this report</w:t>
      </w:r>
      <w:r w:rsidR="008E56D1" w:rsidRPr="00964B6A">
        <w:rPr>
          <w:rFonts w:ascii="Arial" w:hAnsi="Arial" w:cs="Arial"/>
          <w:color w:val="000000"/>
          <w:sz w:val="22"/>
          <w:szCs w:val="22"/>
        </w:rPr>
        <w:t xml:space="preserve">, Interim Projections based on the 2011 </w:t>
      </w:r>
      <w:r w:rsidR="003D0669" w:rsidRPr="00964B6A">
        <w:rPr>
          <w:rFonts w:ascii="Arial" w:hAnsi="Arial" w:cs="Arial"/>
          <w:color w:val="000000"/>
          <w:sz w:val="22"/>
          <w:szCs w:val="22"/>
        </w:rPr>
        <w:t>C</w:t>
      </w:r>
      <w:r w:rsidR="008E56D1" w:rsidRPr="00964B6A">
        <w:rPr>
          <w:rFonts w:ascii="Arial" w:hAnsi="Arial" w:cs="Arial"/>
          <w:color w:val="000000"/>
          <w:sz w:val="22"/>
          <w:szCs w:val="22"/>
        </w:rPr>
        <w:t>ensus,</w:t>
      </w:r>
      <w:r w:rsidRPr="00964B6A">
        <w:rPr>
          <w:rFonts w:ascii="Arial" w:hAnsi="Arial" w:cs="Arial"/>
          <w:color w:val="000000"/>
          <w:sz w:val="22"/>
          <w:szCs w:val="22"/>
        </w:rPr>
        <w:t xml:space="preserve"> were produced using the NTPOP projection</w:t>
      </w:r>
      <w:r w:rsidR="00AF71F7" w:rsidRPr="00964B6A">
        <w:rPr>
          <w:rFonts w:ascii="Arial" w:hAnsi="Arial" w:cs="Arial"/>
          <w:color w:val="000000"/>
          <w:sz w:val="22"/>
          <w:szCs w:val="22"/>
        </w:rPr>
        <w:t xml:space="preserve"> </w:t>
      </w:r>
      <w:r w:rsidRPr="00964B6A">
        <w:rPr>
          <w:rFonts w:ascii="Arial" w:hAnsi="Arial" w:cs="Arial"/>
          <w:color w:val="000000"/>
          <w:sz w:val="22"/>
          <w:szCs w:val="22"/>
        </w:rPr>
        <w:t>model, a cohort</w:t>
      </w:r>
      <w:r w:rsidR="00A35AF3" w:rsidRPr="00964B6A">
        <w:rPr>
          <w:rFonts w:ascii="Arial" w:hAnsi="Arial" w:cs="Arial"/>
          <w:color w:val="000000"/>
          <w:sz w:val="22"/>
          <w:szCs w:val="22"/>
        </w:rPr>
        <w:noBreakHyphen/>
      </w:r>
      <w:r w:rsidRPr="00964B6A">
        <w:rPr>
          <w:rFonts w:ascii="Arial" w:hAnsi="Arial" w:cs="Arial"/>
          <w:color w:val="000000"/>
          <w:sz w:val="22"/>
          <w:szCs w:val="22"/>
        </w:rPr>
        <w:t xml:space="preserve">component model designed </w:t>
      </w:r>
      <w:r w:rsidR="002965C3" w:rsidRPr="00964B6A">
        <w:rPr>
          <w:rFonts w:ascii="Arial" w:hAnsi="Arial" w:cs="Arial"/>
          <w:color w:val="000000"/>
          <w:sz w:val="22"/>
          <w:szCs w:val="22"/>
        </w:rPr>
        <w:t>specifically</w:t>
      </w:r>
      <w:r w:rsidRPr="00964B6A">
        <w:rPr>
          <w:rFonts w:ascii="Arial" w:hAnsi="Arial" w:cs="Arial"/>
          <w:color w:val="000000"/>
          <w:sz w:val="22"/>
          <w:szCs w:val="22"/>
        </w:rPr>
        <w:t xml:space="preserve"> for the Territory to</w:t>
      </w:r>
      <w:r w:rsidR="00AF71F7" w:rsidRPr="00964B6A">
        <w:rPr>
          <w:rFonts w:ascii="Arial" w:hAnsi="Arial" w:cs="Arial"/>
          <w:color w:val="000000"/>
          <w:sz w:val="22"/>
          <w:szCs w:val="22"/>
        </w:rPr>
        <w:t xml:space="preserve"> </w:t>
      </w:r>
      <w:r w:rsidRPr="00964B6A">
        <w:rPr>
          <w:rFonts w:ascii="Arial" w:hAnsi="Arial" w:cs="Arial"/>
          <w:color w:val="000000"/>
          <w:sz w:val="22"/>
          <w:szCs w:val="22"/>
        </w:rPr>
        <w:t>project both Indigenous and non</w:t>
      </w:r>
      <w:r w:rsidR="008F7AD0" w:rsidRPr="00964B6A">
        <w:rPr>
          <w:rFonts w:ascii="Arial" w:hAnsi="Arial" w:cs="Arial"/>
          <w:color w:val="000000"/>
          <w:sz w:val="22"/>
          <w:szCs w:val="22"/>
        </w:rPr>
        <w:noBreakHyphen/>
      </w:r>
      <w:r w:rsidRPr="00964B6A">
        <w:rPr>
          <w:rFonts w:ascii="Arial" w:hAnsi="Arial" w:cs="Arial"/>
          <w:color w:val="000000"/>
          <w:sz w:val="22"/>
          <w:szCs w:val="22"/>
        </w:rPr>
        <w:t>Indigenous populations.</w:t>
      </w:r>
      <w:r w:rsidR="008E56D1" w:rsidRPr="00964B6A">
        <w:rPr>
          <w:rFonts w:ascii="Arial" w:hAnsi="Arial" w:cs="Arial"/>
          <w:color w:val="000000"/>
          <w:sz w:val="22"/>
          <w:szCs w:val="22"/>
        </w:rPr>
        <w:t xml:space="preserve"> </w:t>
      </w:r>
    </w:p>
    <w:p w:rsidR="00294C40" w:rsidRPr="00964B6A" w:rsidRDefault="00294C40" w:rsidP="006F0D77">
      <w:pPr>
        <w:spacing w:after="140" w:line="240" w:lineRule="atLeast"/>
        <w:rPr>
          <w:rFonts w:ascii="Arial" w:hAnsi="Arial" w:cs="Arial"/>
          <w:color w:val="000000"/>
          <w:sz w:val="22"/>
          <w:szCs w:val="22"/>
        </w:rPr>
      </w:pPr>
      <w:r w:rsidRPr="00964B6A">
        <w:rPr>
          <w:rFonts w:ascii="Arial" w:hAnsi="Arial" w:cs="Arial"/>
          <w:color w:val="000000"/>
          <w:sz w:val="22"/>
          <w:szCs w:val="22"/>
        </w:rPr>
        <w:t xml:space="preserve">The model produces projections of the population </w:t>
      </w:r>
      <w:r w:rsidR="00081235" w:rsidRPr="00964B6A">
        <w:rPr>
          <w:rFonts w:ascii="Arial" w:hAnsi="Arial" w:cs="Arial"/>
          <w:color w:val="000000"/>
          <w:sz w:val="22"/>
          <w:szCs w:val="22"/>
        </w:rPr>
        <w:t>disaggregated</w:t>
      </w:r>
      <w:r w:rsidR="008F7AD0" w:rsidRPr="00964B6A">
        <w:rPr>
          <w:rFonts w:ascii="Arial" w:hAnsi="Arial" w:cs="Arial"/>
          <w:color w:val="000000"/>
          <w:sz w:val="22"/>
          <w:szCs w:val="22"/>
        </w:rPr>
        <w:t xml:space="preserve"> </w:t>
      </w:r>
      <w:r w:rsidRPr="00964B6A">
        <w:rPr>
          <w:rFonts w:ascii="Arial" w:hAnsi="Arial" w:cs="Arial"/>
          <w:color w:val="000000"/>
          <w:sz w:val="22"/>
          <w:szCs w:val="22"/>
        </w:rPr>
        <w:t>by:</w:t>
      </w:r>
    </w:p>
    <w:p w:rsidR="00294C40" w:rsidRPr="00964B6A" w:rsidRDefault="00294C40" w:rsidP="006F0D77">
      <w:pPr>
        <w:numPr>
          <w:ilvl w:val="0"/>
          <w:numId w:val="30"/>
        </w:numPr>
        <w:spacing w:after="140" w:line="240" w:lineRule="atLeast"/>
        <w:ind w:left="284" w:hanging="284"/>
        <w:rPr>
          <w:rFonts w:ascii="Arial" w:hAnsi="Arial" w:cs="Arial"/>
          <w:color w:val="000000"/>
          <w:sz w:val="22"/>
          <w:szCs w:val="22"/>
        </w:rPr>
      </w:pPr>
      <w:r w:rsidRPr="00964B6A">
        <w:rPr>
          <w:rFonts w:ascii="Arial" w:hAnsi="Arial" w:cs="Arial"/>
          <w:color w:val="000000"/>
          <w:sz w:val="22"/>
          <w:szCs w:val="22"/>
        </w:rPr>
        <w:t>sex (male and female);</w:t>
      </w:r>
    </w:p>
    <w:p w:rsidR="00294C40" w:rsidRPr="00964B6A" w:rsidRDefault="00294C40" w:rsidP="006F0D77">
      <w:pPr>
        <w:numPr>
          <w:ilvl w:val="0"/>
          <w:numId w:val="30"/>
        </w:numPr>
        <w:spacing w:after="140" w:line="240" w:lineRule="atLeast"/>
        <w:ind w:left="284" w:hanging="284"/>
        <w:rPr>
          <w:rFonts w:ascii="Arial" w:hAnsi="Arial" w:cs="Arial"/>
          <w:color w:val="000000"/>
          <w:sz w:val="22"/>
          <w:szCs w:val="22"/>
        </w:rPr>
      </w:pPr>
      <w:r w:rsidRPr="00964B6A">
        <w:rPr>
          <w:rFonts w:ascii="Arial" w:hAnsi="Arial" w:cs="Arial"/>
          <w:color w:val="000000"/>
          <w:sz w:val="22"/>
          <w:szCs w:val="22"/>
        </w:rPr>
        <w:t>Indigenous status (Indigenous and non-Indigenous);</w:t>
      </w:r>
    </w:p>
    <w:p w:rsidR="00294C40" w:rsidRPr="00964B6A" w:rsidRDefault="00294C40" w:rsidP="006F0D77">
      <w:pPr>
        <w:numPr>
          <w:ilvl w:val="0"/>
          <w:numId w:val="30"/>
        </w:numPr>
        <w:spacing w:after="140" w:line="240" w:lineRule="atLeast"/>
        <w:ind w:left="284" w:hanging="284"/>
        <w:rPr>
          <w:rFonts w:ascii="Arial" w:hAnsi="Arial" w:cs="Arial"/>
          <w:color w:val="000000"/>
          <w:sz w:val="22"/>
          <w:szCs w:val="22"/>
        </w:rPr>
      </w:pPr>
      <w:r w:rsidRPr="00964B6A">
        <w:rPr>
          <w:rFonts w:ascii="Arial" w:hAnsi="Arial" w:cs="Arial"/>
          <w:color w:val="000000"/>
          <w:sz w:val="22"/>
          <w:szCs w:val="22"/>
        </w:rPr>
        <w:t>region (Northern Territory</w:t>
      </w:r>
      <w:r w:rsidR="008F7AD0" w:rsidRPr="00964B6A">
        <w:rPr>
          <w:rFonts w:ascii="Arial" w:hAnsi="Arial" w:cs="Arial"/>
          <w:color w:val="000000"/>
          <w:sz w:val="22"/>
          <w:szCs w:val="22"/>
        </w:rPr>
        <w:t xml:space="preserve">, </w:t>
      </w:r>
      <w:r w:rsidR="008E56D1" w:rsidRPr="00964B6A">
        <w:rPr>
          <w:rFonts w:ascii="Arial" w:hAnsi="Arial" w:cs="Arial"/>
          <w:color w:val="000000"/>
          <w:sz w:val="22"/>
          <w:szCs w:val="22"/>
        </w:rPr>
        <w:t>Northern Territory Statistical Reporting regions</w:t>
      </w:r>
      <w:r w:rsidR="00826200" w:rsidRPr="00964B6A">
        <w:rPr>
          <w:rFonts w:ascii="Arial" w:hAnsi="Arial" w:cs="Arial"/>
          <w:color w:val="000000"/>
          <w:sz w:val="22"/>
          <w:szCs w:val="22"/>
        </w:rPr>
        <w:t xml:space="preserve">, </w:t>
      </w:r>
      <w:r w:rsidR="008F7AD0" w:rsidRPr="00964B6A">
        <w:rPr>
          <w:rFonts w:ascii="Arial" w:hAnsi="Arial" w:cs="Arial"/>
          <w:color w:val="000000"/>
          <w:sz w:val="22"/>
          <w:szCs w:val="22"/>
        </w:rPr>
        <w:t>and</w:t>
      </w:r>
      <w:r w:rsidRPr="00964B6A">
        <w:rPr>
          <w:rFonts w:ascii="Arial" w:hAnsi="Arial" w:cs="Arial"/>
          <w:color w:val="000000"/>
          <w:sz w:val="22"/>
          <w:szCs w:val="22"/>
        </w:rPr>
        <w:t xml:space="preserve"> rest of Australia); and</w:t>
      </w:r>
    </w:p>
    <w:p w:rsidR="00294C40" w:rsidRPr="00964B6A" w:rsidRDefault="00294C40" w:rsidP="006F0D77">
      <w:pPr>
        <w:numPr>
          <w:ilvl w:val="0"/>
          <w:numId w:val="30"/>
        </w:numPr>
        <w:spacing w:after="140" w:line="240" w:lineRule="atLeast"/>
        <w:ind w:left="284" w:hanging="284"/>
        <w:rPr>
          <w:rFonts w:ascii="Arial" w:hAnsi="Arial" w:cs="Arial"/>
          <w:color w:val="000000"/>
          <w:sz w:val="22"/>
          <w:szCs w:val="22"/>
        </w:rPr>
      </w:pPr>
      <w:r w:rsidRPr="00964B6A">
        <w:rPr>
          <w:rFonts w:ascii="Arial" w:hAnsi="Arial" w:cs="Arial"/>
          <w:color w:val="000000"/>
          <w:sz w:val="22"/>
          <w:szCs w:val="22"/>
        </w:rPr>
        <w:t>single-year and five-year age cohorts.</w:t>
      </w:r>
    </w:p>
    <w:p w:rsidR="00CF0D07" w:rsidRPr="00964B6A" w:rsidRDefault="00CF0D07" w:rsidP="006F0D77">
      <w:pPr>
        <w:spacing w:after="140" w:line="240" w:lineRule="atLeast"/>
        <w:rPr>
          <w:rFonts w:ascii="Arial" w:hAnsi="Arial" w:cs="Arial"/>
          <w:color w:val="000000"/>
          <w:sz w:val="22"/>
          <w:szCs w:val="22"/>
        </w:rPr>
      </w:pPr>
      <w:r w:rsidRPr="00964B6A">
        <w:rPr>
          <w:rFonts w:ascii="Arial" w:hAnsi="Arial" w:cs="Arial"/>
          <w:color w:val="000000"/>
          <w:sz w:val="22"/>
          <w:szCs w:val="22"/>
        </w:rPr>
        <w:t xml:space="preserve">For the purpose of producing interim projections for publication in a timely manner and owing to </w:t>
      </w:r>
      <w:r w:rsidR="00F61776" w:rsidRPr="00964B6A">
        <w:rPr>
          <w:rFonts w:ascii="Arial" w:hAnsi="Arial" w:cs="Arial"/>
          <w:color w:val="000000"/>
          <w:sz w:val="22"/>
          <w:szCs w:val="22"/>
        </w:rPr>
        <w:t>the fact that</w:t>
      </w:r>
      <w:r w:rsidRPr="00964B6A">
        <w:rPr>
          <w:rFonts w:ascii="Arial" w:hAnsi="Arial" w:cs="Arial"/>
          <w:color w:val="000000"/>
          <w:sz w:val="22"/>
          <w:szCs w:val="22"/>
        </w:rPr>
        <w:t xml:space="preserve"> finalised 2011 </w:t>
      </w:r>
      <w:r w:rsidR="003D0669" w:rsidRPr="00964B6A">
        <w:rPr>
          <w:rFonts w:ascii="Arial" w:hAnsi="Arial" w:cs="Arial"/>
          <w:color w:val="000000"/>
          <w:sz w:val="22"/>
          <w:szCs w:val="22"/>
        </w:rPr>
        <w:t>C</w:t>
      </w:r>
      <w:r w:rsidRPr="00964B6A">
        <w:rPr>
          <w:rFonts w:ascii="Arial" w:hAnsi="Arial" w:cs="Arial"/>
          <w:color w:val="000000"/>
          <w:sz w:val="22"/>
          <w:szCs w:val="22"/>
        </w:rPr>
        <w:t>ensus-derived ERPS</w:t>
      </w:r>
      <w:r w:rsidR="00F61776" w:rsidRPr="00964B6A">
        <w:rPr>
          <w:rFonts w:ascii="Arial" w:hAnsi="Arial" w:cs="Arial"/>
          <w:color w:val="000000"/>
          <w:sz w:val="22"/>
          <w:szCs w:val="22"/>
        </w:rPr>
        <w:t xml:space="preserve"> will be released in August 2013</w:t>
      </w:r>
      <w:r w:rsidRPr="00964B6A">
        <w:rPr>
          <w:rFonts w:ascii="Arial" w:hAnsi="Arial" w:cs="Arial"/>
          <w:color w:val="000000"/>
          <w:sz w:val="22"/>
          <w:szCs w:val="22"/>
        </w:rPr>
        <w:t xml:space="preserve">, the NTPOP projections model </w:t>
      </w:r>
      <w:r w:rsidR="00FD60DD" w:rsidRPr="00964B6A">
        <w:rPr>
          <w:rFonts w:ascii="Arial" w:hAnsi="Arial" w:cs="Arial"/>
          <w:color w:val="000000"/>
          <w:sz w:val="22"/>
          <w:szCs w:val="22"/>
        </w:rPr>
        <w:t xml:space="preserve">in this interim update </w:t>
      </w:r>
      <w:r w:rsidRPr="00964B6A">
        <w:rPr>
          <w:rFonts w:ascii="Arial" w:hAnsi="Arial" w:cs="Arial"/>
          <w:color w:val="000000"/>
          <w:sz w:val="22"/>
          <w:szCs w:val="22"/>
        </w:rPr>
        <w:t xml:space="preserve">has been modified to produce projections for </w:t>
      </w:r>
      <w:r w:rsidR="001E49BD" w:rsidRPr="00964B6A">
        <w:rPr>
          <w:rFonts w:ascii="Arial" w:hAnsi="Arial" w:cs="Arial"/>
          <w:color w:val="000000"/>
          <w:sz w:val="22"/>
          <w:szCs w:val="22"/>
        </w:rPr>
        <w:t>two</w:t>
      </w:r>
      <w:r w:rsidRPr="00964B6A">
        <w:rPr>
          <w:rFonts w:ascii="Arial" w:hAnsi="Arial" w:cs="Arial"/>
          <w:color w:val="000000"/>
          <w:sz w:val="22"/>
          <w:szCs w:val="22"/>
        </w:rPr>
        <w:t xml:space="preserve"> regions only at the sub-state level. These </w:t>
      </w:r>
      <w:r w:rsidR="001E49BD" w:rsidRPr="00964B6A">
        <w:rPr>
          <w:rFonts w:ascii="Arial" w:hAnsi="Arial" w:cs="Arial"/>
          <w:color w:val="000000"/>
          <w:sz w:val="22"/>
          <w:szCs w:val="22"/>
        </w:rPr>
        <w:t xml:space="preserve">two </w:t>
      </w:r>
      <w:r w:rsidRPr="00964B6A">
        <w:rPr>
          <w:rFonts w:ascii="Arial" w:hAnsi="Arial" w:cs="Arial"/>
          <w:color w:val="000000"/>
          <w:sz w:val="22"/>
          <w:szCs w:val="22"/>
        </w:rPr>
        <w:t xml:space="preserve">regions are Greater Darwin (Darwin, Palmerston, </w:t>
      </w:r>
      <w:r w:rsidR="00FD60DD" w:rsidRPr="00964B6A">
        <w:rPr>
          <w:rFonts w:ascii="Arial" w:hAnsi="Arial" w:cs="Arial"/>
          <w:color w:val="000000"/>
          <w:sz w:val="22"/>
          <w:szCs w:val="22"/>
        </w:rPr>
        <w:t>and Litchfield</w:t>
      </w:r>
      <w:r w:rsidRPr="00964B6A">
        <w:rPr>
          <w:rFonts w:ascii="Arial" w:hAnsi="Arial" w:cs="Arial"/>
          <w:color w:val="000000"/>
          <w:sz w:val="22"/>
          <w:szCs w:val="22"/>
        </w:rPr>
        <w:t xml:space="preserve">) and the Rest of the Northern Territory. The Rest of the Northern Territory region is an aggregation of the </w:t>
      </w:r>
      <w:r w:rsidR="001E49BD" w:rsidRPr="00964B6A">
        <w:rPr>
          <w:rFonts w:ascii="Arial" w:hAnsi="Arial" w:cs="Arial"/>
          <w:color w:val="000000"/>
          <w:sz w:val="22"/>
          <w:szCs w:val="22"/>
        </w:rPr>
        <w:t xml:space="preserve">five </w:t>
      </w:r>
      <w:r w:rsidRPr="00964B6A">
        <w:rPr>
          <w:rFonts w:ascii="Arial" w:hAnsi="Arial" w:cs="Arial"/>
          <w:color w:val="000000"/>
          <w:sz w:val="22"/>
          <w:szCs w:val="22"/>
        </w:rPr>
        <w:t xml:space="preserve">regions (Rest of Darwin, East Arnhem, Katherine, Barkly, Alice Springs) under the complete NTPOP model. </w:t>
      </w:r>
    </w:p>
    <w:p w:rsidR="00294C40" w:rsidRPr="00964B6A" w:rsidRDefault="00294C40" w:rsidP="006F0D77">
      <w:pPr>
        <w:spacing w:after="140" w:line="240" w:lineRule="atLeast"/>
        <w:rPr>
          <w:rFonts w:ascii="Arial" w:hAnsi="Arial" w:cs="Arial"/>
          <w:color w:val="000000"/>
          <w:sz w:val="22"/>
          <w:szCs w:val="22"/>
        </w:rPr>
      </w:pPr>
      <w:r w:rsidRPr="00964B6A">
        <w:rPr>
          <w:rFonts w:ascii="Arial" w:hAnsi="Arial" w:cs="Arial"/>
          <w:color w:val="000000"/>
          <w:sz w:val="22"/>
          <w:szCs w:val="22"/>
        </w:rPr>
        <w:t>Projected population numbers are calculated at 30 June for each year of the</w:t>
      </w:r>
      <w:r w:rsidR="00AF71F7" w:rsidRPr="00964B6A">
        <w:rPr>
          <w:rFonts w:ascii="Arial" w:hAnsi="Arial" w:cs="Arial"/>
          <w:color w:val="000000"/>
          <w:sz w:val="22"/>
          <w:szCs w:val="22"/>
        </w:rPr>
        <w:t xml:space="preserve"> </w:t>
      </w:r>
      <w:r w:rsidRPr="00964B6A">
        <w:rPr>
          <w:rFonts w:ascii="Arial" w:hAnsi="Arial" w:cs="Arial"/>
          <w:color w:val="000000"/>
          <w:sz w:val="22"/>
          <w:szCs w:val="22"/>
        </w:rPr>
        <w:t>projection horizon, and demographic components of change reflect the year</w:t>
      </w:r>
      <w:r w:rsidR="00AF71F7" w:rsidRPr="00964B6A">
        <w:rPr>
          <w:rFonts w:ascii="Arial" w:hAnsi="Arial" w:cs="Arial"/>
          <w:color w:val="000000"/>
          <w:sz w:val="22"/>
          <w:szCs w:val="22"/>
        </w:rPr>
        <w:t xml:space="preserve"> </w:t>
      </w:r>
      <w:r w:rsidRPr="00964B6A">
        <w:rPr>
          <w:rFonts w:ascii="Arial" w:hAnsi="Arial" w:cs="Arial"/>
          <w:color w:val="000000"/>
          <w:sz w:val="22"/>
          <w:szCs w:val="22"/>
        </w:rPr>
        <w:t>to 30 June.</w:t>
      </w:r>
    </w:p>
    <w:p w:rsidR="00294C40" w:rsidRPr="00964B6A" w:rsidRDefault="00294C40" w:rsidP="006F0D77">
      <w:pPr>
        <w:spacing w:after="140" w:line="240" w:lineRule="atLeast"/>
        <w:rPr>
          <w:rFonts w:ascii="Arial" w:hAnsi="Arial" w:cs="Arial"/>
          <w:color w:val="000000"/>
          <w:sz w:val="22"/>
          <w:szCs w:val="22"/>
        </w:rPr>
      </w:pPr>
      <w:r w:rsidRPr="00964B6A">
        <w:rPr>
          <w:rFonts w:ascii="Arial" w:hAnsi="Arial" w:cs="Arial"/>
          <w:color w:val="000000"/>
          <w:sz w:val="22"/>
          <w:szCs w:val="22"/>
        </w:rPr>
        <w:t xml:space="preserve">Each cohort (age, sex, Indigenous status and region) is </w:t>
      </w:r>
      <w:r w:rsidR="00B934D0" w:rsidRPr="00964B6A">
        <w:rPr>
          <w:rFonts w:ascii="Arial" w:hAnsi="Arial" w:cs="Arial"/>
          <w:color w:val="000000"/>
          <w:sz w:val="22"/>
          <w:szCs w:val="22"/>
        </w:rPr>
        <w:t>individually calculated</w:t>
      </w:r>
      <w:r w:rsidR="00AF71F7" w:rsidRPr="00964B6A">
        <w:rPr>
          <w:rFonts w:ascii="Arial" w:hAnsi="Arial" w:cs="Arial"/>
          <w:color w:val="000000"/>
          <w:sz w:val="22"/>
          <w:szCs w:val="22"/>
        </w:rPr>
        <w:t xml:space="preserve"> </w:t>
      </w:r>
      <w:r w:rsidRPr="00964B6A">
        <w:rPr>
          <w:rFonts w:ascii="Arial" w:hAnsi="Arial" w:cs="Arial"/>
          <w:color w:val="000000"/>
          <w:sz w:val="22"/>
          <w:szCs w:val="22"/>
        </w:rPr>
        <w:t>in the projection model. Projection calculations proceed in one-year intervals,</w:t>
      </w:r>
      <w:r w:rsidR="00AF71F7" w:rsidRPr="00964B6A">
        <w:rPr>
          <w:rFonts w:ascii="Arial" w:hAnsi="Arial" w:cs="Arial"/>
          <w:color w:val="000000"/>
          <w:sz w:val="22"/>
          <w:szCs w:val="22"/>
        </w:rPr>
        <w:t xml:space="preserve"> </w:t>
      </w:r>
      <w:r w:rsidRPr="00964B6A">
        <w:rPr>
          <w:rFonts w:ascii="Arial" w:hAnsi="Arial" w:cs="Arial"/>
          <w:color w:val="000000"/>
          <w:sz w:val="22"/>
          <w:szCs w:val="22"/>
        </w:rPr>
        <w:t>from 30 June one year to 30 June in the next. During every projection</w:t>
      </w:r>
      <w:r w:rsidR="00AF71F7" w:rsidRPr="00964B6A">
        <w:rPr>
          <w:rFonts w:ascii="Arial" w:hAnsi="Arial" w:cs="Arial"/>
          <w:color w:val="000000"/>
          <w:sz w:val="22"/>
          <w:szCs w:val="22"/>
        </w:rPr>
        <w:t xml:space="preserve"> </w:t>
      </w:r>
      <w:r w:rsidRPr="00964B6A">
        <w:rPr>
          <w:rFonts w:ascii="Arial" w:hAnsi="Arial" w:cs="Arial"/>
          <w:color w:val="000000"/>
          <w:sz w:val="22"/>
          <w:szCs w:val="22"/>
        </w:rPr>
        <w:t>interval various quantities are added to the initial population and other</w:t>
      </w:r>
      <w:r w:rsidR="00AF71F7" w:rsidRPr="00964B6A">
        <w:rPr>
          <w:rFonts w:ascii="Arial" w:hAnsi="Arial" w:cs="Arial"/>
          <w:color w:val="000000"/>
          <w:sz w:val="22"/>
          <w:szCs w:val="22"/>
        </w:rPr>
        <w:t xml:space="preserve"> </w:t>
      </w:r>
      <w:r w:rsidRPr="00964B6A">
        <w:rPr>
          <w:rFonts w:ascii="Arial" w:hAnsi="Arial" w:cs="Arial"/>
          <w:color w:val="000000"/>
          <w:sz w:val="22"/>
          <w:szCs w:val="22"/>
        </w:rPr>
        <w:t>quantities are subtracted, leaving the projected population at the end of</w:t>
      </w:r>
      <w:r w:rsidR="00AF71F7" w:rsidRPr="00964B6A">
        <w:rPr>
          <w:rFonts w:ascii="Arial" w:hAnsi="Arial" w:cs="Arial"/>
          <w:color w:val="000000"/>
          <w:sz w:val="22"/>
          <w:szCs w:val="22"/>
        </w:rPr>
        <w:t xml:space="preserve"> </w:t>
      </w:r>
      <w:r w:rsidRPr="00964B6A">
        <w:rPr>
          <w:rFonts w:ascii="Arial" w:hAnsi="Arial" w:cs="Arial"/>
          <w:color w:val="000000"/>
          <w:sz w:val="22"/>
          <w:szCs w:val="22"/>
        </w:rPr>
        <w:t>the year. These quantities are known as the demographic components of</w:t>
      </w:r>
      <w:r w:rsidR="00AF71F7" w:rsidRPr="00964B6A">
        <w:rPr>
          <w:rFonts w:ascii="Arial" w:hAnsi="Arial" w:cs="Arial"/>
          <w:color w:val="000000"/>
          <w:sz w:val="22"/>
          <w:szCs w:val="22"/>
        </w:rPr>
        <w:t xml:space="preserve"> </w:t>
      </w:r>
      <w:r w:rsidRPr="00964B6A">
        <w:rPr>
          <w:rFonts w:ascii="Arial" w:hAnsi="Arial" w:cs="Arial"/>
          <w:color w:val="000000"/>
          <w:sz w:val="22"/>
          <w:szCs w:val="22"/>
        </w:rPr>
        <w:t>change (hence the description ‘cohort-component’ model).</w:t>
      </w:r>
    </w:p>
    <w:p w:rsidR="00294C40" w:rsidRPr="00964B6A" w:rsidRDefault="00294C40" w:rsidP="006F0D77">
      <w:pPr>
        <w:spacing w:after="140" w:line="240" w:lineRule="atLeast"/>
        <w:rPr>
          <w:rFonts w:ascii="Arial" w:hAnsi="Arial" w:cs="Arial"/>
          <w:color w:val="000000"/>
          <w:sz w:val="22"/>
          <w:szCs w:val="22"/>
        </w:rPr>
      </w:pPr>
      <w:r w:rsidRPr="00964B6A">
        <w:rPr>
          <w:rFonts w:ascii="Arial" w:hAnsi="Arial" w:cs="Arial"/>
          <w:color w:val="000000"/>
          <w:sz w:val="22"/>
          <w:szCs w:val="22"/>
        </w:rPr>
        <w:t>The population accounting equation in the NTPOP model is:</w:t>
      </w:r>
    </w:p>
    <w:p w:rsidR="00294C40" w:rsidRPr="00964B6A" w:rsidRDefault="00294C40" w:rsidP="006F0D77">
      <w:pPr>
        <w:spacing w:after="140" w:line="240" w:lineRule="atLeast"/>
        <w:rPr>
          <w:rFonts w:ascii="Arial" w:hAnsi="Arial" w:cs="Arial"/>
          <w:color w:val="000000"/>
          <w:sz w:val="22"/>
          <w:szCs w:val="22"/>
        </w:rPr>
      </w:pPr>
      <w:r w:rsidRPr="00964B6A">
        <w:rPr>
          <w:rFonts w:ascii="Arial" w:hAnsi="Arial" w:cs="Arial"/>
          <w:color w:val="000000"/>
          <w:sz w:val="22"/>
          <w:szCs w:val="22"/>
        </w:rPr>
        <w:t>Population at time t = population at time t -1 + (births - deaths) + (interstate</w:t>
      </w:r>
      <w:r w:rsidR="00AF71F7" w:rsidRPr="00964B6A">
        <w:rPr>
          <w:rFonts w:ascii="Arial" w:hAnsi="Arial" w:cs="Arial"/>
          <w:color w:val="000000"/>
          <w:sz w:val="22"/>
          <w:szCs w:val="22"/>
        </w:rPr>
        <w:t xml:space="preserve"> </w:t>
      </w:r>
      <w:r w:rsidRPr="00964B6A">
        <w:rPr>
          <w:rFonts w:ascii="Arial" w:hAnsi="Arial" w:cs="Arial"/>
          <w:color w:val="000000"/>
          <w:sz w:val="22"/>
          <w:szCs w:val="22"/>
        </w:rPr>
        <w:t xml:space="preserve">in migration - interstate out migration) + (overseas </w:t>
      </w:r>
      <w:r w:rsidR="007726E8" w:rsidRPr="00964B6A">
        <w:rPr>
          <w:rFonts w:ascii="Arial" w:hAnsi="Arial" w:cs="Arial"/>
          <w:color w:val="000000"/>
          <w:sz w:val="22"/>
          <w:szCs w:val="22"/>
        </w:rPr>
        <w:t>arrivals</w:t>
      </w:r>
      <w:r w:rsidR="008F7AD0" w:rsidRPr="00964B6A">
        <w:rPr>
          <w:rFonts w:ascii="Arial" w:hAnsi="Arial" w:cs="Arial"/>
          <w:color w:val="000000"/>
          <w:sz w:val="22"/>
          <w:szCs w:val="22"/>
        </w:rPr>
        <w:t xml:space="preserve"> </w:t>
      </w:r>
      <w:r w:rsidR="00AF71F7" w:rsidRPr="00964B6A">
        <w:rPr>
          <w:rFonts w:ascii="Arial" w:hAnsi="Arial" w:cs="Arial"/>
          <w:color w:val="000000"/>
          <w:sz w:val="22"/>
          <w:szCs w:val="22"/>
        </w:rPr>
        <w:t>–</w:t>
      </w:r>
      <w:r w:rsidRPr="00964B6A">
        <w:rPr>
          <w:rFonts w:ascii="Arial" w:hAnsi="Arial" w:cs="Arial"/>
          <w:color w:val="000000"/>
          <w:sz w:val="22"/>
          <w:szCs w:val="22"/>
        </w:rPr>
        <w:t xml:space="preserve"> overseas</w:t>
      </w:r>
      <w:r w:rsidR="00AF71F7" w:rsidRPr="00964B6A">
        <w:rPr>
          <w:rFonts w:ascii="Arial" w:hAnsi="Arial" w:cs="Arial"/>
          <w:color w:val="000000"/>
          <w:sz w:val="22"/>
          <w:szCs w:val="22"/>
        </w:rPr>
        <w:t xml:space="preserve"> </w:t>
      </w:r>
      <w:r w:rsidR="007726E8" w:rsidRPr="00964B6A">
        <w:rPr>
          <w:rFonts w:ascii="Arial" w:hAnsi="Arial" w:cs="Arial"/>
          <w:color w:val="000000"/>
          <w:sz w:val="22"/>
          <w:szCs w:val="22"/>
        </w:rPr>
        <w:t>departures</w:t>
      </w:r>
      <w:r w:rsidRPr="00964B6A">
        <w:rPr>
          <w:rFonts w:ascii="Arial" w:hAnsi="Arial" w:cs="Arial"/>
          <w:color w:val="000000"/>
          <w:sz w:val="22"/>
          <w:szCs w:val="22"/>
        </w:rPr>
        <w:t>).</w:t>
      </w:r>
    </w:p>
    <w:p w:rsidR="00AF71F7" w:rsidRPr="00964B6A" w:rsidRDefault="00294C40" w:rsidP="006F0D77">
      <w:pPr>
        <w:spacing w:after="140" w:line="240" w:lineRule="atLeast"/>
        <w:rPr>
          <w:rFonts w:ascii="Arial" w:hAnsi="Arial" w:cs="Arial"/>
          <w:color w:val="000000"/>
          <w:sz w:val="22"/>
          <w:szCs w:val="22"/>
        </w:rPr>
      </w:pPr>
      <w:r w:rsidRPr="00964B6A">
        <w:rPr>
          <w:rFonts w:ascii="Arial" w:hAnsi="Arial" w:cs="Arial"/>
          <w:color w:val="000000"/>
          <w:sz w:val="22"/>
          <w:szCs w:val="22"/>
        </w:rPr>
        <w:t>For the NTG regions, interstate, intra-regional and overseas migration</w:t>
      </w:r>
      <w:r w:rsidR="00AF71F7" w:rsidRPr="00964B6A">
        <w:rPr>
          <w:rFonts w:ascii="Arial" w:hAnsi="Arial" w:cs="Arial"/>
          <w:color w:val="000000"/>
          <w:sz w:val="22"/>
          <w:szCs w:val="22"/>
        </w:rPr>
        <w:t xml:space="preserve"> </w:t>
      </w:r>
      <w:r w:rsidRPr="00964B6A">
        <w:rPr>
          <w:rFonts w:ascii="Arial" w:hAnsi="Arial" w:cs="Arial"/>
          <w:color w:val="000000"/>
          <w:sz w:val="22"/>
          <w:szCs w:val="22"/>
        </w:rPr>
        <w:t>are combined into one net migration input figure which represents the</w:t>
      </w:r>
      <w:r w:rsidR="00AF71F7" w:rsidRPr="00964B6A">
        <w:rPr>
          <w:rFonts w:ascii="Arial" w:hAnsi="Arial" w:cs="Arial"/>
          <w:color w:val="000000"/>
          <w:sz w:val="22"/>
          <w:szCs w:val="22"/>
        </w:rPr>
        <w:t xml:space="preserve"> </w:t>
      </w:r>
      <w:r w:rsidRPr="00964B6A">
        <w:rPr>
          <w:rFonts w:ascii="Arial" w:hAnsi="Arial" w:cs="Arial"/>
          <w:color w:val="000000"/>
          <w:sz w:val="22"/>
          <w:szCs w:val="22"/>
        </w:rPr>
        <w:t>expected net flow of migrants to the region over a five-year period. The</w:t>
      </w:r>
      <w:r w:rsidR="00AF71F7" w:rsidRPr="00964B6A">
        <w:rPr>
          <w:rFonts w:ascii="Arial" w:hAnsi="Arial" w:cs="Arial"/>
          <w:color w:val="000000"/>
          <w:sz w:val="22"/>
          <w:szCs w:val="22"/>
        </w:rPr>
        <w:t xml:space="preserve"> </w:t>
      </w:r>
      <w:r w:rsidRPr="00964B6A">
        <w:rPr>
          <w:rFonts w:ascii="Arial" w:hAnsi="Arial" w:cs="Arial"/>
          <w:color w:val="000000"/>
          <w:sz w:val="22"/>
          <w:szCs w:val="22"/>
        </w:rPr>
        <w:t>conceptual basis however is essentially t</w:t>
      </w:r>
      <w:r w:rsidR="00AF71F7" w:rsidRPr="00964B6A">
        <w:rPr>
          <w:rFonts w:ascii="Arial" w:hAnsi="Arial" w:cs="Arial"/>
          <w:color w:val="000000"/>
          <w:sz w:val="22"/>
          <w:szCs w:val="22"/>
        </w:rPr>
        <w:t xml:space="preserve">he same as that presented above </w:t>
      </w:r>
      <w:r w:rsidRPr="00964B6A">
        <w:rPr>
          <w:rFonts w:ascii="Arial" w:hAnsi="Arial" w:cs="Arial"/>
          <w:color w:val="000000"/>
          <w:sz w:val="22"/>
          <w:szCs w:val="22"/>
        </w:rPr>
        <w:t>with the components of growth being added to or subtracted from the initial</w:t>
      </w:r>
      <w:r w:rsidR="00AF71F7" w:rsidRPr="00964B6A">
        <w:rPr>
          <w:rFonts w:ascii="Arial" w:hAnsi="Arial" w:cs="Arial"/>
          <w:color w:val="000000"/>
          <w:sz w:val="22"/>
          <w:szCs w:val="22"/>
        </w:rPr>
        <w:t xml:space="preserve"> population.</w:t>
      </w:r>
    </w:p>
    <w:p w:rsidR="00294C40" w:rsidRPr="00964B6A" w:rsidRDefault="00294C40" w:rsidP="006F0D77">
      <w:pPr>
        <w:spacing w:after="140" w:line="240" w:lineRule="atLeast"/>
        <w:rPr>
          <w:rFonts w:ascii="Arial" w:hAnsi="Arial" w:cs="Arial"/>
          <w:color w:val="000000"/>
          <w:sz w:val="22"/>
          <w:szCs w:val="22"/>
        </w:rPr>
      </w:pPr>
      <w:r w:rsidRPr="00964B6A">
        <w:rPr>
          <w:rFonts w:ascii="Arial" w:hAnsi="Arial" w:cs="Arial"/>
          <w:color w:val="000000"/>
          <w:sz w:val="22"/>
          <w:szCs w:val="22"/>
        </w:rPr>
        <w:t xml:space="preserve">Projection assumptions and parameters </w:t>
      </w:r>
      <w:r w:rsidR="00AF71F7" w:rsidRPr="00964B6A">
        <w:rPr>
          <w:rFonts w:ascii="Arial" w:hAnsi="Arial" w:cs="Arial"/>
          <w:color w:val="000000"/>
          <w:sz w:val="22"/>
          <w:szCs w:val="22"/>
        </w:rPr>
        <w:t xml:space="preserve">are required for each component </w:t>
      </w:r>
      <w:r w:rsidRPr="00964B6A">
        <w:rPr>
          <w:rFonts w:ascii="Arial" w:hAnsi="Arial" w:cs="Arial"/>
          <w:color w:val="000000"/>
          <w:sz w:val="22"/>
          <w:szCs w:val="22"/>
        </w:rPr>
        <w:t>of the population equation for Indigenous and non-Indigenous populations</w:t>
      </w:r>
      <w:r w:rsidR="00AF71F7" w:rsidRPr="00964B6A">
        <w:rPr>
          <w:rFonts w:ascii="Arial" w:hAnsi="Arial" w:cs="Arial"/>
          <w:color w:val="000000"/>
          <w:sz w:val="22"/>
          <w:szCs w:val="22"/>
        </w:rPr>
        <w:t xml:space="preserve"> </w:t>
      </w:r>
      <w:r w:rsidRPr="00964B6A">
        <w:rPr>
          <w:rFonts w:ascii="Arial" w:hAnsi="Arial" w:cs="Arial"/>
          <w:color w:val="000000"/>
          <w:sz w:val="22"/>
          <w:szCs w:val="22"/>
        </w:rPr>
        <w:t xml:space="preserve">for the Territory, the rest of </w:t>
      </w:r>
      <w:smartTag w:uri="urn:schemas-microsoft-com:office:smarttags" w:element="country-region">
        <w:smartTag w:uri="urn:schemas-microsoft-com:office:smarttags" w:element="place">
          <w:r w:rsidRPr="00964B6A">
            <w:rPr>
              <w:rFonts w:ascii="Arial" w:hAnsi="Arial" w:cs="Arial"/>
              <w:color w:val="000000"/>
              <w:sz w:val="22"/>
              <w:szCs w:val="22"/>
            </w:rPr>
            <w:t>Australia</w:t>
          </w:r>
        </w:smartTag>
      </w:smartTag>
      <w:r w:rsidRPr="00964B6A">
        <w:rPr>
          <w:rFonts w:ascii="Arial" w:hAnsi="Arial" w:cs="Arial"/>
          <w:color w:val="000000"/>
          <w:sz w:val="22"/>
          <w:szCs w:val="22"/>
        </w:rPr>
        <w:t xml:space="preserve"> and e</w:t>
      </w:r>
      <w:r w:rsidR="00AF71F7" w:rsidRPr="00964B6A">
        <w:rPr>
          <w:rFonts w:ascii="Arial" w:hAnsi="Arial" w:cs="Arial"/>
          <w:color w:val="000000"/>
          <w:sz w:val="22"/>
          <w:szCs w:val="22"/>
        </w:rPr>
        <w:t>ach region</w:t>
      </w:r>
      <w:r w:rsidR="005C2937" w:rsidRPr="00964B6A">
        <w:rPr>
          <w:rFonts w:ascii="Arial" w:hAnsi="Arial" w:cs="Arial"/>
          <w:color w:val="000000"/>
          <w:sz w:val="22"/>
          <w:szCs w:val="22"/>
        </w:rPr>
        <w:t xml:space="preserve"> </w:t>
      </w:r>
      <w:r w:rsidR="00AF71F7" w:rsidRPr="00964B6A">
        <w:rPr>
          <w:rFonts w:ascii="Arial" w:hAnsi="Arial" w:cs="Arial"/>
          <w:color w:val="000000"/>
          <w:sz w:val="22"/>
          <w:szCs w:val="22"/>
        </w:rPr>
        <w:t xml:space="preserve">for each year of the </w:t>
      </w:r>
      <w:r w:rsidRPr="00964B6A">
        <w:rPr>
          <w:rFonts w:ascii="Arial" w:hAnsi="Arial" w:cs="Arial"/>
          <w:color w:val="000000"/>
          <w:sz w:val="22"/>
          <w:szCs w:val="22"/>
        </w:rPr>
        <w:t>projection</w:t>
      </w:r>
      <w:r w:rsidR="008343CE" w:rsidRPr="00964B6A">
        <w:rPr>
          <w:rFonts w:ascii="Arial" w:hAnsi="Arial" w:cs="Arial"/>
          <w:color w:val="000000"/>
          <w:sz w:val="22"/>
          <w:szCs w:val="22"/>
        </w:rPr>
        <w:t xml:space="preserve">s. </w:t>
      </w:r>
    </w:p>
    <w:p w:rsidR="00F63A03" w:rsidRPr="00964B6A" w:rsidRDefault="00F63A03" w:rsidP="006F0D77">
      <w:pPr>
        <w:spacing w:after="140" w:line="240" w:lineRule="atLeast"/>
        <w:rPr>
          <w:rFonts w:ascii="Arial" w:hAnsi="Arial" w:cs="Arial"/>
          <w:color w:val="000000"/>
          <w:sz w:val="22"/>
          <w:szCs w:val="22"/>
        </w:rPr>
      </w:pPr>
      <w:r w:rsidRPr="00964B6A">
        <w:rPr>
          <w:rFonts w:ascii="Arial" w:hAnsi="Arial" w:cs="Arial"/>
          <w:color w:val="000000"/>
          <w:sz w:val="22"/>
          <w:szCs w:val="22"/>
        </w:rPr>
        <w:t>Demographic components of change in the accounting equation are calculated by multiplying rates by populations, for example: deaths = death rate × population; or in the case of net migration, set as numbers directly.</w:t>
      </w:r>
    </w:p>
    <w:p w:rsidR="00F63A03" w:rsidRPr="006F0D77" w:rsidRDefault="006A7D42" w:rsidP="00F63A03">
      <w:pPr>
        <w:autoSpaceDE w:val="0"/>
        <w:autoSpaceDN w:val="0"/>
        <w:adjustRightInd w:val="0"/>
        <w:spacing w:after="120"/>
        <w:rPr>
          <w:rFonts w:ascii="Arial" w:hAnsi="Arial" w:cs="Arial"/>
          <w:b/>
          <w:sz w:val="32"/>
          <w:szCs w:val="32"/>
        </w:rPr>
      </w:pPr>
      <w:r>
        <w:rPr>
          <w:rFonts w:ascii="Arial" w:hAnsi="Arial" w:cs="Arial"/>
          <w:b/>
          <w:sz w:val="24"/>
          <w:szCs w:val="24"/>
        </w:rPr>
        <w:br w:type="page"/>
      </w:r>
      <w:r w:rsidR="00FB5F40" w:rsidRPr="006F0D77">
        <w:rPr>
          <w:rFonts w:ascii="Arial" w:hAnsi="Arial" w:cs="Arial"/>
          <w:b/>
          <w:sz w:val="32"/>
          <w:szCs w:val="32"/>
        </w:rPr>
        <w:t>Components of NTPOP Population Projections Model</w:t>
      </w:r>
    </w:p>
    <w:p w:rsidR="00FB5F40" w:rsidRPr="00D92A86" w:rsidRDefault="00FB5F40" w:rsidP="00D92A86">
      <w:pPr>
        <w:spacing w:before="240" w:after="160" w:line="240" w:lineRule="atLeast"/>
        <w:rPr>
          <w:rFonts w:ascii="Arial" w:hAnsi="Arial" w:cs="Arial"/>
          <w:b/>
          <w:color w:val="000000"/>
          <w:sz w:val="28"/>
          <w:szCs w:val="28"/>
        </w:rPr>
      </w:pPr>
      <w:r w:rsidRPr="00D92A86">
        <w:rPr>
          <w:rFonts w:ascii="Arial" w:hAnsi="Arial" w:cs="Arial"/>
          <w:b/>
          <w:color w:val="000000"/>
          <w:sz w:val="28"/>
          <w:szCs w:val="28"/>
        </w:rPr>
        <w:t>Jump-Off Year</w:t>
      </w:r>
    </w:p>
    <w:p w:rsidR="001E077F" w:rsidRPr="00D92A86" w:rsidRDefault="00FB5F40" w:rsidP="00D92A86">
      <w:pPr>
        <w:spacing w:after="160" w:line="240" w:lineRule="atLeast"/>
        <w:rPr>
          <w:rFonts w:ascii="Arial" w:hAnsi="Arial" w:cs="Arial"/>
          <w:color w:val="000000"/>
          <w:sz w:val="22"/>
          <w:szCs w:val="22"/>
        </w:rPr>
      </w:pPr>
      <w:r w:rsidRPr="00D92A86">
        <w:rPr>
          <w:rFonts w:ascii="Arial" w:hAnsi="Arial" w:cs="Arial"/>
          <w:color w:val="000000"/>
          <w:sz w:val="22"/>
          <w:szCs w:val="22"/>
        </w:rPr>
        <w:t xml:space="preserve">The current version of the model </w:t>
      </w:r>
      <w:r w:rsidR="008343CE" w:rsidRPr="00D92A86">
        <w:rPr>
          <w:rFonts w:ascii="Arial" w:hAnsi="Arial" w:cs="Arial"/>
          <w:color w:val="000000"/>
          <w:sz w:val="22"/>
          <w:szCs w:val="22"/>
        </w:rPr>
        <w:t>commenc</w:t>
      </w:r>
      <w:r w:rsidR="001E077F" w:rsidRPr="00D92A86">
        <w:rPr>
          <w:rFonts w:ascii="Arial" w:hAnsi="Arial" w:cs="Arial"/>
          <w:color w:val="000000"/>
          <w:sz w:val="22"/>
          <w:szCs w:val="22"/>
        </w:rPr>
        <w:t xml:space="preserve">es from the 30 June 2011. These population projections are based on preliminary ERPs for the Territory and Australia and preliminary Aboriginal and Torres Strait Islander population estimates as at 30 June 2011 and were derived in the following way; </w:t>
      </w:r>
    </w:p>
    <w:p w:rsidR="001E077F" w:rsidRPr="00D92A86" w:rsidRDefault="001E077F" w:rsidP="00D92A86">
      <w:pPr>
        <w:numPr>
          <w:ilvl w:val="0"/>
          <w:numId w:val="31"/>
        </w:numPr>
        <w:spacing w:after="160" w:line="240" w:lineRule="atLeast"/>
        <w:rPr>
          <w:rFonts w:ascii="Arial" w:hAnsi="Arial" w:cs="Arial"/>
          <w:color w:val="000000"/>
          <w:sz w:val="22"/>
          <w:szCs w:val="22"/>
        </w:rPr>
      </w:pPr>
      <w:r w:rsidRPr="00D92A86">
        <w:rPr>
          <w:rFonts w:ascii="Arial" w:hAnsi="Arial" w:cs="Arial"/>
          <w:color w:val="000000"/>
          <w:sz w:val="22"/>
          <w:szCs w:val="22"/>
        </w:rPr>
        <w:t>ERPs were sourced from ABS Publication, 3101.0 Australian Demographic Statistics </w:t>
      </w:r>
      <w:r w:rsidRPr="00D92A86">
        <w:rPr>
          <w:rFonts w:ascii="Arial" w:hAnsi="Arial" w:cs="Arial"/>
          <w:color w:val="000000"/>
          <w:sz w:val="22"/>
          <w:szCs w:val="22"/>
        </w:rPr>
        <w:noBreakHyphen/>
        <w:t> June 2012.</w:t>
      </w:r>
    </w:p>
    <w:p w:rsidR="000244E6" w:rsidRPr="00D92A86" w:rsidRDefault="001E077F" w:rsidP="00D92A86">
      <w:pPr>
        <w:numPr>
          <w:ilvl w:val="0"/>
          <w:numId w:val="31"/>
        </w:numPr>
        <w:spacing w:after="160" w:line="240" w:lineRule="atLeast"/>
        <w:rPr>
          <w:rFonts w:ascii="Arial" w:hAnsi="Arial" w:cs="Arial"/>
          <w:color w:val="000000"/>
          <w:sz w:val="22"/>
          <w:szCs w:val="22"/>
        </w:rPr>
      </w:pPr>
      <w:r w:rsidRPr="00D92A86">
        <w:rPr>
          <w:rFonts w:ascii="Arial" w:hAnsi="Arial" w:cs="Arial"/>
          <w:color w:val="000000"/>
          <w:sz w:val="22"/>
          <w:szCs w:val="22"/>
        </w:rPr>
        <w:t xml:space="preserve">Single </w:t>
      </w:r>
      <w:r w:rsidR="000244E6" w:rsidRPr="00D92A86">
        <w:rPr>
          <w:rFonts w:ascii="Arial" w:hAnsi="Arial" w:cs="Arial"/>
          <w:color w:val="000000"/>
          <w:sz w:val="22"/>
          <w:szCs w:val="22"/>
        </w:rPr>
        <w:t xml:space="preserve">age profiles found in the Census data </w:t>
      </w:r>
      <w:r w:rsidRPr="00D92A86">
        <w:rPr>
          <w:rFonts w:ascii="Arial" w:hAnsi="Arial" w:cs="Arial"/>
          <w:color w:val="000000"/>
          <w:sz w:val="22"/>
          <w:szCs w:val="22"/>
        </w:rPr>
        <w:t>were applied to</w:t>
      </w:r>
      <w:r w:rsidR="000244E6" w:rsidRPr="00D92A86">
        <w:rPr>
          <w:rFonts w:ascii="Arial" w:hAnsi="Arial" w:cs="Arial"/>
          <w:color w:val="000000"/>
          <w:sz w:val="22"/>
          <w:szCs w:val="22"/>
        </w:rPr>
        <w:t xml:space="preserve"> generate single age estimates by region</w:t>
      </w:r>
      <w:r w:rsidRPr="00D92A86">
        <w:rPr>
          <w:rFonts w:ascii="Arial" w:hAnsi="Arial" w:cs="Arial"/>
          <w:color w:val="000000"/>
          <w:sz w:val="22"/>
          <w:szCs w:val="22"/>
        </w:rPr>
        <w:t>.</w:t>
      </w:r>
    </w:p>
    <w:p w:rsidR="000244E6" w:rsidRPr="00D92A86" w:rsidRDefault="001E077F" w:rsidP="00D92A86">
      <w:pPr>
        <w:numPr>
          <w:ilvl w:val="0"/>
          <w:numId w:val="31"/>
        </w:numPr>
        <w:spacing w:after="160" w:line="240" w:lineRule="atLeast"/>
        <w:rPr>
          <w:rFonts w:ascii="Arial" w:hAnsi="Arial" w:cs="Arial"/>
          <w:color w:val="000000"/>
          <w:sz w:val="22"/>
          <w:szCs w:val="22"/>
        </w:rPr>
      </w:pPr>
      <w:r w:rsidRPr="00D92A86">
        <w:rPr>
          <w:rFonts w:ascii="Arial" w:hAnsi="Arial" w:cs="Arial"/>
          <w:color w:val="000000"/>
          <w:sz w:val="22"/>
          <w:szCs w:val="22"/>
        </w:rPr>
        <w:t>A</w:t>
      </w:r>
      <w:r w:rsidR="000244E6" w:rsidRPr="00D92A86">
        <w:rPr>
          <w:rFonts w:ascii="Arial" w:hAnsi="Arial" w:cs="Arial"/>
          <w:color w:val="000000"/>
          <w:sz w:val="22"/>
          <w:szCs w:val="22"/>
        </w:rPr>
        <w:t xml:space="preserve"> basic smoothing technique </w:t>
      </w:r>
      <w:r w:rsidRPr="00D92A86">
        <w:rPr>
          <w:rFonts w:ascii="Arial" w:hAnsi="Arial" w:cs="Arial"/>
          <w:color w:val="000000"/>
          <w:sz w:val="22"/>
          <w:szCs w:val="22"/>
        </w:rPr>
        <w:t xml:space="preserve">was applied </w:t>
      </w:r>
      <w:r w:rsidR="000244E6" w:rsidRPr="00D92A86">
        <w:rPr>
          <w:rFonts w:ascii="Arial" w:hAnsi="Arial" w:cs="Arial"/>
          <w:color w:val="000000"/>
          <w:sz w:val="22"/>
          <w:szCs w:val="22"/>
        </w:rPr>
        <w:t xml:space="preserve">to address the issue of age heaping </w:t>
      </w:r>
      <w:r w:rsidRPr="00D92A86">
        <w:rPr>
          <w:rFonts w:ascii="Arial" w:hAnsi="Arial" w:cs="Arial"/>
          <w:color w:val="000000"/>
          <w:sz w:val="22"/>
          <w:szCs w:val="22"/>
        </w:rPr>
        <w:t xml:space="preserve">found in the </w:t>
      </w:r>
      <w:r w:rsidR="000244E6" w:rsidRPr="00D92A86">
        <w:rPr>
          <w:rFonts w:ascii="Arial" w:hAnsi="Arial" w:cs="Arial"/>
          <w:color w:val="000000"/>
          <w:sz w:val="22"/>
          <w:szCs w:val="22"/>
        </w:rPr>
        <w:t xml:space="preserve">Census data </w:t>
      </w:r>
      <w:r w:rsidRPr="00D92A86">
        <w:rPr>
          <w:rFonts w:ascii="Arial" w:hAnsi="Arial" w:cs="Arial"/>
          <w:color w:val="000000"/>
          <w:sz w:val="22"/>
          <w:szCs w:val="22"/>
        </w:rPr>
        <w:t>(see ABS Cat.</w:t>
      </w:r>
      <w:r w:rsidR="0005744B" w:rsidRPr="00D92A86">
        <w:rPr>
          <w:rFonts w:ascii="Arial" w:hAnsi="Arial" w:cs="Arial"/>
          <w:color w:val="000000"/>
          <w:sz w:val="22"/>
          <w:szCs w:val="22"/>
        </w:rPr>
        <w:t xml:space="preserve"> No.</w:t>
      </w:r>
      <w:r w:rsidRPr="00D92A86">
        <w:rPr>
          <w:rFonts w:ascii="Arial" w:hAnsi="Arial" w:cs="Arial"/>
          <w:color w:val="000000"/>
          <w:sz w:val="22"/>
          <w:szCs w:val="22"/>
        </w:rPr>
        <w:t>3101.0 - Australian Demographic Statistics March</w:t>
      </w:r>
      <w:r w:rsidR="00E16FBB">
        <w:rPr>
          <w:rFonts w:ascii="Arial" w:hAnsi="Arial" w:cs="Arial"/>
          <w:color w:val="000000"/>
          <w:sz w:val="22"/>
          <w:szCs w:val="22"/>
        </w:rPr>
        <w:t> </w:t>
      </w:r>
      <w:r w:rsidRPr="00D92A86">
        <w:rPr>
          <w:rFonts w:ascii="Arial" w:hAnsi="Arial" w:cs="Arial"/>
          <w:color w:val="000000"/>
          <w:sz w:val="22"/>
          <w:szCs w:val="22"/>
        </w:rPr>
        <w:t xml:space="preserve">2012, citing the prevalence of age heaping in the NT). </w:t>
      </w:r>
    </w:p>
    <w:p w:rsidR="00A35AF3" w:rsidRPr="00D92A86" w:rsidRDefault="00A35AF3" w:rsidP="00D92A86">
      <w:pPr>
        <w:spacing w:before="240" w:after="160" w:line="240" w:lineRule="atLeast"/>
        <w:rPr>
          <w:rFonts w:ascii="Arial" w:hAnsi="Arial" w:cs="Arial"/>
          <w:b/>
          <w:color w:val="000000"/>
          <w:sz w:val="28"/>
          <w:szCs w:val="28"/>
        </w:rPr>
      </w:pPr>
      <w:r w:rsidRPr="00D92A86">
        <w:rPr>
          <w:rFonts w:ascii="Arial" w:hAnsi="Arial" w:cs="Arial"/>
          <w:b/>
          <w:color w:val="000000"/>
          <w:sz w:val="28"/>
          <w:szCs w:val="28"/>
        </w:rPr>
        <w:t>NTPOP Projection of Cohort Births</w:t>
      </w:r>
    </w:p>
    <w:p w:rsidR="00F63A03" w:rsidRPr="00D92A86" w:rsidRDefault="00F63A03" w:rsidP="00D92A86">
      <w:pPr>
        <w:spacing w:after="160" w:line="240" w:lineRule="atLeast"/>
        <w:rPr>
          <w:rFonts w:ascii="Arial" w:hAnsi="Arial" w:cs="Arial"/>
          <w:color w:val="000000"/>
          <w:sz w:val="22"/>
          <w:szCs w:val="22"/>
        </w:rPr>
      </w:pPr>
      <w:r w:rsidRPr="00D92A86">
        <w:rPr>
          <w:rFonts w:ascii="Arial" w:hAnsi="Arial" w:cs="Arial"/>
          <w:color w:val="000000"/>
          <w:sz w:val="22"/>
          <w:szCs w:val="22"/>
        </w:rPr>
        <w:t>The projection of cohorts born in each projection interval is performed in a three step process.</w:t>
      </w:r>
    </w:p>
    <w:p w:rsidR="00F63A03" w:rsidRPr="00D92A86" w:rsidRDefault="00F63A03" w:rsidP="006F0D77">
      <w:pPr>
        <w:spacing w:after="160" w:line="240" w:lineRule="atLeast"/>
        <w:ind w:left="426" w:hanging="426"/>
        <w:rPr>
          <w:rFonts w:ascii="Arial" w:hAnsi="Arial" w:cs="Arial"/>
          <w:color w:val="000000"/>
          <w:sz w:val="22"/>
          <w:szCs w:val="22"/>
        </w:rPr>
      </w:pPr>
      <w:r w:rsidRPr="00D92A86">
        <w:rPr>
          <w:rFonts w:ascii="Arial" w:hAnsi="Arial" w:cs="Arial"/>
          <w:color w:val="000000"/>
          <w:sz w:val="22"/>
          <w:szCs w:val="22"/>
        </w:rPr>
        <w:t>1.</w:t>
      </w:r>
      <w:r w:rsidR="006F0D77">
        <w:rPr>
          <w:rFonts w:ascii="Arial" w:hAnsi="Arial" w:cs="Arial"/>
          <w:color w:val="000000"/>
          <w:sz w:val="22"/>
          <w:szCs w:val="22"/>
        </w:rPr>
        <w:tab/>
      </w:r>
      <w:r w:rsidRPr="00D92A86">
        <w:rPr>
          <w:rFonts w:ascii="Arial" w:hAnsi="Arial" w:cs="Arial"/>
          <w:color w:val="000000"/>
          <w:sz w:val="22"/>
          <w:szCs w:val="22"/>
        </w:rPr>
        <w:t>The number of babies born by Indigenous status of mother is projected by multiplying age-specific fertility rates by the female population in each single-year age group from 15 to 49</w:t>
      </w:r>
      <w:r w:rsidR="008343CE" w:rsidRPr="00D92A86">
        <w:rPr>
          <w:rFonts w:ascii="Arial" w:hAnsi="Arial" w:cs="Arial"/>
          <w:color w:val="000000"/>
          <w:sz w:val="22"/>
          <w:szCs w:val="22"/>
        </w:rPr>
        <w:t> years</w:t>
      </w:r>
      <w:r w:rsidRPr="00D92A86">
        <w:rPr>
          <w:rFonts w:ascii="Arial" w:hAnsi="Arial" w:cs="Arial"/>
          <w:color w:val="000000"/>
          <w:sz w:val="22"/>
          <w:szCs w:val="22"/>
        </w:rPr>
        <w:t>. This gives projected births to Indigenous mothers and non-Indigenous mothers.</w:t>
      </w:r>
    </w:p>
    <w:p w:rsidR="00F63A03" w:rsidRPr="00D92A86" w:rsidRDefault="006F0D77" w:rsidP="006F0D77">
      <w:pPr>
        <w:spacing w:after="160" w:line="240" w:lineRule="atLeast"/>
        <w:ind w:left="426" w:hanging="426"/>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r>
      <w:r w:rsidR="00F63A03" w:rsidRPr="00D92A86">
        <w:rPr>
          <w:rFonts w:ascii="Arial" w:hAnsi="Arial" w:cs="Arial"/>
          <w:color w:val="000000"/>
          <w:sz w:val="22"/>
          <w:szCs w:val="22"/>
        </w:rPr>
        <w:t>Births to these two groups of mothers are then cross-classified by the Indigenous status of the infant, giving rise to a four-fold classification of infants:</w:t>
      </w:r>
    </w:p>
    <w:p w:rsidR="00F63A03" w:rsidRPr="00184E4E" w:rsidRDefault="00F63A03" w:rsidP="004744D2">
      <w:pPr>
        <w:numPr>
          <w:ilvl w:val="0"/>
          <w:numId w:val="21"/>
        </w:numPr>
        <w:tabs>
          <w:tab w:val="left" w:pos="851"/>
        </w:tabs>
        <w:autoSpaceDE w:val="0"/>
        <w:autoSpaceDN w:val="0"/>
        <w:adjustRightInd w:val="0"/>
        <w:spacing w:after="120"/>
        <w:ind w:left="851" w:hanging="425"/>
        <w:rPr>
          <w:rFonts w:ascii="Arial" w:hAnsi="Arial" w:cs="Arial"/>
          <w:sz w:val="22"/>
          <w:szCs w:val="22"/>
        </w:rPr>
      </w:pPr>
      <w:r w:rsidRPr="00184E4E">
        <w:rPr>
          <w:rFonts w:ascii="Arial" w:hAnsi="Arial" w:cs="Arial"/>
          <w:sz w:val="22"/>
          <w:szCs w:val="22"/>
        </w:rPr>
        <w:t>Indigenous births to Indigenous mothers;</w:t>
      </w:r>
    </w:p>
    <w:p w:rsidR="00F63A03" w:rsidRPr="00184E4E" w:rsidRDefault="00F63A03" w:rsidP="004744D2">
      <w:pPr>
        <w:numPr>
          <w:ilvl w:val="0"/>
          <w:numId w:val="21"/>
        </w:numPr>
        <w:tabs>
          <w:tab w:val="left" w:pos="851"/>
        </w:tabs>
        <w:autoSpaceDE w:val="0"/>
        <w:autoSpaceDN w:val="0"/>
        <w:adjustRightInd w:val="0"/>
        <w:spacing w:after="120"/>
        <w:ind w:left="851" w:hanging="425"/>
        <w:rPr>
          <w:rFonts w:ascii="Arial" w:hAnsi="Arial" w:cs="Arial"/>
          <w:sz w:val="22"/>
          <w:szCs w:val="22"/>
        </w:rPr>
      </w:pPr>
      <w:r w:rsidRPr="00184E4E">
        <w:rPr>
          <w:rFonts w:ascii="Arial" w:hAnsi="Arial" w:cs="Arial"/>
          <w:sz w:val="22"/>
          <w:szCs w:val="22"/>
        </w:rPr>
        <w:t>non-Indigenous births to Indigenous mothers;</w:t>
      </w:r>
    </w:p>
    <w:p w:rsidR="00F63A03" w:rsidRPr="00184E4E" w:rsidRDefault="00F63A03" w:rsidP="004744D2">
      <w:pPr>
        <w:numPr>
          <w:ilvl w:val="0"/>
          <w:numId w:val="21"/>
        </w:numPr>
        <w:tabs>
          <w:tab w:val="left" w:pos="851"/>
        </w:tabs>
        <w:autoSpaceDE w:val="0"/>
        <w:autoSpaceDN w:val="0"/>
        <w:adjustRightInd w:val="0"/>
        <w:spacing w:after="120"/>
        <w:ind w:left="851" w:hanging="425"/>
        <w:rPr>
          <w:rFonts w:ascii="Arial" w:hAnsi="Arial" w:cs="Arial"/>
          <w:sz w:val="22"/>
          <w:szCs w:val="22"/>
        </w:rPr>
      </w:pPr>
      <w:r w:rsidRPr="00184E4E">
        <w:rPr>
          <w:rFonts w:ascii="Arial" w:hAnsi="Arial" w:cs="Arial"/>
          <w:sz w:val="22"/>
          <w:szCs w:val="22"/>
        </w:rPr>
        <w:t>Indigenous births to non-Indigenous mothers; and</w:t>
      </w:r>
    </w:p>
    <w:p w:rsidR="00F63A03" w:rsidRPr="00184E4E" w:rsidRDefault="00F63A03" w:rsidP="004744D2">
      <w:pPr>
        <w:numPr>
          <w:ilvl w:val="0"/>
          <w:numId w:val="21"/>
        </w:numPr>
        <w:tabs>
          <w:tab w:val="left" w:pos="851"/>
        </w:tabs>
        <w:autoSpaceDE w:val="0"/>
        <w:autoSpaceDN w:val="0"/>
        <w:adjustRightInd w:val="0"/>
        <w:spacing w:after="120"/>
        <w:ind w:left="851" w:hanging="425"/>
        <w:rPr>
          <w:rFonts w:ascii="Arial" w:hAnsi="Arial" w:cs="Arial"/>
          <w:sz w:val="22"/>
          <w:szCs w:val="22"/>
        </w:rPr>
      </w:pPr>
      <w:r w:rsidRPr="00184E4E">
        <w:rPr>
          <w:rFonts w:ascii="Arial" w:hAnsi="Arial" w:cs="Arial"/>
          <w:sz w:val="22"/>
          <w:szCs w:val="22"/>
        </w:rPr>
        <w:t>non-Indigenous births to non-Indigenous mothers.</w:t>
      </w:r>
    </w:p>
    <w:p w:rsidR="00F63A03" w:rsidRPr="00D92A86" w:rsidRDefault="00F63A03" w:rsidP="004744D2">
      <w:pPr>
        <w:autoSpaceDE w:val="0"/>
        <w:autoSpaceDN w:val="0"/>
        <w:adjustRightInd w:val="0"/>
        <w:spacing w:after="120"/>
        <w:ind w:left="360" w:firstLine="66"/>
        <w:rPr>
          <w:rFonts w:ascii="Arial" w:hAnsi="Arial" w:cs="Arial"/>
          <w:color w:val="000000"/>
          <w:sz w:val="22"/>
          <w:szCs w:val="22"/>
        </w:rPr>
      </w:pPr>
      <w:r w:rsidRPr="00184E4E">
        <w:rPr>
          <w:rFonts w:ascii="Arial" w:hAnsi="Arial" w:cs="Arial"/>
          <w:sz w:val="22"/>
          <w:szCs w:val="22"/>
        </w:rPr>
        <w:t>Babies in groups (a) and (c) are then grouped as Indigenous births;</w:t>
      </w:r>
      <w:r w:rsidR="004744D2">
        <w:rPr>
          <w:rFonts w:ascii="Arial" w:hAnsi="Arial" w:cs="Arial"/>
          <w:sz w:val="22"/>
          <w:szCs w:val="22"/>
        </w:rPr>
        <w:br/>
      </w:r>
      <w:r w:rsidRPr="00D92A86">
        <w:rPr>
          <w:rFonts w:ascii="Arial" w:hAnsi="Arial" w:cs="Arial"/>
          <w:color w:val="000000"/>
          <w:sz w:val="22"/>
          <w:szCs w:val="22"/>
        </w:rPr>
        <w:t>(b) and (d) as non-Indigenous births.</w:t>
      </w:r>
    </w:p>
    <w:p w:rsidR="00F63A03" w:rsidRPr="00D92A86" w:rsidRDefault="006F0D77" w:rsidP="006F0D77">
      <w:pPr>
        <w:spacing w:after="160" w:line="240" w:lineRule="atLeast"/>
        <w:ind w:left="426" w:hanging="426"/>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r>
      <w:r w:rsidR="00F63A03" w:rsidRPr="00D92A86">
        <w:rPr>
          <w:rFonts w:ascii="Arial" w:hAnsi="Arial" w:cs="Arial"/>
          <w:color w:val="000000"/>
          <w:sz w:val="22"/>
          <w:szCs w:val="22"/>
        </w:rPr>
        <w:t xml:space="preserve">The resulting Indigenous and non-Indigenous infant cohorts then have various components of change added or subtracted in the same manner as for other cohorts. The previous accounting equation is modified slightly, with </w:t>
      </w:r>
      <w:r w:rsidR="005C2937" w:rsidRPr="00D92A86">
        <w:rPr>
          <w:rFonts w:ascii="Arial" w:hAnsi="Arial" w:cs="Arial"/>
          <w:color w:val="000000"/>
          <w:sz w:val="22"/>
          <w:szCs w:val="22"/>
        </w:rPr>
        <w:t xml:space="preserve">births </w:t>
      </w:r>
      <w:r w:rsidR="00F63A03" w:rsidRPr="00D92A86">
        <w:rPr>
          <w:rFonts w:ascii="Arial" w:hAnsi="Arial" w:cs="Arial"/>
          <w:color w:val="000000"/>
          <w:sz w:val="22"/>
          <w:szCs w:val="22"/>
        </w:rPr>
        <w:t>replacing the start</w:t>
      </w:r>
      <w:r w:rsidR="00E16FBB">
        <w:rPr>
          <w:rFonts w:ascii="Arial" w:hAnsi="Arial" w:cs="Arial"/>
          <w:color w:val="000000"/>
          <w:sz w:val="22"/>
          <w:szCs w:val="22"/>
        </w:rPr>
        <w:noBreakHyphen/>
      </w:r>
      <w:r w:rsidR="00F63A03" w:rsidRPr="00D92A86">
        <w:rPr>
          <w:rFonts w:ascii="Arial" w:hAnsi="Arial" w:cs="Arial"/>
          <w:color w:val="000000"/>
          <w:sz w:val="22"/>
          <w:szCs w:val="22"/>
        </w:rPr>
        <w:t>of</w:t>
      </w:r>
      <w:r w:rsidR="00E16FBB">
        <w:rPr>
          <w:rFonts w:ascii="Arial" w:hAnsi="Arial" w:cs="Arial"/>
          <w:color w:val="000000"/>
          <w:sz w:val="22"/>
          <w:szCs w:val="22"/>
        </w:rPr>
        <w:noBreakHyphen/>
      </w:r>
      <w:r w:rsidR="00F63A03" w:rsidRPr="00D92A86">
        <w:rPr>
          <w:rFonts w:ascii="Arial" w:hAnsi="Arial" w:cs="Arial"/>
          <w:color w:val="000000"/>
          <w:sz w:val="22"/>
          <w:szCs w:val="22"/>
        </w:rPr>
        <w:t xml:space="preserve">year </w:t>
      </w:r>
      <w:r w:rsidR="005C2937" w:rsidRPr="00D92A86">
        <w:rPr>
          <w:rFonts w:ascii="Arial" w:hAnsi="Arial" w:cs="Arial"/>
          <w:color w:val="000000"/>
          <w:sz w:val="22"/>
          <w:szCs w:val="22"/>
        </w:rPr>
        <w:t>population</w:t>
      </w:r>
      <w:r w:rsidR="00F63A03" w:rsidRPr="00D92A86">
        <w:rPr>
          <w:rFonts w:ascii="Arial" w:hAnsi="Arial" w:cs="Arial"/>
          <w:color w:val="000000"/>
          <w:sz w:val="22"/>
          <w:szCs w:val="22"/>
        </w:rPr>
        <w:t>.</w:t>
      </w:r>
    </w:p>
    <w:p w:rsidR="00F63A03" w:rsidRPr="00D92A86" w:rsidRDefault="00F63A03" w:rsidP="00D92A86">
      <w:pPr>
        <w:spacing w:before="240" w:after="160" w:line="240" w:lineRule="atLeast"/>
        <w:rPr>
          <w:rFonts w:ascii="Arial" w:hAnsi="Arial" w:cs="Arial"/>
          <w:b/>
          <w:color w:val="000000"/>
          <w:sz w:val="28"/>
          <w:szCs w:val="28"/>
        </w:rPr>
      </w:pPr>
      <w:r w:rsidRPr="00D92A86">
        <w:rPr>
          <w:rFonts w:ascii="Arial" w:hAnsi="Arial" w:cs="Arial"/>
          <w:b/>
          <w:color w:val="000000"/>
          <w:sz w:val="28"/>
          <w:szCs w:val="28"/>
        </w:rPr>
        <w:t>Geography</w:t>
      </w:r>
    </w:p>
    <w:p w:rsidR="00F63A03" w:rsidRPr="00184E4E" w:rsidRDefault="00F63A03" w:rsidP="00F63A03">
      <w:pPr>
        <w:autoSpaceDE w:val="0"/>
        <w:autoSpaceDN w:val="0"/>
        <w:adjustRightInd w:val="0"/>
        <w:spacing w:after="120"/>
        <w:rPr>
          <w:rFonts w:ascii="Arial" w:hAnsi="Arial" w:cs="Arial"/>
          <w:sz w:val="22"/>
          <w:szCs w:val="22"/>
        </w:rPr>
      </w:pPr>
      <w:r w:rsidRPr="00184E4E">
        <w:rPr>
          <w:rFonts w:ascii="Arial" w:hAnsi="Arial" w:cs="Arial"/>
          <w:sz w:val="22"/>
          <w:szCs w:val="22"/>
        </w:rPr>
        <w:t xml:space="preserve">The projection model considers </w:t>
      </w:r>
      <w:smartTag w:uri="urn:schemas-microsoft-com:office:smarttags" w:element="country-region">
        <w:r w:rsidRPr="00184E4E">
          <w:rPr>
            <w:rFonts w:ascii="Arial" w:hAnsi="Arial" w:cs="Arial"/>
            <w:sz w:val="22"/>
            <w:szCs w:val="22"/>
          </w:rPr>
          <w:t>Australia</w:t>
        </w:r>
      </w:smartTag>
      <w:r w:rsidRPr="00184E4E">
        <w:rPr>
          <w:rFonts w:ascii="Arial" w:hAnsi="Arial" w:cs="Arial"/>
          <w:sz w:val="22"/>
          <w:szCs w:val="22"/>
        </w:rPr>
        <w:t xml:space="preserve"> to be divided into two geographic regions, </w:t>
      </w:r>
      <w:smartTag w:uri="urn:schemas-microsoft-com:office:smarttags" w:element="State">
        <w:r w:rsidRPr="00184E4E">
          <w:rPr>
            <w:rFonts w:ascii="Arial" w:hAnsi="Arial" w:cs="Arial"/>
            <w:sz w:val="22"/>
            <w:szCs w:val="22"/>
          </w:rPr>
          <w:t>Northern</w:t>
        </w:r>
        <w:r w:rsidR="008343CE" w:rsidRPr="00184E4E">
          <w:rPr>
            <w:rFonts w:ascii="Arial" w:hAnsi="Arial" w:cs="Arial"/>
            <w:sz w:val="22"/>
            <w:szCs w:val="22"/>
          </w:rPr>
          <w:t> </w:t>
        </w:r>
        <w:r w:rsidRPr="00184E4E">
          <w:rPr>
            <w:rFonts w:ascii="Arial" w:hAnsi="Arial" w:cs="Arial"/>
            <w:sz w:val="22"/>
            <w:szCs w:val="22"/>
          </w:rPr>
          <w:t>Territory</w:t>
        </w:r>
      </w:smartTag>
      <w:r w:rsidRPr="00184E4E">
        <w:rPr>
          <w:rFonts w:ascii="Arial" w:hAnsi="Arial" w:cs="Arial"/>
          <w:sz w:val="22"/>
          <w:szCs w:val="22"/>
        </w:rPr>
        <w:t xml:space="preserve"> and ‘rest of </w:t>
      </w:r>
      <w:smartTag w:uri="urn:schemas-microsoft-com:office:smarttags" w:element="country-region">
        <w:smartTag w:uri="urn:schemas-microsoft-com:office:smarttags" w:element="place">
          <w:r w:rsidRPr="00184E4E">
            <w:rPr>
              <w:rFonts w:ascii="Arial" w:hAnsi="Arial" w:cs="Arial"/>
              <w:sz w:val="22"/>
              <w:szCs w:val="22"/>
            </w:rPr>
            <w:t>Australia</w:t>
          </w:r>
        </w:smartTag>
      </w:smartTag>
      <w:r w:rsidRPr="00184E4E">
        <w:rPr>
          <w:rFonts w:ascii="Arial" w:hAnsi="Arial" w:cs="Arial"/>
          <w:sz w:val="22"/>
          <w:szCs w:val="22"/>
        </w:rPr>
        <w:t xml:space="preserve">’. Migration between the two geographic regions is allowed, as is migration into and out of </w:t>
      </w:r>
      <w:smartTag w:uri="urn:schemas-microsoft-com:office:smarttags" w:element="country-region">
        <w:smartTag w:uri="urn:schemas-microsoft-com:office:smarttags" w:element="place">
          <w:r w:rsidRPr="00184E4E">
            <w:rPr>
              <w:rFonts w:ascii="Arial" w:hAnsi="Arial" w:cs="Arial"/>
              <w:sz w:val="22"/>
              <w:szCs w:val="22"/>
            </w:rPr>
            <w:t>Australia</w:t>
          </w:r>
        </w:smartTag>
      </w:smartTag>
      <w:r w:rsidRPr="00184E4E">
        <w:rPr>
          <w:rFonts w:ascii="Arial" w:hAnsi="Arial" w:cs="Arial"/>
          <w:sz w:val="22"/>
          <w:szCs w:val="22"/>
        </w:rPr>
        <w:t xml:space="preserve"> through either of the regions. Within the </w:t>
      </w:r>
      <w:smartTag w:uri="urn:schemas-microsoft-com:office:smarttags" w:element="State">
        <w:r w:rsidRPr="00184E4E">
          <w:rPr>
            <w:rFonts w:ascii="Arial" w:hAnsi="Arial" w:cs="Arial"/>
            <w:sz w:val="22"/>
            <w:szCs w:val="22"/>
          </w:rPr>
          <w:t>Northern</w:t>
        </w:r>
        <w:r w:rsidR="008343CE" w:rsidRPr="00184E4E">
          <w:rPr>
            <w:rFonts w:ascii="Arial" w:hAnsi="Arial" w:cs="Arial"/>
            <w:sz w:val="22"/>
            <w:szCs w:val="22"/>
          </w:rPr>
          <w:t> </w:t>
        </w:r>
        <w:r w:rsidRPr="00184E4E">
          <w:rPr>
            <w:rFonts w:ascii="Arial" w:hAnsi="Arial" w:cs="Arial"/>
            <w:sz w:val="22"/>
            <w:szCs w:val="22"/>
          </w:rPr>
          <w:t>Territory</w:t>
        </w:r>
      </w:smartTag>
      <w:r w:rsidRPr="00184E4E">
        <w:rPr>
          <w:rFonts w:ascii="Arial" w:hAnsi="Arial" w:cs="Arial"/>
          <w:sz w:val="22"/>
          <w:szCs w:val="22"/>
        </w:rPr>
        <w:t xml:space="preserve">, migration is allowed between the regions, as well as to and from the rest of </w:t>
      </w:r>
      <w:smartTag w:uri="urn:schemas-microsoft-com:office:smarttags" w:element="country-region">
        <w:smartTag w:uri="urn:schemas-microsoft-com:office:smarttags" w:element="place">
          <w:r w:rsidRPr="00184E4E">
            <w:rPr>
              <w:rFonts w:ascii="Arial" w:hAnsi="Arial" w:cs="Arial"/>
              <w:sz w:val="22"/>
              <w:szCs w:val="22"/>
            </w:rPr>
            <w:t>Australia</w:t>
          </w:r>
        </w:smartTag>
      </w:smartTag>
      <w:r w:rsidRPr="00184E4E">
        <w:rPr>
          <w:rFonts w:ascii="Arial" w:hAnsi="Arial" w:cs="Arial"/>
          <w:sz w:val="22"/>
          <w:szCs w:val="22"/>
        </w:rPr>
        <w:t xml:space="preserve"> and overseas.</w:t>
      </w:r>
    </w:p>
    <w:p w:rsidR="00D05AD2" w:rsidRDefault="00D05AD2" w:rsidP="00FF1E3D">
      <w:pPr>
        <w:autoSpaceDE w:val="0"/>
        <w:autoSpaceDN w:val="0"/>
        <w:adjustRightInd w:val="0"/>
        <w:spacing w:after="120"/>
        <w:rPr>
          <w:rFonts w:ascii="Arial" w:hAnsi="Arial" w:cs="Arial"/>
          <w:b/>
          <w:sz w:val="24"/>
          <w:szCs w:val="24"/>
        </w:rPr>
      </w:pPr>
    </w:p>
    <w:p w:rsidR="00FF1E3D" w:rsidRPr="00D92A86" w:rsidRDefault="00836785" w:rsidP="00D92A86">
      <w:pPr>
        <w:spacing w:before="240" w:after="160" w:line="240" w:lineRule="atLeast"/>
        <w:rPr>
          <w:rFonts w:ascii="Arial" w:hAnsi="Arial" w:cs="Arial"/>
          <w:b/>
          <w:color w:val="000000"/>
          <w:sz w:val="28"/>
          <w:szCs w:val="28"/>
        </w:rPr>
      </w:pPr>
      <w:r>
        <w:rPr>
          <w:rFonts w:ascii="Arial" w:hAnsi="Arial" w:cs="Arial"/>
          <w:b/>
          <w:sz w:val="24"/>
          <w:szCs w:val="24"/>
        </w:rPr>
        <w:br w:type="page"/>
      </w:r>
      <w:r w:rsidR="00FF1E3D" w:rsidRPr="00D92A86">
        <w:rPr>
          <w:rFonts w:ascii="Arial" w:hAnsi="Arial" w:cs="Arial"/>
          <w:b/>
          <w:color w:val="000000"/>
          <w:sz w:val="28"/>
          <w:szCs w:val="28"/>
        </w:rPr>
        <w:t>Parameter Setting</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The model splits all demographic rates into two parts: a summary indicator and an age profile. For the fertility component for example, initially the user needs to set the total fertility rate (TFR) and a fertility age profile for each population group. The fertility age profile consists of age-specific fertility rates. Once the fertility age profile has been set, it does not need to be changed again for the life of the model unless new information comes to light that warrants this. The TFR however can be easily changed allowing different scenarios to be explored.</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A similar split into age profile and summary indicator is used for all the other components of growth.</w:t>
      </w:r>
    </w:p>
    <w:p w:rsidR="00FF1E3D" w:rsidRPr="00D92A86" w:rsidRDefault="00FF1E3D" w:rsidP="00D92A86">
      <w:pPr>
        <w:spacing w:before="240" w:after="160" w:line="240" w:lineRule="atLeast"/>
        <w:rPr>
          <w:rFonts w:ascii="Arial" w:hAnsi="Arial" w:cs="Arial"/>
          <w:b/>
          <w:color w:val="000000"/>
          <w:sz w:val="28"/>
          <w:szCs w:val="28"/>
        </w:rPr>
      </w:pPr>
      <w:r w:rsidRPr="00D92A86">
        <w:rPr>
          <w:rFonts w:ascii="Arial" w:hAnsi="Arial" w:cs="Arial"/>
          <w:b/>
          <w:color w:val="000000"/>
          <w:sz w:val="28"/>
          <w:szCs w:val="28"/>
        </w:rPr>
        <w:t>Fertility</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The model applies TFRs to four population sub</w:t>
      </w:r>
      <w:r w:rsidR="00203CCC" w:rsidRPr="00D92A86">
        <w:rPr>
          <w:rFonts w:ascii="Arial" w:hAnsi="Arial" w:cs="Arial"/>
          <w:color w:val="000000"/>
          <w:sz w:val="22"/>
          <w:szCs w:val="22"/>
        </w:rPr>
        <w:noBreakHyphen/>
      </w:r>
      <w:r w:rsidRPr="00D92A86">
        <w:rPr>
          <w:rFonts w:ascii="Arial" w:hAnsi="Arial" w:cs="Arial"/>
          <w:color w:val="000000"/>
          <w:sz w:val="22"/>
          <w:szCs w:val="22"/>
        </w:rPr>
        <w:t>groups (Territory Indigenous mothers; Territory non</w:t>
      </w:r>
      <w:r w:rsidR="0028426A" w:rsidRPr="00D92A86">
        <w:rPr>
          <w:rFonts w:ascii="Arial" w:hAnsi="Arial" w:cs="Arial"/>
          <w:color w:val="000000"/>
          <w:sz w:val="22"/>
          <w:szCs w:val="22"/>
        </w:rPr>
        <w:t>-</w:t>
      </w:r>
      <w:r w:rsidRPr="00D92A86">
        <w:rPr>
          <w:rFonts w:ascii="Arial" w:hAnsi="Arial" w:cs="Arial"/>
          <w:color w:val="000000"/>
          <w:sz w:val="22"/>
          <w:szCs w:val="22"/>
        </w:rPr>
        <w:t xml:space="preserve">Indigenous mothers; rest of Australia Indigenous mothers; rest of </w:t>
      </w:r>
      <w:smartTag w:uri="urn:schemas-microsoft-com:office:smarttags" w:element="country-region">
        <w:smartTag w:uri="urn:schemas-microsoft-com:office:smarttags" w:element="place">
          <w:r w:rsidRPr="00D92A86">
            <w:rPr>
              <w:rFonts w:ascii="Arial" w:hAnsi="Arial" w:cs="Arial"/>
              <w:color w:val="000000"/>
              <w:sz w:val="22"/>
              <w:szCs w:val="22"/>
            </w:rPr>
            <w:t>Australia</w:t>
          </w:r>
        </w:smartTag>
      </w:smartTag>
      <w:r w:rsidRPr="00D92A86">
        <w:rPr>
          <w:rFonts w:ascii="Arial" w:hAnsi="Arial" w:cs="Arial"/>
          <w:color w:val="000000"/>
          <w:sz w:val="22"/>
          <w:szCs w:val="22"/>
        </w:rPr>
        <w:t xml:space="preserve"> non-Indigenous mothers), adjusts for the percentage of Indigenous births to these mothers, and uses the age</w:t>
      </w:r>
      <w:r w:rsidR="0028426A" w:rsidRPr="00D92A86">
        <w:rPr>
          <w:rFonts w:ascii="Arial" w:hAnsi="Arial" w:cs="Arial"/>
          <w:color w:val="000000"/>
          <w:sz w:val="22"/>
          <w:szCs w:val="22"/>
        </w:rPr>
        <w:t>-</w:t>
      </w:r>
      <w:r w:rsidRPr="00D92A86">
        <w:rPr>
          <w:rFonts w:ascii="Arial" w:hAnsi="Arial" w:cs="Arial"/>
          <w:color w:val="000000"/>
          <w:sz w:val="22"/>
          <w:szCs w:val="22"/>
        </w:rPr>
        <w:t>profiles of fertility at each reproductive age to calculate age</w:t>
      </w:r>
      <w:r w:rsidR="0028426A" w:rsidRPr="00D92A86">
        <w:rPr>
          <w:rFonts w:ascii="Arial" w:hAnsi="Arial" w:cs="Arial"/>
          <w:color w:val="000000"/>
          <w:sz w:val="22"/>
          <w:szCs w:val="22"/>
        </w:rPr>
        <w:t>-</w:t>
      </w:r>
      <w:r w:rsidRPr="00D92A86">
        <w:rPr>
          <w:rFonts w:ascii="Arial" w:hAnsi="Arial" w:cs="Arial"/>
          <w:color w:val="000000"/>
          <w:sz w:val="22"/>
          <w:szCs w:val="22"/>
        </w:rPr>
        <w:t>specific fertility rates. The projected numbers of births are then calculated by multiplying the age</w:t>
      </w:r>
      <w:r w:rsidR="0028426A" w:rsidRPr="00D92A86">
        <w:rPr>
          <w:rFonts w:ascii="Arial" w:hAnsi="Arial" w:cs="Arial"/>
          <w:color w:val="000000"/>
          <w:sz w:val="22"/>
          <w:szCs w:val="22"/>
        </w:rPr>
        <w:t>-</w:t>
      </w:r>
      <w:r w:rsidRPr="00D92A86">
        <w:rPr>
          <w:rFonts w:ascii="Arial" w:hAnsi="Arial" w:cs="Arial"/>
          <w:color w:val="000000"/>
          <w:sz w:val="22"/>
          <w:szCs w:val="22"/>
        </w:rPr>
        <w:t>specific fertility rates by the relevant populations.</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The input parameters are TFRs, sex ratios at birth, the percentage of Indigenous births, and age profiles of fertility for each of the population subgroups of mothers and for each year of the projection</w:t>
      </w:r>
      <w:r w:rsidR="008343CE" w:rsidRPr="00D92A86">
        <w:rPr>
          <w:rFonts w:ascii="Arial" w:hAnsi="Arial" w:cs="Arial"/>
          <w:color w:val="000000"/>
          <w:sz w:val="22"/>
          <w:szCs w:val="22"/>
        </w:rPr>
        <w:t>s</w:t>
      </w:r>
      <w:r w:rsidRPr="00D92A86">
        <w:rPr>
          <w:rFonts w:ascii="Arial" w:hAnsi="Arial" w:cs="Arial"/>
          <w:color w:val="000000"/>
          <w:sz w:val="22"/>
          <w:szCs w:val="22"/>
        </w:rPr>
        <w:t>.</w:t>
      </w:r>
    </w:p>
    <w:p w:rsidR="00FF1E3D" w:rsidRPr="00D92A86" w:rsidRDefault="00FF1E3D" w:rsidP="00D92A86">
      <w:pPr>
        <w:spacing w:before="240" w:after="160" w:line="240" w:lineRule="atLeast"/>
        <w:rPr>
          <w:rFonts w:ascii="Arial" w:hAnsi="Arial" w:cs="Arial"/>
          <w:b/>
          <w:color w:val="000000"/>
          <w:sz w:val="28"/>
          <w:szCs w:val="28"/>
        </w:rPr>
      </w:pPr>
      <w:r w:rsidRPr="00D92A86">
        <w:rPr>
          <w:rFonts w:ascii="Arial" w:hAnsi="Arial" w:cs="Arial"/>
          <w:b/>
          <w:color w:val="000000"/>
          <w:sz w:val="28"/>
          <w:szCs w:val="28"/>
        </w:rPr>
        <w:t>Mortality</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The model uses life expectancies at birth for eight population sub-groups (Territory Indigenous males; Territory Indigenous females; Territory non</w:t>
      </w:r>
      <w:r w:rsidR="0028426A" w:rsidRPr="00D92A86">
        <w:rPr>
          <w:rFonts w:ascii="Arial" w:hAnsi="Arial" w:cs="Arial"/>
          <w:color w:val="000000"/>
          <w:sz w:val="22"/>
          <w:szCs w:val="22"/>
        </w:rPr>
        <w:t>-</w:t>
      </w:r>
      <w:r w:rsidRPr="00D92A86">
        <w:rPr>
          <w:rFonts w:ascii="Arial" w:hAnsi="Arial" w:cs="Arial"/>
          <w:color w:val="000000"/>
          <w:sz w:val="22"/>
          <w:szCs w:val="22"/>
        </w:rPr>
        <w:t>Indigenous males; Territory non</w:t>
      </w:r>
      <w:r w:rsidR="00BF5D0B" w:rsidRPr="00D92A86">
        <w:rPr>
          <w:rFonts w:ascii="Arial" w:hAnsi="Arial" w:cs="Arial"/>
          <w:color w:val="000000"/>
          <w:sz w:val="22"/>
          <w:szCs w:val="22"/>
        </w:rPr>
        <w:t>-</w:t>
      </w:r>
      <w:r w:rsidRPr="00D92A86">
        <w:rPr>
          <w:rFonts w:ascii="Arial" w:hAnsi="Arial" w:cs="Arial"/>
          <w:color w:val="000000"/>
          <w:sz w:val="22"/>
          <w:szCs w:val="22"/>
        </w:rPr>
        <w:t>Indigenous females, rest of Australia Indigenous males; rest of Australia Indigenous females; rest of Australia non-Indigenous males; rest of Australia non</w:t>
      </w:r>
      <w:r w:rsidR="0028426A" w:rsidRPr="00D92A86">
        <w:rPr>
          <w:rFonts w:ascii="Arial" w:hAnsi="Arial" w:cs="Arial"/>
          <w:color w:val="000000"/>
          <w:sz w:val="22"/>
          <w:szCs w:val="22"/>
        </w:rPr>
        <w:t>-</w:t>
      </w:r>
      <w:r w:rsidRPr="00D92A86">
        <w:rPr>
          <w:rFonts w:ascii="Arial" w:hAnsi="Arial" w:cs="Arial"/>
          <w:color w:val="000000"/>
          <w:sz w:val="22"/>
          <w:szCs w:val="22"/>
        </w:rPr>
        <w:t>Indigenous females) and age</w:t>
      </w:r>
      <w:r w:rsidR="0028426A" w:rsidRPr="00D92A86">
        <w:rPr>
          <w:rFonts w:ascii="Arial" w:hAnsi="Arial" w:cs="Arial"/>
          <w:color w:val="000000"/>
          <w:sz w:val="22"/>
          <w:szCs w:val="22"/>
        </w:rPr>
        <w:t>-</w:t>
      </w:r>
      <w:r w:rsidRPr="00D92A86">
        <w:rPr>
          <w:rFonts w:ascii="Arial" w:hAnsi="Arial" w:cs="Arial"/>
          <w:color w:val="000000"/>
          <w:sz w:val="22"/>
          <w:szCs w:val="22"/>
        </w:rPr>
        <w:t>specific death rates (ASDRs) to calculate numbers of deaths for each of the groups for each year of the projection</w:t>
      </w:r>
      <w:r w:rsidR="008343CE" w:rsidRPr="00D92A86">
        <w:rPr>
          <w:rFonts w:ascii="Arial" w:hAnsi="Arial" w:cs="Arial"/>
          <w:color w:val="000000"/>
          <w:sz w:val="22"/>
          <w:szCs w:val="22"/>
        </w:rPr>
        <w:t>s</w:t>
      </w:r>
      <w:r w:rsidRPr="00D92A86">
        <w:rPr>
          <w:rFonts w:ascii="Arial" w:hAnsi="Arial" w:cs="Arial"/>
          <w:color w:val="000000"/>
          <w:sz w:val="22"/>
          <w:szCs w:val="22"/>
        </w:rPr>
        <w:t>.</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Inputs are the life expectancies at birth and ASDRs for the eight groups for each year of the projection</w:t>
      </w:r>
      <w:r w:rsidR="008343CE" w:rsidRPr="00D92A86">
        <w:rPr>
          <w:rFonts w:ascii="Arial" w:hAnsi="Arial" w:cs="Arial"/>
          <w:color w:val="000000"/>
          <w:sz w:val="22"/>
          <w:szCs w:val="22"/>
        </w:rPr>
        <w:t>s</w:t>
      </w:r>
      <w:r w:rsidRPr="00D92A86">
        <w:rPr>
          <w:rFonts w:ascii="Arial" w:hAnsi="Arial" w:cs="Arial"/>
          <w:color w:val="000000"/>
          <w:sz w:val="22"/>
          <w:szCs w:val="22"/>
        </w:rPr>
        <w:t>.</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 xml:space="preserve">Different mortality scenarios can be explored by changing the life expectancy at birth </w:t>
      </w:r>
      <w:r w:rsidR="00A27C92" w:rsidRPr="00D92A86">
        <w:rPr>
          <w:rFonts w:ascii="Arial" w:hAnsi="Arial" w:cs="Arial"/>
          <w:color w:val="000000"/>
          <w:sz w:val="22"/>
          <w:szCs w:val="22"/>
        </w:rPr>
        <w:t>estimates</w:t>
      </w:r>
      <w:r w:rsidRPr="00D92A86">
        <w:rPr>
          <w:rFonts w:ascii="Arial" w:hAnsi="Arial" w:cs="Arial"/>
          <w:color w:val="000000"/>
          <w:sz w:val="22"/>
          <w:szCs w:val="22"/>
        </w:rPr>
        <w:t>.</w:t>
      </w:r>
    </w:p>
    <w:p w:rsidR="00FF1E3D" w:rsidRPr="00D92A86" w:rsidRDefault="00FF1E3D" w:rsidP="00D92A86">
      <w:pPr>
        <w:spacing w:before="240" w:after="160" w:line="240" w:lineRule="atLeast"/>
        <w:rPr>
          <w:rFonts w:ascii="Arial" w:hAnsi="Arial" w:cs="Arial"/>
          <w:b/>
          <w:color w:val="000000"/>
          <w:sz w:val="28"/>
          <w:szCs w:val="28"/>
        </w:rPr>
      </w:pPr>
      <w:r w:rsidRPr="00D92A86">
        <w:rPr>
          <w:rFonts w:ascii="Arial" w:hAnsi="Arial" w:cs="Arial"/>
          <w:b/>
          <w:color w:val="000000"/>
          <w:sz w:val="28"/>
          <w:szCs w:val="28"/>
        </w:rPr>
        <w:t>Interstate Migration</w:t>
      </w:r>
    </w:p>
    <w:p w:rsidR="00FF1E3D" w:rsidRPr="00D92A86" w:rsidRDefault="00A35AF3" w:rsidP="00D92A86">
      <w:pPr>
        <w:spacing w:after="160" w:line="240" w:lineRule="atLeast"/>
        <w:rPr>
          <w:rFonts w:ascii="Arial" w:hAnsi="Arial" w:cs="Arial"/>
          <w:color w:val="000000"/>
          <w:sz w:val="22"/>
          <w:szCs w:val="22"/>
        </w:rPr>
      </w:pPr>
      <w:r w:rsidRPr="00D92A86">
        <w:rPr>
          <w:rFonts w:ascii="Arial" w:hAnsi="Arial" w:cs="Arial"/>
          <w:color w:val="000000"/>
          <w:sz w:val="22"/>
          <w:szCs w:val="22"/>
        </w:rPr>
        <w:t>The NTPOP model calculates in-</w:t>
      </w:r>
      <w:r w:rsidR="00FF1E3D" w:rsidRPr="00D92A86">
        <w:rPr>
          <w:rFonts w:ascii="Arial" w:hAnsi="Arial" w:cs="Arial"/>
          <w:color w:val="000000"/>
          <w:sz w:val="22"/>
          <w:szCs w:val="22"/>
        </w:rPr>
        <w:t>and out</w:t>
      </w:r>
      <w:r w:rsidRPr="00D92A86">
        <w:rPr>
          <w:rFonts w:ascii="Arial" w:hAnsi="Arial" w:cs="Arial"/>
          <w:color w:val="000000"/>
          <w:sz w:val="22"/>
          <w:szCs w:val="22"/>
        </w:rPr>
        <w:t>-migration</w:t>
      </w:r>
      <w:r w:rsidR="00FF1E3D" w:rsidRPr="00D92A86">
        <w:rPr>
          <w:rFonts w:ascii="Arial" w:hAnsi="Arial" w:cs="Arial"/>
          <w:color w:val="000000"/>
          <w:sz w:val="22"/>
          <w:szCs w:val="22"/>
        </w:rPr>
        <w:t xml:space="preserve"> differently. The user defines a net interstate migration figure and an out-migration figure is added to this to obtain a total in</w:t>
      </w:r>
      <w:r w:rsidR="00D61BE0" w:rsidRPr="00D92A86">
        <w:rPr>
          <w:rFonts w:ascii="Arial" w:hAnsi="Arial" w:cs="Arial"/>
          <w:color w:val="000000"/>
          <w:sz w:val="22"/>
          <w:szCs w:val="22"/>
        </w:rPr>
        <w:noBreakHyphen/>
      </w:r>
      <w:r w:rsidR="00FF1E3D" w:rsidRPr="00D92A86">
        <w:rPr>
          <w:rFonts w:ascii="Arial" w:hAnsi="Arial" w:cs="Arial"/>
          <w:color w:val="000000"/>
          <w:sz w:val="22"/>
          <w:szCs w:val="22"/>
        </w:rPr>
        <w:t xml:space="preserve">migration figure. The out-migration figure is calculated by multiplying the Territory population by </w:t>
      </w:r>
      <w:r w:rsidRPr="00D92A86">
        <w:rPr>
          <w:rFonts w:ascii="Arial" w:hAnsi="Arial" w:cs="Arial"/>
          <w:color w:val="000000"/>
          <w:sz w:val="22"/>
          <w:szCs w:val="22"/>
        </w:rPr>
        <w:t>age</w:t>
      </w:r>
      <w:r w:rsidR="0028426A" w:rsidRPr="00D92A86">
        <w:rPr>
          <w:rFonts w:ascii="Arial" w:hAnsi="Arial" w:cs="Arial"/>
          <w:color w:val="000000"/>
          <w:sz w:val="22"/>
          <w:szCs w:val="22"/>
        </w:rPr>
        <w:t>-</w:t>
      </w:r>
      <w:r w:rsidRPr="00D92A86">
        <w:rPr>
          <w:rFonts w:ascii="Arial" w:hAnsi="Arial" w:cs="Arial"/>
          <w:color w:val="000000"/>
          <w:sz w:val="22"/>
          <w:szCs w:val="22"/>
        </w:rPr>
        <w:t xml:space="preserve">specific </w:t>
      </w:r>
      <w:r w:rsidR="00FF1E3D" w:rsidRPr="00D92A86">
        <w:rPr>
          <w:rFonts w:ascii="Arial" w:hAnsi="Arial" w:cs="Arial"/>
          <w:color w:val="000000"/>
          <w:sz w:val="22"/>
          <w:szCs w:val="22"/>
        </w:rPr>
        <w:t>out</w:t>
      </w:r>
      <w:r w:rsidR="0028426A" w:rsidRPr="00D92A86">
        <w:rPr>
          <w:rFonts w:ascii="Arial" w:hAnsi="Arial" w:cs="Arial"/>
          <w:color w:val="000000"/>
          <w:sz w:val="22"/>
          <w:szCs w:val="22"/>
        </w:rPr>
        <w:t>-</w:t>
      </w:r>
      <w:r w:rsidR="00FF1E3D" w:rsidRPr="00D92A86">
        <w:rPr>
          <w:rFonts w:ascii="Arial" w:hAnsi="Arial" w:cs="Arial"/>
          <w:color w:val="000000"/>
          <w:sz w:val="22"/>
          <w:szCs w:val="22"/>
        </w:rPr>
        <w:t>migration rates. These out</w:t>
      </w:r>
      <w:r w:rsidR="0028426A" w:rsidRPr="00D92A86">
        <w:rPr>
          <w:rFonts w:ascii="Arial" w:hAnsi="Arial" w:cs="Arial"/>
          <w:color w:val="000000"/>
          <w:sz w:val="22"/>
          <w:szCs w:val="22"/>
        </w:rPr>
        <w:t>-</w:t>
      </w:r>
      <w:r w:rsidR="00FF1E3D" w:rsidRPr="00D92A86">
        <w:rPr>
          <w:rFonts w:ascii="Arial" w:hAnsi="Arial" w:cs="Arial"/>
          <w:color w:val="000000"/>
          <w:sz w:val="22"/>
          <w:szCs w:val="22"/>
        </w:rPr>
        <w:t>migration rates are known as gross migraproduction rates (GMRs) and are inputs to the model. They are similar in concept to TFRs in that they are the sum of all the age-specific migration rates. The GMR represents the total number of out-moves a person might make in his or her lifetime.</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 xml:space="preserve">Numbers of in-migrants by age and sex are calculated by applying the age and sex-specific rates of in-migration to the Territory from the rest of </w:t>
      </w:r>
      <w:smartTag w:uri="urn:schemas-microsoft-com:office:smarttags" w:element="country-region">
        <w:r w:rsidRPr="00D92A86">
          <w:rPr>
            <w:rFonts w:ascii="Arial" w:hAnsi="Arial" w:cs="Arial"/>
            <w:color w:val="000000"/>
            <w:sz w:val="22"/>
            <w:szCs w:val="22"/>
          </w:rPr>
          <w:t>Australia</w:t>
        </w:r>
      </w:smartTag>
      <w:r w:rsidRPr="00D92A86">
        <w:rPr>
          <w:rFonts w:ascii="Arial" w:hAnsi="Arial" w:cs="Arial"/>
          <w:color w:val="000000"/>
          <w:sz w:val="22"/>
          <w:szCs w:val="22"/>
        </w:rPr>
        <w:t xml:space="preserve"> to the population of rest of </w:t>
      </w:r>
      <w:smartTag w:uri="urn:schemas-microsoft-com:office:smarttags" w:element="country-region">
        <w:smartTag w:uri="urn:schemas-microsoft-com:office:smarttags" w:element="place">
          <w:r w:rsidRPr="00D92A86">
            <w:rPr>
              <w:rFonts w:ascii="Arial" w:hAnsi="Arial" w:cs="Arial"/>
              <w:color w:val="000000"/>
              <w:sz w:val="22"/>
              <w:szCs w:val="22"/>
            </w:rPr>
            <w:t>Australia</w:t>
          </w:r>
        </w:smartTag>
      </w:smartTag>
      <w:r w:rsidRPr="00D92A86">
        <w:rPr>
          <w:rFonts w:ascii="Arial" w:hAnsi="Arial" w:cs="Arial"/>
          <w:color w:val="000000"/>
          <w:sz w:val="22"/>
          <w:szCs w:val="22"/>
        </w:rPr>
        <w:t>. These numbers are then scaled so they sum to the total in</w:t>
      </w:r>
      <w:r w:rsidRPr="00D92A86">
        <w:rPr>
          <w:rFonts w:ascii="Arial" w:hAnsi="Arial" w:cs="Arial" w:hint="eastAsia"/>
          <w:color w:val="000000"/>
          <w:sz w:val="22"/>
          <w:szCs w:val="22"/>
        </w:rPr>
        <w:t>‑</w:t>
      </w:r>
      <w:r w:rsidRPr="00D92A86">
        <w:rPr>
          <w:rFonts w:ascii="Arial" w:hAnsi="Arial" w:cs="Arial"/>
          <w:color w:val="000000"/>
          <w:sz w:val="22"/>
          <w:szCs w:val="22"/>
        </w:rPr>
        <w:t>migration figure calculated as above. This ensures that sensible in-migration numbers are maintained.</w:t>
      </w:r>
    </w:p>
    <w:p w:rsidR="00FF1E3D" w:rsidRPr="00D92A86" w:rsidRDefault="00D92A86" w:rsidP="00D92A86">
      <w:pPr>
        <w:spacing w:after="160" w:line="240" w:lineRule="atLeast"/>
        <w:rPr>
          <w:rFonts w:ascii="Arial" w:hAnsi="Arial" w:cs="Arial"/>
          <w:color w:val="000000"/>
          <w:sz w:val="22"/>
          <w:szCs w:val="22"/>
        </w:rPr>
      </w:pPr>
      <w:r>
        <w:rPr>
          <w:rFonts w:ascii="Arial" w:hAnsi="Arial" w:cs="Arial"/>
          <w:color w:val="000000"/>
          <w:sz w:val="22"/>
          <w:szCs w:val="22"/>
        </w:rPr>
        <w:br w:type="page"/>
      </w:r>
      <w:r w:rsidR="00FF1E3D" w:rsidRPr="00D92A86">
        <w:rPr>
          <w:rFonts w:ascii="Arial" w:hAnsi="Arial" w:cs="Arial"/>
          <w:color w:val="000000"/>
          <w:sz w:val="22"/>
          <w:szCs w:val="22"/>
        </w:rPr>
        <w:t>Inputs are:</w:t>
      </w:r>
    </w:p>
    <w:p w:rsidR="00FF1E3D" w:rsidRPr="00D92A86" w:rsidRDefault="00FF1E3D" w:rsidP="00D92A86">
      <w:pPr>
        <w:numPr>
          <w:ilvl w:val="0"/>
          <w:numId w:val="32"/>
        </w:numPr>
        <w:spacing w:after="160" w:line="240" w:lineRule="atLeast"/>
        <w:rPr>
          <w:rFonts w:ascii="Arial" w:hAnsi="Arial" w:cs="Arial"/>
          <w:color w:val="000000"/>
          <w:sz w:val="22"/>
          <w:szCs w:val="22"/>
        </w:rPr>
      </w:pPr>
      <w:r w:rsidRPr="00D92A86">
        <w:rPr>
          <w:rFonts w:ascii="Arial" w:hAnsi="Arial" w:cs="Arial"/>
          <w:color w:val="000000"/>
          <w:sz w:val="22"/>
          <w:szCs w:val="22"/>
        </w:rPr>
        <w:t>Net interstate migration (NIM) numbers for the Territory for each year of the projection</w:t>
      </w:r>
      <w:r w:rsidR="00D61BE0" w:rsidRPr="00D92A86">
        <w:rPr>
          <w:rFonts w:ascii="Arial" w:hAnsi="Arial" w:cs="Arial"/>
          <w:color w:val="000000"/>
          <w:sz w:val="22"/>
          <w:szCs w:val="22"/>
        </w:rPr>
        <w:t>s</w:t>
      </w:r>
      <w:r w:rsidRPr="00D92A86">
        <w:rPr>
          <w:rFonts w:ascii="Arial" w:hAnsi="Arial" w:cs="Arial"/>
          <w:color w:val="000000"/>
          <w:sz w:val="22"/>
          <w:szCs w:val="22"/>
        </w:rPr>
        <w:t xml:space="preserve"> for: (i) Indigenous males; (ii) Indigenous females; (iii) non-Indigenous males; and (iv) non-Indigenous females.</w:t>
      </w:r>
    </w:p>
    <w:p w:rsidR="00FF1E3D" w:rsidRPr="00D92A86" w:rsidRDefault="00FF1E3D" w:rsidP="00D92A86">
      <w:pPr>
        <w:numPr>
          <w:ilvl w:val="0"/>
          <w:numId w:val="32"/>
        </w:numPr>
        <w:spacing w:after="160" w:line="240" w:lineRule="atLeast"/>
        <w:rPr>
          <w:rFonts w:ascii="Arial" w:hAnsi="Arial" w:cs="Arial"/>
          <w:color w:val="000000"/>
          <w:sz w:val="22"/>
          <w:szCs w:val="22"/>
        </w:rPr>
      </w:pPr>
      <w:r w:rsidRPr="00D92A86">
        <w:rPr>
          <w:rFonts w:ascii="Arial" w:hAnsi="Arial" w:cs="Arial"/>
          <w:color w:val="000000"/>
          <w:sz w:val="22"/>
          <w:szCs w:val="22"/>
        </w:rPr>
        <w:t>GMRs for out-migration from the Territory (to the rest of Australia) for each year of the projection</w:t>
      </w:r>
      <w:r w:rsidR="008343CE" w:rsidRPr="00D92A86">
        <w:rPr>
          <w:rFonts w:ascii="Arial" w:hAnsi="Arial" w:cs="Arial"/>
          <w:color w:val="000000"/>
          <w:sz w:val="22"/>
          <w:szCs w:val="22"/>
        </w:rPr>
        <w:t>s</w:t>
      </w:r>
      <w:r w:rsidRPr="00D92A86">
        <w:rPr>
          <w:rFonts w:ascii="Arial" w:hAnsi="Arial" w:cs="Arial"/>
          <w:color w:val="000000"/>
          <w:sz w:val="22"/>
          <w:szCs w:val="22"/>
        </w:rPr>
        <w:t xml:space="preserve"> for: (i) Indigenous males; (ii) Indigenous females; (iii) non-Indigenous males; and (iv) non</w:t>
      </w:r>
      <w:r w:rsidRPr="00D92A86">
        <w:rPr>
          <w:rFonts w:ascii="Arial" w:hAnsi="Arial" w:cs="Arial" w:hint="eastAsia"/>
          <w:color w:val="000000"/>
          <w:sz w:val="22"/>
          <w:szCs w:val="22"/>
        </w:rPr>
        <w:t>‑</w:t>
      </w:r>
      <w:r w:rsidRPr="00D92A86">
        <w:rPr>
          <w:rFonts w:ascii="Arial" w:hAnsi="Arial" w:cs="Arial"/>
          <w:color w:val="000000"/>
          <w:sz w:val="22"/>
          <w:szCs w:val="22"/>
        </w:rPr>
        <w:t>Indigenous females.</w:t>
      </w:r>
    </w:p>
    <w:p w:rsidR="00FF1E3D" w:rsidRPr="00D92A86" w:rsidRDefault="00FF1E3D" w:rsidP="00D92A86">
      <w:pPr>
        <w:numPr>
          <w:ilvl w:val="0"/>
          <w:numId w:val="32"/>
        </w:numPr>
        <w:spacing w:after="160" w:line="240" w:lineRule="atLeast"/>
        <w:rPr>
          <w:rFonts w:ascii="Arial" w:hAnsi="Arial" w:cs="Arial"/>
          <w:color w:val="000000"/>
          <w:sz w:val="22"/>
          <w:szCs w:val="22"/>
        </w:rPr>
      </w:pPr>
      <w:r w:rsidRPr="00D92A86">
        <w:rPr>
          <w:rFonts w:ascii="Arial" w:hAnsi="Arial" w:cs="Arial"/>
          <w:color w:val="000000"/>
          <w:sz w:val="22"/>
          <w:szCs w:val="22"/>
        </w:rPr>
        <w:t>Age profiles of interstate in-and out-migration for each year of the projection</w:t>
      </w:r>
      <w:r w:rsidR="00D61BE0" w:rsidRPr="00D92A86">
        <w:rPr>
          <w:rFonts w:ascii="Arial" w:hAnsi="Arial" w:cs="Arial"/>
          <w:color w:val="000000"/>
          <w:sz w:val="22"/>
          <w:szCs w:val="22"/>
        </w:rPr>
        <w:t xml:space="preserve">s </w:t>
      </w:r>
      <w:r w:rsidRPr="00D92A86">
        <w:rPr>
          <w:rFonts w:ascii="Arial" w:hAnsi="Arial" w:cs="Arial"/>
          <w:color w:val="000000"/>
          <w:sz w:val="22"/>
          <w:szCs w:val="22"/>
        </w:rPr>
        <w:t xml:space="preserve">for the same four categories as above. </w:t>
      </w:r>
      <w:r w:rsidR="00A35AF3" w:rsidRPr="00D92A86">
        <w:rPr>
          <w:rFonts w:ascii="Arial" w:hAnsi="Arial" w:cs="Arial"/>
          <w:color w:val="000000"/>
          <w:sz w:val="22"/>
          <w:szCs w:val="22"/>
        </w:rPr>
        <w:t>A</w:t>
      </w:r>
      <w:r w:rsidRPr="00D92A86">
        <w:rPr>
          <w:rFonts w:ascii="Arial" w:hAnsi="Arial" w:cs="Arial"/>
          <w:color w:val="000000"/>
          <w:sz w:val="22"/>
          <w:szCs w:val="22"/>
        </w:rPr>
        <w:t>ge-specific migration rates</w:t>
      </w:r>
      <w:r w:rsidR="00A35AF3" w:rsidRPr="00D92A86">
        <w:rPr>
          <w:rFonts w:ascii="Arial" w:hAnsi="Arial" w:cs="Arial"/>
          <w:color w:val="000000"/>
          <w:sz w:val="22"/>
          <w:szCs w:val="22"/>
        </w:rPr>
        <w:t xml:space="preserve"> are stable over time</w:t>
      </w:r>
      <w:r w:rsidRPr="00D92A86">
        <w:rPr>
          <w:rFonts w:ascii="Arial" w:hAnsi="Arial" w:cs="Arial"/>
          <w:color w:val="000000"/>
          <w:sz w:val="22"/>
          <w:szCs w:val="22"/>
        </w:rPr>
        <w:t>,</w:t>
      </w:r>
      <w:r w:rsidR="00A35AF3" w:rsidRPr="00D92A86">
        <w:rPr>
          <w:rFonts w:ascii="Arial" w:hAnsi="Arial" w:cs="Arial"/>
          <w:color w:val="000000"/>
          <w:sz w:val="22"/>
          <w:szCs w:val="22"/>
        </w:rPr>
        <w:t xml:space="preserve"> and as a consequence</w:t>
      </w:r>
      <w:r w:rsidRPr="00D92A86">
        <w:rPr>
          <w:rFonts w:ascii="Arial" w:hAnsi="Arial" w:cs="Arial"/>
          <w:color w:val="000000"/>
          <w:sz w:val="22"/>
          <w:szCs w:val="22"/>
        </w:rPr>
        <w:t xml:space="preserve"> these age profiles remain fixed over </w:t>
      </w:r>
      <w:r w:rsidR="00A35AF3" w:rsidRPr="00D92A86">
        <w:rPr>
          <w:rFonts w:ascii="Arial" w:hAnsi="Arial" w:cs="Arial"/>
          <w:color w:val="000000"/>
          <w:sz w:val="22"/>
          <w:szCs w:val="22"/>
        </w:rPr>
        <w:t>the life of the projections</w:t>
      </w:r>
      <w:r w:rsidRPr="00D92A86">
        <w:rPr>
          <w:rFonts w:ascii="Arial" w:hAnsi="Arial" w:cs="Arial"/>
          <w:color w:val="000000"/>
          <w:sz w:val="22"/>
          <w:szCs w:val="22"/>
        </w:rPr>
        <w:t>.</w:t>
      </w:r>
    </w:p>
    <w:p w:rsidR="00FF1E3D" w:rsidRPr="00D92A86" w:rsidRDefault="00FF1E3D" w:rsidP="00D92A86">
      <w:pPr>
        <w:spacing w:before="240" w:after="160" w:line="240" w:lineRule="atLeast"/>
        <w:rPr>
          <w:rFonts w:ascii="Arial" w:hAnsi="Arial" w:cs="Arial"/>
          <w:b/>
          <w:color w:val="000000"/>
          <w:sz w:val="28"/>
          <w:szCs w:val="28"/>
        </w:rPr>
      </w:pPr>
      <w:r w:rsidRPr="00D92A86">
        <w:rPr>
          <w:rFonts w:ascii="Arial" w:hAnsi="Arial" w:cs="Arial"/>
          <w:b/>
          <w:color w:val="000000"/>
          <w:sz w:val="28"/>
          <w:szCs w:val="28"/>
        </w:rPr>
        <w:t>Overseas Migration</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Immigration (migration</w:t>
      </w:r>
      <w:r w:rsidR="00A35AF3" w:rsidRPr="00D92A86">
        <w:rPr>
          <w:rFonts w:ascii="Arial" w:hAnsi="Arial" w:cs="Arial"/>
          <w:color w:val="000000"/>
          <w:sz w:val="22"/>
          <w:szCs w:val="22"/>
        </w:rPr>
        <w:t xml:space="preserve"> into </w:t>
      </w:r>
      <w:smartTag w:uri="urn:schemas-microsoft-com:office:smarttags" w:element="country-region">
        <w:smartTag w:uri="urn:schemas-microsoft-com:office:smarttags" w:element="place">
          <w:r w:rsidR="00A35AF3" w:rsidRPr="00D92A86">
            <w:rPr>
              <w:rFonts w:ascii="Arial" w:hAnsi="Arial" w:cs="Arial"/>
              <w:color w:val="000000"/>
              <w:sz w:val="22"/>
              <w:szCs w:val="22"/>
            </w:rPr>
            <w:t>Australia</w:t>
          </w:r>
        </w:smartTag>
      </w:smartTag>
      <w:r w:rsidRPr="00D92A86">
        <w:rPr>
          <w:rFonts w:ascii="Arial" w:hAnsi="Arial" w:cs="Arial"/>
          <w:color w:val="000000"/>
          <w:sz w:val="22"/>
          <w:szCs w:val="22"/>
        </w:rPr>
        <w:t xml:space="preserve"> from overseas) is projected as numbers rather than rates. It is common practice to use numbers rather than rates in the projection of immigration for several reasons, including: (i) the origin</w:t>
      </w:r>
      <w:r w:rsidR="004659EC" w:rsidRPr="00D92A86">
        <w:rPr>
          <w:rFonts w:ascii="Arial" w:hAnsi="Arial" w:cs="Arial"/>
          <w:color w:val="000000"/>
          <w:sz w:val="22"/>
          <w:szCs w:val="22"/>
        </w:rPr>
        <w:t xml:space="preserve"> </w:t>
      </w:r>
      <w:r w:rsidRPr="00D92A86">
        <w:rPr>
          <w:rFonts w:ascii="Arial" w:hAnsi="Arial" w:cs="Arial"/>
          <w:color w:val="000000"/>
          <w:sz w:val="22"/>
          <w:szCs w:val="22"/>
        </w:rPr>
        <w:t>population for immigration is the rest of the world, so</w:t>
      </w:r>
      <w:r w:rsidR="004659EC" w:rsidRPr="00D92A86">
        <w:rPr>
          <w:rFonts w:ascii="Arial" w:hAnsi="Arial" w:cs="Arial"/>
          <w:color w:val="000000"/>
          <w:sz w:val="22"/>
          <w:szCs w:val="22"/>
        </w:rPr>
        <w:t xml:space="preserve"> </w:t>
      </w:r>
      <w:r w:rsidRPr="00D92A86">
        <w:rPr>
          <w:rFonts w:ascii="Arial" w:hAnsi="Arial" w:cs="Arial"/>
          <w:color w:val="000000"/>
          <w:sz w:val="22"/>
          <w:szCs w:val="22"/>
        </w:rPr>
        <w:t>taking a ‘rates times</w:t>
      </w:r>
      <w:r w:rsidR="004659EC" w:rsidRPr="00D92A86">
        <w:rPr>
          <w:rFonts w:ascii="Arial" w:hAnsi="Arial" w:cs="Arial"/>
          <w:color w:val="000000"/>
          <w:sz w:val="22"/>
          <w:szCs w:val="22"/>
        </w:rPr>
        <w:t xml:space="preserve"> </w:t>
      </w:r>
      <w:r w:rsidRPr="00D92A86">
        <w:rPr>
          <w:rFonts w:ascii="Arial" w:hAnsi="Arial" w:cs="Arial"/>
          <w:color w:val="000000"/>
          <w:sz w:val="22"/>
          <w:szCs w:val="22"/>
        </w:rPr>
        <w:t>origin population’ approach would require projections for the rest of the</w:t>
      </w:r>
      <w:r w:rsidR="004659EC" w:rsidRPr="00D92A86">
        <w:rPr>
          <w:rFonts w:ascii="Arial" w:hAnsi="Arial" w:cs="Arial"/>
          <w:color w:val="000000"/>
          <w:sz w:val="22"/>
          <w:szCs w:val="22"/>
        </w:rPr>
        <w:t xml:space="preserve"> </w:t>
      </w:r>
      <w:r w:rsidRPr="00D92A86">
        <w:rPr>
          <w:rFonts w:ascii="Arial" w:hAnsi="Arial" w:cs="Arial"/>
          <w:color w:val="000000"/>
          <w:sz w:val="22"/>
          <w:szCs w:val="22"/>
        </w:rPr>
        <w:t>world; and (ii) unlike many other demographic variables, immigration</w:t>
      </w:r>
      <w:r w:rsidR="004659EC" w:rsidRPr="00D92A86">
        <w:rPr>
          <w:rFonts w:ascii="Arial" w:hAnsi="Arial" w:cs="Arial"/>
          <w:color w:val="000000"/>
          <w:sz w:val="22"/>
          <w:szCs w:val="22"/>
        </w:rPr>
        <w:t xml:space="preserve"> </w:t>
      </w:r>
      <w:r w:rsidRPr="00D92A86">
        <w:rPr>
          <w:rFonts w:ascii="Arial" w:hAnsi="Arial" w:cs="Arial"/>
          <w:color w:val="000000"/>
          <w:sz w:val="22"/>
          <w:szCs w:val="22"/>
        </w:rPr>
        <w:t xml:space="preserve">has little to do with </w:t>
      </w:r>
      <w:r w:rsidR="005E7E22" w:rsidRPr="00D92A86">
        <w:rPr>
          <w:rFonts w:ascii="Arial" w:hAnsi="Arial" w:cs="Arial"/>
          <w:color w:val="000000"/>
          <w:sz w:val="22"/>
          <w:szCs w:val="22"/>
        </w:rPr>
        <w:t xml:space="preserve">the global </w:t>
      </w:r>
      <w:r w:rsidRPr="00D92A86">
        <w:rPr>
          <w:rFonts w:ascii="Arial" w:hAnsi="Arial" w:cs="Arial"/>
          <w:color w:val="000000"/>
          <w:sz w:val="22"/>
          <w:szCs w:val="22"/>
        </w:rPr>
        <w:t>population size and more to do with things like</w:t>
      </w:r>
      <w:r w:rsidR="004659EC" w:rsidRPr="00D92A86">
        <w:rPr>
          <w:rFonts w:ascii="Arial" w:hAnsi="Arial" w:cs="Arial"/>
          <w:color w:val="000000"/>
          <w:sz w:val="22"/>
          <w:szCs w:val="22"/>
        </w:rPr>
        <w:t xml:space="preserve"> </w:t>
      </w:r>
      <w:r w:rsidRPr="00D92A86">
        <w:rPr>
          <w:rFonts w:ascii="Arial" w:hAnsi="Arial" w:cs="Arial"/>
          <w:color w:val="000000"/>
          <w:sz w:val="22"/>
          <w:szCs w:val="22"/>
        </w:rPr>
        <w:t>migration policy and major refugee generating events.</w:t>
      </w:r>
    </w:p>
    <w:p w:rsidR="004659EC"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 xml:space="preserve">Emigration (migration </w:t>
      </w:r>
      <w:r w:rsidR="005E7E22" w:rsidRPr="00D92A86">
        <w:rPr>
          <w:rFonts w:ascii="Arial" w:hAnsi="Arial" w:cs="Arial"/>
          <w:color w:val="000000"/>
          <w:sz w:val="22"/>
          <w:szCs w:val="22"/>
        </w:rPr>
        <w:t xml:space="preserve">from </w:t>
      </w:r>
      <w:smartTag w:uri="urn:schemas-microsoft-com:office:smarttags" w:element="country-region">
        <w:r w:rsidR="005E7E22" w:rsidRPr="00D92A86">
          <w:rPr>
            <w:rFonts w:ascii="Arial" w:hAnsi="Arial" w:cs="Arial"/>
            <w:color w:val="000000"/>
            <w:sz w:val="22"/>
            <w:szCs w:val="22"/>
          </w:rPr>
          <w:t>Australia</w:t>
        </w:r>
      </w:smartTag>
      <w:r w:rsidR="005E7E22" w:rsidRPr="00D92A86">
        <w:rPr>
          <w:rFonts w:ascii="Arial" w:hAnsi="Arial" w:cs="Arial"/>
          <w:color w:val="000000"/>
          <w:sz w:val="22"/>
          <w:szCs w:val="22"/>
        </w:rPr>
        <w:t xml:space="preserve"> </w:t>
      </w:r>
      <w:r w:rsidRPr="00D92A86">
        <w:rPr>
          <w:rFonts w:ascii="Arial" w:hAnsi="Arial" w:cs="Arial"/>
          <w:color w:val="000000"/>
          <w:sz w:val="22"/>
          <w:szCs w:val="22"/>
        </w:rPr>
        <w:t>to overseas) is calculated by multiplying emigration</w:t>
      </w:r>
      <w:r w:rsidR="004659EC" w:rsidRPr="00D92A86">
        <w:rPr>
          <w:rFonts w:ascii="Arial" w:hAnsi="Arial" w:cs="Arial"/>
          <w:color w:val="000000"/>
          <w:sz w:val="22"/>
          <w:szCs w:val="22"/>
        </w:rPr>
        <w:t xml:space="preserve"> </w:t>
      </w:r>
      <w:r w:rsidRPr="00D92A86">
        <w:rPr>
          <w:rFonts w:ascii="Arial" w:hAnsi="Arial" w:cs="Arial"/>
          <w:color w:val="000000"/>
          <w:sz w:val="22"/>
          <w:szCs w:val="22"/>
        </w:rPr>
        <w:t xml:space="preserve">rates by the origin (Territory or rest of </w:t>
      </w:r>
      <w:smartTag w:uri="urn:schemas-microsoft-com:office:smarttags" w:element="country-region">
        <w:smartTag w:uri="urn:schemas-microsoft-com:office:smarttags" w:element="place">
          <w:r w:rsidRPr="00D92A86">
            <w:rPr>
              <w:rFonts w:ascii="Arial" w:hAnsi="Arial" w:cs="Arial"/>
              <w:color w:val="000000"/>
              <w:sz w:val="22"/>
              <w:szCs w:val="22"/>
            </w:rPr>
            <w:t>Australia</w:t>
          </w:r>
        </w:smartTag>
      </w:smartTag>
      <w:r w:rsidRPr="00D92A86">
        <w:rPr>
          <w:rFonts w:ascii="Arial" w:hAnsi="Arial" w:cs="Arial"/>
          <w:color w:val="000000"/>
          <w:sz w:val="22"/>
          <w:szCs w:val="22"/>
        </w:rPr>
        <w:t>) population and then scaling</w:t>
      </w:r>
      <w:r w:rsidR="004659EC" w:rsidRPr="00D92A86">
        <w:rPr>
          <w:rFonts w:ascii="Arial" w:hAnsi="Arial" w:cs="Arial"/>
          <w:color w:val="000000"/>
          <w:sz w:val="22"/>
          <w:szCs w:val="22"/>
        </w:rPr>
        <w:t xml:space="preserve"> </w:t>
      </w:r>
      <w:r w:rsidRPr="00D92A86">
        <w:rPr>
          <w:rFonts w:ascii="Arial" w:hAnsi="Arial" w:cs="Arial"/>
          <w:color w:val="000000"/>
          <w:sz w:val="22"/>
          <w:szCs w:val="22"/>
        </w:rPr>
        <w:t>to the user</w:t>
      </w:r>
      <w:r w:rsidR="005E7E22" w:rsidRPr="00D92A86">
        <w:rPr>
          <w:rFonts w:ascii="Arial" w:hAnsi="Arial" w:cs="Arial"/>
          <w:color w:val="000000"/>
          <w:sz w:val="22"/>
          <w:szCs w:val="22"/>
        </w:rPr>
        <w:noBreakHyphen/>
      </w:r>
      <w:r w:rsidRPr="00D92A86">
        <w:rPr>
          <w:rFonts w:ascii="Arial" w:hAnsi="Arial" w:cs="Arial"/>
          <w:color w:val="000000"/>
          <w:sz w:val="22"/>
          <w:szCs w:val="22"/>
        </w:rPr>
        <w:t>defined total.</w:t>
      </w:r>
      <w:r w:rsidR="004659EC" w:rsidRPr="00D92A86">
        <w:rPr>
          <w:rFonts w:ascii="Arial" w:hAnsi="Arial" w:cs="Arial"/>
          <w:color w:val="000000"/>
          <w:sz w:val="22"/>
          <w:szCs w:val="22"/>
        </w:rPr>
        <w:t xml:space="preserve"> </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By having a user-defined total for emigration, it is possible to also indirectly</w:t>
      </w:r>
      <w:r w:rsidR="004659EC" w:rsidRPr="00D92A86">
        <w:rPr>
          <w:rFonts w:ascii="Arial" w:hAnsi="Arial" w:cs="Arial"/>
          <w:color w:val="000000"/>
          <w:sz w:val="22"/>
          <w:szCs w:val="22"/>
        </w:rPr>
        <w:t xml:space="preserve"> </w:t>
      </w:r>
      <w:r w:rsidRPr="00D92A86">
        <w:rPr>
          <w:rFonts w:ascii="Arial" w:hAnsi="Arial" w:cs="Arial"/>
          <w:color w:val="000000"/>
          <w:sz w:val="22"/>
          <w:szCs w:val="22"/>
        </w:rPr>
        <w:t>set net overseas migration totals because, as described above, immigration</w:t>
      </w:r>
      <w:r w:rsidR="004659EC" w:rsidRPr="00D92A86">
        <w:rPr>
          <w:rFonts w:ascii="Arial" w:hAnsi="Arial" w:cs="Arial"/>
          <w:color w:val="000000"/>
          <w:sz w:val="22"/>
          <w:szCs w:val="22"/>
        </w:rPr>
        <w:t xml:space="preserve"> </w:t>
      </w:r>
      <w:r w:rsidRPr="00D92A86">
        <w:rPr>
          <w:rFonts w:ascii="Arial" w:hAnsi="Arial" w:cs="Arial"/>
          <w:color w:val="000000"/>
          <w:sz w:val="22"/>
          <w:szCs w:val="22"/>
        </w:rPr>
        <w:t>assumptions are also set in terms of numbers.</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Inputs are:</w:t>
      </w:r>
    </w:p>
    <w:p w:rsidR="00FF1E3D" w:rsidRPr="00D92A86" w:rsidRDefault="00FF1E3D" w:rsidP="00D92A86">
      <w:pPr>
        <w:numPr>
          <w:ilvl w:val="0"/>
          <w:numId w:val="33"/>
        </w:numPr>
        <w:spacing w:after="160" w:line="240" w:lineRule="atLeast"/>
        <w:rPr>
          <w:rFonts w:ascii="Arial" w:hAnsi="Arial" w:cs="Arial"/>
          <w:color w:val="000000"/>
          <w:sz w:val="22"/>
          <w:szCs w:val="22"/>
        </w:rPr>
      </w:pPr>
      <w:r w:rsidRPr="00D92A86">
        <w:rPr>
          <w:rFonts w:ascii="Arial" w:hAnsi="Arial" w:cs="Arial"/>
          <w:color w:val="000000"/>
          <w:sz w:val="22"/>
          <w:szCs w:val="22"/>
        </w:rPr>
        <w:t>Immigration totals for each year of the projection</w:t>
      </w:r>
      <w:r w:rsidR="008343CE" w:rsidRPr="00D92A86">
        <w:rPr>
          <w:rFonts w:ascii="Arial" w:hAnsi="Arial" w:cs="Arial"/>
          <w:color w:val="000000"/>
          <w:sz w:val="22"/>
          <w:szCs w:val="22"/>
        </w:rPr>
        <w:t xml:space="preserve">s </w:t>
      </w:r>
      <w:r w:rsidRPr="00D92A86">
        <w:rPr>
          <w:rFonts w:ascii="Arial" w:hAnsi="Arial" w:cs="Arial"/>
          <w:color w:val="000000"/>
          <w:sz w:val="22"/>
          <w:szCs w:val="22"/>
        </w:rPr>
        <w:t>for: (i) Territory</w:t>
      </w:r>
      <w:r w:rsidR="004659EC" w:rsidRPr="00D92A86">
        <w:rPr>
          <w:rFonts w:ascii="Arial" w:hAnsi="Arial" w:cs="Arial"/>
          <w:color w:val="000000"/>
          <w:sz w:val="22"/>
          <w:szCs w:val="22"/>
        </w:rPr>
        <w:t xml:space="preserve"> </w:t>
      </w:r>
      <w:r w:rsidRPr="00D92A86">
        <w:rPr>
          <w:rFonts w:ascii="Arial" w:hAnsi="Arial" w:cs="Arial"/>
          <w:color w:val="000000"/>
          <w:sz w:val="22"/>
          <w:szCs w:val="22"/>
        </w:rPr>
        <w:t>Indigenous males; (ii) Territory Indigenous females; (iii) Territory</w:t>
      </w:r>
      <w:r w:rsidR="004659EC" w:rsidRPr="00D92A86">
        <w:rPr>
          <w:rFonts w:ascii="Arial" w:hAnsi="Arial" w:cs="Arial"/>
          <w:color w:val="000000"/>
          <w:sz w:val="22"/>
          <w:szCs w:val="22"/>
        </w:rPr>
        <w:t xml:space="preserve"> </w:t>
      </w:r>
      <w:r w:rsidRPr="00D92A86">
        <w:rPr>
          <w:rFonts w:ascii="Arial" w:hAnsi="Arial" w:cs="Arial"/>
          <w:color w:val="000000"/>
          <w:sz w:val="22"/>
          <w:szCs w:val="22"/>
        </w:rPr>
        <w:t>non</w:t>
      </w:r>
      <w:r w:rsidRPr="00D92A86">
        <w:rPr>
          <w:rFonts w:ascii="Arial" w:hAnsi="Arial" w:cs="Arial" w:hint="eastAsia"/>
          <w:color w:val="000000"/>
          <w:sz w:val="22"/>
          <w:szCs w:val="22"/>
        </w:rPr>
        <w:t>‑</w:t>
      </w:r>
      <w:r w:rsidRPr="00D92A86">
        <w:rPr>
          <w:rFonts w:ascii="Arial" w:hAnsi="Arial" w:cs="Arial"/>
          <w:color w:val="000000"/>
          <w:sz w:val="22"/>
          <w:szCs w:val="22"/>
        </w:rPr>
        <w:t>Indigenous males; (iv) Territory non</w:t>
      </w:r>
      <w:r w:rsidR="00D61BE0" w:rsidRPr="00D92A86">
        <w:rPr>
          <w:rFonts w:ascii="Arial" w:hAnsi="Arial" w:cs="Arial"/>
          <w:color w:val="000000"/>
          <w:sz w:val="22"/>
          <w:szCs w:val="22"/>
        </w:rPr>
        <w:noBreakHyphen/>
      </w:r>
      <w:r w:rsidRPr="00D92A86">
        <w:rPr>
          <w:rFonts w:ascii="Arial" w:hAnsi="Arial" w:cs="Arial"/>
          <w:color w:val="000000"/>
          <w:sz w:val="22"/>
          <w:szCs w:val="22"/>
        </w:rPr>
        <w:t>Indigenous females; (v) rest of</w:t>
      </w:r>
      <w:r w:rsidR="004659EC" w:rsidRPr="00D92A86">
        <w:rPr>
          <w:rFonts w:ascii="Arial" w:hAnsi="Arial" w:cs="Arial"/>
          <w:color w:val="000000"/>
          <w:sz w:val="22"/>
          <w:szCs w:val="22"/>
        </w:rPr>
        <w:t xml:space="preserve"> </w:t>
      </w:r>
      <w:r w:rsidRPr="00D92A86">
        <w:rPr>
          <w:rFonts w:ascii="Arial" w:hAnsi="Arial" w:cs="Arial"/>
          <w:color w:val="000000"/>
          <w:sz w:val="22"/>
          <w:szCs w:val="22"/>
        </w:rPr>
        <w:t>Australia Indigenous males; (vi) rest of Australia Indigenous females;</w:t>
      </w:r>
      <w:r w:rsidR="004659EC" w:rsidRPr="00D92A86">
        <w:rPr>
          <w:rFonts w:ascii="Arial" w:hAnsi="Arial" w:cs="Arial"/>
          <w:color w:val="000000"/>
          <w:sz w:val="22"/>
          <w:szCs w:val="22"/>
        </w:rPr>
        <w:t xml:space="preserve"> </w:t>
      </w:r>
      <w:r w:rsidRPr="00D92A86">
        <w:rPr>
          <w:rFonts w:ascii="Arial" w:hAnsi="Arial" w:cs="Arial"/>
          <w:color w:val="000000"/>
          <w:sz w:val="22"/>
          <w:szCs w:val="22"/>
        </w:rPr>
        <w:t>(vii) rest of Australia non</w:t>
      </w:r>
      <w:r w:rsidRPr="00D92A86">
        <w:rPr>
          <w:rFonts w:ascii="Arial" w:hAnsi="Arial" w:cs="Arial" w:hint="eastAsia"/>
          <w:color w:val="000000"/>
          <w:sz w:val="22"/>
          <w:szCs w:val="22"/>
        </w:rPr>
        <w:t>‑</w:t>
      </w:r>
      <w:r w:rsidRPr="00D92A86">
        <w:rPr>
          <w:rFonts w:ascii="Arial" w:hAnsi="Arial" w:cs="Arial"/>
          <w:color w:val="000000"/>
          <w:sz w:val="22"/>
          <w:szCs w:val="22"/>
        </w:rPr>
        <w:t>Indigenous males; and (viii) rest of Australia</w:t>
      </w:r>
      <w:r w:rsidR="004659EC" w:rsidRPr="00D92A86">
        <w:rPr>
          <w:rFonts w:ascii="Arial" w:hAnsi="Arial" w:cs="Arial"/>
          <w:color w:val="000000"/>
          <w:sz w:val="22"/>
          <w:szCs w:val="22"/>
        </w:rPr>
        <w:t xml:space="preserve"> </w:t>
      </w:r>
      <w:r w:rsidRPr="00D92A86">
        <w:rPr>
          <w:rFonts w:ascii="Arial" w:hAnsi="Arial" w:cs="Arial"/>
          <w:color w:val="000000"/>
          <w:sz w:val="22"/>
          <w:szCs w:val="22"/>
        </w:rPr>
        <w:t>non</w:t>
      </w:r>
      <w:r w:rsidR="00BF5D0B" w:rsidRPr="00D92A86">
        <w:rPr>
          <w:rFonts w:ascii="Arial" w:hAnsi="Arial" w:cs="Arial"/>
          <w:color w:val="000000"/>
          <w:sz w:val="22"/>
          <w:szCs w:val="22"/>
        </w:rPr>
        <w:t>-</w:t>
      </w:r>
      <w:r w:rsidRPr="00D92A86">
        <w:rPr>
          <w:rFonts w:ascii="Arial" w:hAnsi="Arial" w:cs="Arial"/>
          <w:color w:val="000000"/>
          <w:sz w:val="22"/>
          <w:szCs w:val="22"/>
        </w:rPr>
        <w:t>Indigenous females.</w:t>
      </w:r>
    </w:p>
    <w:p w:rsidR="00FF1E3D" w:rsidRPr="00D92A86" w:rsidRDefault="00FF1E3D" w:rsidP="00D92A86">
      <w:pPr>
        <w:numPr>
          <w:ilvl w:val="0"/>
          <w:numId w:val="33"/>
        </w:numPr>
        <w:spacing w:after="160" w:line="240" w:lineRule="atLeast"/>
        <w:rPr>
          <w:rFonts w:ascii="Arial" w:hAnsi="Arial" w:cs="Arial"/>
          <w:color w:val="000000"/>
          <w:sz w:val="22"/>
          <w:szCs w:val="22"/>
        </w:rPr>
      </w:pPr>
      <w:r w:rsidRPr="00D92A86">
        <w:rPr>
          <w:rFonts w:ascii="Arial" w:hAnsi="Arial" w:cs="Arial"/>
          <w:color w:val="000000"/>
          <w:sz w:val="22"/>
          <w:szCs w:val="22"/>
        </w:rPr>
        <w:t>Emigration totals for each year of the projection</w:t>
      </w:r>
      <w:r w:rsidR="008343CE" w:rsidRPr="00D92A86">
        <w:rPr>
          <w:rFonts w:ascii="Arial" w:hAnsi="Arial" w:cs="Arial"/>
          <w:color w:val="000000"/>
          <w:sz w:val="22"/>
          <w:szCs w:val="22"/>
        </w:rPr>
        <w:t>s</w:t>
      </w:r>
      <w:r w:rsidRPr="00D92A86">
        <w:rPr>
          <w:rFonts w:ascii="Arial" w:hAnsi="Arial" w:cs="Arial"/>
          <w:color w:val="000000"/>
          <w:sz w:val="22"/>
          <w:szCs w:val="22"/>
        </w:rPr>
        <w:t xml:space="preserve"> for each of the</w:t>
      </w:r>
      <w:r w:rsidR="004659EC" w:rsidRPr="00D92A86">
        <w:rPr>
          <w:rFonts w:ascii="Arial" w:hAnsi="Arial" w:cs="Arial"/>
          <w:color w:val="000000"/>
          <w:sz w:val="22"/>
          <w:szCs w:val="22"/>
        </w:rPr>
        <w:t xml:space="preserve"> </w:t>
      </w:r>
      <w:r w:rsidRPr="00D92A86">
        <w:rPr>
          <w:rFonts w:ascii="Arial" w:hAnsi="Arial" w:cs="Arial"/>
          <w:color w:val="000000"/>
          <w:sz w:val="22"/>
          <w:szCs w:val="22"/>
        </w:rPr>
        <w:t>eight categories above.</w:t>
      </w:r>
    </w:p>
    <w:p w:rsidR="00FF1E3D" w:rsidRPr="00D92A86" w:rsidRDefault="00FF1E3D" w:rsidP="00D92A86">
      <w:pPr>
        <w:numPr>
          <w:ilvl w:val="0"/>
          <w:numId w:val="33"/>
        </w:numPr>
        <w:spacing w:after="160" w:line="240" w:lineRule="atLeast"/>
        <w:rPr>
          <w:rFonts w:ascii="Arial" w:hAnsi="Arial" w:cs="Arial"/>
          <w:color w:val="000000"/>
          <w:sz w:val="22"/>
          <w:szCs w:val="22"/>
        </w:rPr>
      </w:pPr>
      <w:r w:rsidRPr="00D92A86">
        <w:rPr>
          <w:rFonts w:ascii="Arial" w:hAnsi="Arial" w:cs="Arial"/>
          <w:color w:val="000000"/>
          <w:sz w:val="22"/>
          <w:szCs w:val="22"/>
        </w:rPr>
        <w:t>Age profiles of immigration and emigration for each of the eight categories</w:t>
      </w:r>
      <w:r w:rsidR="004659EC" w:rsidRPr="00D92A86">
        <w:rPr>
          <w:rFonts w:ascii="Arial" w:hAnsi="Arial" w:cs="Arial"/>
          <w:color w:val="000000"/>
          <w:sz w:val="22"/>
          <w:szCs w:val="22"/>
        </w:rPr>
        <w:t xml:space="preserve"> </w:t>
      </w:r>
      <w:r w:rsidRPr="00D92A86">
        <w:rPr>
          <w:rFonts w:ascii="Arial" w:hAnsi="Arial" w:cs="Arial"/>
          <w:color w:val="000000"/>
          <w:sz w:val="22"/>
          <w:szCs w:val="22"/>
        </w:rPr>
        <w:t>above. These age profiles remain fixed over time in the model.</w:t>
      </w:r>
    </w:p>
    <w:p w:rsidR="004659EC" w:rsidRPr="00D92A86" w:rsidRDefault="004659EC" w:rsidP="00D92A86">
      <w:pPr>
        <w:spacing w:before="240" w:after="160" w:line="240" w:lineRule="atLeast"/>
        <w:rPr>
          <w:rFonts w:ascii="Arial" w:hAnsi="Arial" w:cs="Arial"/>
          <w:b/>
          <w:color w:val="000000"/>
          <w:sz w:val="28"/>
          <w:szCs w:val="28"/>
        </w:rPr>
      </w:pPr>
      <w:r w:rsidRPr="00D92A86">
        <w:rPr>
          <w:rFonts w:ascii="Arial" w:hAnsi="Arial" w:cs="Arial"/>
          <w:b/>
          <w:color w:val="000000"/>
          <w:sz w:val="28"/>
          <w:szCs w:val="28"/>
        </w:rPr>
        <w:t>Changes in Indigenous Identification</w:t>
      </w:r>
    </w:p>
    <w:p w:rsidR="00FF1E3D" w:rsidRPr="00D92A86" w:rsidRDefault="00FF1E3D" w:rsidP="00D92A86">
      <w:pPr>
        <w:spacing w:after="160" w:line="240" w:lineRule="atLeast"/>
        <w:rPr>
          <w:rFonts w:ascii="Arial" w:hAnsi="Arial" w:cs="Arial"/>
          <w:color w:val="000000"/>
          <w:sz w:val="22"/>
          <w:szCs w:val="22"/>
        </w:rPr>
      </w:pPr>
      <w:r w:rsidRPr="00D92A86">
        <w:rPr>
          <w:rFonts w:ascii="Arial" w:hAnsi="Arial" w:cs="Arial"/>
          <w:color w:val="000000"/>
          <w:sz w:val="22"/>
          <w:szCs w:val="22"/>
        </w:rPr>
        <w:t>Direct migration between the Indigenous and non-Indigenous populations is</w:t>
      </w:r>
      <w:r w:rsidR="004659EC" w:rsidRPr="00D92A86">
        <w:rPr>
          <w:rFonts w:ascii="Arial" w:hAnsi="Arial" w:cs="Arial"/>
          <w:color w:val="000000"/>
          <w:sz w:val="22"/>
          <w:szCs w:val="22"/>
        </w:rPr>
        <w:t xml:space="preserve"> </w:t>
      </w:r>
      <w:r w:rsidR="005E7E22" w:rsidRPr="00D92A86">
        <w:rPr>
          <w:rFonts w:ascii="Arial" w:hAnsi="Arial" w:cs="Arial"/>
          <w:color w:val="000000"/>
          <w:sz w:val="22"/>
          <w:szCs w:val="22"/>
        </w:rPr>
        <w:t xml:space="preserve">possible </w:t>
      </w:r>
      <w:r w:rsidRPr="00D92A86">
        <w:rPr>
          <w:rFonts w:ascii="Arial" w:hAnsi="Arial" w:cs="Arial"/>
          <w:color w:val="000000"/>
          <w:sz w:val="22"/>
          <w:szCs w:val="22"/>
        </w:rPr>
        <w:t xml:space="preserve">in the model, simulating changes in </w:t>
      </w:r>
      <w:r w:rsidR="00B9684A" w:rsidRPr="00D92A86">
        <w:rPr>
          <w:rFonts w:ascii="Arial" w:hAnsi="Arial" w:cs="Arial"/>
          <w:color w:val="000000"/>
          <w:sz w:val="22"/>
          <w:szCs w:val="22"/>
        </w:rPr>
        <w:t xml:space="preserve">the propensity for people to change </w:t>
      </w:r>
      <w:r w:rsidR="003C3E32" w:rsidRPr="00D92A86">
        <w:rPr>
          <w:rFonts w:ascii="Arial" w:hAnsi="Arial" w:cs="Arial"/>
          <w:color w:val="000000"/>
          <w:sz w:val="22"/>
          <w:szCs w:val="22"/>
        </w:rPr>
        <w:t>their Indigenous</w:t>
      </w:r>
      <w:r w:rsidRPr="00D92A86">
        <w:rPr>
          <w:rFonts w:ascii="Arial" w:hAnsi="Arial" w:cs="Arial"/>
          <w:color w:val="000000"/>
          <w:sz w:val="22"/>
          <w:szCs w:val="22"/>
        </w:rPr>
        <w:t xml:space="preserve"> status.</w:t>
      </w:r>
      <w:r w:rsidR="004659EC" w:rsidRPr="00D92A86">
        <w:rPr>
          <w:rFonts w:ascii="Arial" w:hAnsi="Arial" w:cs="Arial"/>
          <w:color w:val="000000"/>
          <w:sz w:val="22"/>
          <w:szCs w:val="22"/>
        </w:rPr>
        <w:t xml:space="preserve"> </w:t>
      </w:r>
      <w:r w:rsidRPr="00D92A86">
        <w:rPr>
          <w:rFonts w:ascii="Arial" w:hAnsi="Arial" w:cs="Arial"/>
          <w:color w:val="000000"/>
          <w:sz w:val="22"/>
          <w:szCs w:val="22"/>
        </w:rPr>
        <w:t>This is a unique feature of the model but currently the lack of available</w:t>
      </w:r>
      <w:r w:rsidR="004659EC" w:rsidRPr="00D92A86">
        <w:rPr>
          <w:rFonts w:ascii="Arial" w:hAnsi="Arial" w:cs="Arial"/>
          <w:color w:val="000000"/>
          <w:sz w:val="22"/>
          <w:szCs w:val="22"/>
        </w:rPr>
        <w:t xml:space="preserve"> </w:t>
      </w:r>
      <w:r w:rsidRPr="00D92A86">
        <w:rPr>
          <w:rFonts w:ascii="Arial" w:hAnsi="Arial" w:cs="Arial"/>
          <w:color w:val="000000"/>
          <w:sz w:val="22"/>
          <w:szCs w:val="22"/>
        </w:rPr>
        <w:t>information about people’s propensity to identify as Indigenous means that it</w:t>
      </w:r>
      <w:r w:rsidR="004659EC" w:rsidRPr="00D92A86">
        <w:rPr>
          <w:rFonts w:ascii="Arial" w:hAnsi="Arial" w:cs="Arial"/>
          <w:color w:val="000000"/>
          <w:sz w:val="22"/>
          <w:szCs w:val="22"/>
        </w:rPr>
        <w:t xml:space="preserve"> </w:t>
      </w:r>
      <w:r w:rsidRPr="00D92A86">
        <w:rPr>
          <w:rFonts w:ascii="Arial" w:hAnsi="Arial" w:cs="Arial"/>
          <w:color w:val="000000"/>
          <w:sz w:val="22"/>
          <w:szCs w:val="22"/>
        </w:rPr>
        <w:t>has not been feasible to set meaningful values for these parameters. Hence</w:t>
      </w:r>
      <w:r w:rsidR="004659EC" w:rsidRPr="00D92A86">
        <w:rPr>
          <w:rFonts w:ascii="Arial" w:hAnsi="Arial" w:cs="Arial"/>
          <w:color w:val="000000"/>
          <w:sz w:val="22"/>
          <w:szCs w:val="22"/>
        </w:rPr>
        <w:t xml:space="preserve"> </w:t>
      </w:r>
      <w:r w:rsidRPr="00D92A86">
        <w:rPr>
          <w:rFonts w:ascii="Arial" w:hAnsi="Arial" w:cs="Arial"/>
          <w:color w:val="000000"/>
          <w:sz w:val="22"/>
          <w:szCs w:val="22"/>
        </w:rPr>
        <w:t>currently changes in identification, which are projected as rates multiplied by</w:t>
      </w:r>
      <w:r w:rsidR="004659EC" w:rsidRPr="00D92A86">
        <w:rPr>
          <w:rFonts w:ascii="Arial" w:hAnsi="Arial" w:cs="Arial"/>
          <w:color w:val="000000"/>
          <w:sz w:val="22"/>
          <w:szCs w:val="22"/>
        </w:rPr>
        <w:t xml:space="preserve"> </w:t>
      </w:r>
      <w:r w:rsidRPr="00D92A86">
        <w:rPr>
          <w:rFonts w:ascii="Arial" w:hAnsi="Arial" w:cs="Arial"/>
          <w:color w:val="000000"/>
          <w:sz w:val="22"/>
          <w:szCs w:val="22"/>
        </w:rPr>
        <w:t>populations, are set at zero.</w:t>
      </w:r>
    </w:p>
    <w:p w:rsidR="004659EC" w:rsidRPr="00D23E30" w:rsidRDefault="00D61BE0" w:rsidP="004659EC">
      <w:pPr>
        <w:autoSpaceDE w:val="0"/>
        <w:autoSpaceDN w:val="0"/>
        <w:adjustRightInd w:val="0"/>
        <w:spacing w:after="120"/>
        <w:rPr>
          <w:rFonts w:ascii="Arial" w:hAnsi="Arial" w:cs="Arial"/>
          <w:b/>
          <w:sz w:val="32"/>
          <w:szCs w:val="32"/>
        </w:rPr>
      </w:pPr>
      <w:r>
        <w:rPr>
          <w:rFonts w:ascii="Arial" w:hAnsi="Arial" w:cs="Arial"/>
          <w:sz w:val="40"/>
          <w:szCs w:val="40"/>
        </w:rPr>
        <w:br w:type="page"/>
      </w:r>
      <w:r w:rsidR="004659EC" w:rsidRPr="00D23E30">
        <w:rPr>
          <w:rFonts w:ascii="Arial" w:hAnsi="Arial" w:cs="Arial"/>
          <w:b/>
          <w:sz w:val="32"/>
          <w:szCs w:val="32"/>
        </w:rPr>
        <w:t xml:space="preserve">Notes on Data Sources and Assumptions </w:t>
      </w:r>
      <w:r w:rsidR="00FD60DD" w:rsidRPr="00D23E30">
        <w:rPr>
          <w:rFonts w:ascii="Arial" w:hAnsi="Arial" w:cs="Arial"/>
          <w:b/>
          <w:sz w:val="32"/>
          <w:szCs w:val="32"/>
        </w:rPr>
        <w:t>in the Interim Update</w:t>
      </w:r>
    </w:p>
    <w:p w:rsidR="005E7E22" w:rsidRPr="00D92A86" w:rsidRDefault="005E7E22" w:rsidP="00D92A86">
      <w:pPr>
        <w:spacing w:before="240" w:after="160" w:line="240" w:lineRule="atLeast"/>
        <w:rPr>
          <w:rFonts w:ascii="Arial" w:hAnsi="Arial" w:cs="Arial"/>
          <w:b/>
          <w:color w:val="000000"/>
          <w:sz w:val="28"/>
          <w:szCs w:val="28"/>
        </w:rPr>
      </w:pPr>
      <w:r w:rsidRPr="00D92A86">
        <w:rPr>
          <w:rFonts w:ascii="Arial" w:hAnsi="Arial" w:cs="Arial"/>
          <w:b/>
          <w:color w:val="000000"/>
          <w:sz w:val="28"/>
          <w:szCs w:val="28"/>
        </w:rPr>
        <w:t>Key publications</w:t>
      </w:r>
    </w:p>
    <w:p w:rsidR="005E7E22" w:rsidRPr="00D92A86" w:rsidRDefault="005E7E22" w:rsidP="00D92A86">
      <w:pPr>
        <w:spacing w:after="160" w:line="240" w:lineRule="atLeast"/>
        <w:rPr>
          <w:rFonts w:ascii="Arial" w:hAnsi="Arial" w:cs="Arial"/>
          <w:color w:val="000000"/>
          <w:sz w:val="22"/>
          <w:szCs w:val="22"/>
        </w:rPr>
      </w:pPr>
      <w:r w:rsidRPr="00D92A86">
        <w:rPr>
          <w:rFonts w:ascii="Arial" w:hAnsi="Arial" w:cs="Arial"/>
          <w:color w:val="000000"/>
          <w:sz w:val="22"/>
          <w:szCs w:val="22"/>
        </w:rPr>
        <w:t xml:space="preserve">Key ABS publications used in setting assumptions and parameters </w:t>
      </w:r>
      <w:r w:rsidR="00FD60DD" w:rsidRPr="00D92A86">
        <w:rPr>
          <w:rFonts w:ascii="Arial" w:hAnsi="Arial" w:cs="Arial"/>
          <w:color w:val="000000"/>
          <w:sz w:val="22"/>
          <w:szCs w:val="22"/>
        </w:rPr>
        <w:t xml:space="preserve">n the Interim Update </w:t>
      </w:r>
      <w:r w:rsidRPr="00D92A86">
        <w:rPr>
          <w:rFonts w:ascii="Arial" w:hAnsi="Arial" w:cs="Arial"/>
          <w:color w:val="000000"/>
          <w:sz w:val="22"/>
          <w:szCs w:val="22"/>
        </w:rPr>
        <w:t>are:</w:t>
      </w:r>
    </w:p>
    <w:p w:rsidR="00CC2668" w:rsidRPr="00D92A86" w:rsidRDefault="00C827C7" w:rsidP="00D92A86">
      <w:pPr>
        <w:numPr>
          <w:ilvl w:val="0"/>
          <w:numId w:val="34"/>
        </w:numPr>
        <w:spacing w:after="160" w:line="240" w:lineRule="atLeast"/>
        <w:rPr>
          <w:rFonts w:ascii="Arial" w:hAnsi="Arial" w:cs="Arial"/>
          <w:color w:val="000000"/>
          <w:sz w:val="22"/>
          <w:szCs w:val="22"/>
        </w:rPr>
      </w:pPr>
      <w:r w:rsidRPr="00D92A86">
        <w:rPr>
          <w:rFonts w:ascii="Arial" w:hAnsi="Arial" w:cs="Arial"/>
          <w:color w:val="000000"/>
          <w:sz w:val="22"/>
          <w:szCs w:val="22"/>
        </w:rPr>
        <w:t>31</w:t>
      </w:r>
      <w:r w:rsidR="00CC2668" w:rsidRPr="00D92A86">
        <w:rPr>
          <w:rFonts w:ascii="Arial" w:hAnsi="Arial" w:cs="Arial"/>
          <w:color w:val="000000"/>
          <w:sz w:val="22"/>
          <w:szCs w:val="22"/>
        </w:rPr>
        <w:t>01.0</w:t>
      </w:r>
      <w:r w:rsidRPr="00D92A86">
        <w:rPr>
          <w:rFonts w:ascii="Arial" w:hAnsi="Arial" w:cs="Arial"/>
          <w:color w:val="000000"/>
          <w:sz w:val="22"/>
          <w:szCs w:val="22"/>
        </w:rPr>
        <w:t>- Australian Demographic Statistics, June 2012 (</w:t>
      </w:r>
      <w:r w:rsidR="0005744B" w:rsidRPr="00D92A86">
        <w:rPr>
          <w:rFonts w:ascii="Arial" w:hAnsi="Arial" w:cs="Arial"/>
          <w:color w:val="000000"/>
          <w:sz w:val="22"/>
          <w:szCs w:val="22"/>
        </w:rPr>
        <w:t xml:space="preserve">released </w:t>
      </w:r>
      <w:r w:rsidRPr="00D92A86">
        <w:rPr>
          <w:rFonts w:ascii="Arial" w:hAnsi="Arial" w:cs="Arial"/>
          <w:color w:val="000000"/>
          <w:sz w:val="22"/>
          <w:szCs w:val="22"/>
        </w:rPr>
        <w:t>18/12/2012)</w:t>
      </w:r>
    </w:p>
    <w:p w:rsidR="00CC2668" w:rsidRPr="00D92A86" w:rsidRDefault="00C827C7" w:rsidP="00D92A86">
      <w:pPr>
        <w:numPr>
          <w:ilvl w:val="0"/>
          <w:numId w:val="34"/>
        </w:numPr>
        <w:spacing w:after="160" w:line="240" w:lineRule="atLeast"/>
        <w:rPr>
          <w:rFonts w:ascii="Arial" w:hAnsi="Arial" w:cs="Arial"/>
          <w:color w:val="000000"/>
          <w:sz w:val="22"/>
          <w:szCs w:val="22"/>
        </w:rPr>
      </w:pPr>
      <w:r w:rsidRPr="00D92A86">
        <w:rPr>
          <w:rFonts w:ascii="Arial" w:hAnsi="Arial" w:cs="Arial"/>
          <w:color w:val="000000"/>
          <w:sz w:val="22"/>
          <w:szCs w:val="22"/>
        </w:rPr>
        <w:t>33</w:t>
      </w:r>
      <w:r w:rsidR="00CC2668" w:rsidRPr="00D92A86">
        <w:rPr>
          <w:rFonts w:ascii="Arial" w:hAnsi="Arial" w:cs="Arial"/>
          <w:color w:val="000000"/>
          <w:sz w:val="22"/>
          <w:szCs w:val="22"/>
        </w:rPr>
        <w:t>01.0</w:t>
      </w:r>
      <w:r w:rsidRPr="00D92A86">
        <w:rPr>
          <w:rFonts w:ascii="Arial" w:hAnsi="Arial" w:cs="Arial"/>
          <w:color w:val="000000"/>
          <w:sz w:val="22"/>
          <w:szCs w:val="22"/>
        </w:rPr>
        <w:t>- Births, Australia, 2011 (25/10/2012)</w:t>
      </w:r>
    </w:p>
    <w:p w:rsidR="005E7E22" w:rsidRPr="00D92A86" w:rsidRDefault="005E7E22" w:rsidP="00D92A86">
      <w:pPr>
        <w:numPr>
          <w:ilvl w:val="0"/>
          <w:numId w:val="34"/>
        </w:numPr>
        <w:spacing w:after="160" w:line="240" w:lineRule="atLeast"/>
        <w:rPr>
          <w:rFonts w:ascii="Arial" w:hAnsi="Arial" w:cs="Arial"/>
          <w:color w:val="000000"/>
          <w:sz w:val="22"/>
          <w:szCs w:val="22"/>
        </w:rPr>
      </w:pPr>
      <w:r w:rsidRPr="00D92A86">
        <w:rPr>
          <w:rFonts w:ascii="Arial" w:hAnsi="Arial" w:cs="Arial"/>
          <w:color w:val="000000"/>
          <w:sz w:val="22"/>
          <w:szCs w:val="22"/>
        </w:rPr>
        <w:t>3222.0- Population Projections, Australia, 2006 to 2101 (09/04/2008);</w:t>
      </w:r>
    </w:p>
    <w:p w:rsidR="005E7E22" w:rsidRPr="00D92A86" w:rsidRDefault="005E7E22" w:rsidP="00D92A86">
      <w:pPr>
        <w:numPr>
          <w:ilvl w:val="0"/>
          <w:numId w:val="34"/>
        </w:numPr>
        <w:spacing w:after="160" w:line="240" w:lineRule="atLeast"/>
        <w:rPr>
          <w:rFonts w:ascii="Arial" w:hAnsi="Arial" w:cs="Arial"/>
          <w:color w:val="000000"/>
          <w:sz w:val="22"/>
          <w:szCs w:val="22"/>
        </w:rPr>
      </w:pPr>
      <w:r w:rsidRPr="00D92A86">
        <w:rPr>
          <w:rFonts w:ascii="Arial" w:hAnsi="Arial" w:cs="Arial"/>
          <w:color w:val="000000"/>
          <w:sz w:val="22"/>
          <w:szCs w:val="22"/>
        </w:rPr>
        <w:t>3218.0- Regional</w:t>
      </w:r>
      <w:r w:rsidR="00C827C7" w:rsidRPr="00D92A86">
        <w:rPr>
          <w:rFonts w:ascii="Arial" w:hAnsi="Arial" w:cs="Arial"/>
          <w:color w:val="000000"/>
          <w:sz w:val="22"/>
          <w:szCs w:val="22"/>
        </w:rPr>
        <w:t xml:space="preserve"> Population Growth, 2011 (31/7/2012</w:t>
      </w:r>
      <w:r w:rsidRPr="00D92A86">
        <w:rPr>
          <w:rFonts w:ascii="Arial" w:hAnsi="Arial" w:cs="Arial"/>
          <w:color w:val="000000"/>
          <w:sz w:val="22"/>
          <w:szCs w:val="22"/>
        </w:rPr>
        <w:t>);</w:t>
      </w:r>
    </w:p>
    <w:p w:rsidR="005E7E22" w:rsidRPr="00D92A86" w:rsidRDefault="005E7E22" w:rsidP="00D92A86">
      <w:pPr>
        <w:numPr>
          <w:ilvl w:val="0"/>
          <w:numId w:val="34"/>
        </w:numPr>
        <w:spacing w:after="160" w:line="240" w:lineRule="atLeast"/>
        <w:rPr>
          <w:rFonts w:ascii="Arial" w:hAnsi="Arial" w:cs="Arial"/>
          <w:color w:val="000000"/>
          <w:sz w:val="22"/>
          <w:szCs w:val="22"/>
        </w:rPr>
      </w:pPr>
      <w:r w:rsidRPr="00D92A86">
        <w:rPr>
          <w:rFonts w:ascii="Arial" w:hAnsi="Arial" w:cs="Arial"/>
          <w:color w:val="000000"/>
          <w:sz w:val="22"/>
          <w:szCs w:val="22"/>
        </w:rPr>
        <w:t>3235.0- Population by Age and</w:t>
      </w:r>
      <w:r w:rsidR="00C827C7" w:rsidRPr="00D92A86">
        <w:rPr>
          <w:rFonts w:ascii="Arial" w:hAnsi="Arial" w:cs="Arial"/>
          <w:color w:val="000000"/>
          <w:sz w:val="22"/>
          <w:szCs w:val="22"/>
        </w:rPr>
        <w:t xml:space="preserve"> Sex, Regions of Australia, 2011 (31/08/2012</w:t>
      </w:r>
      <w:r w:rsidRPr="00D92A86">
        <w:rPr>
          <w:rFonts w:ascii="Arial" w:hAnsi="Arial" w:cs="Arial"/>
          <w:color w:val="000000"/>
          <w:sz w:val="22"/>
          <w:szCs w:val="22"/>
        </w:rPr>
        <w:t>);</w:t>
      </w:r>
    </w:p>
    <w:p w:rsidR="005E7E22" w:rsidRPr="00D92A86" w:rsidRDefault="005E7E22" w:rsidP="00D92A86">
      <w:pPr>
        <w:numPr>
          <w:ilvl w:val="0"/>
          <w:numId w:val="34"/>
        </w:numPr>
        <w:spacing w:after="160" w:line="240" w:lineRule="atLeast"/>
        <w:rPr>
          <w:rFonts w:ascii="Arial" w:hAnsi="Arial" w:cs="Arial"/>
          <w:color w:val="000000"/>
          <w:sz w:val="22"/>
          <w:szCs w:val="22"/>
        </w:rPr>
      </w:pPr>
      <w:r w:rsidRPr="00D92A86">
        <w:rPr>
          <w:rFonts w:ascii="Arial" w:hAnsi="Arial" w:cs="Arial"/>
          <w:color w:val="000000"/>
          <w:sz w:val="22"/>
          <w:szCs w:val="22"/>
        </w:rPr>
        <w:t>3238.0- Experimental Estimates and Projections, Aboriginal and Torres Strait Islander Australians, 1991 to 2021 (08/09/2009); and</w:t>
      </w:r>
    </w:p>
    <w:p w:rsidR="005E7E22" w:rsidRPr="00D92A86" w:rsidRDefault="005E7E22" w:rsidP="00D92A86">
      <w:pPr>
        <w:numPr>
          <w:ilvl w:val="0"/>
          <w:numId w:val="34"/>
        </w:numPr>
        <w:spacing w:after="160" w:line="240" w:lineRule="atLeast"/>
        <w:rPr>
          <w:rFonts w:ascii="Arial" w:hAnsi="Arial" w:cs="Arial"/>
          <w:color w:val="000000"/>
          <w:sz w:val="22"/>
          <w:szCs w:val="22"/>
        </w:rPr>
      </w:pPr>
      <w:r w:rsidRPr="00D92A86">
        <w:rPr>
          <w:rFonts w:ascii="Arial" w:hAnsi="Arial" w:cs="Arial"/>
          <w:color w:val="000000"/>
          <w:sz w:val="22"/>
          <w:szCs w:val="22"/>
        </w:rPr>
        <w:t xml:space="preserve">3412.0- Migration, Australia </w:t>
      </w:r>
      <w:r w:rsidR="00C827C7" w:rsidRPr="00D92A86">
        <w:rPr>
          <w:rFonts w:ascii="Arial" w:hAnsi="Arial" w:cs="Arial"/>
          <w:color w:val="000000"/>
          <w:sz w:val="22"/>
          <w:szCs w:val="22"/>
        </w:rPr>
        <w:t>2010-11 (15/08/2012</w:t>
      </w:r>
      <w:r w:rsidR="008343CE" w:rsidRPr="00D92A86">
        <w:rPr>
          <w:rFonts w:ascii="Arial" w:hAnsi="Arial" w:cs="Arial"/>
          <w:color w:val="000000"/>
          <w:sz w:val="22"/>
          <w:szCs w:val="22"/>
        </w:rPr>
        <w:t>)</w:t>
      </w:r>
      <w:r w:rsidRPr="00D92A86">
        <w:rPr>
          <w:rFonts w:ascii="Arial" w:hAnsi="Arial" w:cs="Arial"/>
          <w:color w:val="000000"/>
          <w:sz w:val="22"/>
          <w:szCs w:val="22"/>
        </w:rPr>
        <w:t>.</w:t>
      </w:r>
    </w:p>
    <w:p w:rsidR="005E7E22" w:rsidRPr="00D92A86" w:rsidRDefault="005E7E22" w:rsidP="00D92A86">
      <w:pPr>
        <w:spacing w:before="240" w:after="160" w:line="240" w:lineRule="atLeast"/>
        <w:rPr>
          <w:rFonts w:ascii="Arial" w:hAnsi="Arial" w:cs="Arial"/>
          <w:b/>
          <w:color w:val="000000"/>
          <w:sz w:val="28"/>
          <w:szCs w:val="28"/>
        </w:rPr>
      </w:pPr>
      <w:r w:rsidRPr="00D92A86">
        <w:rPr>
          <w:rFonts w:ascii="Arial" w:hAnsi="Arial" w:cs="Arial"/>
          <w:b/>
          <w:color w:val="000000"/>
          <w:sz w:val="28"/>
          <w:szCs w:val="28"/>
        </w:rPr>
        <w:t>Fertility</w:t>
      </w:r>
    </w:p>
    <w:p w:rsidR="00F51C13" w:rsidRPr="00D92A86" w:rsidRDefault="00F51C13" w:rsidP="00D92A86">
      <w:pPr>
        <w:spacing w:before="240" w:after="160" w:line="240" w:lineRule="atLeast"/>
        <w:rPr>
          <w:rFonts w:ascii="Arial" w:hAnsi="Arial" w:cs="Arial"/>
          <w:b/>
          <w:color w:val="000000"/>
          <w:sz w:val="28"/>
          <w:szCs w:val="28"/>
        </w:rPr>
      </w:pPr>
      <w:r w:rsidRPr="00D92A86">
        <w:rPr>
          <w:rFonts w:ascii="Arial" w:hAnsi="Arial" w:cs="Arial"/>
          <w:b/>
          <w:color w:val="000000"/>
          <w:sz w:val="28"/>
          <w:szCs w:val="28"/>
        </w:rPr>
        <w:t>TFR</w:t>
      </w:r>
    </w:p>
    <w:p w:rsidR="00F2213C" w:rsidRPr="00D10EAD" w:rsidRDefault="005E7E22" w:rsidP="00D10EAD">
      <w:pPr>
        <w:spacing w:after="160" w:line="240" w:lineRule="atLeast"/>
        <w:rPr>
          <w:rFonts w:ascii="Arial" w:hAnsi="Arial" w:cs="Arial"/>
          <w:color w:val="000000"/>
          <w:sz w:val="22"/>
          <w:szCs w:val="22"/>
        </w:rPr>
      </w:pPr>
      <w:r w:rsidRPr="00D10EAD">
        <w:rPr>
          <w:rFonts w:ascii="Arial" w:hAnsi="Arial" w:cs="Arial"/>
          <w:color w:val="000000"/>
          <w:sz w:val="22"/>
          <w:szCs w:val="22"/>
        </w:rPr>
        <w:t xml:space="preserve">Territory Indigenous TFR </w:t>
      </w:r>
      <w:r w:rsidR="00F2213C" w:rsidRPr="00D10EAD">
        <w:rPr>
          <w:rFonts w:ascii="Arial" w:hAnsi="Arial" w:cs="Arial"/>
          <w:color w:val="000000"/>
          <w:sz w:val="22"/>
          <w:szCs w:val="22"/>
        </w:rPr>
        <w:t xml:space="preserve">for 2011 </w:t>
      </w:r>
      <w:r w:rsidRPr="00D10EAD">
        <w:rPr>
          <w:rFonts w:ascii="Arial" w:hAnsi="Arial" w:cs="Arial"/>
          <w:color w:val="000000"/>
          <w:sz w:val="22"/>
          <w:szCs w:val="22"/>
        </w:rPr>
        <w:t xml:space="preserve">is </w:t>
      </w:r>
      <w:r w:rsidR="00CD44A6" w:rsidRPr="00D10EAD">
        <w:rPr>
          <w:rFonts w:ascii="Arial" w:hAnsi="Arial" w:cs="Arial"/>
          <w:color w:val="000000"/>
          <w:sz w:val="22"/>
          <w:szCs w:val="22"/>
        </w:rPr>
        <w:t xml:space="preserve">sourced </w:t>
      </w:r>
      <w:r w:rsidRPr="00D10EAD">
        <w:rPr>
          <w:rFonts w:ascii="Arial" w:hAnsi="Arial" w:cs="Arial"/>
          <w:color w:val="000000"/>
          <w:sz w:val="22"/>
          <w:szCs w:val="22"/>
        </w:rPr>
        <w:t xml:space="preserve">from ABS </w:t>
      </w:r>
      <w:r w:rsidR="0091552A" w:rsidRPr="00D10EAD">
        <w:rPr>
          <w:rFonts w:ascii="Arial" w:hAnsi="Arial" w:cs="Arial"/>
          <w:color w:val="000000"/>
          <w:sz w:val="22"/>
          <w:szCs w:val="22"/>
        </w:rPr>
        <w:t>Cat.</w:t>
      </w:r>
      <w:r w:rsidR="0005744B" w:rsidRPr="00D10EAD">
        <w:rPr>
          <w:rFonts w:ascii="Arial" w:hAnsi="Arial" w:cs="Arial"/>
          <w:color w:val="000000"/>
          <w:sz w:val="22"/>
          <w:szCs w:val="22"/>
        </w:rPr>
        <w:t xml:space="preserve"> </w:t>
      </w:r>
      <w:r w:rsidR="00B04BC3" w:rsidRPr="00D10EAD">
        <w:rPr>
          <w:rFonts w:ascii="Arial" w:hAnsi="Arial" w:cs="Arial"/>
          <w:color w:val="000000"/>
          <w:sz w:val="22"/>
          <w:szCs w:val="22"/>
        </w:rPr>
        <w:t>No</w:t>
      </w:r>
      <w:r w:rsidR="00C0289B" w:rsidRPr="00D10EAD">
        <w:rPr>
          <w:rFonts w:ascii="Arial" w:hAnsi="Arial" w:cs="Arial"/>
          <w:color w:val="000000"/>
          <w:sz w:val="22"/>
          <w:szCs w:val="22"/>
        </w:rPr>
        <w:t>.</w:t>
      </w:r>
      <w:r w:rsidR="003C34B6" w:rsidRPr="00D10EAD">
        <w:rPr>
          <w:rFonts w:ascii="Arial" w:hAnsi="Arial" w:cs="Arial"/>
          <w:color w:val="000000"/>
          <w:sz w:val="22"/>
          <w:szCs w:val="22"/>
        </w:rPr>
        <w:t xml:space="preserve"> </w:t>
      </w:r>
      <w:r w:rsidR="0091552A" w:rsidRPr="00D10EAD">
        <w:rPr>
          <w:rFonts w:ascii="Arial" w:hAnsi="Arial" w:cs="Arial"/>
          <w:color w:val="000000"/>
          <w:sz w:val="22"/>
          <w:szCs w:val="22"/>
        </w:rPr>
        <w:t xml:space="preserve">3301.0 </w:t>
      </w:r>
      <w:r w:rsidR="006D1373" w:rsidRPr="00D10EAD">
        <w:rPr>
          <w:rFonts w:ascii="Arial" w:hAnsi="Arial" w:cs="Arial"/>
          <w:color w:val="000000"/>
          <w:sz w:val="22"/>
          <w:szCs w:val="22"/>
        </w:rPr>
        <w:t>(2.323 births per woman</w:t>
      </w:r>
      <w:r w:rsidR="0091552A" w:rsidRPr="00D10EAD">
        <w:rPr>
          <w:rFonts w:ascii="Arial" w:hAnsi="Arial" w:cs="Arial"/>
          <w:color w:val="000000"/>
          <w:sz w:val="22"/>
          <w:szCs w:val="22"/>
        </w:rPr>
        <w:t xml:space="preserve">). </w:t>
      </w:r>
      <w:r w:rsidR="00F2213C" w:rsidRPr="00D10EAD">
        <w:rPr>
          <w:rFonts w:ascii="Arial" w:hAnsi="Arial" w:cs="Arial"/>
          <w:color w:val="000000"/>
          <w:sz w:val="22"/>
          <w:szCs w:val="22"/>
        </w:rPr>
        <w:t xml:space="preserve">This TFR is then decreased by 0.7 per cent over a ten-year period (this ratio is calculated using data from the Health Gains Planning branch of the Department of Health and Families (DHF) and is the 13 year trend rate). The TFR is then held constant at 2.169 from 2020-21 onwards. </w:t>
      </w:r>
    </w:p>
    <w:p w:rsidR="00ED54E0" w:rsidRPr="00D10EAD" w:rsidRDefault="005E7E22" w:rsidP="00D10EAD">
      <w:pPr>
        <w:spacing w:after="160" w:line="240" w:lineRule="atLeast"/>
        <w:rPr>
          <w:rFonts w:ascii="Arial" w:hAnsi="Arial" w:cs="Arial"/>
          <w:color w:val="000000"/>
          <w:sz w:val="22"/>
          <w:szCs w:val="22"/>
        </w:rPr>
      </w:pPr>
      <w:r w:rsidRPr="00D10EAD">
        <w:rPr>
          <w:rFonts w:ascii="Arial" w:hAnsi="Arial" w:cs="Arial"/>
          <w:color w:val="000000"/>
          <w:sz w:val="22"/>
          <w:szCs w:val="22"/>
        </w:rPr>
        <w:t xml:space="preserve">Territory non-Indigenous TFR </w:t>
      </w:r>
      <w:r w:rsidR="00D54739" w:rsidRPr="00D10EAD">
        <w:rPr>
          <w:rFonts w:ascii="Arial" w:hAnsi="Arial" w:cs="Arial"/>
          <w:color w:val="000000"/>
          <w:sz w:val="22"/>
          <w:szCs w:val="22"/>
        </w:rPr>
        <w:t xml:space="preserve">for 2011 (1.928 births per woman) </w:t>
      </w:r>
      <w:r w:rsidRPr="00D10EAD">
        <w:rPr>
          <w:rFonts w:ascii="Arial" w:hAnsi="Arial" w:cs="Arial"/>
          <w:color w:val="000000"/>
          <w:sz w:val="22"/>
          <w:szCs w:val="22"/>
        </w:rPr>
        <w:t>is set at a constant ratio of the total TFR. This ratio is calculated using 2006</w:t>
      </w:r>
      <w:r w:rsidR="00D61BE0" w:rsidRPr="00D10EAD">
        <w:rPr>
          <w:rFonts w:ascii="Arial" w:hAnsi="Arial" w:cs="Arial"/>
          <w:color w:val="000000"/>
          <w:sz w:val="22"/>
          <w:szCs w:val="22"/>
        </w:rPr>
        <w:t xml:space="preserve"> data from the</w:t>
      </w:r>
      <w:r w:rsidRPr="00D10EAD">
        <w:rPr>
          <w:rFonts w:ascii="Arial" w:hAnsi="Arial" w:cs="Arial"/>
          <w:color w:val="000000"/>
          <w:sz w:val="22"/>
          <w:szCs w:val="22"/>
        </w:rPr>
        <w:t xml:space="preserve"> Health Gains Planning </w:t>
      </w:r>
      <w:r w:rsidR="00D61BE0" w:rsidRPr="00D10EAD">
        <w:rPr>
          <w:rFonts w:ascii="Arial" w:hAnsi="Arial" w:cs="Arial"/>
          <w:color w:val="000000"/>
          <w:sz w:val="22"/>
          <w:szCs w:val="22"/>
        </w:rPr>
        <w:t xml:space="preserve">branch of the Department of Health and Families (DHF) </w:t>
      </w:r>
      <w:r w:rsidRPr="00D10EAD">
        <w:rPr>
          <w:rFonts w:ascii="Arial" w:hAnsi="Arial" w:cs="Arial"/>
          <w:color w:val="000000"/>
          <w:sz w:val="22"/>
          <w:szCs w:val="22"/>
        </w:rPr>
        <w:t>(</w:t>
      </w:r>
      <w:r w:rsidR="00CD44A6" w:rsidRPr="00D10EAD">
        <w:rPr>
          <w:rFonts w:ascii="Arial" w:hAnsi="Arial" w:cs="Arial"/>
          <w:color w:val="000000"/>
          <w:sz w:val="22"/>
          <w:szCs w:val="22"/>
        </w:rPr>
        <w:t>0</w:t>
      </w:r>
      <w:r w:rsidRPr="00D10EAD">
        <w:rPr>
          <w:rFonts w:ascii="Arial" w:hAnsi="Arial" w:cs="Arial"/>
          <w:color w:val="000000"/>
          <w:sz w:val="22"/>
          <w:szCs w:val="22"/>
        </w:rPr>
        <w:t>.9</w:t>
      </w:r>
      <w:r w:rsidR="00D61BE0" w:rsidRPr="00D10EAD">
        <w:rPr>
          <w:rFonts w:ascii="Arial" w:hAnsi="Arial" w:cs="Arial"/>
          <w:color w:val="000000"/>
          <w:sz w:val="22"/>
          <w:szCs w:val="22"/>
        </w:rPr>
        <w:t xml:space="preserve"> </w:t>
      </w:r>
      <w:r w:rsidRPr="00D10EAD">
        <w:rPr>
          <w:rFonts w:ascii="Arial" w:hAnsi="Arial" w:cs="Arial"/>
          <w:color w:val="000000"/>
          <w:sz w:val="22"/>
          <w:szCs w:val="22"/>
        </w:rPr>
        <w:t xml:space="preserve">of the total </w:t>
      </w:r>
      <w:r w:rsidR="00CD44A6" w:rsidRPr="00D10EAD">
        <w:rPr>
          <w:rFonts w:ascii="Arial" w:hAnsi="Arial" w:cs="Arial"/>
          <w:color w:val="000000"/>
          <w:sz w:val="22"/>
          <w:szCs w:val="22"/>
        </w:rPr>
        <w:t xml:space="preserve">Territory </w:t>
      </w:r>
      <w:r w:rsidRPr="00D10EAD">
        <w:rPr>
          <w:rFonts w:ascii="Arial" w:hAnsi="Arial" w:cs="Arial"/>
          <w:color w:val="000000"/>
          <w:sz w:val="22"/>
          <w:szCs w:val="22"/>
        </w:rPr>
        <w:t xml:space="preserve">TFR) and applied to the total </w:t>
      </w:r>
      <w:r w:rsidR="00CD44A6" w:rsidRPr="00D10EAD">
        <w:rPr>
          <w:rFonts w:ascii="Arial" w:hAnsi="Arial" w:cs="Arial"/>
          <w:color w:val="000000"/>
          <w:sz w:val="22"/>
          <w:szCs w:val="22"/>
        </w:rPr>
        <w:t xml:space="preserve">Territory </w:t>
      </w:r>
      <w:r w:rsidR="00ED54E0" w:rsidRPr="00D10EAD">
        <w:rPr>
          <w:rFonts w:ascii="Arial" w:hAnsi="Arial" w:cs="Arial"/>
          <w:color w:val="000000"/>
          <w:sz w:val="22"/>
          <w:szCs w:val="22"/>
        </w:rPr>
        <w:t xml:space="preserve">TFR as published </w:t>
      </w:r>
      <w:r w:rsidRPr="00D10EAD">
        <w:rPr>
          <w:rFonts w:ascii="Arial" w:hAnsi="Arial" w:cs="Arial"/>
          <w:color w:val="000000"/>
          <w:sz w:val="22"/>
          <w:szCs w:val="22"/>
        </w:rPr>
        <w:t xml:space="preserve">in </w:t>
      </w:r>
      <w:r w:rsidR="0000213F" w:rsidRPr="00D10EAD">
        <w:rPr>
          <w:rFonts w:ascii="Arial" w:hAnsi="Arial" w:cs="Arial"/>
          <w:color w:val="000000"/>
          <w:sz w:val="22"/>
          <w:szCs w:val="22"/>
        </w:rPr>
        <w:t>ABS Cat.</w:t>
      </w:r>
      <w:r w:rsidR="0005744B" w:rsidRPr="00D10EAD">
        <w:rPr>
          <w:rFonts w:ascii="Arial" w:hAnsi="Arial" w:cs="Arial"/>
          <w:color w:val="000000"/>
          <w:sz w:val="22"/>
          <w:szCs w:val="22"/>
        </w:rPr>
        <w:t xml:space="preserve"> </w:t>
      </w:r>
      <w:r w:rsidR="00B04BC3" w:rsidRPr="00D10EAD">
        <w:rPr>
          <w:rFonts w:ascii="Arial" w:hAnsi="Arial" w:cs="Arial"/>
          <w:color w:val="000000"/>
          <w:sz w:val="22"/>
          <w:szCs w:val="22"/>
        </w:rPr>
        <w:t>No</w:t>
      </w:r>
      <w:r w:rsidR="00C0289B" w:rsidRPr="00D10EAD">
        <w:rPr>
          <w:rFonts w:ascii="Arial" w:hAnsi="Arial" w:cs="Arial"/>
          <w:color w:val="000000"/>
          <w:sz w:val="22"/>
          <w:szCs w:val="22"/>
        </w:rPr>
        <w:t>.</w:t>
      </w:r>
      <w:r w:rsidR="0005744B" w:rsidRPr="00D10EAD">
        <w:rPr>
          <w:rFonts w:ascii="Arial" w:hAnsi="Arial" w:cs="Arial"/>
          <w:color w:val="000000"/>
          <w:sz w:val="22"/>
          <w:szCs w:val="22"/>
        </w:rPr>
        <w:t xml:space="preserve"> </w:t>
      </w:r>
      <w:r w:rsidRPr="00D10EAD">
        <w:rPr>
          <w:rFonts w:ascii="Arial" w:hAnsi="Arial" w:cs="Arial"/>
          <w:color w:val="000000"/>
          <w:sz w:val="22"/>
          <w:szCs w:val="22"/>
        </w:rPr>
        <w:t>3222.0.</w:t>
      </w:r>
      <w:r w:rsidR="00D54739" w:rsidRPr="00D10EAD">
        <w:rPr>
          <w:rFonts w:ascii="Arial" w:hAnsi="Arial" w:cs="Arial"/>
          <w:color w:val="000000"/>
          <w:sz w:val="22"/>
          <w:szCs w:val="22"/>
        </w:rPr>
        <w:t xml:space="preserve"> This TFR is then decreased at the ABS projected rate (-0.1 per cent) over a 10 year period and held constant from 2020-21 onwards. </w:t>
      </w:r>
      <w:r w:rsidRPr="00D10EAD">
        <w:rPr>
          <w:rFonts w:ascii="Arial" w:hAnsi="Arial" w:cs="Arial"/>
          <w:color w:val="000000"/>
          <w:sz w:val="22"/>
          <w:szCs w:val="22"/>
        </w:rPr>
        <w:t xml:space="preserve"> </w:t>
      </w:r>
    </w:p>
    <w:p w:rsidR="00F51C13" w:rsidRPr="00D10EAD" w:rsidRDefault="00F51C13" w:rsidP="00D10EAD">
      <w:pPr>
        <w:spacing w:before="240" w:after="160" w:line="240" w:lineRule="atLeast"/>
        <w:rPr>
          <w:rFonts w:ascii="Arial" w:hAnsi="Arial" w:cs="Arial"/>
          <w:b/>
          <w:color w:val="000000"/>
          <w:sz w:val="28"/>
          <w:szCs w:val="28"/>
        </w:rPr>
      </w:pPr>
      <w:r w:rsidRPr="00D10EAD">
        <w:rPr>
          <w:rFonts w:ascii="Arial" w:hAnsi="Arial" w:cs="Arial"/>
          <w:b/>
          <w:color w:val="000000"/>
          <w:sz w:val="28"/>
          <w:szCs w:val="28"/>
        </w:rPr>
        <w:t>Sex ratios at birth</w:t>
      </w:r>
    </w:p>
    <w:p w:rsidR="00F51C13" w:rsidRPr="00D10EAD" w:rsidRDefault="00F51C13" w:rsidP="00D10EAD">
      <w:pPr>
        <w:spacing w:after="160" w:line="240" w:lineRule="atLeast"/>
        <w:rPr>
          <w:rFonts w:ascii="Arial" w:hAnsi="Arial" w:cs="Arial"/>
          <w:color w:val="000000"/>
          <w:sz w:val="22"/>
          <w:szCs w:val="22"/>
        </w:rPr>
      </w:pPr>
      <w:r w:rsidRPr="00D10EAD">
        <w:rPr>
          <w:rFonts w:ascii="Arial" w:hAnsi="Arial" w:cs="Arial"/>
          <w:color w:val="000000"/>
          <w:sz w:val="22"/>
          <w:szCs w:val="22"/>
        </w:rPr>
        <w:t xml:space="preserve">Territory sex ratios at birth for Indigenous mothers are set to a 10 year average </w:t>
      </w:r>
      <w:r w:rsidR="00CD44A6" w:rsidRPr="00D10EAD">
        <w:rPr>
          <w:rFonts w:ascii="Arial" w:hAnsi="Arial" w:cs="Arial"/>
          <w:color w:val="000000"/>
          <w:sz w:val="22"/>
          <w:szCs w:val="22"/>
        </w:rPr>
        <w:t xml:space="preserve">based on </w:t>
      </w:r>
      <w:r w:rsidRPr="00D10EAD">
        <w:rPr>
          <w:rFonts w:ascii="Arial" w:hAnsi="Arial" w:cs="Arial"/>
          <w:color w:val="000000"/>
          <w:sz w:val="22"/>
          <w:szCs w:val="22"/>
        </w:rPr>
        <w:t>Health Gains Planning data</w:t>
      </w:r>
      <w:r w:rsidR="001E223A" w:rsidRPr="00D10EAD">
        <w:rPr>
          <w:rFonts w:ascii="Arial" w:hAnsi="Arial" w:cs="Arial"/>
          <w:color w:val="000000"/>
          <w:sz w:val="22"/>
          <w:szCs w:val="22"/>
        </w:rPr>
        <w:t xml:space="preserve"> (108.4</w:t>
      </w:r>
      <w:r w:rsidRPr="00D10EAD">
        <w:rPr>
          <w:rFonts w:ascii="Arial" w:hAnsi="Arial" w:cs="Arial"/>
          <w:color w:val="000000"/>
          <w:sz w:val="22"/>
          <w:szCs w:val="22"/>
        </w:rPr>
        <w:t xml:space="preserve"> males per 100 females), while sex ratios at birth for non</w:t>
      </w:r>
      <w:r w:rsidRPr="00D10EAD">
        <w:rPr>
          <w:rFonts w:ascii="Arial" w:hAnsi="Arial" w:cs="Arial"/>
          <w:color w:val="000000"/>
          <w:sz w:val="22"/>
          <w:szCs w:val="22"/>
        </w:rPr>
        <w:noBreakHyphen/>
        <w:t>Indigenous mothers are set to published fig</w:t>
      </w:r>
      <w:r w:rsidR="0000213F" w:rsidRPr="00D10EAD">
        <w:rPr>
          <w:rFonts w:ascii="Arial" w:hAnsi="Arial" w:cs="Arial"/>
          <w:color w:val="000000"/>
          <w:sz w:val="22"/>
          <w:szCs w:val="22"/>
        </w:rPr>
        <w:t>ures in ABS Cat.</w:t>
      </w:r>
      <w:r w:rsidR="0005744B" w:rsidRPr="00D10EAD">
        <w:rPr>
          <w:rFonts w:ascii="Arial" w:hAnsi="Arial" w:cs="Arial"/>
          <w:color w:val="000000"/>
          <w:sz w:val="22"/>
          <w:szCs w:val="22"/>
        </w:rPr>
        <w:t xml:space="preserve"> </w:t>
      </w:r>
      <w:r w:rsidR="0000213F" w:rsidRPr="00D10EAD">
        <w:rPr>
          <w:rFonts w:ascii="Arial" w:hAnsi="Arial" w:cs="Arial"/>
          <w:color w:val="000000"/>
          <w:sz w:val="22"/>
          <w:szCs w:val="22"/>
        </w:rPr>
        <w:t>No.</w:t>
      </w:r>
      <w:r w:rsidR="0005744B" w:rsidRPr="00D10EAD">
        <w:rPr>
          <w:rFonts w:ascii="Arial" w:hAnsi="Arial" w:cs="Arial"/>
          <w:color w:val="000000"/>
          <w:sz w:val="22"/>
          <w:szCs w:val="22"/>
        </w:rPr>
        <w:t xml:space="preserve"> </w:t>
      </w:r>
      <w:r w:rsidR="001E223A" w:rsidRPr="00D10EAD">
        <w:rPr>
          <w:rFonts w:ascii="Arial" w:hAnsi="Arial" w:cs="Arial"/>
          <w:color w:val="000000"/>
          <w:sz w:val="22"/>
          <w:szCs w:val="22"/>
        </w:rPr>
        <w:t>3301.0 (104.8</w:t>
      </w:r>
      <w:r w:rsidR="0000213F" w:rsidRPr="00D10EAD">
        <w:rPr>
          <w:rFonts w:ascii="Arial" w:hAnsi="Arial" w:cs="Arial"/>
          <w:color w:val="000000"/>
          <w:sz w:val="22"/>
          <w:szCs w:val="22"/>
        </w:rPr>
        <w:t xml:space="preserve"> males per 100 females</w:t>
      </w:r>
      <w:r w:rsidRPr="00D10EAD">
        <w:rPr>
          <w:rFonts w:ascii="Arial" w:hAnsi="Arial" w:cs="Arial"/>
          <w:color w:val="000000"/>
          <w:sz w:val="22"/>
          <w:szCs w:val="22"/>
        </w:rPr>
        <w:t>)</w:t>
      </w:r>
      <w:r w:rsidR="0000213F" w:rsidRPr="00D10EAD">
        <w:rPr>
          <w:rFonts w:ascii="Arial" w:hAnsi="Arial" w:cs="Arial"/>
          <w:color w:val="000000"/>
          <w:sz w:val="22"/>
          <w:szCs w:val="22"/>
        </w:rPr>
        <w:t>.</w:t>
      </w:r>
    </w:p>
    <w:p w:rsidR="00F51C13" w:rsidRPr="00D10EAD" w:rsidRDefault="00F51C13" w:rsidP="00D10EAD">
      <w:pPr>
        <w:spacing w:before="240" w:after="160" w:line="240" w:lineRule="atLeast"/>
        <w:rPr>
          <w:rFonts w:ascii="Arial" w:hAnsi="Arial" w:cs="Arial"/>
          <w:b/>
          <w:color w:val="000000"/>
          <w:sz w:val="28"/>
          <w:szCs w:val="28"/>
        </w:rPr>
      </w:pPr>
      <w:r w:rsidRPr="00D10EAD">
        <w:rPr>
          <w:rFonts w:ascii="Arial" w:hAnsi="Arial" w:cs="Arial"/>
          <w:b/>
          <w:color w:val="000000"/>
          <w:sz w:val="28"/>
          <w:szCs w:val="28"/>
        </w:rPr>
        <w:t>Percentage Indigenous births</w:t>
      </w:r>
    </w:p>
    <w:p w:rsidR="00F51C13" w:rsidRPr="00D10EAD" w:rsidRDefault="00F1725E" w:rsidP="00D10EAD">
      <w:pPr>
        <w:spacing w:after="160" w:line="240" w:lineRule="atLeast"/>
        <w:rPr>
          <w:rFonts w:ascii="Arial" w:hAnsi="Arial" w:cs="Arial"/>
          <w:color w:val="000000"/>
          <w:sz w:val="22"/>
          <w:szCs w:val="22"/>
        </w:rPr>
      </w:pPr>
      <w:r w:rsidRPr="00D10EAD">
        <w:rPr>
          <w:rFonts w:ascii="Arial" w:hAnsi="Arial" w:cs="Arial"/>
          <w:color w:val="000000"/>
          <w:sz w:val="22"/>
          <w:szCs w:val="22"/>
        </w:rPr>
        <w:t>The Territory’s percentage of Indigenous births to non-Indigenous mothers is</w:t>
      </w:r>
      <w:r w:rsidR="00F51C13" w:rsidRPr="00D10EAD">
        <w:rPr>
          <w:rFonts w:ascii="Arial" w:hAnsi="Arial" w:cs="Arial"/>
          <w:color w:val="000000"/>
          <w:sz w:val="22"/>
          <w:szCs w:val="22"/>
        </w:rPr>
        <w:t xml:space="preserve"> based on published data in </w:t>
      </w:r>
      <w:r w:rsidR="0005744B" w:rsidRPr="00D10EAD">
        <w:rPr>
          <w:rFonts w:ascii="Arial" w:hAnsi="Arial" w:cs="Arial"/>
          <w:color w:val="000000"/>
          <w:sz w:val="22"/>
          <w:szCs w:val="22"/>
        </w:rPr>
        <w:t xml:space="preserve">ABS Cat. No.  </w:t>
      </w:r>
      <w:r w:rsidR="00F51C13" w:rsidRPr="00D10EAD">
        <w:rPr>
          <w:rFonts w:ascii="Arial" w:hAnsi="Arial" w:cs="Arial"/>
          <w:color w:val="000000"/>
          <w:sz w:val="22"/>
          <w:szCs w:val="22"/>
        </w:rPr>
        <w:t>3238.0 for 2007. A constant increase of</w:t>
      </w:r>
      <w:r w:rsidR="00291ED6" w:rsidRPr="00D10EAD">
        <w:rPr>
          <w:rFonts w:ascii="Arial" w:hAnsi="Arial" w:cs="Arial"/>
          <w:color w:val="000000"/>
          <w:sz w:val="22"/>
          <w:szCs w:val="22"/>
        </w:rPr>
        <w:t xml:space="preserve"> 0</w:t>
      </w:r>
      <w:r w:rsidR="00F51C13" w:rsidRPr="00D10EAD">
        <w:rPr>
          <w:rFonts w:ascii="Arial" w:hAnsi="Arial" w:cs="Arial"/>
          <w:color w:val="000000"/>
          <w:sz w:val="22"/>
          <w:szCs w:val="22"/>
        </w:rPr>
        <w:t>.017</w:t>
      </w:r>
      <w:r w:rsidR="00291ED6" w:rsidRPr="00D10EAD">
        <w:rPr>
          <w:rFonts w:ascii="Arial" w:hAnsi="Arial" w:cs="Arial"/>
          <w:color w:val="000000"/>
          <w:sz w:val="22"/>
          <w:szCs w:val="22"/>
        </w:rPr>
        <w:t> per cent per</w:t>
      </w:r>
      <w:r w:rsidR="00E16FBB">
        <w:rPr>
          <w:rFonts w:ascii="Arial" w:hAnsi="Arial" w:cs="Arial"/>
          <w:color w:val="000000"/>
          <w:sz w:val="22"/>
          <w:szCs w:val="22"/>
        </w:rPr>
        <w:t> </w:t>
      </w:r>
      <w:r w:rsidR="00291ED6" w:rsidRPr="00D10EAD">
        <w:rPr>
          <w:rFonts w:ascii="Arial" w:hAnsi="Arial" w:cs="Arial"/>
          <w:color w:val="000000"/>
          <w:sz w:val="22"/>
          <w:szCs w:val="22"/>
        </w:rPr>
        <w:t>annum</w:t>
      </w:r>
      <w:r w:rsidR="00F51C13" w:rsidRPr="00D10EAD">
        <w:rPr>
          <w:rFonts w:ascii="Arial" w:hAnsi="Arial" w:cs="Arial"/>
          <w:color w:val="000000"/>
          <w:sz w:val="22"/>
          <w:szCs w:val="22"/>
        </w:rPr>
        <w:t xml:space="preserve"> is applied based on exis</w:t>
      </w:r>
      <w:r w:rsidR="008D7DDE" w:rsidRPr="00D10EAD">
        <w:rPr>
          <w:rFonts w:ascii="Arial" w:hAnsi="Arial" w:cs="Arial"/>
          <w:color w:val="000000"/>
          <w:sz w:val="22"/>
          <w:szCs w:val="22"/>
        </w:rPr>
        <w:t>ting research to derive the 2011</w:t>
      </w:r>
      <w:r w:rsidR="00F51C13" w:rsidRPr="00D10EAD">
        <w:rPr>
          <w:rFonts w:ascii="Arial" w:hAnsi="Arial" w:cs="Arial"/>
          <w:color w:val="000000"/>
          <w:sz w:val="22"/>
          <w:szCs w:val="22"/>
        </w:rPr>
        <w:t xml:space="preserve"> figure</w:t>
      </w:r>
      <w:r w:rsidR="00291ED6" w:rsidRPr="00D10EAD">
        <w:rPr>
          <w:rFonts w:ascii="Arial" w:hAnsi="Arial" w:cs="Arial"/>
          <w:color w:val="000000"/>
          <w:sz w:val="22"/>
          <w:szCs w:val="22"/>
        </w:rPr>
        <w:t xml:space="preserve"> (8.7 per cent)</w:t>
      </w:r>
      <w:r w:rsidR="00F51C13" w:rsidRPr="00D10EAD">
        <w:rPr>
          <w:rFonts w:ascii="Arial" w:hAnsi="Arial" w:cs="Arial"/>
          <w:color w:val="000000"/>
          <w:sz w:val="22"/>
          <w:szCs w:val="22"/>
        </w:rPr>
        <w:t xml:space="preserve"> and future years.</w:t>
      </w:r>
      <w:r w:rsidR="001A14B7" w:rsidRPr="00D10EAD">
        <w:rPr>
          <w:rFonts w:ascii="Arial" w:hAnsi="Arial" w:cs="Arial"/>
          <w:color w:val="000000"/>
          <w:sz w:val="22"/>
          <w:szCs w:val="22"/>
        </w:rPr>
        <w:t xml:space="preserve"> The percentage of Indigenous births to Indigenous mothers is set to 100 per cent for the life of the projections. </w:t>
      </w:r>
    </w:p>
    <w:p w:rsidR="0064750E" w:rsidRPr="00E952B0" w:rsidRDefault="00D10EAD" w:rsidP="00D10EAD">
      <w:pPr>
        <w:spacing w:before="240" w:after="160" w:line="240" w:lineRule="atLeast"/>
        <w:rPr>
          <w:rFonts w:ascii="Arial" w:hAnsi="Arial" w:cs="Arial"/>
          <w:sz w:val="22"/>
          <w:szCs w:val="22"/>
        </w:rPr>
      </w:pPr>
      <w:r>
        <w:rPr>
          <w:rFonts w:ascii="Arial" w:hAnsi="Arial" w:cs="Arial"/>
          <w:b/>
          <w:color w:val="000000"/>
          <w:sz w:val="28"/>
          <w:szCs w:val="28"/>
        </w:rPr>
        <w:br w:type="page"/>
      </w:r>
      <w:r w:rsidR="0064750E" w:rsidRPr="00D10EAD">
        <w:rPr>
          <w:rFonts w:ascii="Arial" w:hAnsi="Arial" w:cs="Arial"/>
          <w:b/>
          <w:color w:val="000000"/>
          <w:sz w:val="28"/>
          <w:szCs w:val="28"/>
        </w:rPr>
        <w:t>Mortality</w:t>
      </w:r>
    </w:p>
    <w:p w:rsidR="0064750E" w:rsidRPr="00D10EAD" w:rsidRDefault="0064750E" w:rsidP="00D10EAD">
      <w:pPr>
        <w:spacing w:before="240" w:after="160" w:line="240" w:lineRule="atLeast"/>
        <w:rPr>
          <w:rFonts w:ascii="Arial" w:hAnsi="Arial" w:cs="Arial"/>
          <w:b/>
          <w:color w:val="000000"/>
          <w:sz w:val="28"/>
          <w:szCs w:val="28"/>
        </w:rPr>
      </w:pPr>
      <w:r w:rsidRPr="00D10EAD">
        <w:rPr>
          <w:rFonts w:ascii="Arial" w:hAnsi="Arial" w:cs="Arial"/>
          <w:b/>
          <w:color w:val="000000"/>
          <w:sz w:val="28"/>
          <w:szCs w:val="28"/>
        </w:rPr>
        <w:t>Life expectancies</w:t>
      </w:r>
    </w:p>
    <w:p w:rsidR="00E952B0" w:rsidRPr="00D10EAD" w:rsidRDefault="00E952B0" w:rsidP="00D10EAD">
      <w:pPr>
        <w:spacing w:after="160" w:line="240" w:lineRule="atLeast"/>
        <w:rPr>
          <w:rFonts w:ascii="Arial" w:hAnsi="Arial" w:cs="Arial"/>
          <w:color w:val="000000"/>
          <w:sz w:val="22"/>
          <w:szCs w:val="22"/>
        </w:rPr>
      </w:pPr>
      <w:r w:rsidRPr="00D10EAD">
        <w:rPr>
          <w:rFonts w:ascii="Arial" w:hAnsi="Arial" w:cs="Arial"/>
          <w:color w:val="000000"/>
          <w:sz w:val="22"/>
          <w:szCs w:val="22"/>
        </w:rPr>
        <w:t xml:space="preserve">Indigenous and non-Indigenous life expectancies are based on </w:t>
      </w:r>
      <w:r w:rsidR="003C34B6" w:rsidRPr="00D10EAD">
        <w:rPr>
          <w:rFonts w:ascii="Arial" w:hAnsi="Arial" w:cs="Arial"/>
          <w:color w:val="000000"/>
          <w:sz w:val="22"/>
          <w:szCs w:val="22"/>
        </w:rPr>
        <w:t xml:space="preserve">ABS Cat. No. </w:t>
      </w:r>
      <w:r w:rsidRPr="00D10EAD">
        <w:rPr>
          <w:rFonts w:ascii="Arial" w:hAnsi="Arial" w:cs="Arial"/>
          <w:color w:val="000000"/>
          <w:sz w:val="22"/>
          <w:szCs w:val="22"/>
        </w:rPr>
        <w:t>3238.0 published for 2005</w:t>
      </w:r>
      <w:r w:rsidRPr="00D10EAD">
        <w:rPr>
          <w:rFonts w:ascii="Arial" w:hAnsi="Arial" w:cs="Arial"/>
          <w:color w:val="000000"/>
          <w:sz w:val="22"/>
          <w:szCs w:val="22"/>
        </w:rPr>
        <w:noBreakHyphen/>
        <w:t>2007 with Indigenous males (61.5 years) and Indigenous females (69.2</w:t>
      </w:r>
      <w:r w:rsidR="00E16FBB">
        <w:rPr>
          <w:rFonts w:ascii="Arial" w:hAnsi="Arial" w:cs="Arial"/>
          <w:color w:val="000000"/>
          <w:sz w:val="22"/>
          <w:szCs w:val="22"/>
        </w:rPr>
        <w:t> </w:t>
      </w:r>
      <w:r w:rsidRPr="00D10EAD">
        <w:rPr>
          <w:rFonts w:ascii="Arial" w:hAnsi="Arial" w:cs="Arial"/>
          <w:color w:val="000000"/>
          <w:sz w:val="22"/>
          <w:szCs w:val="22"/>
        </w:rPr>
        <w:t>years). These estimates are than increased at a constant rate of 0.3 years per annum to give the 2011 jump off and subsequent life expectancies of 62.7 years for males and 70.4 years for females. Non-Indigenous life expectancy estimates from 2005-2007 adjusted according to research by Wilson (2007) to give life expectancy estimates for 2011 of 76.9 years for non</w:t>
      </w:r>
      <w:r w:rsidRPr="00D10EAD">
        <w:rPr>
          <w:rFonts w:ascii="Arial" w:hAnsi="Arial" w:cs="Arial"/>
          <w:color w:val="000000"/>
          <w:sz w:val="22"/>
          <w:szCs w:val="22"/>
        </w:rPr>
        <w:noBreakHyphen/>
        <w:t>Indigenous males and 82.2 years for non</w:t>
      </w:r>
      <w:r w:rsidRPr="00D10EAD">
        <w:rPr>
          <w:rFonts w:ascii="Arial" w:hAnsi="Arial" w:cs="Arial"/>
          <w:color w:val="000000"/>
          <w:sz w:val="22"/>
          <w:szCs w:val="22"/>
        </w:rPr>
        <w:noBreakHyphen/>
        <w:t xml:space="preserve">Indigenous females. </w:t>
      </w:r>
    </w:p>
    <w:p w:rsidR="00E952B0" w:rsidRPr="00D10EAD" w:rsidRDefault="00E952B0" w:rsidP="00D10EAD">
      <w:pPr>
        <w:spacing w:after="160" w:line="240" w:lineRule="atLeast"/>
        <w:rPr>
          <w:rFonts w:ascii="Arial" w:hAnsi="Arial" w:cs="Arial"/>
          <w:color w:val="000000"/>
          <w:sz w:val="22"/>
          <w:szCs w:val="22"/>
        </w:rPr>
      </w:pPr>
      <w:r w:rsidRPr="00D10EAD">
        <w:rPr>
          <w:rFonts w:ascii="Arial" w:hAnsi="Arial" w:cs="Arial"/>
          <w:color w:val="000000"/>
          <w:sz w:val="22"/>
          <w:szCs w:val="22"/>
        </w:rPr>
        <w:t xml:space="preserve">The assumption of improvement in Indigenous life expectancy is based on current research in the field, reflecting gradual improvements over time in Indigenous health and education, leading to improved socio-economic outcomes resulting in increased life expectancy. </w:t>
      </w:r>
    </w:p>
    <w:p w:rsidR="004659EC" w:rsidRPr="00D10EAD" w:rsidRDefault="004659EC" w:rsidP="00D10EAD">
      <w:pPr>
        <w:spacing w:before="240" w:after="160" w:line="240" w:lineRule="atLeast"/>
        <w:rPr>
          <w:rFonts w:ascii="Arial" w:hAnsi="Arial" w:cs="Arial"/>
          <w:b/>
          <w:color w:val="000000"/>
          <w:sz w:val="28"/>
          <w:szCs w:val="28"/>
        </w:rPr>
      </w:pPr>
      <w:r w:rsidRPr="00D10EAD">
        <w:rPr>
          <w:rFonts w:ascii="Arial" w:hAnsi="Arial" w:cs="Arial"/>
          <w:b/>
          <w:color w:val="000000"/>
          <w:sz w:val="28"/>
          <w:szCs w:val="28"/>
        </w:rPr>
        <w:t>Regional Fertility and Mortality</w:t>
      </w:r>
    </w:p>
    <w:p w:rsidR="004659EC" w:rsidRPr="00D10EAD" w:rsidRDefault="004659EC" w:rsidP="00D10EAD">
      <w:pPr>
        <w:spacing w:after="160" w:line="240" w:lineRule="atLeast"/>
        <w:rPr>
          <w:rFonts w:ascii="Arial" w:hAnsi="Arial" w:cs="Arial"/>
          <w:color w:val="000000"/>
          <w:sz w:val="22"/>
          <w:szCs w:val="22"/>
        </w:rPr>
      </w:pPr>
      <w:r w:rsidRPr="00D10EAD">
        <w:rPr>
          <w:rFonts w:ascii="Arial" w:hAnsi="Arial" w:cs="Arial"/>
          <w:color w:val="000000"/>
          <w:sz w:val="22"/>
          <w:szCs w:val="22"/>
        </w:rPr>
        <w:t>The same Indigenous and non-Indigenous TFRs as for the Territory total populati</w:t>
      </w:r>
      <w:r w:rsidR="00E952B0" w:rsidRPr="00D10EAD">
        <w:rPr>
          <w:rFonts w:ascii="Arial" w:hAnsi="Arial" w:cs="Arial"/>
          <w:color w:val="000000"/>
          <w:sz w:val="22"/>
          <w:szCs w:val="22"/>
        </w:rPr>
        <w:t>on (see above) are used for the regions.</w:t>
      </w:r>
      <w:r w:rsidRPr="00D10EAD">
        <w:rPr>
          <w:rFonts w:ascii="Arial" w:hAnsi="Arial" w:cs="Arial"/>
          <w:color w:val="000000"/>
          <w:sz w:val="22"/>
          <w:szCs w:val="22"/>
        </w:rPr>
        <w:t xml:space="preserve"> There is uncertainty over the data on place of usual residence for mothers giving birth in the Territory</w:t>
      </w:r>
      <w:r w:rsidR="00CD44A6" w:rsidRPr="00D10EAD">
        <w:rPr>
          <w:rFonts w:ascii="Arial" w:hAnsi="Arial" w:cs="Arial"/>
          <w:color w:val="000000"/>
          <w:sz w:val="22"/>
          <w:szCs w:val="22"/>
        </w:rPr>
        <w:t>,</w:t>
      </w:r>
      <w:r w:rsidRPr="00D10EAD">
        <w:rPr>
          <w:rFonts w:ascii="Arial" w:hAnsi="Arial" w:cs="Arial"/>
          <w:color w:val="000000"/>
          <w:sz w:val="22"/>
          <w:szCs w:val="22"/>
        </w:rPr>
        <w:t xml:space="preserve"> hence the TFRs</w:t>
      </w:r>
      <w:r w:rsidR="00CD44A6" w:rsidRPr="00D10EAD">
        <w:rPr>
          <w:rFonts w:ascii="Arial" w:hAnsi="Arial" w:cs="Arial"/>
          <w:color w:val="000000"/>
          <w:sz w:val="22"/>
          <w:szCs w:val="22"/>
        </w:rPr>
        <w:t xml:space="preserve"> published by the ABS</w:t>
      </w:r>
      <w:r w:rsidRPr="00D10EAD">
        <w:rPr>
          <w:rFonts w:ascii="Arial" w:hAnsi="Arial" w:cs="Arial"/>
          <w:color w:val="000000"/>
          <w:sz w:val="22"/>
          <w:szCs w:val="22"/>
        </w:rPr>
        <w:t xml:space="preserve"> for regions are not considered accurate. </w:t>
      </w:r>
    </w:p>
    <w:p w:rsidR="00081E1C" w:rsidRPr="00D10EAD" w:rsidRDefault="00E952B0" w:rsidP="00D10EAD">
      <w:pPr>
        <w:spacing w:after="160" w:line="240" w:lineRule="atLeast"/>
        <w:rPr>
          <w:rFonts w:ascii="Arial" w:hAnsi="Arial" w:cs="Arial"/>
          <w:color w:val="000000"/>
          <w:sz w:val="22"/>
          <w:szCs w:val="22"/>
        </w:rPr>
      </w:pPr>
      <w:r w:rsidRPr="00D10EAD">
        <w:rPr>
          <w:rFonts w:ascii="Arial" w:hAnsi="Arial" w:cs="Arial"/>
          <w:color w:val="000000"/>
          <w:sz w:val="22"/>
          <w:szCs w:val="22"/>
        </w:rPr>
        <w:t>M</w:t>
      </w:r>
      <w:r w:rsidR="00081E1C" w:rsidRPr="00D10EAD">
        <w:rPr>
          <w:rFonts w:ascii="Arial" w:hAnsi="Arial" w:cs="Arial"/>
          <w:color w:val="000000"/>
          <w:sz w:val="22"/>
          <w:szCs w:val="22"/>
        </w:rPr>
        <w:t xml:space="preserve">ortality is </w:t>
      </w:r>
      <w:r w:rsidRPr="00D10EAD">
        <w:rPr>
          <w:rFonts w:ascii="Arial" w:hAnsi="Arial" w:cs="Arial"/>
          <w:color w:val="000000"/>
          <w:sz w:val="22"/>
          <w:szCs w:val="22"/>
        </w:rPr>
        <w:t xml:space="preserve">assumed to be </w:t>
      </w:r>
      <w:r w:rsidR="00081E1C" w:rsidRPr="00D10EAD">
        <w:rPr>
          <w:rFonts w:ascii="Arial" w:hAnsi="Arial" w:cs="Arial"/>
          <w:color w:val="000000"/>
          <w:sz w:val="22"/>
          <w:szCs w:val="22"/>
        </w:rPr>
        <w:t xml:space="preserve">the same </w:t>
      </w:r>
      <w:r w:rsidRPr="00D10EAD">
        <w:rPr>
          <w:rFonts w:ascii="Arial" w:hAnsi="Arial" w:cs="Arial"/>
          <w:color w:val="000000"/>
          <w:sz w:val="22"/>
          <w:szCs w:val="22"/>
        </w:rPr>
        <w:t xml:space="preserve">for both the regions </w:t>
      </w:r>
      <w:r w:rsidR="00081E1C" w:rsidRPr="00D10EAD">
        <w:rPr>
          <w:rFonts w:ascii="Arial" w:hAnsi="Arial" w:cs="Arial"/>
          <w:color w:val="000000"/>
          <w:sz w:val="22"/>
          <w:szCs w:val="22"/>
        </w:rPr>
        <w:t xml:space="preserve">and </w:t>
      </w:r>
      <w:r w:rsidRPr="00D10EAD">
        <w:rPr>
          <w:rFonts w:ascii="Arial" w:hAnsi="Arial" w:cs="Arial"/>
          <w:color w:val="000000"/>
          <w:sz w:val="22"/>
          <w:szCs w:val="22"/>
        </w:rPr>
        <w:t xml:space="preserve">the </w:t>
      </w:r>
      <w:r w:rsidR="00081E1C" w:rsidRPr="00D10EAD">
        <w:rPr>
          <w:rFonts w:ascii="Arial" w:hAnsi="Arial" w:cs="Arial"/>
          <w:color w:val="000000"/>
          <w:sz w:val="22"/>
          <w:szCs w:val="22"/>
        </w:rPr>
        <w:t>Territory as a whole. This is known not to be the case however there is insufficient accurate data to justify an alternative approach.</w:t>
      </w:r>
    </w:p>
    <w:p w:rsidR="00081E1C" w:rsidRPr="00D10EAD" w:rsidRDefault="00081E1C" w:rsidP="00D10EAD">
      <w:pPr>
        <w:spacing w:before="240" w:after="160" w:line="240" w:lineRule="atLeast"/>
        <w:rPr>
          <w:rFonts w:ascii="Arial" w:hAnsi="Arial" w:cs="Arial"/>
          <w:b/>
          <w:color w:val="000000"/>
          <w:sz w:val="28"/>
          <w:szCs w:val="28"/>
        </w:rPr>
      </w:pPr>
      <w:r w:rsidRPr="00D10EAD">
        <w:rPr>
          <w:rFonts w:ascii="Arial" w:hAnsi="Arial" w:cs="Arial"/>
          <w:b/>
          <w:color w:val="000000"/>
          <w:sz w:val="28"/>
          <w:szCs w:val="28"/>
        </w:rPr>
        <w:t>Interstate Migration</w:t>
      </w:r>
    </w:p>
    <w:p w:rsidR="00081E1C" w:rsidRPr="00D10EAD" w:rsidRDefault="00A401D7" w:rsidP="00D10EAD">
      <w:pPr>
        <w:spacing w:after="160" w:line="240" w:lineRule="atLeast"/>
        <w:rPr>
          <w:rFonts w:ascii="Arial" w:hAnsi="Arial" w:cs="Arial"/>
          <w:color w:val="000000"/>
          <w:sz w:val="22"/>
          <w:szCs w:val="22"/>
        </w:rPr>
      </w:pPr>
      <w:r w:rsidRPr="00D10EAD">
        <w:rPr>
          <w:rFonts w:ascii="Arial" w:hAnsi="Arial" w:cs="Arial"/>
          <w:color w:val="000000"/>
          <w:sz w:val="22"/>
          <w:szCs w:val="22"/>
        </w:rPr>
        <w:t xml:space="preserve">Territory </w:t>
      </w:r>
      <w:r w:rsidR="00F6088B" w:rsidRPr="00D10EAD">
        <w:rPr>
          <w:rFonts w:ascii="Arial" w:hAnsi="Arial" w:cs="Arial"/>
          <w:color w:val="000000"/>
          <w:sz w:val="22"/>
          <w:szCs w:val="22"/>
        </w:rPr>
        <w:t xml:space="preserve">net </w:t>
      </w:r>
      <w:r w:rsidR="00081E1C" w:rsidRPr="00D10EAD">
        <w:rPr>
          <w:rFonts w:ascii="Arial" w:hAnsi="Arial" w:cs="Arial"/>
          <w:color w:val="000000"/>
          <w:sz w:val="22"/>
          <w:szCs w:val="22"/>
        </w:rPr>
        <w:t>interstate migration</w:t>
      </w:r>
      <w:r w:rsidRPr="00D10EAD">
        <w:rPr>
          <w:rFonts w:ascii="Arial" w:hAnsi="Arial" w:cs="Arial"/>
          <w:color w:val="000000"/>
          <w:sz w:val="22"/>
          <w:szCs w:val="22"/>
        </w:rPr>
        <w:t xml:space="preserve"> for </w:t>
      </w:r>
      <w:r w:rsidR="001E223A" w:rsidRPr="00D10EAD">
        <w:rPr>
          <w:rFonts w:ascii="Arial" w:hAnsi="Arial" w:cs="Arial"/>
          <w:color w:val="000000"/>
          <w:sz w:val="22"/>
          <w:szCs w:val="22"/>
        </w:rPr>
        <w:t>Indigenous persons is set to -55</w:t>
      </w:r>
      <w:r w:rsidRPr="00D10EAD">
        <w:rPr>
          <w:rFonts w:ascii="Arial" w:hAnsi="Arial" w:cs="Arial"/>
          <w:color w:val="000000"/>
          <w:sz w:val="22"/>
          <w:szCs w:val="22"/>
        </w:rPr>
        <w:t xml:space="preserve"> persons per annum</w:t>
      </w:r>
      <w:r w:rsidR="00081E1C" w:rsidRPr="00D10EAD">
        <w:rPr>
          <w:rFonts w:ascii="Arial" w:hAnsi="Arial" w:cs="Arial"/>
          <w:color w:val="000000"/>
          <w:sz w:val="22"/>
          <w:szCs w:val="22"/>
        </w:rPr>
        <w:t xml:space="preserve"> </w:t>
      </w:r>
      <w:r w:rsidR="00F6088B" w:rsidRPr="00D10EAD">
        <w:rPr>
          <w:rFonts w:ascii="Arial" w:hAnsi="Arial" w:cs="Arial"/>
          <w:color w:val="000000"/>
          <w:sz w:val="22"/>
          <w:szCs w:val="22"/>
        </w:rPr>
        <w:t xml:space="preserve">as published in </w:t>
      </w:r>
      <w:r w:rsidR="003C34B6" w:rsidRPr="00D10EAD">
        <w:rPr>
          <w:rFonts w:ascii="Arial" w:hAnsi="Arial" w:cs="Arial"/>
          <w:color w:val="000000"/>
          <w:sz w:val="22"/>
          <w:szCs w:val="22"/>
        </w:rPr>
        <w:t xml:space="preserve">ABS Cat. No. </w:t>
      </w:r>
      <w:r w:rsidR="00F6088B" w:rsidRPr="00D10EAD">
        <w:rPr>
          <w:rFonts w:ascii="Arial" w:hAnsi="Arial" w:cs="Arial"/>
          <w:color w:val="000000"/>
          <w:sz w:val="22"/>
          <w:szCs w:val="22"/>
        </w:rPr>
        <w:t xml:space="preserve">3238.0. Research has shown that Indigenous persons engage in interstate migration, </w:t>
      </w:r>
      <w:r w:rsidR="00081235" w:rsidRPr="00D10EAD">
        <w:rPr>
          <w:rFonts w:ascii="Arial" w:hAnsi="Arial" w:cs="Arial"/>
          <w:color w:val="000000"/>
          <w:sz w:val="22"/>
          <w:szCs w:val="22"/>
        </w:rPr>
        <w:t>particularly around</w:t>
      </w:r>
      <w:r w:rsidR="001E223A" w:rsidRPr="00D10EAD">
        <w:rPr>
          <w:rFonts w:ascii="Arial" w:hAnsi="Arial" w:cs="Arial"/>
          <w:color w:val="000000"/>
          <w:sz w:val="22"/>
          <w:szCs w:val="22"/>
        </w:rPr>
        <w:t xml:space="preserve"> cross-border areas such as the </w:t>
      </w:r>
      <w:r w:rsidR="00081E1C" w:rsidRPr="00D10EAD">
        <w:rPr>
          <w:rFonts w:ascii="Arial" w:hAnsi="Arial" w:cs="Arial"/>
          <w:color w:val="000000"/>
          <w:sz w:val="22"/>
          <w:szCs w:val="22"/>
        </w:rPr>
        <w:t>Northern</w:t>
      </w:r>
      <w:r w:rsidR="00F6088B" w:rsidRPr="00D10EAD">
        <w:rPr>
          <w:rFonts w:ascii="Arial" w:hAnsi="Arial" w:cs="Arial"/>
          <w:color w:val="000000"/>
          <w:sz w:val="22"/>
          <w:szCs w:val="22"/>
        </w:rPr>
        <w:t> </w:t>
      </w:r>
      <w:r w:rsidR="00081E1C" w:rsidRPr="00D10EAD">
        <w:rPr>
          <w:rFonts w:ascii="Arial" w:hAnsi="Arial" w:cs="Arial"/>
          <w:color w:val="000000"/>
          <w:sz w:val="22"/>
          <w:szCs w:val="22"/>
        </w:rPr>
        <w:t>Territory/South</w:t>
      </w:r>
      <w:r w:rsidR="00D61BE0" w:rsidRPr="00D10EAD">
        <w:rPr>
          <w:rFonts w:ascii="Arial" w:hAnsi="Arial" w:cs="Arial"/>
          <w:color w:val="000000"/>
          <w:sz w:val="22"/>
          <w:szCs w:val="22"/>
        </w:rPr>
        <w:t> </w:t>
      </w:r>
      <w:r w:rsidR="00081E1C" w:rsidRPr="00D10EAD">
        <w:rPr>
          <w:rFonts w:ascii="Arial" w:hAnsi="Arial" w:cs="Arial"/>
          <w:color w:val="000000"/>
          <w:sz w:val="22"/>
          <w:szCs w:val="22"/>
        </w:rPr>
        <w:t>Australia border.</w:t>
      </w:r>
      <w:r w:rsidR="00F6088B" w:rsidRPr="00D10EAD">
        <w:rPr>
          <w:rFonts w:ascii="Arial" w:hAnsi="Arial" w:cs="Arial"/>
          <w:color w:val="000000"/>
          <w:sz w:val="22"/>
          <w:szCs w:val="22"/>
        </w:rPr>
        <w:t xml:space="preserve"> However, due to data limitations capturing these movements is difficult. </w:t>
      </w:r>
      <w:r w:rsidR="00081E1C" w:rsidRPr="00D10EAD">
        <w:rPr>
          <w:rFonts w:ascii="Arial" w:hAnsi="Arial" w:cs="Arial"/>
          <w:color w:val="000000"/>
          <w:sz w:val="22"/>
          <w:szCs w:val="22"/>
        </w:rPr>
        <w:t xml:space="preserve"> Census</w:t>
      </w:r>
      <w:r w:rsidR="00F6088B" w:rsidRPr="00D10EAD">
        <w:rPr>
          <w:rFonts w:ascii="Arial" w:hAnsi="Arial" w:cs="Arial"/>
          <w:color w:val="000000"/>
          <w:sz w:val="22"/>
          <w:szCs w:val="22"/>
        </w:rPr>
        <w:t xml:space="preserve"> data</w:t>
      </w:r>
      <w:r w:rsidR="00081E1C" w:rsidRPr="00D10EAD">
        <w:rPr>
          <w:rFonts w:ascii="Arial" w:hAnsi="Arial" w:cs="Arial"/>
          <w:color w:val="000000"/>
          <w:sz w:val="22"/>
          <w:szCs w:val="22"/>
        </w:rPr>
        <w:t xml:space="preserve"> indicates that the numbers</w:t>
      </w:r>
      <w:r w:rsidR="00F6088B" w:rsidRPr="00D10EAD">
        <w:rPr>
          <w:rFonts w:ascii="Arial" w:hAnsi="Arial" w:cs="Arial"/>
          <w:color w:val="000000"/>
          <w:sz w:val="22"/>
          <w:szCs w:val="22"/>
        </w:rPr>
        <w:t xml:space="preserve"> of Indigenous interstate movements</w:t>
      </w:r>
      <w:r w:rsidR="00081E1C" w:rsidRPr="00D10EAD">
        <w:rPr>
          <w:rFonts w:ascii="Arial" w:hAnsi="Arial" w:cs="Arial"/>
          <w:color w:val="000000"/>
          <w:sz w:val="22"/>
          <w:szCs w:val="22"/>
        </w:rPr>
        <w:t xml:space="preserve"> </w:t>
      </w:r>
      <w:r w:rsidR="00F6088B" w:rsidRPr="00D10EAD">
        <w:rPr>
          <w:rFonts w:ascii="Arial" w:hAnsi="Arial" w:cs="Arial"/>
          <w:color w:val="000000"/>
          <w:sz w:val="22"/>
          <w:szCs w:val="22"/>
        </w:rPr>
        <w:t>is</w:t>
      </w:r>
      <w:r w:rsidR="00081E1C" w:rsidRPr="00D10EAD">
        <w:rPr>
          <w:rFonts w:ascii="Arial" w:hAnsi="Arial" w:cs="Arial"/>
          <w:color w:val="000000"/>
          <w:sz w:val="22"/>
          <w:szCs w:val="22"/>
        </w:rPr>
        <w:t xml:space="preserve"> small and that</w:t>
      </w:r>
      <w:r w:rsidR="00CD44A6" w:rsidRPr="00D10EAD">
        <w:rPr>
          <w:rFonts w:ascii="Arial" w:hAnsi="Arial" w:cs="Arial"/>
          <w:color w:val="000000"/>
          <w:sz w:val="22"/>
          <w:szCs w:val="22"/>
        </w:rPr>
        <w:t xml:space="preserve">, in net terms the </w:t>
      </w:r>
      <w:r w:rsidR="00081E1C" w:rsidRPr="00D10EAD">
        <w:rPr>
          <w:rFonts w:ascii="Arial" w:hAnsi="Arial" w:cs="Arial"/>
          <w:color w:val="000000"/>
          <w:sz w:val="22"/>
          <w:szCs w:val="22"/>
        </w:rPr>
        <w:t>number is close to zero.</w:t>
      </w:r>
    </w:p>
    <w:p w:rsidR="00D85F27" w:rsidRPr="00D10EAD" w:rsidRDefault="00D85F27" w:rsidP="00D10EAD">
      <w:pPr>
        <w:spacing w:after="160" w:line="240" w:lineRule="atLeast"/>
        <w:rPr>
          <w:rFonts w:ascii="Arial" w:hAnsi="Arial" w:cs="Arial"/>
          <w:color w:val="000000"/>
          <w:sz w:val="22"/>
          <w:szCs w:val="22"/>
        </w:rPr>
      </w:pPr>
      <w:r w:rsidRPr="00D10EAD">
        <w:rPr>
          <w:rFonts w:ascii="Arial" w:hAnsi="Arial" w:cs="Arial"/>
          <w:color w:val="000000"/>
          <w:sz w:val="22"/>
          <w:szCs w:val="22"/>
        </w:rPr>
        <w:t>Net interstate migration for non-Indigenous persons in 2010-11 (-2549) and 2011-12 (-1492) are actuals. From 2012-13 onwards,</w:t>
      </w:r>
      <w:r w:rsidR="00081E1C" w:rsidRPr="00D10EAD">
        <w:rPr>
          <w:rFonts w:ascii="Arial" w:hAnsi="Arial" w:cs="Arial"/>
          <w:color w:val="000000"/>
          <w:sz w:val="22"/>
          <w:szCs w:val="22"/>
        </w:rPr>
        <w:t xml:space="preserve"> the average level of the </w:t>
      </w:r>
      <w:r w:rsidR="00CD44A6" w:rsidRPr="00D10EAD">
        <w:rPr>
          <w:rFonts w:ascii="Arial" w:hAnsi="Arial" w:cs="Arial"/>
          <w:color w:val="000000"/>
          <w:sz w:val="22"/>
          <w:szCs w:val="22"/>
        </w:rPr>
        <w:t>10 year</w:t>
      </w:r>
      <w:r w:rsidR="00081E1C" w:rsidRPr="00D10EAD">
        <w:rPr>
          <w:rFonts w:ascii="Arial" w:hAnsi="Arial" w:cs="Arial"/>
          <w:color w:val="000000"/>
          <w:sz w:val="22"/>
          <w:szCs w:val="22"/>
        </w:rPr>
        <w:t xml:space="preserve"> period </w:t>
      </w:r>
      <w:r w:rsidR="00D316EB" w:rsidRPr="00D10EAD">
        <w:rPr>
          <w:rFonts w:ascii="Arial" w:hAnsi="Arial" w:cs="Arial"/>
          <w:color w:val="000000"/>
          <w:sz w:val="22"/>
          <w:szCs w:val="22"/>
        </w:rPr>
        <w:t xml:space="preserve">between </w:t>
      </w:r>
      <w:r w:rsidR="001E223A" w:rsidRPr="00D10EAD">
        <w:rPr>
          <w:rFonts w:ascii="Arial" w:hAnsi="Arial" w:cs="Arial"/>
          <w:color w:val="000000"/>
          <w:sz w:val="22"/>
          <w:szCs w:val="22"/>
        </w:rPr>
        <w:t>2002</w:t>
      </w:r>
      <w:r w:rsidR="002F1C4E" w:rsidRPr="00D10EAD">
        <w:rPr>
          <w:rFonts w:ascii="Arial" w:hAnsi="Arial" w:cs="Arial"/>
          <w:color w:val="000000"/>
          <w:sz w:val="22"/>
          <w:szCs w:val="22"/>
        </w:rPr>
        <w:t xml:space="preserve"> </w:t>
      </w:r>
      <w:r w:rsidR="00D316EB" w:rsidRPr="00D10EAD">
        <w:rPr>
          <w:rFonts w:ascii="Arial" w:hAnsi="Arial" w:cs="Arial"/>
          <w:color w:val="000000"/>
          <w:sz w:val="22"/>
          <w:szCs w:val="22"/>
        </w:rPr>
        <w:t xml:space="preserve">and </w:t>
      </w:r>
      <w:r w:rsidR="001E223A" w:rsidRPr="00D10EAD">
        <w:rPr>
          <w:rFonts w:ascii="Arial" w:hAnsi="Arial" w:cs="Arial"/>
          <w:color w:val="000000"/>
          <w:sz w:val="22"/>
          <w:szCs w:val="22"/>
        </w:rPr>
        <w:t>2012</w:t>
      </w:r>
      <w:r w:rsidRPr="00D10EAD">
        <w:rPr>
          <w:rFonts w:ascii="Arial" w:hAnsi="Arial" w:cs="Arial"/>
          <w:color w:val="000000"/>
          <w:sz w:val="22"/>
          <w:szCs w:val="22"/>
        </w:rPr>
        <w:t xml:space="preserve"> (-634) is used. </w:t>
      </w:r>
      <w:r w:rsidR="00081E1C" w:rsidRPr="00D10EAD">
        <w:rPr>
          <w:rFonts w:ascii="Arial" w:hAnsi="Arial" w:cs="Arial"/>
          <w:color w:val="000000"/>
          <w:sz w:val="22"/>
          <w:szCs w:val="22"/>
        </w:rPr>
        <w:t xml:space="preserve">This is split </w:t>
      </w:r>
      <w:r w:rsidRPr="00D10EAD">
        <w:rPr>
          <w:rFonts w:ascii="Arial" w:hAnsi="Arial" w:cs="Arial"/>
          <w:color w:val="000000"/>
          <w:sz w:val="22"/>
          <w:szCs w:val="22"/>
        </w:rPr>
        <w:t xml:space="preserve">between males (51 per cent) </w:t>
      </w:r>
      <w:r w:rsidR="00081E1C" w:rsidRPr="00D10EAD">
        <w:rPr>
          <w:rFonts w:ascii="Arial" w:hAnsi="Arial" w:cs="Arial"/>
          <w:color w:val="000000"/>
          <w:sz w:val="22"/>
          <w:szCs w:val="22"/>
        </w:rPr>
        <w:t xml:space="preserve">and </w:t>
      </w:r>
      <w:r w:rsidRPr="00D10EAD">
        <w:rPr>
          <w:rFonts w:ascii="Arial" w:hAnsi="Arial" w:cs="Arial"/>
          <w:color w:val="000000"/>
          <w:sz w:val="22"/>
          <w:szCs w:val="22"/>
        </w:rPr>
        <w:t>females (49 per cent) using ratios obtained from migration data ABS C</w:t>
      </w:r>
      <w:r w:rsidR="00536FB5" w:rsidRPr="00D10EAD">
        <w:rPr>
          <w:rFonts w:ascii="Arial" w:hAnsi="Arial" w:cs="Arial"/>
          <w:color w:val="000000"/>
          <w:sz w:val="22"/>
          <w:szCs w:val="22"/>
        </w:rPr>
        <w:t>at. No.</w:t>
      </w:r>
      <w:r w:rsidRPr="00D10EAD">
        <w:rPr>
          <w:rFonts w:ascii="Arial" w:hAnsi="Arial" w:cs="Arial"/>
          <w:color w:val="000000"/>
          <w:sz w:val="22"/>
          <w:szCs w:val="22"/>
        </w:rPr>
        <w:t xml:space="preserve">3412.0. </w:t>
      </w:r>
    </w:p>
    <w:p w:rsidR="00081E1C" w:rsidRPr="00D10EAD" w:rsidRDefault="00081E1C" w:rsidP="00D10EAD">
      <w:pPr>
        <w:spacing w:after="160" w:line="240" w:lineRule="atLeast"/>
        <w:rPr>
          <w:rFonts w:ascii="Arial" w:hAnsi="Arial" w:cs="Arial"/>
          <w:color w:val="000000"/>
          <w:sz w:val="22"/>
          <w:szCs w:val="22"/>
        </w:rPr>
      </w:pPr>
      <w:r w:rsidRPr="00D10EAD">
        <w:rPr>
          <w:rFonts w:ascii="Arial" w:hAnsi="Arial" w:cs="Arial"/>
          <w:color w:val="000000"/>
          <w:sz w:val="22"/>
          <w:szCs w:val="22"/>
        </w:rPr>
        <w:t xml:space="preserve">Age profiles of migration to and from the Territory were based </w:t>
      </w:r>
      <w:r w:rsidR="00536FB5" w:rsidRPr="00D10EAD">
        <w:rPr>
          <w:rFonts w:ascii="Arial" w:hAnsi="Arial" w:cs="Arial"/>
          <w:color w:val="000000"/>
          <w:sz w:val="22"/>
          <w:szCs w:val="22"/>
        </w:rPr>
        <w:t xml:space="preserve">on movements of people between the 2006 and 2011 </w:t>
      </w:r>
      <w:r w:rsidR="003D0669" w:rsidRPr="00D10EAD">
        <w:rPr>
          <w:rFonts w:ascii="Arial" w:hAnsi="Arial" w:cs="Arial"/>
          <w:color w:val="000000"/>
          <w:sz w:val="22"/>
          <w:szCs w:val="22"/>
        </w:rPr>
        <w:t>C</w:t>
      </w:r>
      <w:r w:rsidRPr="00D10EAD">
        <w:rPr>
          <w:rFonts w:ascii="Arial" w:hAnsi="Arial" w:cs="Arial"/>
          <w:color w:val="000000"/>
          <w:sz w:val="22"/>
          <w:szCs w:val="22"/>
        </w:rPr>
        <w:t xml:space="preserve">ensuses. </w:t>
      </w:r>
    </w:p>
    <w:p w:rsidR="00081E1C" w:rsidRPr="00D10EAD" w:rsidRDefault="00081E1C" w:rsidP="00D10EAD">
      <w:pPr>
        <w:spacing w:before="240" w:after="160" w:line="240" w:lineRule="atLeast"/>
        <w:rPr>
          <w:rFonts w:ascii="Arial" w:hAnsi="Arial" w:cs="Arial"/>
          <w:b/>
          <w:color w:val="000000"/>
          <w:sz w:val="28"/>
          <w:szCs w:val="28"/>
        </w:rPr>
      </w:pPr>
      <w:r w:rsidRPr="00D10EAD">
        <w:rPr>
          <w:rFonts w:ascii="Arial" w:hAnsi="Arial" w:cs="Arial"/>
          <w:b/>
          <w:color w:val="000000"/>
          <w:sz w:val="28"/>
          <w:szCs w:val="28"/>
        </w:rPr>
        <w:t>Overseas Migration</w:t>
      </w:r>
    </w:p>
    <w:p w:rsidR="00081E1C" w:rsidRPr="00D10EAD" w:rsidRDefault="0056402A" w:rsidP="00D10EAD">
      <w:pPr>
        <w:spacing w:after="160" w:line="240" w:lineRule="atLeast"/>
        <w:rPr>
          <w:rFonts w:ascii="Arial" w:hAnsi="Arial" w:cs="Arial"/>
          <w:color w:val="000000"/>
          <w:sz w:val="22"/>
          <w:szCs w:val="22"/>
        </w:rPr>
      </w:pPr>
      <w:r w:rsidRPr="00D10EAD">
        <w:rPr>
          <w:rFonts w:ascii="Arial" w:hAnsi="Arial" w:cs="Arial"/>
          <w:color w:val="000000"/>
          <w:sz w:val="22"/>
          <w:szCs w:val="22"/>
        </w:rPr>
        <w:t>Net o</w:t>
      </w:r>
      <w:r w:rsidR="00081E1C" w:rsidRPr="00D10EAD">
        <w:rPr>
          <w:rFonts w:ascii="Arial" w:hAnsi="Arial" w:cs="Arial"/>
          <w:color w:val="000000"/>
          <w:sz w:val="22"/>
          <w:szCs w:val="22"/>
        </w:rPr>
        <w:t>verseas migration for Indigenous people for the Territory is set at zero.</w:t>
      </w:r>
    </w:p>
    <w:p w:rsidR="00D316EB" w:rsidRPr="00D10EAD" w:rsidRDefault="00081E1C" w:rsidP="00D10EAD">
      <w:pPr>
        <w:spacing w:after="160" w:line="240" w:lineRule="atLeast"/>
        <w:rPr>
          <w:rFonts w:ascii="Arial" w:hAnsi="Arial" w:cs="Arial"/>
          <w:color w:val="000000"/>
          <w:sz w:val="22"/>
          <w:szCs w:val="22"/>
        </w:rPr>
      </w:pPr>
      <w:r w:rsidRPr="00D10EAD">
        <w:rPr>
          <w:rFonts w:ascii="Arial" w:hAnsi="Arial" w:cs="Arial"/>
          <w:color w:val="000000"/>
          <w:sz w:val="22"/>
          <w:szCs w:val="22"/>
        </w:rPr>
        <w:t xml:space="preserve">For non-Indigenous people, </w:t>
      </w:r>
      <w:r w:rsidR="00D316EB" w:rsidRPr="00D10EAD">
        <w:rPr>
          <w:rFonts w:ascii="Arial" w:hAnsi="Arial" w:cs="Arial"/>
          <w:color w:val="000000"/>
          <w:sz w:val="22"/>
          <w:szCs w:val="22"/>
        </w:rPr>
        <w:t>overseas arrivals and departures</w:t>
      </w:r>
      <w:r w:rsidR="00D61BE0" w:rsidRPr="00D10EAD">
        <w:rPr>
          <w:rFonts w:ascii="Arial" w:hAnsi="Arial" w:cs="Arial"/>
          <w:color w:val="000000"/>
          <w:sz w:val="22"/>
          <w:szCs w:val="22"/>
        </w:rPr>
        <w:t xml:space="preserve"> data</w:t>
      </w:r>
      <w:r w:rsidR="00D316EB" w:rsidRPr="00D10EAD">
        <w:rPr>
          <w:rFonts w:ascii="Arial" w:hAnsi="Arial" w:cs="Arial"/>
          <w:color w:val="000000"/>
          <w:sz w:val="22"/>
          <w:szCs w:val="22"/>
        </w:rPr>
        <w:t xml:space="preserve"> for 2010 </w:t>
      </w:r>
      <w:r w:rsidR="00D61BE0" w:rsidRPr="00D10EAD">
        <w:rPr>
          <w:rFonts w:ascii="Arial" w:hAnsi="Arial" w:cs="Arial"/>
          <w:color w:val="000000"/>
          <w:sz w:val="22"/>
          <w:szCs w:val="22"/>
        </w:rPr>
        <w:t xml:space="preserve">is </w:t>
      </w:r>
      <w:r w:rsidR="00D316EB" w:rsidRPr="00D10EAD">
        <w:rPr>
          <w:rFonts w:ascii="Arial" w:hAnsi="Arial" w:cs="Arial"/>
          <w:color w:val="000000"/>
          <w:sz w:val="22"/>
          <w:szCs w:val="22"/>
        </w:rPr>
        <w:t>sourced from ABS Cat. No.</w:t>
      </w:r>
      <w:r w:rsidR="0085151D" w:rsidRPr="00D10EAD">
        <w:rPr>
          <w:rFonts w:ascii="Arial" w:hAnsi="Arial" w:cs="Arial"/>
          <w:color w:val="000000"/>
          <w:sz w:val="22"/>
          <w:szCs w:val="22"/>
        </w:rPr>
        <w:t xml:space="preserve"> </w:t>
      </w:r>
      <w:r w:rsidR="00D316EB" w:rsidRPr="00D10EAD">
        <w:rPr>
          <w:rFonts w:ascii="Arial" w:hAnsi="Arial" w:cs="Arial"/>
          <w:color w:val="000000"/>
          <w:sz w:val="22"/>
          <w:szCs w:val="22"/>
        </w:rPr>
        <w:t xml:space="preserve">3412.0. </w:t>
      </w:r>
      <w:r w:rsidR="00C640E0" w:rsidRPr="00D10EAD">
        <w:rPr>
          <w:rFonts w:ascii="Arial" w:hAnsi="Arial" w:cs="Arial"/>
          <w:color w:val="000000"/>
          <w:sz w:val="22"/>
          <w:szCs w:val="22"/>
        </w:rPr>
        <w:t>Overseas migration for 2010-11 (630) and 2011-12 (2004) are actuals. Projections from 2012-13 onwards are set at the 8 year average to June 2012 (1287). Ne</w:t>
      </w:r>
      <w:r w:rsidR="00372EF1" w:rsidRPr="00D10EAD">
        <w:rPr>
          <w:rFonts w:ascii="Arial" w:hAnsi="Arial" w:cs="Arial"/>
          <w:color w:val="000000"/>
          <w:sz w:val="22"/>
          <w:szCs w:val="22"/>
        </w:rPr>
        <w:t>t overseas migration arrivals are</w:t>
      </w:r>
      <w:r w:rsidR="00C640E0" w:rsidRPr="00D10EAD">
        <w:rPr>
          <w:rFonts w:ascii="Arial" w:hAnsi="Arial" w:cs="Arial"/>
          <w:color w:val="000000"/>
          <w:sz w:val="22"/>
          <w:szCs w:val="22"/>
        </w:rPr>
        <w:t xml:space="preserve"> split for 62 per cent males and 38 per cent females. Net overseas migration departures are split 67 per cent males and 33 per cent females. Male/female proportions are based on 7 year averages (ABS Cat.</w:t>
      </w:r>
      <w:r w:rsidR="0085151D" w:rsidRPr="00D10EAD">
        <w:rPr>
          <w:rFonts w:ascii="Arial" w:hAnsi="Arial" w:cs="Arial"/>
          <w:color w:val="000000"/>
          <w:sz w:val="22"/>
          <w:szCs w:val="22"/>
        </w:rPr>
        <w:t xml:space="preserve"> </w:t>
      </w:r>
      <w:r w:rsidR="00C640E0" w:rsidRPr="00D10EAD">
        <w:rPr>
          <w:rFonts w:ascii="Arial" w:hAnsi="Arial" w:cs="Arial"/>
          <w:color w:val="000000"/>
          <w:sz w:val="22"/>
          <w:szCs w:val="22"/>
        </w:rPr>
        <w:t>No.</w:t>
      </w:r>
      <w:r w:rsidR="0085151D" w:rsidRPr="00D10EAD">
        <w:rPr>
          <w:rFonts w:ascii="Arial" w:hAnsi="Arial" w:cs="Arial"/>
          <w:color w:val="000000"/>
          <w:sz w:val="22"/>
          <w:szCs w:val="22"/>
        </w:rPr>
        <w:t xml:space="preserve"> </w:t>
      </w:r>
      <w:r w:rsidR="00C640E0" w:rsidRPr="00D10EAD">
        <w:rPr>
          <w:rFonts w:ascii="Arial" w:hAnsi="Arial" w:cs="Arial"/>
          <w:color w:val="000000"/>
          <w:sz w:val="22"/>
          <w:szCs w:val="22"/>
        </w:rPr>
        <w:t xml:space="preserve">3412.0). </w:t>
      </w:r>
    </w:p>
    <w:p w:rsidR="00081E1C" w:rsidRPr="00D10EAD" w:rsidRDefault="00081E1C" w:rsidP="00D10EAD">
      <w:pPr>
        <w:spacing w:after="160" w:line="240" w:lineRule="atLeast"/>
        <w:rPr>
          <w:rFonts w:ascii="Arial" w:hAnsi="Arial" w:cs="Arial"/>
          <w:color w:val="000000"/>
          <w:sz w:val="22"/>
          <w:szCs w:val="22"/>
        </w:rPr>
      </w:pPr>
      <w:r w:rsidRPr="00D10EAD">
        <w:rPr>
          <w:rFonts w:ascii="Arial" w:hAnsi="Arial" w:cs="Arial"/>
          <w:color w:val="000000"/>
          <w:sz w:val="22"/>
          <w:szCs w:val="22"/>
        </w:rPr>
        <w:t>For the age profiles of overseas migration for non-Indigenous people, the average age profile over the period 1995-96 to 2005-06 was based on passenger card data supplied by ABS. The data refers to long-term and permanent migrants.</w:t>
      </w:r>
    </w:p>
    <w:p w:rsidR="00081E1C" w:rsidRPr="00D10EAD" w:rsidRDefault="00081E1C" w:rsidP="00D10EAD">
      <w:pPr>
        <w:spacing w:before="240" w:after="160" w:line="240" w:lineRule="atLeast"/>
        <w:rPr>
          <w:rFonts w:ascii="Arial" w:hAnsi="Arial" w:cs="Arial"/>
          <w:b/>
          <w:color w:val="000000"/>
          <w:sz w:val="28"/>
          <w:szCs w:val="28"/>
        </w:rPr>
      </w:pPr>
      <w:r w:rsidRPr="00D10EAD">
        <w:rPr>
          <w:rFonts w:ascii="Arial" w:hAnsi="Arial" w:cs="Arial"/>
          <w:b/>
          <w:color w:val="000000"/>
          <w:sz w:val="28"/>
          <w:szCs w:val="28"/>
        </w:rPr>
        <w:t>Regional Migration</w:t>
      </w:r>
    </w:p>
    <w:p w:rsidR="00081E1C" w:rsidRPr="00D10EAD" w:rsidRDefault="00081E1C" w:rsidP="00D10EAD">
      <w:pPr>
        <w:spacing w:after="160" w:line="240" w:lineRule="atLeast"/>
        <w:rPr>
          <w:rFonts w:ascii="Arial" w:hAnsi="Arial" w:cs="Arial"/>
          <w:color w:val="000000"/>
          <w:sz w:val="22"/>
          <w:szCs w:val="22"/>
        </w:rPr>
      </w:pPr>
      <w:r w:rsidRPr="00D10EAD">
        <w:rPr>
          <w:rFonts w:ascii="Arial" w:hAnsi="Arial" w:cs="Arial"/>
          <w:color w:val="000000"/>
          <w:sz w:val="22"/>
          <w:szCs w:val="22"/>
        </w:rPr>
        <w:t xml:space="preserve">As noted previously in this report, the regional population projections </w:t>
      </w:r>
      <w:r w:rsidR="0039003A" w:rsidRPr="00D10EAD">
        <w:rPr>
          <w:rFonts w:ascii="Arial" w:hAnsi="Arial" w:cs="Arial"/>
          <w:color w:val="000000"/>
          <w:sz w:val="22"/>
          <w:szCs w:val="22"/>
        </w:rPr>
        <w:t>have greater</w:t>
      </w:r>
      <w:r w:rsidRPr="00D10EAD">
        <w:rPr>
          <w:rFonts w:ascii="Arial" w:hAnsi="Arial" w:cs="Arial"/>
          <w:color w:val="000000"/>
          <w:sz w:val="22"/>
          <w:szCs w:val="22"/>
        </w:rPr>
        <w:t xml:space="preserve"> limitations than the Territory total projections because the base input data is less accurate for smaller geographic areas, and the migration</w:t>
      </w:r>
      <w:r w:rsidR="003E3231" w:rsidRPr="00D10EAD">
        <w:rPr>
          <w:rFonts w:ascii="Arial" w:hAnsi="Arial" w:cs="Arial"/>
          <w:color w:val="000000"/>
          <w:sz w:val="22"/>
          <w:szCs w:val="22"/>
        </w:rPr>
        <w:t xml:space="preserve"> </w:t>
      </w:r>
      <w:r w:rsidRPr="00D10EAD">
        <w:rPr>
          <w:rFonts w:ascii="Arial" w:hAnsi="Arial" w:cs="Arial"/>
          <w:color w:val="000000"/>
          <w:sz w:val="22"/>
          <w:szCs w:val="22"/>
        </w:rPr>
        <w:t>flows become more complex at lower geographic levels as intra-regional as well as interstate and international migration to the Territory needs to be taken into account.</w:t>
      </w:r>
    </w:p>
    <w:p w:rsidR="00081E1C" w:rsidRPr="00D10EAD" w:rsidRDefault="00081E1C" w:rsidP="00D10EAD">
      <w:pPr>
        <w:spacing w:after="160" w:line="240" w:lineRule="atLeast"/>
        <w:rPr>
          <w:rFonts w:ascii="Arial" w:hAnsi="Arial" w:cs="Arial"/>
          <w:color w:val="000000"/>
          <w:sz w:val="22"/>
          <w:szCs w:val="22"/>
        </w:rPr>
      </w:pPr>
      <w:r w:rsidRPr="00D10EAD">
        <w:rPr>
          <w:rFonts w:ascii="Arial" w:hAnsi="Arial" w:cs="Arial"/>
          <w:color w:val="000000"/>
          <w:sz w:val="22"/>
          <w:szCs w:val="22"/>
        </w:rPr>
        <w:t>Regional net migration is</w:t>
      </w:r>
      <w:r w:rsidR="00210680" w:rsidRPr="00D10EAD">
        <w:rPr>
          <w:rFonts w:ascii="Arial" w:hAnsi="Arial" w:cs="Arial"/>
          <w:color w:val="000000"/>
          <w:sz w:val="22"/>
          <w:szCs w:val="22"/>
        </w:rPr>
        <w:t xml:space="preserve"> set as the</w:t>
      </w:r>
      <w:r w:rsidRPr="00D10EAD">
        <w:rPr>
          <w:rFonts w:ascii="Arial" w:hAnsi="Arial" w:cs="Arial"/>
          <w:color w:val="000000"/>
          <w:sz w:val="22"/>
          <w:szCs w:val="22"/>
        </w:rPr>
        <w:t xml:space="preserve"> sum of (1) net interstate, (2) net intra-Territory and (3) net overseas migration</w:t>
      </w:r>
      <w:r w:rsidR="00D61BE0" w:rsidRPr="00D10EAD">
        <w:rPr>
          <w:rFonts w:ascii="Arial" w:hAnsi="Arial" w:cs="Arial"/>
          <w:color w:val="000000"/>
          <w:sz w:val="22"/>
          <w:szCs w:val="22"/>
        </w:rPr>
        <w:t>, with</w:t>
      </w:r>
      <w:r w:rsidRPr="00D10EAD">
        <w:rPr>
          <w:rFonts w:ascii="Arial" w:hAnsi="Arial" w:cs="Arial"/>
          <w:color w:val="000000"/>
          <w:sz w:val="22"/>
          <w:szCs w:val="22"/>
        </w:rPr>
        <w:t xml:space="preserve"> </w:t>
      </w:r>
      <w:r w:rsidR="00D61BE0" w:rsidRPr="00D10EAD">
        <w:rPr>
          <w:rFonts w:ascii="Arial" w:hAnsi="Arial" w:cs="Arial"/>
          <w:color w:val="000000"/>
          <w:sz w:val="22"/>
          <w:szCs w:val="22"/>
        </w:rPr>
        <w:t xml:space="preserve">net </w:t>
      </w:r>
      <w:r w:rsidRPr="00D10EAD">
        <w:rPr>
          <w:rFonts w:ascii="Arial" w:hAnsi="Arial" w:cs="Arial"/>
          <w:color w:val="000000"/>
          <w:sz w:val="22"/>
          <w:szCs w:val="22"/>
        </w:rPr>
        <w:t xml:space="preserve">intra-Territory migration </w:t>
      </w:r>
      <w:r w:rsidR="00D61BE0" w:rsidRPr="00D10EAD">
        <w:rPr>
          <w:rFonts w:ascii="Arial" w:hAnsi="Arial" w:cs="Arial"/>
          <w:color w:val="000000"/>
          <w:sz w:val="22"/>
          <w:szCs w:val="22"/>
        </w:rPr>
        <w:t xml:space="preserve">summing </w:t>
      </w:r>
      <w:r w:rsidRPr="00D10EAD">
        <w:rPr>
          <w:rFonts w:ascii="Arial" w:hAnsi="Arial" w:cs="Arial"/>
          <w:color w:val="000000"/>
          <w:sz w:val="22"/>
          <w:szCs w:val="22"/>
        </w:rPr>
        <w:t xml:space="preserve">to zero. Regional net migration for all three types of migration for all regions sums to net interstate and net overseas migration for the Territory as a whole. </w:t>
      </w:r>
    </w:p>
    <w:p w:rsidR="00081E1C" w:rsidRPr="00D10EAD" w:rsidRDefault="00081E1C" w:rsidP="00D10EAD">
      <w:pPr>
        <w:spacing w:after="160" w:line="240" w:lineRule="atLeast"/>
        <w:rPr>
          <w:rFonts w:ascii="Arial" w:hAnsi="Arial" w:cs="Arial"/>
          <w:color w:val="000000"/>
          <w:sz w:val="22"/>
          <w:szCs w:val="22"/>
        </w:rPr>
      </w:pPr>
      <w:r w:rsidRPr="00D10EAD">
        <w:rPr>
          <w:rFonts w:ascii="Arial" w:hAnsi="Arial" w:cs="Arial"/>
          <w:color w:val="000000"/>
          <w:sz w:val="22"/>
          <w:szCs w:val="22"/>
        </w:rPr>
        <w:t xml:space="preserve">Census </w:t>
      </w:r>
      <w:r w:rsidR="00823FAF" w:rsidRPr="00D10EAD">
        <w:rPr>
          <w:rFonts w:ascii="Arial" w:hAnsi="Arial" w:cs="Arial"/>
          <w:color w:val="000000"/>
          <w:sz w:val="22"/>
          <w:szCs w:val="22"/>
        </w:rPr>
        <w:t xml:space="preserve">(2006 Census and 2011 Census) </w:t>
      </w:r>
      <w:r w:rsidR="00A27C92" w:rsidRPr="00D10EAD">
        <w:rPr>
          <w:rFonts w:ascii="Arial" w:hAnsi="Arial" w:cs="Arial"/>
          <w:color w:val="000000"/>
          <w:sz w:val="22"/>
          <w:szCs w:val="22"/>
        </w:rPr>
        <w:t>data on migration patterns was used to al</w:t>
      </w:r>
      <w:r w:rsidR="001F6FFC" w:rsidRPr="00D10EAD">
        <w:rPr>
          <w:rFonts w:ascii="Arial" w:hAnsi="Arial" w:cs="Arial"/>
          <w:color w:val="000000"/>
          <w:sz w:val="22"/>
          <w:szCs w:val="22"/>
        </w:rPr>
        <w:t xml:space="preserve">locate migration to the regions. </w:t>
      </w:r>
      <w:r w:rsidR="00A27C92" w:rsidRPr="00D10EAD">
        <w:rPr>
          <w:rFonts w:ascii="Arial" w:hAnsi="Arial" w:cs="Arial"/>
          <w:color w:val="000000"/>
          <w:sz w:val="22"/>
          <w:szCs w:val="22"/>
        </w:rPr>
        <w:t xml:space="preserve"> </w:t>
      </w:r>
    </w:p>
    <w:sectPr w:rsidR="00081E1C" w:rsidRPr="00D10EAD" w:rsidSect="00CD46A0">
      <w:headerReference w:type="even" r:id="rId34"/>
      <w:headerReference w:type="default" r:id="rId35"/>
      <w:footerReference w:type="even" r:id="rId36"/>
      <w:footerReference w:type="default" r:id="rId37"/>
      <w:headerReference w:type="first" r:id="rId38"/>
      <w:pgSz w:w="11906" w:h="16838"/>
      <w:pgMar w:top="1242" w:right="1440" w:bottom="993" w:left="144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4BE" w:rsidRDefault="001E14BE" w:rsidP="00F63A03">
      <w:r>
        <w:separator/>
      </w:r>
    </w:p>
  </w:endnote>
  <w:endnote w:type="continuationSeparator" w:id="0">
    <w:p w:rsidR="001E14BE" w:rsidRDefault="001E14BE" w:rsidP="00F6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Std">
    <w:panose1 w:val="020B0402020200020204"/>
    <w:charset w:val="00"/>
    <w:family w:val="swiss"/>
    <w:notTrueType/>
    <w:pitch w:val="variable"/>
    <w:sig w:usb0="800000AF" w:usb1="4000204A" w:usb2="00000000" w:usb3="00000000" w:csb0="00000001" w:csb1="00000000"/>
  </w:font>
  <w:font w:name="Arial Narrow MT Std">
    <w:panose1 w:val="020B0506020202030204"/>
    <w:charset w:val="00"/>
    <w:family w:val="swiss"/>
    <w:notTrueType/>
    <w:pitch w:val="variable"/>
    <w:sig w:usb0="800000AF" w:usb1="4000204A" w:usb2="00000000" w:usb3="00000000" w:csb0="00000001" w:csb1="00000000"/>
  </w:font>
  <w:font w:name="Arial MT Std Light">
    <w:panose1 w:val="020B0302030403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4BE" w:rsidRDefault="001E14BE" w:rsidP="00CD46A0">
    <w:pPr>
      <w:pStyle w:val="Header"/>
      <w:pBdr>
        <w:top w:val="single" w:sz="4" w:space="1" w:color="auto"/>
      </w:pBdr>
      <w:tabs>
        <w:tab w:val="clear" w:pos="4513"/>
        <w:tab w:val="clear" w:pos="9026"/>
        <w:tab w:val="left" w:pos="284"/>
      </w:tabs>
    </w:pPr>
    <w:r w:rsidRPr="00D10EAD">
      <w:rPr>
        <w:rFonts w:ascii="Arial" w:hAnsi="Arial" w:cs="Arial"/>
        <w:sz w:val="18"/>
        <w:szCs w:val="18"/>
      </w:rPr>
      <w:fldChar w:fldCharType="begin"/>
    </w:r>
    <w:r w:rsidRPr="00D10EAD">
      <w:rPr>
        <w:rFonts w:ascii="Arial" w:hAnsi="Arial" w:cs="Arial"/>
        <w:sz w:val="18"/>
        <w:szCs w:val="18"/>
      </w:rPr>
      <w:instrText xml:space="preserve"> PAGE   \* MERGEFORMAT </w:instrText>
    </w:r>
    <w:r w:rsidRPr="00D10EAD">
      <w:rPr>
        <w:rFonts w:ascii="Arial" w:hAnsi="Arial" w:cs="Arial"/>
        <w:sz w:val="18"/>
        <w:szCs w:val="18"/>
      </w:rPr>
      <w:fldChar w:fldCharType="separate"/>
    </w:r>
    <w:r w:rsidR="00244C1C">
      <w:rPr>
        <w:rFonts w:ascii="Arial" w:hAnsi="Arial" w:cs="Arial"/>
        <w:noProof/>
        <w:sz w:val="18"/>
        <w:szCs w:val="18"/>
      </w:rPr>
      <w:t>20</w:t>
    </w:r>
    <w:r w:rsidRPr="00D10EAD">
      <w:rPr>
        <w:rFonts w:ascii="Arial" w:hAnsi="Arial" w:cs="Arial"/>
        <w:sz w:val="18"/>
        <w:szCs w:val="18"/>
      </w:rPr>
      <w:fldChar w:fldCharType="end"/>
    </w:r>
    <w:r w:rsidRPr="00D10EAD">
      <w:rPr>
        <w:rFonts w:ascii="Arial" w:hAnsi="Arial" w:cs="Arial"/>
        <w:sz w:val="18"/>
        <w:szCs w:val="18"/>
      </w:rPr>
      <w:t xml:space="preserve"> </w:t>
    </w:r>
    <w:r>
      <w:rPr>
        <w:rFonts w:ascii="Arial" w:hAnsi="Arial" w:cs="Arial"/>
        <w:sz w:val="18"/>
        <w:szCs w:val="18"/>
      </w:rPr>
      <w:tab/>
    </w:r>
    <w:r w:rsidRPr="00557AE8">
      <w:rPr>
        <w:rFonts w:ascii="Arial" w:hAnsi="Arial" w:cs="Arial"/>
        <w:sz w:val="18"/>
        <w:szCs w:val="18"/>
      </w:rPr>
      <w:t>Northern Territory Population Projections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4BE" w:rsidRPr="00D10EAD" w:rsidRDefault="001E14BE" w:rsidP="00CD46A0">
    <w:pPr>
      <w:pStyle w:val="Footer"/>
      <w:pBdr>
        <w:top w:val="single" w:sz="4" w:space="1" w:color="auto"/>
      </w:pBdr>
      <w:tabs>
        <w:tab w:val="clear" w:pos="4513"/>
        <w:tab w:val="right" w:pos="8789"/>
      </w:tabs>
      <w:rPr>
        <w:sz w:val="18"/>
        <w:szCs w:val="18"/>
      </w:rPr>
    </w:pPr>
    <w:r>
      <w:rPr>
        <w:rFonts w:ascii="Arial" w:hAnsi="Arial" w:cs="Arial"/>
        <w:sz w:val="18"/>
        <w:szCs w:val="18"/>
      </w:rPr>
      <w:tab/>
    </w:r>
    <w:r w:rsidRPr="00557AE8">
      <w:rPr>
        <w:rFonts w:ascii="Arial" w:hAnsi="Arial" w:cs="Arial"/>
        <w:sz w:val="18"/>
        <w:szCs w:val="18"/>
      </w:rPr>
      <w:t>Northern Territory Population Projections</w:t>
    </w:r>
    <w:r>
      <w:rPr>
        <w:rFonts w:ascii="Arial" w:hAnsi="Arial" w:cs="Arial"/>
        <w:sz w:val="18"/>
        <w:szCs w:val="18"/>
      </w:rPr>
      <w:t xml:space="preserve"> </w:t>
    </w:r>
    <w:r>
      <w:rPr>
        <w:rFonts w:ascii="Arial" w:hAnsi="Arial" w:cs="Arial"/>
        <w:sz w:val="18"/>
        <w:szCs w:val="18"/>
      </w:rPr>
      <w:tab/>
    </w:r>
    <w:r w:rsidRPr="00D10EAD">
      <w:rPr>
        <w:rFonts w:ascii="Arial" w:hAnsi="Arial" w:cs="Arial"/>
        <w:sz w:val="18"/>
        <w:szCs w:val="18"/>
      </w:rPr>
      <w:fldChar w:fldCharType="begin"/>
    </w:r>
    <w:r w:rsidRPr="00D10EAD">
      <w:rPr>
        <w:rFonts w:ascii="Arial" w:hAnsi="Arial" w:cs="Arial"/>
        <w:sz w:val="18"/>
        <w:szCs w:val="18"/>
      </w:rPr>
      <w:instrText xml:space="preserve"> PAGE   \* MERGEFORMAT </w:instrText>
    </w:r>
    <w:r w:rsidRPr="00D10EAD">
      <w:rPr>
        <w:rFonts w:ascii="Arial" w:hAnsi="Arial" w:cs="Arial"/>
        <w:sz w:val="18"/>
        <w:szCs w:val="18"/>
      </w:rPr>
      <w:fldChar w:fldCharType="separate"/>
    </w:r>
    <w:r w:rsidR="00244C1C">
      <w:rPr>
        <w:rFonts w:ascii="Arial" w:hAnsi="Arial" w:cs="Arial"/>
        <w:noProof/>
        <w:sz w:val="18"/>
        <w:szCs w:val="18"/>
      </w:rPr>
      <w:t>21</w:t>
    </w:r>
    <w:r w:rsidRPr="00D10EA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4BE" w:rsidRDefault="001E14BE" w:rsidP="00F63A03">
      <w:r>
        <w:separator/>
      </w:r>
    </w:p>
  </w:footnote>
  <w:footnote w:type="continuationSeparator" w:id="0">
    <w:p w:rsidR="001E14BE" w:rsidRDefault="001E14BE" w:rsidP="00F63A03">
      <w:r>
        <w:continuationSeparator/>
      </w:r>
    </w:p>
  </w:footnote>
  <w:footnote w:id="1">
    <w:p w:rsidR="001E14BE" w:rsidRDefault="001E14BE" w:rsidP="001F23B0">
      <w:pPr>
        <w:rPr>
          <w:rFonts w:ascii="Garamond" w:hAnsi="Garamond" w:cs="Arial"/>
        </w:rPr>
      </w:pPr>
      <w:r>
        <w:rPr>
          <w:rStyle w:val="FootnoteReference"/>
        </w:rPr>
        <w:footnoteRef/>
      </w:r>
      <w:r>
        <w:t xml:space="preserve"> </w:t>
      </w:r>
      <w:r>
        <w:rPr>
          <w:rFonts w:ascii="Garamond" w:hAnsi="Garamond" w:cs="Arial"/>
        </w:rPr>
        <w:t xml:space="preserve">Taylor, A. (2011). The Forecasting of Remote Area Populations: Numbers Aren't Everything, In D. Carson, R. Rasmussen, P. C. Ensign, A. Taylor and L. Huskey (Eds). </w:t>
      </w:r>
      <w:r>
        <w:rPr>
          <w:rFonts w:ascii="Garamond" w:hAnsi="Garamond" w:cs="Arial"/>
          <w:i/>
        </w:rPr>
        <w:t>Demography at the Edge: Remote human populations in developed nations</w:t>
      </w:r>
      <w:r>
        <w:rPr>
          <w:rFonts w:ascii="Garamond" w:hAnsi="Garamond" w:cs="Arial"/>
        </w:rPr>
        <w:t>. Farnham, England: Ashgate Publishing, 39-52.</w:t>
      </w:r>
    </w:p>
    <w:p w:rsidR="001E14BE" w:rsidRDefault="001E14B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4BE" w:rsidRPr="00DA0931" w:rsidRDefault="001E14BE" w:rsidP="00DA0931">
    <w:pPr>
      <w:pStyle w:val="Header"/>
      <w:pBdr>
        <w:bottom w:val="single" w:sz="4" w:space="1" w:color="auto"/>
      </w:pBdr>
      <w:rPr>
        <w:rFonts w:ascii="Arial" w:hAnsi="Arial" w:cs="Arial"/>
        <w:sz w:val="18"/>
        <w:szCs w:val="18"/>
      </w:rPr>
    </w:pPr>
    <w:r w:rsidRPr="00DA0931">
      <w:rPr>
        <w:rFonts w:ascii="Arial" w:hAnsi="Arial" w:cs="Arial"/>
        <w:sz w:val="18"/>
        <w:szCs w:val="18"/>
      </w:rPr>
      <w:t>Department of Treasury and Finance</w:t>
    </w:r>
  </w:p>
  <w:p w:rsidR="001E14BE" w:rsidRDefault="001E1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4BE" w:rsidRPr="00DA0931" w:rsidRDefault="001E14BE" w:rsidP="00DA0931">
    <w:pPr>
      <w:pStyle w:val="Header"/>
      <w:pBdr>
        <w:bottom w:val="single" w:sz="4" w:space="1" w:color="auto"/>
      </w:pBdr>
      <w:jc w:val="right"/>
      <w:rPr>
        <w:rFonts w:ascii="Arial" w:hAnsi="Arial" w:cs="Arial"/>
        <w:sz w:val="18"/>
        <w:szCs w:val="18"/>
      </w:rPr>
    </w:pPr>
    <w:r w:rsidRPr="00DA0931">
      <w:rPr>
        <w:rFonts w:ascii="Arial" w:hAnsi="Arial" w:cs="Arial"/>
        <w:sz w:val="18"/>
        <w:szCs w:val="18"/>
      </w:rPr>
      <w:t>Department of Treasury and Finance</w:t>
    </w:r>
  </w:p>
  <w:p w:rsidR="001E14BE" w:rsidRDefault="001E1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4BE" w:rsidRDefault="001E14BE">
    <w:pPr>
      <w:pStyle w:val="Header"/>
    </w:pPr>
    <w:r>
      <w:rPr>
        <w:noProof/>
        <w:lang w:eastAsia="en-AU"/>
      </w:rPr>
      <w:drawing>
        <wp:anchor distT="0" distB="0" distL="114300" distR="114300" simplePos="0" relativeHeight="251659264" behindDoc="1" locked="0" layoutInCell="1" allowOverlap="1" wp14:anchorId="1EA6EE85" wp14:editId="051929DB">
          <wp:simplePos x="0" y="0"/>
          <wp:positionH relativeFrom="page">
            <wp:posOffset>0</wp:posOffset>
          </wp:positionH>
          <wp:positionV relativeFrom="page">
            <wp:posOffset>0</wp:posOffset>
          </wp:positionV>
          <wp:extent cx="1075055" cy="1075055"/>
          <wp:effectExtent l="0" t="0" r="0" b="0"/>
          <wp:wrapNone/>
          <wp:docPr id="2" name="Picture 2" descr="Image: NT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NT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1075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DE3"/>
    <w:multiLevelType w:val="hybridMultilevel"/>
    <w:tmpl w:val="057CE520"/>
    <w:lvl w:ilvl="0" w:tplc="93E2E6FC">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0574E"/>
    <w:multiLevelType w:val="hybridMultilevel"/>
    <w:tmpl w:val="603C4EFC"/>
    <w:lvl w:ilvl="0" w:tplc="AE72BEB8">
      <w:start w:val="1"/>
      <w:numFmt w:val="bullet"/>
      <w:lvlText w:val=""/>
      <w:lvlJc w:val="left"/>
      <w:pPr>
        <w:tabs>
          <w:tab w:val="num" w:pos="700"/>
        </w:tabs>
        <w:ind w:left="623" w:hanging="283"/>
      </w:pPr>
      <w:rPr>
        <w:rFonts w:ascii="Symbol" w:hAnsi="Symbol" w:hint="default"/>
        <w:b w:val="0"/>
        <w:i w:val="0"/>
        <w:color w:val="6600C0"/>
        <w:sz w:val="22"/>
      </w:rPr>
    </w:lvl>
    <w:lvl w:ilvl="1" w:tplc="345E6A7A">
      <w:start w:val="1"/>
      <w:numFmt w:val="bullet"/>
      <w:pStyle w:val="NTTPolicyDashText"/>
      <w:lvlText w:val=""/>
      <w:lvlJc w:val="left"/>
      <w:pPr>
        <w:tabs>
          <w:tab w:val="num" w:pos="644"/>
        </w:tabs>
        <w:ind w:left="567" w:hanging="283"/>
      </w:pPr>
      <w:rPr>
        <w:rFonts w:ascii="Symbol" w:hAnsi="Symbol" w:hint="default"/>
        <w:b w:val="0"/>
        <w:i w:val="0"/>
        <w:color w:val="333399"/>
        <w:sz w:val="22"/>
      </w:rPr>
    </w:lvl>
    <w:lvl w:ilvl="2" w:tplc="218C5FCA" w:tentative="1">
      <w:start w:val="1"/>
      <w:numFmt w:val="bullet"/>
      <w:lvlText w:val=""/>
      <w:lvlJc w:val="left"/>
      <w:pPr>
        <w:tabs>
          <w:tab w:val="num" w:pos="2160"/>
        </w:tabs>
        <w:ind w:left="2160" w:hanging="360"/>
      </w:pPr>
      <w:rPr>
        <w:rFonts w:ascii="Wingdings" w:hAnsi="Wingdings" w:hint="default"/>
      </w:rPr>
    </w:lvl>
    <w:lvl w:ilvl="3" w:tplc="4CDE5626" w:tentative="1">
      <w:start w:val="1"/>
      <w:numFmt w:val="bullet"/>
      <w:lvlText w:val=""/>
      <w:lvlJc w:val="left"/>
      <w:pPr>
        <w:tabs>
          <w:tab w:val="num" w:pos="2880"/>
        </w:tabs>
        <w:ind w:left="2880" w:hanging="360"/>
      </w:pPr>
      <w:rPr>
        <w:rFonts w:ascii="Symbol" w:hAnsi="Symbol" w:hint="default"/>
      </w:rPr>
    </w:lvl>
    <w:lvl w:ilvl="4" w:tplc="6168518E" w:tentative="1">
      <w:start w:val="1"/>
      <w:numFmt w:val="bullet"/>
      <w:lvlText w:val="o"/>
      <w:lvlJc w:val="left"/>
      <w:pPr>
        <w:tabs>
          <w:tab w:val="num" w:pos="3600"/>
        </w:tabs>
        <w:ind w:left="3600" w:hanging="360"/>
      </w:pPr>
      <w:rPr>
        <w:rFonts w:ascii="Courier New" w:hAnsi="Courier New" w:hint="default"/>
      </w:rPr>
    </w:lvl>
    <w:lvl w:ilvl="5" w:tplc="3B102F12" w:tentative="1">
      <w:start w:val="1"/>
      <w:numFmt w:val="bullet"/>
      <w:lvlText w:val=""/>
      <w:lvlJc w:val="left"/>
      <w:pPr>
        <w:tabs>
          <w:tab w:val="num" w:pos="4320"/>
        </w:tabs>
        <w:ind w:left="4320" w:hanging="360"/>
      </w:pPr>
      <w:rPr>
        <w:rFonts w:ascii="Wingdings" w:hAnsi="Wingdings" w:hint="default"/>
      </w:rPr>
    </w:lvl>
    <w:lvl w:ilvl="6" w:tplc="35EAD666" w:tentative="1">
      <w:start w:val="1"/>
      <w:numFmt w:val="bullet"/>
      <w:lvlText w:val=""/>
      <w:lvlJc w:val="left"/>
      <w:pPr>
        <w:tabs>
          <w:tab w:val="num" w:pos="5040"/>
        </w:tabs>
        <w:ind w:left="5040" w:hanging="360"/>
      </w:pPr>
      <w:rPr>
        <w:rFonts w:ascii="Symbol" w:hAnsi="Symbol" w:hint="default"/>
      </w:rPr>
    </w:lvl>
    <w:lvl w:ilvl="7" w:tplc="A8C06CD2" w:tentative="1">
      <w:start w:val="1"/>
      <w:numFmt w:val="bullet"/>
      <w:lvlText w:val="o"/>
      <w:lvlJc w:val="left"/>
      <w:pPr>
        <w:tabs>
          <w:tab w:val="num" w:pos="5760"/>
        </w:tabs>
        <w:ind w:left="5760" w:hanging="360"/>
      </w:pPr>
      <w:rPr>
        <w:rFonts w:ascii="Courier New" w:hAnsi="Courier New" w:hint="default"/>
      </w:rPr>
    </w:lvl>
    <w:lvl w:ilvl="8" w:tplc="5184A9F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64F16"/>
    <w:multiLevelType w:val="hybridMultilevel"/>
    <w:tmpl w:val="79BC8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E16341"/>
    <w:multiLevelType w:val="multilevel"/>
    <w:tmpl w:val="E21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A7900"/>
    <w:multiLevelType w:val="hybridMultilevel"/>
    <w:tmpl w:val="9ECA48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A34FED"/>
    <w:multiLevelType w:val="hybridMultilevel"/>
    <w:tmpl w:val="FE3278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AB2E5D"/>
    <w:multiLevelType w:val="hybridMultilevel"/>
    <w:tmpl w:val="5E544A56"/>
    <w:lvl w:ilvl="0" w:tplc="964EB2C0">
      <w:start w:val="1"/>
      <w:numFmt w:val="decimal"/>
      <w:pStyle w:val="NTTProcedureNumbertext"/>
      <w:lvlText w:val="%1."/>
      <w:lvlJc w:val="left"/>
      <w:pPr>
        <w:ind w:left="360" w:hanging="360"/>
      </w:pPr>
      <w:rPr>
        <w:rFonts w:hint="default"/>
        <w:color w:val="000000"/>
        <w:sz w:val="22"/>
        <w:szCs w:val="22"/>
      </w:rPr>
    </w:lvl>
    <w:lvl w:ilvl="1" w:tplc="FFFFFFFF">
      <w:start w:val="1"/>
      <w:numFmt w:val="bullet"/>
      <w:lvlText w:val=""/>
      <w:lvlJc w:val="left"/>
      <w:pPr>
        <w:tabs>
          <w:tab w:val="num" w:pos="567"/>
        </w:tabs>
        <w:ind w:left="567" w:hanging="283"/>
      </w:pPr>
      <w:rPr>
        <w:rFonts w:ascii="Symbol" w:hAnsi="Symbol" w:hint="default"/>
        <w:b w:val="0"/>
        <w:i w:val="0"/>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C7AAE"/>
    <w:multiLevelType w:val="hybridMultilevel"/>
    <w:tmpl w:val="7618D302"/>
    <w:lvl w:ilvl="0" w:tplc="32F4421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190338"/>
    <w:multiLevelType w:val="hybridMultilevel"/>
    <w:tmpl w:val="3272A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1A0931"/>
    <w:multiLevelType w:val="hybridMultilevel"/>
    <w:tmpl w:val="802EEBDC"/>
    <w:lvl w:ilvl="0" w:tplc="4D82C466">
      <w:start w:val="1"/>
      <w:numFmt w:val="bullet"/>
      <w:pStyle w:val="PoliceBulletTex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F3614CE"/>
    <w:multiLevelType w:val="hybridMultilevel"/>
    <w:tmpl w:val="A1E2D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6850CF"/>
    <w:multiLevelType w:val="hybridMultilevel"/>
    <w:tmpl w:val="A1605686"/>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2" w15:restartNumberingAfterBreak="0">
    <w:nsid w:val="21EB61CD"/>
    <w:multiLevelType w:val="hybridMultilevel"/>
    <w:tmpl w:val="7158D2D8"/>
    <w:lvl w:ilvl="0" w:tplc="2B50FBAA">
      <w:start w:val="1"/>
      <w:numFmt w:val="bullet"/>
      <w:pStyle w:val="PassTable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330D2F"/>
    <w:multiLevelType w:val="hybridMultilevel"/>
    <w:tmpl w:val="D00C0B38"/>
    <w:lvl w:ilvl="0" w:tplc="DBA4DF52">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308D4F85"/>
    <w:multiLevelType w:val="hybridMultilevel"/>
    <w:tmpl w:val="8EB429F4"/>
    <w:lvl w:ilvl="0" w:tplc="EA0EC140">
      <w:start w:val="1"/>
      <w:numFmt w:val="lowerLetter"/>
      <w:lvlText w:val="%1)"/>
      <w:lvlJc w:val="left"/>
      <w:pPr>
        <w:tabs>
          <w:tab w:val="num" w:pos="720"/>
        </w:tabs>
        <w:ind w:left="720" w:hanging="360"/>
      </w:pPr>
      <w:rPr>
        <w:rFonts w:hint="default"/>
      </w:rPr>
    </w:lvl>
    <w:lvl w:ilvl="1" w:tplc="C01EE4AA">
      <w:start w:val="1"/>
      <w:numFmt w:val="lowerRoman"/>
      <w:pStyle w:val="NTTPolicyLettertext2"/>
      <w:lvlText w:val="%2."/>
      <w:lvlJc w:val="right"/>
      <w:pPr>
        <w:tabs>
          <w:tab w:val="num" w:pos="1260"/>
        </w:tabs>
        <w:ind w:left="1260" w:hanging="18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77428DA"/>
    <w:multiLevelType w:val="hybridMultilevel"/>
    <w:tmpl w:val="D5445214"/>
    <w:lvl w:ilvl="0" w:tplc="32F4421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3D2DD1"/>
    <w:multiLevelType w:val="hybridMultilevel"/>
    <w:tmpl w:val="87822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CB45CE"/>
    <w:multiLevelType w:val="hybridMultilevel"/>
    <w:tmpl w:val="78C24706"/>
    <w:lvl w:ilvl="0" w:tplc="8ED06768">
      <w:start w:val="1"/>
      <w:numFmt w:val="bullet"/>
      <w:pStyle w:val="TCHighlightssmallbulletTCBoxStyle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9C1DA2"/>
    <w:multiLevelType w:val="hybridMultilevel"/>
    <w:tmpl w:val="1708E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E736F6"/>
    <w:multiLevelType w:val="hybridMultilevel"/>
    <w:tmpl w:val="65D870BA"/>
    <w:lvl w:ilvl="0" w:tplc="0F6C0ED0">
      <w:start w:val="1"/>
      <w:numFmt w:val="decimal"/>
      <w:pStyle w:val="PassNumberedText"/>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0" w15:restartNumberingAfterBreak="0">
    <w:nsid w:val="48B50B15"/>
    <w:multiLevelType w:val="hybridMultilevel"/>
    <w:tmpl w:val="AA5E5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AB66EAE"/>
    <w:multiLevelType w:val="hybridMultilevel"/>
    <w:tmpl w:val="9AA66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3173B9"/>
    <w:multiLevelType w:val="hybridMultilevel"/>
    <w:tmpl w:val="9E129998"/>
    <w:lvl w:ilvl="0" w:tplc="C9287A34">
      <w:start w:val="1"/>
      <w:numFmt w:val="bullet"/>
      <w:pStyle w:val="TCHighlightsBulletTCBoxStyle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5F458C"/>
    <w:multiLevelType w:val="hybridMultilevel"/>
    <w:tmpl w:val="B106D964"/>
    <w:lvl w:ilvl="0" w:tplc="5FB879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401854"/>
    <w:multiLevelType w:val="hybridMultilevel"/>
    <w:tmpl w:val="1A442AFE"/>
    <w:lvl w:ilvl="0" w:tplc="32F4421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3974F7"/>
    <w:multiLevelType w:val="hybridMultilevel"/>
    <w:tmpl w:val="047A3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8713B9"/>
    <w:multiLevelType w:val="hybridMultilevel"/>
    <w:tmpl w:val="94E003F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5019E8"/>
    <w:multiLevelType w:val="hybridMultilevel"/>
    <w:tmpl w:val="DF6A9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3E21A8"/>
    <w:multiLevelType w:val="hybridMultilevel"/>
    <w:tmpl w:val="C00AF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F068E5"/>
    <w:multiLevelType w:val="hybridMultilevel"/>
    <w:tmpl w:val="C23AA1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3C11DE"/>
    <w:multiLevelType w:val="hybridMultilevel"/>
    <w:tmpl w:val="54E43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F0038E"/>
    <w:multiLevelType w:val="hybridMultilevel"/>
    <w:tmpl w:val="1AE40F2A"/>
    <w:lvl w:ilvl="0" w:tplc="C748CABA">
      <w:start w:val="1"/>
      <w:numFmt w:val="lowerLetter"/>
      <w:pStyle w:val="TCNumberedindent"/>
      <w:lvlText w:val="%1."/>
      <w:lvlJc w:val="left"/>
      <w:pPr>
        <w:ind w:left="891" w:hanging="360"/>
      </w:pPr>
    </w:lvl>
    <w:lvl w:ilvl="1" w:tplc="0C090019" w:tentative="1">
      <w:start w:val="1"/>
      <w:numFmt w:val="lowerLetter"/>
      <w:lvlText w:val="%2."/>
      <w:lvlJc w:val="left"/>
      <w:pPr>
        <w:ind w:left="1611" w:hanging="360"/>
      </w:pPr>
    </w:lvl>
    <w:lvl w:ilvl="2" w:tplc="0C09001B" w:tentative="1">
      <w:start w:val="1"/>
      <w:numFmt w:val="lowerRoman"/>
      <w:lvlText w:val="%3."/>
      <w:lvlJc w:val="right"/>
      <w:pPr>
        <w:ind w:left="2331" w:hanging="180"/>
      </w:pPr>
    </w:lvl>
    <w:lvl w:ilvl="3" w:tplc="0C09000F" w:tentative="1">
      <w:start w:val="1"/>
      <w:numFmt w:val="decimal"/>
      <w:lvlText w:val="%4."/>
      <w:lvlJc w:val="left"/>
      <w:pPr>
        <w:ind w:left="3051" w:hanging="360"/>
      </w:pPr>
    </w:lvl>
    <w:lvl w:ilvl="4" w:tplc="0C090019" w:tentative="1">
      <w:start w:val="1"/>
      <w:numFmt w:val="lowerLetter"/>
      <w:lvlText w:val="%5."/>
      <w:lvlJc w:val="left"/>
      <w:pPr>
        <w:ind w:left="3771" w:hanging="360"/>
      </w:pPr>
    </w:lvl>
    <w:lvl w:ilvl="5" w:tplc="0C09001B" w:tentative="1">
      <w:start w:val="1"/>
      <w:numFmt w:val="lowerRoman"/>
      <w:lvlText w:val="%6."/>
      <w:lvlJc w:val="right"/>
      <w:pPr>
        <w:ind w:left="4491" w:hanging="180"/>
      </w:pPr>
    </w:lvl>
    <w:lvl w:ilvl="6" w:tplc="0C09000F" w:tentative="1">
      <w:start w:val="1"/>
      <w:numFmt w:val="decimal"/>
      <w:lvlText w:val="%7."/>
      <w:lvlJc w:val="left"/>
      <w:pPr>
        <w:ind w:left="5211" w:hanging="360"/>
      </w:pPr>
    </w:lvl>
    <w:lvl w:ilvl="7" w:tplc="0C090019" w:tentative="1">
      <w:start w:val="1"/>
      <w:numFmt w:val="lowerLetter"/>
      <w:lvlText w:val="%8."/>
      <w:lvlJc w:val="left"/>
      <w:pPr>
        <w:ind w:left="5931" w:hanging="360"/>
      </w:pPr>
    </w:lvl>
    <w:lvl w:ilvl="8" w:tplc="0C09001B" w:tentative="1">
      <w:start w:val="1"/>
      <w:numFmt w:val="lowerRoman"/>
      <w:lvlText w:val="%9."/>
      <w:lvlJc w:val="right"/>
      <w:pPr>
        <w:ind w:left="6651" w:hanging="180"/>
      </w:pPr>
    </w:lvl>
  </w:abstractNum>
  <w:num w:numId="1">
    <w:abstractNumId w:val="12"/>
  </w:num>
  <w:num w:numId="2">
    <w:abstractNumId w:val="19"/>
  </w:num>
  <w:num w:numId="3">
    <w:abstractNumId w:val="9"/>
  </w:num>
  <w:num w:numId="4">
    <w:abstractNumId w:val="31"/>
  </w:num>
  <w:num w:numId="5">
    <w:abstractNumId w:val="17"/>
  </w:num>
  <w:num w:numId="6">
    <w:abstractNumId w:val="22"/>
  </w:num>
  <w:num w:numId="7">
    <w:abstractNumId w:val="14"/>
  </w:num>
  <w:num w:numId="8">
    <w:abstractNumId w:val="6"/>
  </w:num>
  <w:num w:numId="9">
    <w:abstractNumId w:val="6"/>
  </w:num>
  <w:num w:numId="10">
    <w:abstractNumId w:val="1"/>
  </w:num>
  <w:num w:numId="11">
    <w:abstractNumId w:val="6"/>
  </w:num>
  <w:num w:numId="12">
    <w:abstractNumId w:val="23"/>
  </w:num>
  <w:num w:numId="13">
    <w:abstractNumId w:val="0"/>
  </w:num>
  <w:num w:numId="14">
    <w:abstractNumId w:val="28"/>
  </w:num>
  <w:num w:numId="15">
    <w:abstractNumId w:val="15"/>
  </w:num>
  <w:num w:numId="16">
    <w:abstractNumId w:val="7"/>
  </w:num>
  <w:num w:numId="17">
    <w:abstractNumId w:val="24"/>
  </w:num>
  <w:num w:numId="18">
    <w:abstractNumId w:val="18"/>
  </w:num>
  <w:num w:numId="19">
    <w:abstractNumId w:val="5"/>
  </w:num>
  <w:num w:numId="2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9"/>
  </w:num>
  <w:num w:numId="22">
    <w:abstractNumId w:val="26"/>
  </w:num>
  <w:num w:numId="23">
    <w:abstractNumId w:val="21"/>
  </w:num>
  <w:num w:numId="24">
    <w:abstractNumId w:val="16"/>
  </w:num>
  <w:num w:numId="25">
    <w:abstractNumId w:val="27"/>
  </w:num>
  <w:num w:numId="26">
    <w:abstractNumId w:val="30"/>
  </w:num>
  <w:num w:numId="27">
    <w:abstractNumId w:val="2"/>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1"/>
  </w:num>
  <w:num w:numId="31">
    <w:abstractNumId w:val="25"/>
  </w:num>
  <w:num w:numId="32">
    <w:abstractNumId w:val="8"/>
  </w:num>
  <w:num w:numId="33">
    <w:abstractNumId w:val="1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isplayBackgroundShap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0"/>
  <w:defaultTabStop w:val="720"/>
  <w:evenAndOddHeaders/>
  <w:drawingGridHorizontalSpacing w:val="100"/>
  <w:displayHorizontalDrawingGridEvery w:val="2"/>
  <w:characterSpacingControl w:val="doNotCompress"/>
  <w:hdrShapeDefaults>
    <o:shapedefaults v:ext="edit" spidmax="3174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CA"/>
    <w:rsid w:val="00001191"/>
    <w:rsid w:val="0000213F"/>
    <w:rsid w:val="00011919"/>
    <w:rsid w:val="000164BE"/>
    <w:rsid w:val="00016832"/>
    <w:rsid w:val="00020B02"/>
    <w:rsid w:val="000244E6"/>
    <w:rsid w:val="000252DE"/>
    <w:rsid w:val="00034872"/>
    <w:rsid w:val="00041140"/>
    <w:rsid w:val="000466BD"/>
    <w:rsid w:val="00055A55"/>
    <w:rsid w:val="00056B58"/>
    <w:rsid w:val="0005744B"/>
    <w:rsid w:val="00061C2F"/>
    <w:rsid w:val="00064039"/>
    <w:rsid w:val="00065A27"/>
    <w:rsid w:val="00075A37"/>
    <w:rsid w:val="000806A3"/>
    <w:rsid w:val="00081235"/>
    <w:rsid w:val="00081E1C"/>
    <w:rsid w:val="00095AE5"/>
    <w:rsid w:val="000961FB"/>
    <w:rsid w:val="00097850"/>
    <w:rsid w:val="000A2D93"/>
    <w:rsid w:val="000B1F20"/>
    <w:rsid w:val="000B2BD2"/>
    <w:rsid w:val="000B36E0"/>
    <w:rsid w:val="000B624E"/>
    <w:rsid w:val="000C257D"/>
    <w:rsid w:val="000C7011"/>
    <w:rsid w:val="000C727E"/>
    <w:rsid w:val="000D001E"/>
    <w:rsid w:val="000F1A72"/>
    <w:rsid w:val="000F7394"/>
    <w:rsid w:val="0010267E"/>
    <w:rsid w:val="00104A0D"/>
    <w:rsid w:val="00110B80"/>
    <w:rsid w:val="00111CE1"/>
    <w:rsid w:val="001267B6"/>
    <w:rsid w:val="001268C7"/>
    <w:rsid w:val="00141C97"/>
    <w:rsid w:val="0014307E"/>
    <w:rsid w:val="00144013"/>
    <w:rsid w:val="001447AF"/>
    <w:rsid w:val="00144C48"/>
    <w:rsid w:val="00145D5A"/>
    <w:rsid w:val="00151569"/>
    <w:rsid w:val="00153719"/>
    <w:rsid w:val="00153FA2"/>
    <w:rsid w:val="00155E38"/>
    <w:rsid w:val="001639D8"/>
    <w:rsid w:val="0017497D"/>
    <w:rsid w:val="001779A2"/>
    <w:rsid w:val="00183A0E"/>
    <w:rsid w:val="001840D3"/>
    <w:rsid w:val="00184E4E"/>
    <w:rsid w:val="00185979"/>
    <w:rsid w:val="00186B5D"/>
    <w:rsid w:val="00192A4D"/>
    <w:rsid w:val="001945CD"/>
    <w:rsid w:val="00197698"/>
    <w:rsid w:val="001A14B7"/>
    <w:rsid w:val="001A773C"/>
    <w:rsid w:val="001C1DEC"/>
    <w:rsid w:val="001C2190"/>
    <w:rsid w:val="001C3049"/>
    <w:rsid w:val="001E077F"/>
    <w:rsid w:val="001E113D"/>
    <w:rsid w:val="001E14BE"/>
    <w:rsid w:val="001E223A"/>
    <w:rsid w:val="001E49BD"/>
    <w:rsid w:val="001F1C58"/>
    <w:rsid w:val="001F23B0"/>
    <w:rsid w:val="001F42FB"/>
    <w:rsid w:val="001F4BF6"/>
    <w:rsid w:val="001F6FFC"/>
    <w:rsid w:val="00202981"/>
    <w:rsid w:val="00203CCC"/>
    <w:rsid w:val="00204C5D"/>
    <w:rsid w:val="0020510F"/>
    <w:rsid w:val="002066B9"/>
    <w:rsid w:val="0020671F"/>
    <w:rsid w:val="00210680"/>
    <w:rsid w:val="00210BE2"/>
    <w:rsid w:val="00211196"/>
    <w:rsid w:val="00216BAE"/>
    <w:rsid w:val="0022486C"/>
    <w:rsid w:val="00231531"/>
    <w:rsid w:val="00244C1C"/>
    <w:rsid w:val="00244EE0"/>
    <w:rsid w:val="00247DD5"/>
    <w:rsid w:val="002516E3"/>
    <w:rsid w:val="002517DC"/>
    <w:rsid w:val="00255A11"/>
    <w:rsid w:val="00256AF2"/>
    <w:rsid w:val="00256EAD"/>
    <w:rsid w:val="00257ADF"/>
    <w:rsid w:val="002634B7"/>
    <w:rsid w:val="002649C3"/>
    <w:rsid w:val="00264F82"/>
    <w:rsid w:val="0027051E"/>
    <w:rsid w:val="00270842"/>
    <w:rsid w:val="00272632"/>
    <w:rsid w:val="00273E88"/>
    <w:rsid w:val="0027734C"/>
    <w:rsid w:val="00280153"/>
    <w:rsid w:val="0028426A"/>
    <w:rsid w:val="00291ED6"/>
    <w:rsid w:val="00294C40"/>
    <w:rsid w:val="00294CD2"/>
    <w:rsid w:val="002965C3"/>
    <w:rsid w:val="0029796A"/>
    <w:rsid w:val="002A5D33"/>
    <w:rsid w:val="002B2776"/>
    <w:rsid w:val="002B4C1A"/>
    <w:rsid w:val="002C1209"/>
    <w:rsid w:val="002C41EC"/>
    <w:rsid w:val="002C530B"/>
    <w:rsid w:val="002C6926"/>
    <w:rsid w:val="002D11F1"/>
    <w:rsid w:val="002F1C4E"/>
    <w:rsid w:val="002F2918"/>
    <w:rsid w:val="002F2A7E"/>
    <w:rsid w:val="003023DF"/>
    <w:rsid w:val="00304A9B"/>
    <w:rsid w:val="00307E2C"/>
    <w:rsid w:val="003156F7"/>
    <w:rsid w:val="00322C6B"/>
    <w:rsid w:val="0032331B"/>
    <w:rsid w:val="00331F3B"/>
    <w:rsid w:val="00334DDF"/>
    <w:rsid w:val="00341DA5"/>
    <w:rsid w:val="0034480A"/>
    <w:rsid w:val="003527EF"/>
    <w:rsid w:val="003602C5"/>
    <w:rsid w:val="00362E76"/>
    <w:rsid w:val="00364D39"/>
    <w:rsid w:val="003712D6"/>
    <w:rsid w:val="00371F77"/>
    <w:rsid w:val="00372EF1"/>
    <w:rsid w:val="0039003A"/>
    <w:rsid w:val="00391882"/>
    <w:rsid w:val="00395F2C"/>
    <w:rsid w:val="003A57E2"/>
    <w:rsid w:val="003A5B70"/>
    <w:rsid w:val="003A7497"/>
    <w:rsid w:val="003B1B50"/>
    <w:rsid w:val="003B2B34"/>
    <w:rsid w:val="003B3868"/>
    <w:rsid w:val="003B57A0"/>
    <w:rsid w:val="003C2E42"/>
    <w:rsid w:val="003C34B6"/>
    <w:rsid w:val="003C3E32"/>
    <w:rsid w:val="003D03C4"/>
    <w:rsid w:val="003D0669"/>
    <w:rsid w:val="003D7DB4"/>
    <w:rsid w:val="003E3231"/>
    <w:rsid w:val="003E41DB"/>
    <w:rsid w:val="003F310C"/>
    <w:rsid w:val="003F5505"/>
    <w:rsid w:val="003F7DBC"/>
    <w:rsid w:val="004009AF"/>
    <w:rsid w:val="0040249C"/>
    <w:rsid w:val="00402A7D"/>
    <w:rsid w:val="00407683"/>
    <w:rsid w:val="00410F0F"/>
    <w:rsid w:val="00430D49"/>
    <w:rsid w:val="00435868"/>
    <w:rsid w:val="00445F8E"/>
    <w:rsid w:val="00450AA1"/>
    <w:rsid w:val="00450CA9"/>
    <w:rsid w:val="0045103E"/>
    <w:rsid w:val="00454706"/>
    <w:rsid w:val="00454895"/>
    <w:rsid w:val="00460E88"/>
    <w:rsid w:val="00462F2C"/>
    <w:rsid w:val="004659EC"/>
    <w:rsid w:val="00467A4E"/>
    <w:rsid w:val="00473BF4"/>
    <w:rsid w:val="004744D2"/>
    <w:rsid w:val="00474BD0"/>
    <w:rsid w:val="0048240F"/>
    <w:rsid w:val="0048748C"/>
    <w:rsid w:val="00490CC3"/>
    <w:rsid w:val="0049281B"/>
    <w:rsid w:val="004964C1"/>
    <w:rsid w:val="004B0A4B"/>
    <w:rsid w:val="004B2D9C"/>
    <w:rsid w:val="004B4E80"/>
    <w:rsid w:val="004B5C18"/>
    <w:rsid w:val="004C34F8"/>
    <w:rsid w:val="004C7454"/>
    <w:rsid w:val="004D13B6"/>
    <w:rsid w:val="004D6FF5"/>
    <w:rsid w:val="004E469D"/>
    <w:rsid w:val="00500A09"/>
    <w:rsid w:val="00502108"/>
    <w:rsid w:val="00515348"/>
    <w:rsid w:val="00526E22"/>
    <w:rsid w:val="00532C04"/>
    <w:rsid w:val="00536FB5"/>
    <w:rsid w:val="0053770F"/>
    <w:rsid w:val="00540F66"/>
    <w:rsid w:val="00546264"/>
    <w:rsid w:val="005536A5"/>
    <w:rsid w:val="00557AE8"/>
    <w:rsid w:val="0056402A"/>
    <w:rsid w:val="00566E22"/>
    <w:rsid w:val="005701D9"/>
    <w:rsid w:val="00570783"/>
    <w:rsid w:val="00571C1A"/>
    <w:rsid w:val="005759A0"/>
    <w:rsid w:val="0058446C"/>
    <w:rsid w:val="00587DAF"/>
    <w:rsid w:val="00593A9E"/>
    <w:rsid w:val="00593CC6"/>
    <w:rsid w:val="005A113D"/>
    <w:rsid w:val="005A292E"/>
    <w:rsid w:val="005A3816"/>
    <w:rsid w:val="005B3DF5"/>
    <w:rsid w:val="005C144E"/>
    <w:rsid w:val="005C2937"/>
    <w:rsid w:val="005D1779"/>
    <w:rsid w:val="005D1D8C"/>
    <w:rsid w:val="005E00B7"/>
    <w:rsid w:val="005E0F3D"/>
    <w:rsid w:val="005E1330"/>
    <w:rsid w:val="005E1DD8"/>
    <w:rsid w:val="005E3081"/>
    <w:rsid w:val="005E4998"/>
    <w:rsid w:val="005E6739"/>
    <w:rsid w:val="005E7E22"/>
    <w:rsid w:val="005F1E53"/>
    <w:rsid w:val="005F7ABD"/>
    <w:rsid w:val="00601B81"/>
    <w:rsid w:val="00606007"/>
    <w:rsid w:val="00613B33"/>
    <w:rsid w:val="006147C2"/>
    <w:rsid w:val="0061611D"/>
    <w:rsid w:val="00623D47"/>
    <w:rsid w:val="00623FA1"/>
    <w:rsid w:val="00632DC4"/>
    <w:rsid w:val="006459C6"/>
    <w:rsid w:val="0064613E"/>
    <w:rsid w:val="0064750E"/>
    <w:rsid w:val="00647C9C"/>
    <w:rsid w:val="006529BF"/>
    <w:rsid w:val="00653FD4"/>
    <w:rsid w:val="00677BD8"/>
    <w:rsid w:val="006826E6"/>
    <w:rsid w:val="00684305"/>
    <w:rsid w:val="00692E01"/>
    <w:rsid w:val="006A0A40"/>
    <w:rsid w:val="006A541C"/>
    <w:rsid w:val="006A7D42"/>
    <w:rsid w:val="006B0398"/>
    <w:rsid w:val="006B1074"/>
    <w:rsid w:val="006B45E1"/>
    <w:rsid w:val="006B536B"/>
    <w:rsid w:val="006B735D"/>
    <w:rsid w:val="006C7B1A"/>
    <w:rsid w:val="006D05EF"/>
    <w:rsid w:val="006D1373"/>
    <w:rsid w:val="006D43B8"/>
    <w:rsid w:val="006D4CEA"/>
    <w:rsid w:val="006D61A4"/>
    <w:rsid w:val="006D7ADC"/>
    <w:rsid w:val="006E14B8"/>
    <w:rsid w:val="006F0D77"/>
    <w:rsid w:val="006F318B"/>
    <w:rsid w:val="006F43F4"/>
    <w:rsid w:val="006F6761"/>
    <w:rsid w:val="00722629"/>
    <w:rsid w:val="00723F4D"/>
    <w:rsid w:val="00724EFC"/>
    <w:rsid w:val="007258DA"/>
    <w:rsid w:val="00734BBF"/>
    <w:rsid w:val="0073603D"/>
    <w:rsid w:val="007379AA"/>
    <w:rsid w:val="0074061C"/>
    <w:rsid w:val="007437E8"/>
    <w:rsid w:val="007442B1"/>
    <w:rsid w:val="00746FB6"/>
    <w:rsid w:val="00754174"/>
    <w:rsid w:val="00754EC2"/>
    <w:rsid w:val="00761BCE"/>
    <w:rsid w:val="00762F3E"/>
    <w:rsid w:val="00763094"/>
    <w:rsid w:val="007660AE"/>
    <w:rsid w:val="007726E8"/>
    <w:rsid w:val="00777688"/>
    <w:rsid w:val="00783462"/>
    <w:rsid w:val="00783990"/>
    <w:rsid w:val="00791FD5"/>
    <w:rsid w:val="007974CC"/>
    <w:rsid w:val="007C4FAE"/>
    <w:rsid w:val="007C690C"/>
    <w:rsid w:val="007D1EA4"/>
    <w:rsid w:val="007D4214"/>
    <w:rsid w:val="007E054A"/>
    <w:rsid w:val="007E1F46"/>
    <w:rsid w:val="007E342A"/>
    <w:rsid w:val="007E46E8"/>
    <w:rsid w:val="007E7FA4"/>
    <w:rsid w:val="007F79D7"/>
    <w:rsid w:val="008016E9"/>
    <w:rsid w:val="00803D85"/>
    <w:rsid w:val="00804D97"/>
    <w:rsid w:val="00804DDF"/>
    <w:rsid w:val="008063E8"/>
    <w:rsid w:val="00811A07"/>
    <w:rsid w:val="00812C5A"/>
    <w:rsid w:val="00822E75"/>
    <w:rsid w:val="008230E1"/>
    <w:rsid w:val="00823FAF"/>
    <w:rsid w:val="0082555D"/>
    <w:rsid w:val="0082567D"/>
    <w:rsid w:val="00826200"/>
    <w:rsid w:val="00826EB4"/>
    <w:rsid w:val="00831D84"/>
    <w:rsid w:val="00834331"/>
    <w:rsid w:val="008343CE"/>
    <w:rsid w:val="00836785"/>
    <w:rsid w:val="008419D9"/>
    <w:rsid w:val="0084503E"/>
    <w:rsid w:val="0085151D"/>
    <w:rsid w:val="008560DB"/>
    <w:rsid w:val="008603BD"/>
    <w:rsid w:val="00861670"/>
    <w:rsid w:val="0086268A"/>
    <w:rsid w:val="00862776"/>
    <w:rsid w:val="00863C39"/>
    <w:rsid w:val="00864EC0"/>
    <w:rsid w:val="00870B83"/>
    <w:rsid w:val="00873ABC"/>
    <w:rsid w:val="008756C4"/>
    <w:rsid w:val="0087630F"/>
    <w:rsid w:val="008832F4"/>
    <w:rsid w:val="00884DAC"/>
    <w:rsid w:val="008913C9"/>
    <w:rsid w:val="008A0E50"/>
    <w:rsid w:val="008A3D84"/>
    <w:rsid w:val="008A40E1"/>
    <w:rsid w:val="008B3354"/>
    <w:rsid w:val="008C236F"/>
    <w:rsid w:val="008D037F"/>
    <w:rsid w:val="008D4310"/>
    <w:rsid w:val="008D4399"/>
    <w:rsid w:val="008D7DDE"/>
    <w:rsid w:val="008E1327"/>
    <w:rsid w:val="008E3011"/>
    <w:rsid w:val="008E56D1"/>
    <w:rsid w:val="008E62C6"/>
    <w:rsid w:val="008E7DE9"/>
    <w:rsid w:val="008F21C6"/>
    <w:rsid w:val="008F7AD0"/>
    <w:rsid w:val="00904FC9"/>
    <w:rsid w:val="00915150"/>
    <w:rsid w:val="0091552A"/>
    <w:rsid w:val="00915D02"/>
    <w:rsid w:val="00927CEB"/>
    <w:rsid w:val="00930BB1"/>
    <w:rsid w:val="00935CA5"/>
    <w:rsid w:val="009456DD"/>
    <w:rsid w:val="0095374B"/>
    <w:rsid w:val="009539E7"/>
    <w:rsid w:val="0095595E"/>
    <w:rsid w:val="009600EB"/>
    <w:rsid w:val="00961A88"/>
    <w:rsid w:val="00964B6A"/>
    <w:rsid w:val="00965181"/>
    <w:rsid w:val="0096639B"/>
    <w:rsid w:val="00973412"/>
    <w:rsid w:val="00973E3E"/>
    <w:rsid w:val="009912E5"/>
    <w:rsid w:val="00991A14"/>
    <w:rsid w:val="00994267"/>
    <w:rsid w:val="009A066D"/>
    <w:rsid w:val="009A7DD3"/>
    <w:rsid w:val="009B1598"/>
    <w:rsid w:val="009B4ADC"/>
    <w:rsid w:val="009C115B"/>
    <w:rsid w:val="009C1D4A"/>
    <w:rsid w:val="009C24A0"/>
    <w:rsid w:val="009C2EB1"/>
    <w:rsid w:val="009D0C30"/>
    <w:rsid w:val="009D34FF"/>
    <w:rsid w:val="009D7D57"/>
    <w:rsid w:val="009F102A"/>
    <w:rsid w:val="009F28F8"/>
    <w:rsid w:val="009F5CD3"/>
    <w:rsid w:val="00A0123C"/>
    <w:rsid w:val="00A11EAB"/>
    <w:rsid w:val="00A125C2"/>
    <w:rsid w:val="00A220BE"/>
    <w:rsid w:val="00A24E62"/>
    <w:rsid w:val="00A254E6"/>
    <w:rsid w:val="00A267CB"/>
    <w:rsid w:val="00A2730C"/>
    <w:rsid w:val="00A27C92"/>
    <w:rsid w:val="00A27F68"/>
    <w:rsid w:val="00A35AF3"/>
    <w:rsid w:val="00A35DB4"/>
    <w:rsid w:val="00A401D7"/>
    <w:rsid w:val="00A41FBC"/>
    <w:rsid w:val="00A4693A"/>
    <w:rsid w:val="00A502AD"/>
    <w:rsid w:val="00A50C35"/>
    <w:rsid w:val="00A55322"/>
    <w:rsid w:val="00A71857"/>
    <w:rsid w:val="00A8084A"/>
    <w:rsid w:val="00A947F7"/>
    <w:rsid w:val="00A94EBD"/>
    <w:rsid w:val="00A95FF4"/>
    <w:rsid w:val="00A97EF7"/>
    <w:rsid w:val="00AA338E"/>
    <w:rsid w:val="00AA3E08"/>
    <w:rsid w:val="00AA5FBC"/>
    <w:rsid w:val="00AB316D"/>
    <w:rsid w:val="00AB38AA"/>
    <w:rsid w:val="00AB5B64"/>
    <w:rsid w:val="00AF4B54"/>
    <w:rsid w:val="00AF71F7"/>
    <w:rsid w:val="00AF79CE"/>
    <w:rsid w:val="00B04B06"/>
    <w:rsid w:val="00B04BC3"/>
    <w:rsid w:val="00B13B99"/>
    <w:rsid w:val="00B2246A"/>
    <w:rsid w:val="00B278CC"/>
    <w:rsid w:val="00B341F7"/>
    <w:rsid w:val="00B36C66"/>
    <w:rsid w:val="00B417E1"/>
    <w:rsid w:val="00B47384"/>
    <w:rsid w:val="00B476DB"/>
    <w:rsid w:val="00B55EA5"/>
    <w:rsid w:val="00B64A46"/>
    <w:rsid w:val="00B67C91"/>
    <w:rsid w:val="00B726EB"/>
    <w:rsid w:val="00B75A76"/>
    <w:rsid w:val="00B76A6F"/>
    <w:rsid w:val="00B830BB"/>
    <w:rsid w:val="00B86241"/>
    <w:rsid w:val="00B92B2E"/>
    <w:rsid w:val="00B92EFA"/>
    <w:rsid w:val="00B934D0"/>
    <w:rsid w:val="00B9684A"/>
    <w:rsid w:val="00BA156A"/>
    <w:rsid w:val="00BB12FA"/>
    <w:rsid w:val="00BB5FF0"/>
    <w:rsid w:val="00BC62C4"/>
    <w:rsid w:val="00BC7B25"/>
    <w:rsid w:val="00BE51E9"/>
    <w:rsid w:val="00BE68E4"/>
    <w:rsid w:val="00BF5D0B"/>
    <w:rsid w:val="00BF6A28"/>
    <w:rsid w:val="00BF72B8"/>
    <w:rsid w:val="00BF766A"/>
    <w:rsid w:val="00C0028B"/>
    <w:rsid w:val="00C0289B"/>
    <w:rsid w:val="00C028FC"/>
    <w:rsid w:val="00C04895"/>
    <w:rsid w:val="00C10892"/>
    <w:rsid w:val="00C11FB6"/>
    <w:rsid w:val="00C15D13"/>
    <w:rsid w:val="00C20BE4"/>
    <w:rsid w:val="00C2503A"/>
    <w:rsid w:val="00C265FA"/>
    <w:rsid w:val="00C4216D"/>
    <w:rsid w:val="00C45078"/>
    <w:rsid w:val="00C5440D"/>
    <w:rsid w:val="00C54D99"/>
    <w:rsid w:val="00C640E0"/>
    <w:rsid w:val="00C707E8"/>
    <w:rsid w:val="00C720B4"/>
    <w:rsid w:val="00C720FE"/>
    <w:rsid w:val="00C75F47"/>
    <w:rsid w:val="00C771D3"/>
    <w:rsid w:val="00C804AA"/>
    <w:rsid w:val="00C80CB6"/>
    <w:rsid w:val="00C827C7"/>
    <w:rsid w:val="00C83538"/>
    <w:rsid w:val="00C8384C"/>
    <w:rsid w:val="00C86480"/>
    <w:rsid w:val="00CA120B"/>
    <w:rsid w:val="00CA2D32"/>
    <w:rsid w:val="00CA4CB5"/>
    <w:rsid w:val="00CB450F"/>
    <w:rsid w:val="00CC2668"/>
    <w:rsid w:val="00CC267D"/>
    <w:rsid w:val="00CD44A6"/>
    <w:rsid w:val="00CD46A0"/>
    <w:rsid w:val="00CD68C1"/>
    <w:rsid w:val="00CE0236"/>
    <w:rsid w:val="00CE326F"/>
    <w:rsid w:val="00CE4BE2"/>
    <w:rsid w:val="00CF0D07"/>
    <w:rsid w:val="00CF16A7"/>
    <w:rsid w:val="00CF2DC9"/>
    <w:rsid w:val="00CF3139"/>
    <w:rsid w:val="00D04863"/>
    <w:rsid w:val="00D04E95"/>
    <w:rsid w:val="00D05AD2"/>
    <w:rsid w:val="00D10EAD"/>
    <w:rsid w:val="00D143BE"/>
    <w:rsid w:val="00D147DC"/>
    <w:rsid w:val="00D15969"/>
    <w:rsid w:val="00D17446"/>
    <w:rsid w:val="00D23E30"/>
    <w:rsid w:val="00D26B74"/>
    <w:rsid w:val="00D304AB"/>
    <w:rsid w:val="00D316EB"/>
    <w:rsid w:val="00D328B8"/>
    <w:rsid w:val="00D43CE4"/>
    <w:rsid w:val="00D47386"/>
    <w:rsid w:val="00D54739"/>
    <w:rsid w:val="00D56555"/>
    <w:rsid w:val="00D61BE0"/>
    <w:rsid w:val="00D61E86"/>
    <w:rsid w:val="00D701E6"/>
    <w:rsid w:val="00D7055E"/>
    <w:rsid w:val="00D74816"/>
    <w:rsid w:val="00D80593"/>
    <w:rsid w:val="00D85F27"/>
    <w:rsid w:val="00D86775"/>
    <w:rsid w:val="00D8737F"/>
    <w:rsid w:val="00D92A86"/>
    <w:rsid w:val="00D949DC"/>
    <w:rsid w:val="00D965C4"/>
    <w:rsid w:val="00D967E8"/>
    <w:rsid w:val="00D96FE7"/>
    <w:rsid w:val="00DA0931"/>
    <w:rsid w:val="00DA5882"/>
    <w:rsid w:val="00DA6517"/>
    <w:rsid w:val="00DB0398"/>
    <w:rsid w:val="00DB1D3D"/>
    <w:rsid w:val="00DB24A3"/>
    <w:rsid w:val="00DB79EF"/>
    <w:rsid w:val="00DC3D36"/>
    <w:rsid w:val="00DC498A"/>
    <w:rsid w:val="00DD1FEC"/>
    <w:rsid w:val="00DD4D5E"/>
    <w:rsid w:val="00DD6CEA"/>
    <w:rsid w:val="00DE05F3"/>
    <w:rsid w:val="00DE15D6"/>
    <w:rsid w:val="00DE46F7"/>
    <w:rsid w:val="00DF0611"/>
    <w:rsid w:val="00DF6CB5"/>
    <w:rsid w:val="00E02578"/>
    <w:rsid w:val="00E03027"/>
    <w:rsid w:val="00E04743"/>
    <w:rsid w:val="00E109CB"/>
    <w:rsid w:val="00E12BC8"/>
    <w:rsid w:val="00E14FA7"/>
    <w:rsid w:val="00E16FBB"/>
    <w:rsid w:val="00E23C7B"/>
    <w:rsid w:val="00E43A5B"/>
    <w:rsid w:val="00E44B36"/>
    <w:rsid w:val="00E502EC"/>
    <w:rsid w:val="00E513ED"/>
    <w:rsid w:val="00E549BA"/>
    <w:rsid w:val="00E637D0"/>
    <w:rsid w:val="00E84E81"/>
    <w:rsid w:val="00E90134"/>
    <w:rsid w:val="00E952B0"/>
    <w:rsid w:val="00E973CA"/>
    <w:rsid w:val="00EA00E0"/>
    <w:rsid w:val="00EA1B25"/>
    <w:rsid w:val="00EB39F5"/>
    <w:rsid w:val="00EB7F06"/>
    <w:rsid w:val="00EC199E"/>
    <w:rsid w:val="00ED54E0"/>
    <w:rsid w:val="00EF30FE"/>
    <w:rsid w:val="00EF5AAB"/>
    <w:rsid w:val="00EF61F6"/>
    <w:rsid w:val="00EF621D"/>
    <w:rsid w:val="00F02D52"/>
    <w:rsid w:val="00F05296"/>
    <w:rsid w:val="00F075D0"/>
    <w:rsid w:val="00F11FB8"/>
    <w:rsid w:val="00F12001"/>
    <w:rsid w:val="00F16D9D"/>
    <w:rsid w:val="00F1725E"/>
    <w:rsid w:val="00F20B38"/>
    <w:rsid w:val="00F2213C"/>
    <w:rsid w:val="00F2225E"/>
    <w:rsid w:val="00F270F2"/>
    <w:rsid w:val="00F31809"/>
    <w:rsid w:val="00F360D4"/>
    <w:rsid w:val="00F42BEA"/>
    <w:rsid w:val="00F51C13"/>
    <w:rsid w:val="00F52E23"/>
    <w:rsid w:val="00F56182"/>
    <w:rsid w:val="00F6088B"/>
    <w:rsid w:val="00F61776"/>
    <w:rsid w:val="00F63A03"/>
    <w:rsid w:val="00F63B9F"/>
    <w:rsid w:val="00F656E4"/>
    <w:rsid w:val="00F66A0F"/>
    <w:rsid w:val="00F67059"/>
    <w:rsid w:val="00F708A4"/>
    <w:rsid w:val="00F7330D"/>
    <w:rsid w:val="00F74E17"/>
    <w:rsid w:val="00F802E7"/>
    <w:rsid w:val="00F80365"/>
    <w:rsid w:val="00F85C45"/>
    <w:rsid w:val="00F93261"/>
    <w:rsid w:val="00F957B4"/>
    <w:rsid w:val="00FA17B6"/>
    <w:rsid w:val="00FA4642"/>
    <w:rsid w:val="00FA4795"/>
    <w:rsid w:val="00FA5AFB"/>
    <w:rsid w:val="00FB29DF"/>
    <w:rsid w:val="00FB40BC"/>
    <w:rsid w:val="00FB5F40"/>
    <w:rsid w:val="00FC1853"/>
    <w:rsid w:val="00FC23F7"/>
    <w:rsid w:val="00FC267B"/>
    <w:rsid w:val="00FC2ABD"/>
    <w:rsid w:val="00FC3BD7"/>
    <w:rsid w:val="00FC44D0"/>
    <w:rsid w:val="00FC5067"/>
    <w:rsid w:val="00FD256D"/>
    <w:rsid w:val="00FD60DD"/>
    <w:rsid w:val="00FD6CD2"/>
    <w:rsid w:val="00FE0E54"/>
    <w:rsid w:val="00FE1FF9"/>
    <w:rsid w:val="00FE3B07"/>
    <w:rsid w:val="00FE4CDE"/>
    <w:rsid w:val="00FF1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3174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30C"/>
    <w:rPr>
      <w:lang w:eastAsia="en-US"/>
    </w:rPr>
  </w:style>
  <w:style w:type="paragraph" w:styleId="Heading1">
    <w:name w:val="heading 1"/>
    <w:basedOn w:val="Normal"/>
    <w:next w:val="Normal"/>
    <w:link w:val="Heading1Char"/>
    <w:uiPriority w:val="9"/>
    <w:qFormat/>
    <w:rsid w:val="0057078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ssTableText">
    <w:name w:val="Pass Table Text"/>
    <w:basedOn w:val="Normal"/>
    <w:autoRedefine/>
    <w:uiPriority w:val="99"/>
    <w:qFormat/>
    <w:rsid w:val="00E637D0"/>
    <w:pPr>
      <w:widowControl w:val="0"/>
      <w:suppressAutoHyphens/>
      <w:autoSpaceDE w:val="0"/>
      <w:autoSpaceDN w:val="0"/>
      <w:adjustRightInd w:val="0"/>
      <w:spacing w:line="280" w:lineRule="exact"/>
      <w:ind w:left="170" w:hanging="170"/>
      <w:textAlignment w:val="baseline"/>
    </w:pPr>
    <w:rPr>
      <w:rFonts w:ascii="Arial MT Std" w:eastAsia="Times New Roman" w:hAnsi="Arial MT Std" w:cs="Arial MT Std"/>
      <w:color w:val="16242D"/>
      <w:lang w:val="en-GB" w:eastAsia="en-AU"/>
    </w:rPr>
  </w:style>
  <w:style w:type="paragraph" w:customStyle="1" w:styleId="PassTabledash">
    <w:name w:val="Pass Table dash"/>
    <w:basedOn w:val="PassTableText"/>
    <w:autoRedefine/>
    <w:uiPriority w:val="99"/>
    <w:qFormat/>
    <w:rsid w:val="00DF6CB5"/>
    <w:pPr>
      <w:numPr>
        <w:numId w:val="1"/>
      </w:numPr>
      <w:tabs>
        <w:tab w:val="left" w:pos="170"/>
        <w:tab w:val="left" w:pos="920"/>
        <w:tab w:val="left" w:pos="1418"/>
        <w:tab w:val="left" w:pos="1985"/>
        <w:tab w:val="left" w:pos="2552"/>
        <w:tab w:val="left" w:pos="3119"/>
        <w:tab w:val="left" w:pos="3960"/>
        <w:tab w:val="left" w:pos="4520"/>
        <w:tab w:val="left" w:pos="5080"/>
        <w:tab w:val="left" w:pos="5640"/>
        <w:tab w:val="left" w:pos="6200"/>
        <w:tab w:val="left" w:pos="6760"/>
        <w:tab w:val="left" w:pos="7320"/>
        <w:tab w:val="left" w:pos="7880"/>
        <w:tab w:val="left" w:pos="8440"/>
        <w:tab w:val="left" w:pos="9000"/>
      </w:tabs>
    </w:pPr>
  </w:style>
  <w:style w:type="paragraph" w:customStyle="1" w:styleId="PassNumberedText">
    <w:name w:val="Pass Numbered Text"/>
    <w:basedOn w:val="Normal"/>
    <w:autoRedefine/>
    <w:uiPriority w:val="99"/>
    <w:qFormat/>
    <w:rsid w:val="00DF6CB5"/>
    <w:pPr>
      <w:widowControl w:val="0"/>
      <w:numPr>
        <w:numId w:val="2"/>
      </w:numPr>
      <w:tabs>
        <w:tab w:val="left" w:pos="920"/>
        <w:tab w:val="left" w:pos="1418"/>
        <w:tab w:val="left" w:pos="1985"/>
        <w:tab w:val="left" w:pos="2552"/>
        <w:tab w:val="left" w:pos="3119"/>
        <w:tab w:val="left" w:pos="3960"/>
        <w:tab w:val="left" w:pos="4520"/>
        <w:tab w:val="left" w:pos="5080"/>
        <w:tab w:val="left" w:pos="5640"/>
        <w:tab w:val="left" w:pos="6200"/>
        <w:tab w:val="left" w:pos="6760"/>
        <w:tab w:val="left" w:pos="7320"/>
        <w:tab w:val="left" w:pos="7880"/>
        <w:tab w:val="left" w:pos="8440"/>
        <w:tab w:val="left" w:pos="9000"/>
      </w:tabs>
      <w:suppressAutoHyphens/>
      <w:autoSpaceDE w:val="0"/>
      <w:autoSpaceDN w:val="0"/>
      <w:adjustRightInd w:val="0"/>
      <w:spacing w:after="113" w:line="300" w:lineRule="atLeast"/>
      <w:ind w:right="283"/>
      <w:textAlignment w:val="baseline"/>
    </w:pPr>
    <w:rPr>
      <w:rFonts w:ascii="Arial MT Std" w:eastAsia="Times New Roman" w:hAnsi="Arial MT Std" w:cs="Arial MT Std"/>
      <w:color w:val="16242D"/>
      <w:lang w:val="en-GB" w:eastAsia="en-AU"/>
    </w:rPr>
  </w:style>
  <w:style w:type="paragraph" w:customStyle="1" w:styleId="PoliceTitleHeading">
    <w:name w:val="Police Title Heading"/>
    <w:basedOn w:val="Normal"/>
    <w:autoRedefine/>
    <w:uiPriority w:val="99"/>
    <w:rsid w:val="00FE1FF9"/>
    <w:pPr>
      <w:widowControl w:val="0"/>
      <w:tabs>
        <w:tab w:val="right" w:pos="3550"/>
      </w:tabs>
      <w:suppressAutoHyphens/>
      <w:autoSpaceDE w:val="0"/>
      <w:autoSpaceDN w:val="0"/>
      <w:adjustRightInd w:val="0"/>
      <w:spacing w:after="113" w:line="840" w:lineRule="atLeast"/>
      <w:ind w:right="567"/>
      <w:jc w:val="right"/>
      <w:textAlignment w:val="baseline"/>
    </w:pPr>
    <w:rPr>
      <w:rFonts w:ascii="Arial" w:eastAsia="Times New Roman" w:hAnsi="Arial" w:cs="Arial Narrow MT Std"/>
      <w:color w:val="000000"/>
      <w:w w:val="90"/>
      <w:sz w:val="68"/>
      <w:szCs w:val="68"/>
      <w:lang w:val="en-GB" w:eastAsia="en-AU"/>
    </w:rPr>
  </w:style>
  <w:style w:type="paragraph" w:customStyle="1" w:styleId="PoliceBodyText">
    <w:name w:val="Police Body Text"/>
    <w:basedOn w:val="Normal"/>
    <w:autoRedefine/>
    <w:uiPriority w:val="99"/>
    <w:rsid w:val="00FE1FF9"/>
    <w:pPr>
      <w:widowControl w:val="0"/>
      <w:suppressAutoHyphens/>
      <w:autoSpaceDE w:val="0"/>
      <w:autoSpaceDN w:val="0"/>
      <w:adjustRightInd w:val="0"/>
      <w:spacing w:after="113" w:line="300" w:lineRule="atLeast"/>
      <w:ind w:left="850" w:right="567"/>
      <w:textAlignment w:val="center"/>
    </w:pPr>
    <w:rPr>
      <w:rFonts w:ascii="Arial" w:eastAsia="Times New Roman" w:hAnsi="Arial" w:cs="Arial MT Std"/>
      <w:color w:val="000000"/>
      <w:w w:val="90"/>
      <w:sz w:val="22"/>
      <w:szCs w:val="22"/>
      <w:lang w:val="en-GB" w:eastAsia="en-AU"/>
    </w:rPr>
  </w:style>
  <w:style w:type="paragraph" w:customStyle="1" w:styleId="PoliceBulletText">
    <w:name w:val="Police Bullet Text"/>
    <w:basedOn w:val="PoliceBodyText"/>
    <w:autoRedefine/>
    <w:uiPriority w:val="99"/>
    <w:rsid w:val="00FE1FF9"/>
    <w:pPr>
      <w:numPr>
        <w:numId w:val="3"/>
      </w:numPr>
      <w:tabs>
        <w:tab w:val="left" w:pos="1134"/>
      </w:tabs>
      <w:ind w:right="851"/>
    </w:pPr>
  </w:style>
  <w:style w:type="paragraph" w:customStyle="1" w:styleId="TCNumberedindent">
    <w:name w:val="TC Numbered indent"/>
    <w:basedOn w:val="Normal"/>
    <w:autoRedefine/>
    <w:uiPriority w:val="99"/>
    <w:rsid w:val="003712D6"/>
    <w:pPr>
      <w:widowControl w:val="0"/>
      <w:numPr>
        <w:numId w:val="4"/>
      </w:numPr>
      <w:tabs>
        <w:tab w:val="left" w:pos="3685"/>
      </w:tabs>
      <w:suppressAutoHyphens/>
      <w:autoSpaceDE w:val="0"/>
      <w:autoSpaceDN w:val="0"/>
      <w:adjustRightInd w:val="0"/>
      <w:spacing w:after="113" w:line="270" w:lineRule="atLeast"/>
      <w:textAlignment w:val="baseline"/>
    </w:pPr>
    <w:rPr>
      <w:rFonts w:ascii="Arial" w:eastAsia="Times New Roman" w:hAnsi="Arial" w:cs="Arial MT Std Light"/>
      <w:outline/>
      <w:color w:val="000000"/>
      <w:w w:val="95"/>
      <w:sz w:val="19"/>
      <w:szCs w:val="19"/>
      <w:lang w:val="en-GB" w:eastAsia="en-AU"/>
      <w14:textOutline w14:w="9525" w14:cap="flat" w14:cmpd="sng" w14:algn="ctr">
        <w14:solidFill>
          <w14:srgbClr w14:val="000000"/>
        </w14:solidFill>
        <w14:prstDash w14:val="solid"/>
        <w14:round/>
      </w14:textOutline>
      <w14:textFill>
        <w14:noFill/>
      </w14:textFill>
    </w:rPr>
  </w:style>
  <w:style w:type="paragraph" w:customStyle="1" w:styleId="TCHighlightssmallbulletTCBoxStyles">
    <w:name w:val="TC Highlights small bullet (TC Box Styles)"/>
    <w:basedOn w:val="Normal"/>
    <w:autoRedefine/>
    <w:uiPriority w:val="99"/>
    <w:rsid w:val="009456DD"/>
    <w:pPr>
      <w:numPr>
        <w:numId w:val="5"/>
      </w:numPr>
      <w:tabs>
        <w:tab w:val="left" w:pos="170"/>
      </w:tabs>
      <w:suppressAutoHyphens/>
      <w:autoSpaceDE w:val="0"/>
      <w:autoSpaceDN w:val="0"/>
      <w:adjustRightInd w:val="0"/>
      <w:spacing w:after="57" w:line="280" w:lineRule="atLeast"/>
      <w:textAlignment w:val="center"/>
    </w:pPr>
    <w:rPr>
      <w:rFonts w:ascii="Arial MT Std Light" w:eastAsia="Times New Roman" w:hAnsi="Arial MT Std Light" w:cs="Arial MT Std Light"/>
      <w:color w:val="005983"/>
      <w:w w:val="90"/>
      <w:lang w:val="en-GB" w:eastAsia="en-AU"/>
    </w:rPr>
  </w:style>
  <w:style w:type="paragraph" w:customStyle="1" w:styleId="TCMainheading1">
    <w:name w:val="TC Main heading 1"/>
    <w:basedOn w:val="Normal"/>
    <w:autoRedefine/>
    <w:uiPriority w:val="99"/>
    <w:rsid w:val="009456DD"/>
    <w:pPr>
      <w:suppressAutoHyphens/>
      <w:autoSpaceDE w:val="0"/>
      <w:autoSpaceDN w:val="0"/>
      <w:adjustRightInd w:val="0"/>
      <w:spacing w:after="170" w:line="640" w:lineRule="atLeast"/>
      <w:textAlignment w:val="center"/>
    </w:pPr>
    <w:rPr>
      <w:rFonts w:ascii="Arial" w:eastAsia="Times New Roman" w:hAnsi="Arial" w:cs="Arial MT Std Light"/>
      <w:sz w:val="56"/>
      <w:szCs w:val="72"/>
      <w:lang w:eastAsia="en-AU"/>
    </w:rPr>
  </w:style>
  <w:style w:type="paragraph" w:customStyle="1" w:styleId="TCHighlightsBulletTCBoxStyles">
    <w:name w:val="TC Highlights Bullet (TC Box Styles)"/>
    <w:basedOn w:val="Normal"/>
    <w:autoRedefine/>
    <w:uiPriority w:val="99"/>
    <w:rsid w:val="009456DD"/>
    <w:pPr>
      <w:widowControl w:val="0"/>
      <w:numPr>
        <w:numId w:val="6"/>
      </w:numPr>
      <w:tabs>
        <w:tab w:val="left" w:pos="397"/>
        <w:tab w:val="left" w:pos="794"/>
        <w:tab w:val="left" w:pos="1134"/>
      </w:tabs>
      <w:suppressAutoHyphens/>
      <w:autoSpaceDE w:val="0"/>
      <w:autoSpaceDN w:val="0"/>
      <w:adjustRightInd w:val="0"/>
      <w:spacing w:after="113" w:line="310" w:lineRule="atLeast"/>
      <w:textAlignment w:val="center"/>
    </w:pPr>
    <w:rPr>
      <w:rFonts w:ascii="Arial MT Std Light" w:eastAsia="Times New Roman" w:hAnsi="Arial MT Std Light" w:cs="Arial MT Std Light"/>
      <w:color w:val="005983"/>
      <w:w w:val="90"/>
      <w:sz w:val="22"/>
      <w:szCs w:val="22"/>
      <w:lang w:eastAsia="en-AU"/>
    </w:rPr>
  </w:style>
  <w:style w:type="paragraph" w:customStyle="1" w:styleId="NTTPolicyLettertext2">
    <w:name w:val="NTT Policy Letter text 2"/>
    <w:basedOn w:val="Normal"/>
    <w:autoRedefine/>
    <w:qFormat/>
    <w:rsid w:val="003D7DB4"/>
    <w:pPr>
      <w:numPr>
        <w:ilvl w:val="1"/>
        <w:numId w:val="7"/>
      </w:numPr>
      <w:tabs>
        <w:tab w:val="center" w:pos="4320"/>
        <w:tab w:val="right" w:pos="8640"/>
      </w:tabs>
      <w:spacing w:after="120" w:line="300" w:lineRule="exact"/>
    </w:pPr>
    <w:rPr>
      <w:rFonts w:ascii="Arial" w:eastAsia="Times New Roman" w:hAnsi="Arial" w:cs="Arial"/>
      <w:sz w:val="22"/>
      <w:lang w:val="en-GB" w:eastAsia="en-AU"/>
    </w:rPr>
  </w:style>
  <w:style w:type="paragraph" w:customStyle="1" w:styleId="NTTPolicyNumberedText">
    <w:name w:val="NTT Policy Numbered Text"/>
    <w:basedOn w:val="Normal"/>
    <w:next w:val="Normal"/>
    <w:autoRedefine/>
    <w:qFormat/>
    <w:rsid w:val="008A3D84"/>
    <w:pPr>
      <w:tabs>
        <w:tab w:val="left" w:pos="284"/>
      </w:tabs>
      <w:spacing w:after="60" w:line="300" w:lineRule="exact"/>
    </w:pPr>
    <w:rPr>
      <w:rFonts w:ascii="Arial" w:eastAsia="Times New Roman" w:hAnsi="Arial"/>
      <w:sz w:val="22"/>
      <w:szCs w:val="22"/>
      <w:lang w:val="en-GB" w:eastAsia="en-AU"/>
    </w:rPr>
  </w:style>
  <w:style w:type="paragraph" w:customStyle="1" w:styleId="NTTPolicyDashText">
    <w:name w:val="NTT Policy Dash Text"/>
    <w:basedOn w:val="Normal"/>
    <w:autoRedefine/>
    <w:qFormat/>
    <w:rsid w:val="00D967E8"/>
    <w:pPr>
      <w:numPr>
        <w:ilvl w:val="1"/>
        <w:numId w:val="10"/>
      </w:numPr>
      <w:spacing w:after="60" w:line="300" w:lineRule="exact"/>
    </w:pPr>
    <w:rPr>
      <w:rFonts w:ascii="Arial" w:eastAsia="Times New Roman" w:hAnsi="Arial" w:cs="Arial"/>
      <w:sz w:val="22"/>
      <w:lang w:val="en-GB" w:eastAsia="en-AU"/>
    </w:rPr>
  </w:style>
  <w:style w:type="paragraph" w:customStyle="1" w:styleId="NTTProcedureNumbertext">
    <w:name w:val="NTT Procedure Number text"/>
    <w:basedOn w:val="Normal"/>
    <w:next w:val="Normal"/>
    <w:autoRedefine/>
    <w:qFormat/>
    <w:rsid w:val="008A3D84"/>
    <w:pPr>
      <w:numPr>
        <w:numId w:val="11"/>
      </w:numPr>
      <w:tabs>
        <w:tab w:val="left" w:pos="284"/>
      </w:tabs>
      <w:spacing w:after="60" w:line="300" w:lineRule="exact"/>
    </w:pPr>
    <w:rPr>
      <w:rFonts w:ascii="Arial" w:eastAsia="Times New Roman" w:hAnsi="Arial"/>
      <w:color w:val="000000"/>
      <w:sz w:val="22"/>
      <w:szCs w:val="24"/>
      <w:lang w:val="en-GB" w:eastAsia="en-AU"/>
    </w:rPr>
  </w:style>
  <w:style w:type="paragraph" w:customStyle="1" w:styleId="NTTPolicyBodytext">
    <w:name w:val="NTT Policy Body text"/>
    <w:autoRedefine/>
    <w:qFormat/>
    <w:rsid w:val="00307E2C"/>
    <w:pPr>
      <w:tabs>
        <w:tab w:val="left" w:pos="4320"/>
      </w:tabs>
      <w:spacing w:before="60" w:after="60" w:line="300" w:lineRule="exact"/>
    </w:pPr>
    <w:rPr>
      <w:rFonts w:ascii="Arial" w:eastAsia="Times New Roman" w:hAnsi="Arial" w:cs="Arial"/>
      <w:sz w:val="21"/>
      <w:szCs w:val="22"/>
      <w:lang w:val="en-GB"/>
    </w:rPr>
  </w:style>
  <w:style w:type="paragraph" w:customStyle="1" w:styleId="NTTPolicyBullettext">
    <w:name w:val="NTT Policy Bullet text"/>
    <w:autoRedefine/>
    <w:qFormat/>
    <w:rsid w:val="00307E2C"/>
    <w:pPr>
      <w:spacing w:before="60" w:after="60" w:line="300" w:lineRule="exact"/>
    </w:pPr>
    <w:rPr>
      <w:rFonts w:ascii="Arial" w:eastAsia="Times New Roman" w:hAnsi="Arial" w:cs="Arial"/>
      <w:sz w:val="21"/>
      <w:szCs w:val="22"/>
      <w:lang w:val="en-GB"/>
    </w:rPr>
  </w:style>
  <w:style w:type="paragraph" w:customStyle="1" w:styleId="bullet1">
    <w:name w:val="bullet 1"/>
    <w:basedOn w:val="Normal"/>
    <w:autoRedefine/>
    <w:qFormat/>
    <w:rsid w:val="00270842"/>
    <w:pPr>
      <w:widowControl w:val="0"/>
      <w:numPr>
        <w:numId w:val="13"/>
      </w:numPr>
      <w:autoSpaceDE w:val="0"/>
      <w:autoSpaceDN w:val="0"/>
      <w:adjustRightInd w:val="0"/>
      <w:spacing w:after="120" w:line="300" w:lineRule="exact"/>
    </w:pPr>
    <w:rPr>
      <w:rFonts w:ascii="Arial" w:eastAsia="Times New Roman" w:hAnsi="Arial" w:cs="Arial"/>
      <w:color w:val="000000"/>
      <w:sz w:val="22"/>
      <w:szCs w:val="22"/>
      <w:lang w:eastAsia="en-AU"/>
    </w:rPr>
  </w:style>
  <w:style w:type="paragraph" w:customStyle="1" w:styleId="StyleArial16ptBoldBefore6pt">
    <w:name w:val="Style Arial 16 pt Bold Before:  6 pt"/>
    <w:basedOn w:val="Normal"/>
    <w:autoRedefine/>
    <w:qFormat/>
    <w:rsid w:val="002F2A7E"/>
    <w:pPr>
      <w:spacing w:before="80"/>
    </w:pPr>
    <w:rPr>
      <w:rFonts w:ascii="Arial" w:eastAsia="Times New Roman" w:hAnsi="Arial"/>
      <w:b/>
      <w:bCs/>
      <w:sz w:val="32"/>
      <w:lang w:eastAsia="en-AU"/>
    </w:rPr>
  </w:style>
  <w:style w:type="paragraph" w:customStyle="1" w:styleId="Superheading1">
    <w:name w:val="Super heading 1"/>
    <w:autoRedefine/>
    <w:qFormat/>
    <w:rsid w:val="0020671F"/>
    <w:rPr>
      <w:rFonts w:ascii="Arial" w:hAnsi="Arial" w:cs="Arial MT Std Light"/>
      <w:color w:val="000000"/>
      <w:sz w:val="52"/>
      <w:szCs w:val="72"/>
      <w:lang w:val="en-GB" w:eastAsia="en-US"/>
    </w:rPr>
  </w:style>
  <w:style w:type="character" w:customStyle="1" w:styleId="Superheading3">
    <w:name w:val="Super heading 3"/>
    <w:basedOn w:val="DefaultParagraphFont"/>
    <w:qFormat/>
    <w:rsid w:val="0020671F"/>
    <w:rPr>
      <w:rFonts w:ascii="Arial" w:hAnsi="Arial"/>
      <w:sz w:val="28"/>
    </w:rPr>
  </w:style>
  <w:style w:type="character" w:styleId="Hyperlink">
    <w:name w:val="Hyperlink"/>
    <w:basedOn w:val="DefaultParagraphFont"/>
    <w:uiPriority w:val="99"/>
    <w:unhideWhenUsed/>
    <w:rsid w:val="00E973CA"/>
    <w:rPr>
      <w:color w:val="0000FF"/>
      <w:u w:val="single"/>
    </w:rPr>
  </w:style>
  <w:style w:type="paragraph" w:styleId="ListParagraph">
    <w:name w:val="List Paragraph"/>
    <w:basedOn w:val="Normal"/>
    <w:uiPriority w:val="34"/>
    <w:qFormat/>
    <w:rsid w:val="00927CEB"/>
    <w:pPr>
      <w:ind w:left="720"/>
      <w:contextualSpacing/>
    </w:pPr>
  </w:style>
  <w:style w:type="paragraph" w:styleId="Header">
    <w:name w:val="header"/>
    <w:basedOn w:val="Normal"/>
    <w:link w:val="HeaderChar"/>
    <w:uiPriority w:val="99"/>
    <w:unhideWhenUsed/>
    <w:rsid w:val="00F63A03"/>
    <w:pPr>
      <w:tabs>
        <w:tab w:val="center" w:pos="4513"/>
        <w:tab w:val="right" w:pos="9026"/>
      </w:tabs>
    </w:pPr>
  </w:style>
  <w:style w:type="character" w:customStyle="1" w:styleId="HeaderChar">
    <w:name w:val="Header Char"/>
    <w:basedOn w:val="DefaultParagraphFont"/>
    <w:link w:val="Header"/>
    <w:uiPriority w:val="99"/>
    <w:rsid w:val="00F63A03"/>
  </w:style>
  <w:style w:type="paragraph" w:styleId="Footer">
    <w:name w:val="footer"/>
    <w:basedOn w:val="Normal"/>
    <w:link w:val="FooterChar"/>
    <w:uiPriority w:val="99"/>
    <w:unhideWhenUsed/>
    <w:rsid w:val="00F63A03"/>
    <w:pPr>
      <w:tabs>
        <w:tab w:val="center" w:pos="4513"/>
        <w:tab w:val="right" w:pos="9026"/>
      </w:tabs>
    </w:pPr>
  </w:style>
  <w:style w:type="character" w:customStyle="1" w:styleId="FooterChar">
    <w:name w:val="Footer Char"/>
    <w:basedOn w:val="DefaultParagraphFont"/>
    <w:link w:val="Footer"/>
    <w:uiPriority w:val="99"/>
    <w:rsid w:val="00F63A03"/>
  </w:style>
  <w:style w:type="paragraph" w:styleId="BalloonText">
    <w:name w:val="Balloon Text"/>
    <w:basedOn w:val="Normal"/>
    <w:link w:val="BalloonTextChar"/>
    <w:uiPriority w:val="99"/>
    <w:semiHidden/>
    <w:unhideWhenUsed/>
    <w:rsid w:val="00647C9C"/>
    <w:rPr>
      <w:rFonts w:ascii="Tahoma" w:hAnsi="Tahoma" w:cs="Tahoma"/>
      <w:sz w:val="16"/>
      <w:szCs w:val="16"/>
    </w:rPr>
  </w:style>
  <w:style w:type="character" w:customStyle="1" w:styleId="BalloonTextChar">
    <w:name w:val="Balloon Text Char"/>
    <w:basedOn w:val="DefaultParagraphFont"/>
    <w:link w:val="BalloonText"/>
    <w:uiPriority w:val="99"/>
    <w:semiHidden/>
    <w:rsid w:val="00647C9C"/>
    <w:rPr>
      <w:rFonts w:ascii="Tahoma" w:hAnsi="Tahoma" w:cs="Tahoma"/>
      <w:sz w:val="16"/>
      <w:szCs w:val="16"/>
      <w:lang w:eastAsia="en-US"/>
    </w:rPr>
  </w:style>
  <w:style w:type="paragraph" w:styleId="EndnoteText">
    <w:name w:val="endnote text"/>
    <w:basedOn w:val="Normal"/>
    <w:link w:val="EndnoteTextChar"/>
    <w:uiPriority w:val="99"/>
    <w:semiHidden/>
    <w:unhideWhenUsed/>
    <w:rsid w:val="00653FD4"/>
  </w:style>
  <w:style w:type="character" w:customStyle="1" w:styleId="EndnoteTextChar">
    <w:name w:val="Endnote Text Char"/>
    <w:basedOn w:val="DefaultParagraphFont"/>
    <w:link w:val="EndnoteText"/>
    <w:uiPriority w:val="99"/>
    <w:semiHidden/>
    <w:rsid w:val="00653FD4"/>
    <w:rPr>
      <w:lang w:eastAsia="en-US"/>
    </w:rPr>
  </w:style>
  <w:style w:type="character" w:styleId="EndnoteReference">
    <w:name w:val="endnote reference"/>
    <w:basedOn w:val="DefaultParagraphFont"/>
    <w:uiPriority w:val="99"/>
    <w:semiHidden/>
    <w:unhideWhenUsed/>
    <w:rsid w:val="00653FD4"/>
    <w:rPr>
      <w:vertAlign w:val="superscript"/>
    </w:rPr>
  </w:style>
  <w:style w:type="paragraph" w:styleId="FootnoteText">
    <w:name w:val="footnote text"/>
    <w:basedOn w:val="Normal"/>
    <w:link w:val="FootnoteTextChar"/>
    <w:uiPriority w:val="99"/>
    <w:semiHidden/>
    <w:unhideWhenUsed/>
    <w:rsid w:val="00653FD4"/>
  </w:style>
  <w:style w:type="character" w:customStyle="1" w:styleId="FootnoteTextChar">
    <w:name w:val="Footnote Text Char"/>
    <w:basedOn w:val="DefaultParagraphFont"/>
    <w:link w:val="FootnoteText"/>
    <w:uiPriority w:val="99"/>
    <w:semiHidden/>
    <w:rsid w:val="00653FD4"/>
    <w:rPr>
      <w:lang w:eastAsia="en-US"/>
    </w:rPr>
  </w:style>
  <w:style w:type="character" w:styleId="FootnoteReference">
    <w:name w:val="footnote reference"/>
    <w:basedOn w:val="DefaultParagraphFont"/>
    <w:uiPriority w:val="99"/>
    <w:semiHidden/>
    <w:unhideWhenUsed/>
    <w:rsid w:val="00653FD4"/>
    <w:rPr>
      <w:vertAlign w:val="superscript"/>
    </w:rPr>
  </w:style>
  <w:style w:type="character" w:customStyle="1" w:styleId="Heading1Char">
    <w:name w:val="Heading 1 Char"/>
    <w:basedOn w:val="DefaultParagraphFont"/>
    <w:link w:val="Heading1"/>
    <w:uiPriority w:val="9"/>
    <w:rsid w:val="00570783"/>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qFormat/>
    <w:rsid w:val="00570783"/>
    <w:pPr>
      <w:keepLines/>
      <w:spacing w:before="480" w:after="0" w:line="276" w:lineRule="auto"/>
      <w:outlineLvl w:val="9"/>
    </w:pPr>
    <w:rPr>
      <w:color w:val="365F91"/>
      <w:kern w:val="0"/>
      <w:sz w:val="28"/>
      <w:szCs w:val="28"/>
      <w:lang w:val="en-US"/>
    </w:rPr>
  </w:style>
  <w:style w:type="paragraph" w:styleId="TOC2">
    <w:name w:val="toc 2"/>
    <w:basedOn w:val="Normal"/>
    <w:next w:val="Normal"/>
    <w:autoRedefine/>
    <w:uiPriority w:val="39"/>
    <w:semiHidden/>
    <w:unhideWhenUsed/>
    <w:qFormat/>
    <w:rsid w:val="00570783"/>
    <w:pPr>
      <w:spacing w:after="100" w:line="276" w:lineRule="auto"/>
      <w:ind w:left="220"/>
    </w:pPr>
    <w:rPr>
      <w:rFonts w:ascii="Calibri" w:eastAsia="Times New Roman" w:hAnsi="Calibri"/>
      <w:sz w:val="22"/>
      <w:szCs w:val="22"/>
      <w:lang w:val="en-US"/>
    </w:rPr>
  </w:style>
  <w:style w:type="paragraph" w:styleId="TOC1">
    <w:name w:val="toc 1"/>
    <w:basedOn w:val="Normal"/>
    <w:next w:val="Normal"/>
    <w:autoRedefine/>
    <w:uiPriority w:val="39"/>
    <w:unhideWhenUsed/>
    <w:qFormat/>
    <w:rsid w:val="00097850"/>
    <w:pPr>
      <w:tabs>
        <w:tab w:val="right" w:leader="dot" w:pos="9016"/>
      </w:tabs>
      <w:spacing w:after="100" w:line="276" w:lineRule="auto"/>
    </w:pPr>
    <w:rPr>
      <w:rFonts w:ascii="Arial" w:eastAsia="Times New Roman" w:hAnsi="Arial" w:cs="Arial"/>
      <w:noProof/>
      <w:sz w:val="22"/>
      <w:szCs w:val="22"/>
      <w:lang w:val="en-US"/>
    </w:rPr>
  </w:style>
  <w:style w:type="paragraph" w:styleId="TOC3">
    <w:name w:val="toc 3"/>
    <w:basedOn w:val="Normal"/>
    <w:next w:val="Normal"/>
    <w:autoRedefine/>
    <w:uiPriority w:val="39"/>
    <w:semiHidden/>
    <w:unhideWhenUsed/>
    <w:qFormat/>
    <w:rsid w:val="00570783"/>
    <w:pPr>
      <w:spacing w:after="100" w:line="276" w:lineRule="auto"/>
      <w:ind w:left="440"/>
    </w:pPr>
    <w:rPr>
      <w:rFonts w:ascii="Calibri" w:eastAsia="Times New Roman" w:hAnsi="Calibri"/>
      <w:sz w:val="22"/>
      <w:szCs w:val="22"/>
      <w:lang w:val="en-US"/>
    </w:rPr>
  </w:style>
  <w:style w:type="character" w:styleId="CommentReference">
    <w:name w:val="annotation reference"/>
    <w:basedOn w:val="DefaultParagraphFont"/>
    <w:uiPriority w:val="99"/>
    <w:semiHidden/>
    <w:unhideWhenUsed/>
    <w:rsid w:val="00D26B74"/>
    <w:rPr>
      <w:sz w:val="16"/>
      <w:szCs w:val="16"/>
    </w:rPr>
  </w:style>
  <w:style w:type="paragraph" w:styleId="CommentText">
    <w:name w:val="annotation text"/>
    <w:basedOn w:val="Normal"/>
    <w:link w:val="CommentTextChar"/>
    <w:uiPriority w:val="99"/>
    <w:unhideWhenUsed/>
    <w:rsid w:val="003B3868"/>
  </w:style>
  <w:style w:type="character" w:customStyle="1" w:styleId="CommentTextChar">
    <w:name w:val="Comment Text Char"/>
    <w:basedOn w:val="DefaultParagraphFont"/>
    <w:link w:val="CommentText"/>
    <w:uiPriority w:val="99"/>
    <w:rsid w:val="003B3868"/>
    <w:rPr>
      <w:lang w:eastAsia="en-US"/>
    </w:rPr>
  </w:style>
  <w:style w:type="paragraph" w:styleId="CommentSubject">
    <w:name w:val="annotation subject"/>
    <w:basedOn w:val="CommentText"/>
    <w:next w:val="CommentText"/>
    <w:link w:val="CommentSubjectChar"/>
    <w:uiPriority w:val="99"/>
    <w:semiHidden/>
    <w:unhideWhenUsed/>
    <w:rsid w:val="00D26B74"/>
    <w:rPr>
      <w:b/>
      <w:bCs/>
    </w:rPr>
  </w:style>
  <w:style w:type="character" w:customStyle="1" w:styleId="CommentSubjectChar">
    <w:name w:val="Comment Subject Char"/>
    <w:basedOn w:val="CommentTextChar"/>
    <w:link w:val="CommentSubject"/>
    <w:uiPriority w:val="99"/>
    <w:semiHidden/>
    <w:rsid w:val="00D26B74"/>
    <w:rPr>
      <w:b/>
      <w:bCs/>
      <w:lang w:eastAsia="en-US"/>
    </w:rPr>
  </w:style>
  <w:style w:type="table" w:styleId="TableGrid">
    <w:name w:val="Table Grid"/>
    <w:basedOn w:val="TableNormal"/>
    <w:uiPriority w:val="59"/>
    <w:rsid w:val="00C80C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15348"/>
    <w:rPr>
      <w:color w:val="800080"/>
      <w:u w:val="single"/>
    </w:rPr>
  </w:style>
  <w:style w:type="paragraph" w:styleId="PlainText">
    <w:name w:val="Plain Text"/>
    <w:basedOn w:val="Normal"/>
    <w:link w:val="PlainTextChar"/>
    <w:uiPriority w:val="99"/>
    <w:unhideWhenUsed/>
    <w:rsid w:val="00A502AD"/>
    <w:rPr>
      <w:rFonts w:ascii="Consolas" w:hAnsi="Consolas"/>
      <w:sz w:val="21"/>
      <w:szCs w:val="21"/>
      <w:lang w:eastAsia="en-AU"/>
    </w:rPr>
  </w:style>
  <w:style w:type="character" w:customStyle="1" w:styleId="PlainTextChar">
    <w:name w:val="Plain Text Char"/>
    <w:basedOn w:val="DefaultParagraphFont"/>
    <w:link w:val="PlainText"/>
    <w:uiPriority w:val="99"/>
    <w:rsid w:val="00A502AD"/>
    <w:rPr>
      <w:rFonts w:ascii="Consolas" w:eastAsia="Calibri" w:hAnsi="Consolas"/>
      <w:sz w:val="21"/>
      <w:szCs w:val="21"/>
    </w:rPr>
  </w:style>
  <w:style w:type="paragraph" w:styleId="Caption">
    <w:name w:val="caption"/>
    <w:basedOn w:val="Normal"/>
    <w:next w:val="Normal"/>
    <w:uiPriority w:val="35"/>
    <w:unhideWhenUsed/>
    <w:qFormat/>
    <w:rsid w:val="00FC44D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60382">
      <w:bodyDiv w:val="1"/>
      <w:marLeft w:val="0"/>
      <w:marRight w:val="0"/>
      <w:marTop w:val="0"/>
      <w:marBottom w:val="0"/>
      <w:divBdr>
        <w:top w:val="none" w:sz="0" w:space="0" w:color="auto"/>
        <w:left w:val="none" w:sz="0" w:space="0" w:color="auto"/>
        <w:bottom w:val="none" w:sz="0" w:space="0" w:color="auto"/>
        <w:right w:val="none" w:sz="0" w:space="0" w:color="auto"/>
      </w:divBdr>
    </w:div>
    <w:div w:id="274287766">
      <w:bodyDiv w:val="1"/>
      <w:marLeft w:val="0"/>
      <w:marRight w:val="0"/>
      <w:marTop w:val="0"/>
      <w:marBottom w:val="0"/>
      <w:divBdr>
        <w:top w:val="none" w:sz="0" w:space="0" w:color="auto"/>
        <w:left w:val="none" w:sz="0" w:space="0" w:color="auto"/>
        <w:bottom w:val="none" w:sz="0" w:space="0" w:color="auto"/>
        <w:right w:val="none" w:sz="0" w:space="0" w:color="auto"/>
      </w:divBdr>
    </w:div>
    <w:div w:id="330447419">
      <w:bodyDiv w:val="1"/>
      <w:marLeft w:val="0"/>
      <w:marRight w:val="0"/>
      <w:marTop w:val="0"/>
      <w:marBottom w:val="0"/>
      <w:divBdr>
        <w:top w:val="none" w:sz="0" w:space="0" w:color="auto"/>
        <w:left w:val="none" w:sz="0" w:space="0" w:color="auto"/>
        <w:bottom w:val="none" w:sz="0" w:space="0" w:color="auto"/>
        <w:right w:val="none" w:sz="0" w:space="0" w:color="auto"/>
      </w:divBdr>
    </w:div>
    <w:div w:id="566844317">
      <w:bodyDiv w:val="1"/>
      <w:marLeft w:val="0"/>
      <w:marRight w:val="0"/>
      <w:marTop w:val="0"/>
      <w:marBottom w:val="0"/>
      <w:divBdr>
        <w:top w:val="none" w:sz="0" w:space="0" w:color="auto"/>
        <w:left w:val="none" w:sz="0" w:space="0" w:color="auto"/>
        <w:bottom w:val="none" w:sz="0" w:space="0" w:color="auto"/>
        <w:right w:val="none" w:sz="0" w:space="0" w:color="auto"/>
      </w:divBdr>
      <w:divsChild>
        <w:div w:id="334721857">
          <w:marLeft w:val="0"/>
          <w:marRight w:val="0"/>
          <w:marTop w:val="0"/>
          <w:marBottom w:val="0"/>
          <w:divBdr>
            <w:top w:val="none" w:sz="0" w:space="0" w:color="auto"/>
            <w:left w:val="none" w:sz="0" w:space="0" w:color="auto"/>
            <w:bottom w:val="none" w:sz="0" w:space="0" w:color="auto"/>
            <w:right w:val="none" w:sz="0" w:space="0" w:color="auto"/>
          </w:divBdr>
        </w:div>
      </w:divsChild>
    </w:div>
    <w:div w:id="698548499">
      <w:bodyDiv w:val="1"/>
      <w:marLeft w:val="0"/>
      <w:marRight w:val="0"/>
      <w:marTop w:val="0"/>
      <w:marBottom w:val="0"/>
      <w:divBdr>
        <w:top w:val="none" w:sz="0" w:space="0" w:color="auto"/>
        <w:left w:val="none" w:sz="0" w:space="0" w:color="auto"/>
        <w:bottom w:val="none" w:sz="0" w:space="0" w:color="auto"/>
        <w:right w:val="none" w:sz="0" w:space="0" w:color="auto"/>
      </w:divBdr>
    </w:div>
    <w:div w:id="704717382">
      <w:bodyDiv w:val="1"/>
      <w:marLeft w:val="0"/>
      <w:marRight w:val="0"/>
      <w:marTop w:val="0"/>
      <w:marBottom w:val="0"/>
      <w:divBdr>
        <w:top w:val="none" w:sz="0" w:space="0" w:color="auto"/>
        <w:left w:val="none" w:sz="0" w:space="0" w:color="auto"/>
        <w:bottom w:val="none" w:sz="0" w:space="0" w:color="auto"/>
        <w:right w:val="none" w:sz="0" w:space="0" w:color="auto"/>
      </w:divBdr>
    </w:div>
    <w:div w:id="729770018">
      <w:bodyDiv w:val="1"/>
      <w:marLeft w:val="0"/>
      <w:marRight w:val="0"/>
      <w:marTop w:val="0"/>
      <w:marBottom w:val="0"/>
      <w:divBdr>
        <w:top w:val="none" w:sz="0" w:space="0" w:color="auto"/>
        <w:left w:val="none" w:sz="0" w:space="0" w:color="auto"/>
        <w:bottom w:val="none" w:sz="0" w:space="0" w:color="auto"/>
        <w:right w:val="none" w:sz="0" w:space="0" w:color="auto"/>
      </w:divBdr>
    </w:div>
    <w:div w:id="813331870">
      <w:bodyDiv w:val="1"/>
      <w:marLeft w:val="0"/>
      <w:marRight w:val="0"/>
      <w:marTop w:val="0"/>
      <w:marBottom w:val="0"/>
      <w:divBdr>
        <w:top w:val="none" w:sz="0" w:space="0" w:color="auto"/>
        <w:left w:val="none" w:sz="0" w:space="0" w:color="auto"/>
        <w:bottom w:val="none" w:sz="0" w:space="0" w:color="auto"/>
        <w:right w:val="none" w:sz="0" w:space="0" w:color="auto"/>
      </w:divBdr>
    </w:div>
    <w:div w:id="942615836">
      <w:bodyDiv w:val="1"/>
      <w:marLeft w:val="0"/>
      <w:marRight w:val="0"/>
      <w:marTop w:val="0"/>
      <w:marBottom w:val="0"/>
      <w:divBdr>
        <w:top w:val="none" w:sz="0" w:space="0" w:color="auto"/>
        <w:left w:val="none" w:sz="0" w:space="0" w:color="auto"/>
        <w:bottom w:val="none" w:sz="0" w:space="0" w:color="auto"/>
        <w:right w:val="none" w:sz="0" w:space="0" w:color="auto"/>
      </w:divBdr>
    </w:div>
    <w:div w:id="976302266">
      <w:bodyDiv w:val="1"/>
      <w:marLeft w:val="0"/>
      <w:marRight w:val="0"/>
      <w:marTop w:val="0"/>
      <w:marBottom w:val="0"/>
      <w:divBdr>
        <w:top w:val="none" w:sz="0" w:space="0" w:color="auto"/>
        <w:left w:val="none" w:sz="0" w:space="0" w:color="auto"/>
        <w:bottom w:val="none" w:sz="0" w:space="0" w:color="auto"/>
        <w:right w:val="none" w:sz="0" w:space="0" w:color="auto"/>
      </w:divBdr>
    </w:div>
    <w:div w:id="1272084917">
      <w:bodyDiv w:val="1"/>
      <w:marLeft w:val="0"/>
      <w:marRight w:val="0"/>
      <w:marTop w:val="0"/>
      <w:marBottom w:val="0"/>
      <w:divBdr>
        <w:top w:val="none" w:sz="0" w:space="0" w:color="auto"/>
        <w:left w:val="none" w:sz="0" w:space="0" w:color="auto"/>
        <w:bottom w:val="none" w:sz="0" w:space="0" w:color="auto"/>
        <w:right w:val="none" w:sz="0" w:space="0" w:color="auto"/>
      </w:divBdr>
    </w:div>
    <w:div w:id="1342003629">
      <w:bodyDiv w:val="1"/>
      <w:marLeft w:val="0"/>
      <w:marRight w:val="0"/>
      <w:marTop w:val="0"/>
      <w:marBottom w:val="0"/>
      <w:divBdr>
        <w:top w:val="none" w:sz="0" w:space="0" w:color="auto"/>
        <w:left w:val="none" w:sz="0" w:space="0" w:color="auto"/>
        <w:bottom w:val="none" w:sz="0" w:space="0" w:color="auto"/>
        <w:right w:val="none" w:sz="0" w:space="0" w:color="auto"/>
      </w:divBdr>
    </w:div>
    <w:div w:id="1728336587">
      <w:bodyDiv w:val="1"/>
      <w:marLeft w:val="0"/>
      <w:marRight w:val="0"/>
      <w:marTop w:val="0"/>
      <w:marBottom w:val="0"/>
      <w:divBdr>
        <w:top w:val="none" w:sz="0" w:space="0" w:color="auto"/>
        <w:left w:val="none" w:sz="0" w:space="0" w:color="auto"/>
        <w:bottom w:val="none" w:sz="0" w:space="0" w:color="auto"/>
        <w:right w:val="none" w:sz="0" w:space="0" w:color="auto"/>
      </w:divBdr>
    </w:div>
    <w:div w:id="1762094883">
      <w:bodyDiv w:val="1"/>
      <w:marLeft w:val="0"/>
      <w:marRight w:val="0"/>
      <w:marTop w:val="0"/>
      <w:marBottom w:val="0"/>
      <w:divBdr>
        <w:top w:val="none" w:sz="0" w:space="0" w:color="auto"/>
        <w:left w:val="none" w:sz="0" w:space="0" w:color="auto"/>
        <w:bottom w:val="none" w:sz="0" w:space="0" w:color="auto"/>
        <w:right w:val="none" w:sz="0" w:space="0" w:color="auto"/>
      </w:divBdr>
    </w:div>
    <w:div w:id="1836341555">
      <w:bodyDiv w:val="1"/>
      <w:marLeft w:val="0"/>
      <w:marRight w:val="0"/>
      <w:marTop w:val="0"/>
      <w:marBottom w:val="0"/>
      <w:divBdr>
        <w:top w:val="none" w:sz="0" w:space="0" w:color="auto"/>
        <w:left w:val="none" w:sz="0" w:space="0" w:color="auto"/>
        <w:bottom w:val="none" w:sz="0" w:space="0" w:color="auto"/>
        <w:right w:val="none" w:sz="0" w:space="0" w:color="auto"/>
      </w:divBdr>
    </w:div>
    <w:div w:id="1837988226">
      <w:bodyDiv w:val="1"/>
      <w:marLeft w:val="0"/>
      <w:marRight w:val="0"/>
      <w:marTop w:val="0"/>
      <w:marBottom w:val="0"/>
      <w:divBdr>
        <w:top w:val="none" w:sz="0" w:space="0" w:color="auto"/>
        <w:left w:val="none" w:sz="0" w:space="0" w:color="auto"/>
        <w:bottom w:val="none" w:sz="0" w:space="0" w:color="auto"/>
        <w:right w:val="none" w:sz="0" w:space="0" w:color="auto"/>
      </w:divBdr>
    </w:div>
    <w:div w:id="1869374475">
      <w:bodyDiv w:val="1"/>
      <w:marLeft w:val="0"/>
      <w:marRight w:val="0"/>
      <w:marTop w:val="0"/>
      <w:marBottom w:val="0"/>
      <w:divBdr>
        <w:top w:val="none" w:sz="0" w:space="0" w:color="auto"/>
        <w:left w:val="none" w:sz="0" w:space="0" w:color="auto"/>
        <w:bottom w:val="none" w:sz="0" w:space="0" w:color="auto"/>
        <w:right w:val="none" w:sz="0" w:space="0" w:color="auto"/>
      </w:divBdr>
    </w:div>
    <w:div w:id="2076933460">
      <w:bodyDiv w:val="1"/>
      <w:marLeft w:val="0"/>
      <w:marRight w:val="0"/>
      <w:marTop w:val="0"/>
      <w:marBottom w:val="0"/>
      <w:divBdr>
        <w:top w:val="none" w:sz="0" w:space="0" w:color="auto"/>
        <w:left w:val="none" w:sz="0" w:space="0" w:color="auto"/>
        <w:bottom w:val="none" w:sz="0" w:space="0" w:color="auto"/>
        <w:right w:val="none" w:sz="0" w:space="0" w:color="auto"/>
      </w:divBdr>
    </w:div>
    <w:div w:id="212634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easury.nt.gov.au/dtf/economic-group/population-projections" TargetMode="External"/><Relationship Id="rId18" Type="http://schemas.openxmlformats.org/officeDocument/2006/relationships/image" Target="media/image4.emf"/><Relationship Id="rId26" Type="http://schemas.openxmlformats.org/officeDocument/2006/relationships/image" Target="media/image12.jpe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reasury.nt.gov.au/dtf/economic-group/population-projections" TargetMode="External"/><Relationship Id="rId17" Type="http://schemas.openxmlformats.org/officeDocument/2006/relationships/image" Target="media/image3.emf"/><Relationship Id="rId25" Type="http://schemas.openxmlformats.org/officeDocument/2006/relationships/image" Target="media/image11.jpeg"/><Relationship Id="rId33" Type="http://schemas.openxmlformats.org/officeDocument/2006/relationships/hyperlink" Target="https://treasury.nt.gov.au/dtf/economic-group/population-projections"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reasury.nt.gov.au/dtf/economic-group/population-projections" TargetMode="External"/><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asury.nt.gov.au/" TargetMode="External"/><Relationship Id="rId24" Type="http://schemas.openxmlformats.org/officeDocument/2006/relationships/image" Target="media/image10.jpeg"/><Relationship Id="rId32" Type="http://schemas.openxmlformats.org/officeDocument/2006/relationships/image" Target="media/image18.e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8.emf"/><Relationship Id="rId27" Type="http://schemas.openxmlformats.org/officeDocument/2006/relationships/image" Target="media/image13.jpeg"/><Relationship Id="rId30" Type="http://schemas.openxmlformats.org/officeDocument/2006/relationships/image" Target="media/image16.png"/><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2</Main_x0020_Category>
    <Tax_x0020_Type xmlns="378e824e-6e02-4c0d-8321-dd86fba681ee" xsi:nil="true"/>
    <Publication_x0020_Title xmlns="378e824e-6e02-4c0d-8321-dd86fba681ee">Northern Territory Population Projections Interim - Update (2013 Release)</Publication_x0020_Title>
    <Details xmlns="378e824e-6e02-4c0d-8321-dd86fba681ee" xsi:nil="true"/>
    <Identifier xmlns="378e824e-6e02-4c0d-8321-dd86fba681ee" xsi:nil="true"/>
    <Publication_x0020_Type xmlns="378e824e-6e02-4c0d-8321-dd86fba681ee" xsi:nil="true"/>
    <Sub_x0020_Sub_x0020_Category xmlns="378e824e-6e02-4c0d-8321-dd86fba681ee" xsi:nil="true"/>
    <Release_x0020_Date xmlns="378e824e-6e02-4c0d-8321-dd86fba681ee" xsi:nil="true"/>
    <Sub_x0020_Category xmlns="378e824e-6e02-4c0d-8321-dd86fba681ee">5</Sub_x0020_Category>
    <Notify xmlns="378e824e-6e02-4c0d-8321-dd86fba681ee">false</Notif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C2B4-CF94-490E-8423-EB434700FE89}">
  <ds:schemaRefs>
    <ds:schemaRef ds:uri="http://schemas.microsoft.com/sharepoint/v3/contenttype/forms"/>
  </ds:schemaRefs>
</ds:datastoreItem>
</file>

<file path=customXml/itemProps2.xml><?xml version="1.0" encoding="utf-8"?>
<ds:datastoreItem xmlns:ds="http://schemas.openxmlformats.org/officeDocument/2006/customXml" ds:itemID="{096BEAFF-34EA-4F17-837F-10C711EBD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FAEDF-9F0B-404B-96B7-49E025483229}">
  <ds:schemaRefs>
    <ds:schemaRef ds:uri="http://schemas.microsoft.com/office/2006/metadata/properties"/>
    <ds:schemaRef ds:uri="http://schemas.microsoft.com/office/infopath/2007/PartnerControls"/>
    <ds:schemaRef ds:uri="378e824e-6e02-4c0d-8321-dd86fba681ee"/>
  </ds:schemaRefs>
</ds:datastoreItem>
</file>

<file path=customXml/itemProps4.xml><?xml version="1.0" encoding="utf-8"?>
<ds:datastoreItem xmlns:ds="http://schemas.openxmlformats.org/officeDocument/2006/customXml" ds:itemID="{D7C81B22-15F6-478B-B7A2-2D50FAB9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7989</Words>
  <Characters>45543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53426</CharactersWithSpaces>
  <SharedDoc>false</SharedDoc>
  <HLinks>
    <vt:vector size="72" baseType="variant">
      <vt:variant>
        <vt:i4>1835044</vt:i4>
      </vt:variant>
      <vt:variant>
        <vt:i4>60</vt:i4>
      </vt:variant>
      <vt:variant>
        <vt:i4>0</vt:i4>
      </vt:variant>
      <vt:variant>
        <vt:i4>5</vt:i4>
      </vt:variant>
      <vt:variant>
        <vt:lpwstr>http://www.nt.gov.au/ntt/economics/nt_population.shtml</vt:lpwstr>
      </vt:variant>
      <vt:variant>
        <vt:lpwstr/>
      </vt:variant>
      <vt:variant>
        <vt:i4>1835044</vt:i4>
      </vt:variant>
      <vt:variant>
        <vt:i4>42</vt:i4>
      </vt:variant>
      <vt:variant>
        <vt:i4>0</vt:i4>
      </vt:variant>
      <vt:variant>
        <vt:i4>5</vt:i4>
      </vt:variant>
      <vt:variant>
        <vt:lpwstr>http://www.nt.gov.au/ntt/economics/nt_population.shtml</vt:lpwstr>
      </vt:variant>
      <vt:variant>
        <vt:lpwstr/>
      </vt:variant>
      <vt:variant>
        <vt:i4>1835044</vt:i4>
      </vt:variant>
      <vt:variant>
        <vt:i4>36</vt:i4>
      </vt:variant>
      <vt:variant>
        <vt:i4>0</vt:i4>
      </vt:variant>
      <vt:variant>
        <vt:i4>5</vt:i4>
      </vt:variant>
      <vt:variant>
        <vt:lpwstr>http://www.nt.gov.au/ntt/economics/nt_population.shtml</vt:lpwstr>
      </vt:variant>
      <vt:variant>
        <vt:lpwstr/>
      </vt:variant>
      <vt:variant>
        <vt:i4>1835044</vt:i4>
      </vt:variant>
      <vt:variant>
        <vt:i4>33</vt:i4>
      </vt:variant>
      <vt:variant>
        <vt:i4>0</vt:i4>
      </vt:variant>
      <vt:variant>
        <vt:i4>5</vt:i4>
      </vt:variant>
      <vt:variant>
        <vt:lpwstr>http://www.nt.gov.au/ntt/economics/nt_population.shtml</vt:lpwstr>
      </vt:variant>
      <vt:variant>
        <vt:lpwstr/>
      </vt:variant>
      <vt:variant>
        <vt:i4>1310783</vt:i4>
      </vt:variant>
      <vt:variant>
        <vt:i4>29</vt:i4>
      </vt:variant>
      <vt:variant>
        <vt:i4>0</vt:i4>
      </vt:variant>
      <vt:variant>
        <vt:i4>5</vt:i4>
      </vt:variant>
      <vt:variant>
        <vt:lpwstr/>
      </vt:variant>
      <vt:variant>
        <vt:lpwstr>_Toc303162901</vt:lpwstr>
      </vt:variant>
      <vt:variant>
        <vt:i4>1310783</vt:i4>
      </vt:variant>
      <vt:variant>
        <vt:i4>26</vt:i4>
      </vt:variant>
      <vt:variant>
        <vt:i4>0</vt:i4>
      </vt:variant>
      <vt:variant>
        <vt:i4>5</vt:i4>
      </vt:variant>
      <vt:variant>
        <vt:lpwstr/>
      </vt:variant>
      <vt:variant>
        <vt:lpwstr>_Toc303162900</vt:lpwstr>
      </vt:variant>
      <vt:variant>
        <vt:i4>1900606</vt:i4>
      </vt:variant>
      <vt:variant>
        <vt:i4>23</vt:i4>
      </vt:variant>
      <vt:variant>
        <vt:i4>0</vt:i4>
      </vt:variant>
      <vt:variant>
        <vt:i4>5</vt:i4>
      </vt:variant>
      <vt:variant>
        <vt:lpwstr/>
      </vt:variant>
      <vt:variant>
        <vt:lpwstr>_Toc303162899</vt:lpwstr>
      </vt:variant>
      <vt:variant>
        <vt:i4>1900606</vt:i4>
      </vt:variant>
      <vt:variant>
        <vt:i4>20</vt:i4>
      </vt:variant>
      <vt:variant>
        <vt:i4>0</vt:i4>
      </vt:variant>
      <vt:variant>
        <vt:i4>5</vt:i4>
      </vt:variant>
      <vt:variant>
        <vt:lpwstr/>
      </vt:variant>
      <vt:variant>
        <vt:lpwstr>_Toc303162897</vt:lpwstr>
      </vt:variant>
      <vt:variant>
        <vt:i4>1900606</vt:i4>
      </vt:variant>
      <vt:variant>
        <vt:i4>17</vt:i4>
      </vt:variant>
      <vt:variant>
        <vt:i4>0</vt:i4>
      </vt:variant>
      <vt:variant>
        <vt:i4>5</vt:i4>
      </vt:variant>
      <vt:variant>
        <vt:lpwstr/>
      </vt:variant>
      <vt:variant>
        <vt:lpwstr>_Toc303162896</vt:lpwstr>
      </vt:variant>
      <vt:variant>
        <vt:i4>1900606</vt:i4>
      </vt:variant>
      <vt:variant>
        <vt:i4>11</vt:i4>
      </vt:variant>
      <vt:variant>
        <vt:i4>0</vt:i4>
      </vt:variant>
      <vt:variant>
        <vt:i4>5</vt:i4>
      </vt:variant>
      <vt:variant>
        <vt:lpwstr/>
      </vt:variant>
      <vt:variant>
        <vt:lpwstr>_Toc303162895</vt:lpwstr>
      </vt:variant>
      <vt:variant>
        <vt:i4>1900606</vt:i4>
      </vt:variant>
      <vt:variant>
        <vt:i4>5</vt:i4>
      </vt:variant>
      <vt:variant>
        <vt:i4>0</vt:i4>
      </vt:variant>
      <vt:variant>
        <vt:i4>5</vt:i4>
      </vt:variant>
      <vt:variant>
        <vt:lpwstr/>
      </vt:variant>
      <vt:variant>
        <vt:lpwstr>_Toc303162894</vt:lpwstr>
      </vt:variant>
      <vt:variant>
        <vt:i4>4521999</vt:i4>
      </vt:variant>
      <vt:variant>
        <vt:i4>0</vt:i4>
      </vt:variant>
      <vt:variant>
        <vt:i4>0</vt:i4>
      </vt:variant>
      <vt:variant>
        <vt:i4>5</vt:i4>
      </vt:variant>
      <vt:variant>
        <vt:lpwstr>http://www.nt.gov.au/ntt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Population Projections Interim - Update (2013 Release)</dc:title>
  <dc:subject/>
  <dc:creator/>
  <cp:keywords/>
  <dc:description/>
  <cp:lastModifiedBy/>
  <cp:revision>1</cp:revision>
  <dcterms:created xsi:type="dcterms:W3CDTF">2013-03-22T06:55:00Z</dcterms:created>
  <dcterms:modified xsi:type="dcterms:W3CDTF">2022-09-02T06:03:00Z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