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B2" w:rsidRDefault="002E48B2" w:rsidP="002E48B2">
      <w:pPr>
        <w:pStyle w:val="RHChapterHeading"/>
        <w:jc w:val="center"/>
        <w:rPr>
          <w:w w:val="85"/>
          <w:sz w:val="60"/>
          <w:szCs w:val="60"/>
        </w:rPr>
      </w:pPr>
    </w:p>
    <w:p w:rsidR="00A45417" w:rsidRDefault="00A45417" w:rsidP="002E48B2">
      <w:pPr>
        <w:pStyle w:val="RHChapterHeading"/>
        <w:spacing w:before="4000"/>
        <w:jc w:val="center"/>
        <w:rPr>
          <w:w w:val="85"/>
          <w:sz w:val="60"/>
          <w:szCs w:val="60"/>
        </w:rPr>
      </w:pPr>
      <w:r>
        <w:rPr>
          <w:w w:val="85"/>
          <w:sz w:val="60"/>
          <w:szCs w:val="60"/>
        </w:rPr>
        <w:t>Budget Overview</w:t>
      </w:r>
    </w:p>
    <w:p w:rsidR="002E48B2" w:rsidRDefault="002E48B2">
      <w:pPr>
        <w:rPr>
          <w:rFonts w:ascii="Arial MT Std" w:hAnsi="Arial MT Std" w:cs="Arial MT Std"/>
          <w:b/>
          <w:bCs/>
          <w:color w:val="D3752E"/>
          <w:spacing w:val="-7"/>
          <w:w w:val="85"/>
          <w:sz w:val="60"/>
          <w:szCs w:val="60"/>
          <w:lang w:val="en-GB"/>
        </w:rPr>
      </w:pPr>
      <w:r>
        <w:rPr>
          <w:w w:val="85"/>
          <w:sz w:val="60"/>
          <w:szCs w:val="60"/>
        </w:rPr>
        <w:br w:type="page"/>
      </w:r>
    </w:p>
    <w:p w:rsidR="00A45417" w:rsidRPr="000B18AF" w:rsidRDefault="00A45417" w:rsidP="00A45417">
      <w:pPr>
        <w:pStyle w:val="BOChapterHeading"/>
        <w:rPr>
          <w:w w:val="85"/>
          <w:sz w:val="60"/>
          <w:szCs w:val="60"/>
        </w:rPr>
      </w:pPr>
      <w:r w:rsidRPr="000B18AF">
        <w:rPr>
          <w:w w:val="85"/>
          <w:sz w:val="60"/>
          <w:szCs w:val="60"/>
        </w:rPr>
        <w:lastRenderedPageBreak/>
        <w:t>Budget at a Glance</w:t>
      </w:r>
    </w:p>
    <w:p w:rsidR="00A45417" w:rsidRDefault="00A45417" w:rsidP="00A45417">
      <w:pPr>
        <w:pStyle w:val="BOBodyText"/>
      </w:pPr>
      <w:r>
        <w:t>The 2014-15 Budget has a focus on eliminating the Territory’s fiscal deficit by 2017-18, through increased own</w:t>
      </w:r>
      <w:r>
        <w:noBreakHyphen/>
        <w:t xml:space="preserve">source revenue and service delivery improvements, while ensuring the Government’s priorities are achieved. </w:t>
      </w:r>
    </w:p>
    <w:p w:rsidR="00A45417" w:rsidRDefault="00A45417" w:rsidP="00A45417">
      <w:pPr>
        <w:pStyle w:val="BOBodyText"/>
      </w:pPr>
      <w:r>
        <w:t>The 2014-15 Budget provides resources to develop Northern Australia by building on the Government’s key priorities of attracting investment in mineral resources, increasing tourist visitation, expanding the Territory’s primary industries, investing in infrastructure and increasing the supply of affordable housing.</w:t>
      </w:r>
    </w:p>
    <w:p w:rsidR="00A45417" w:rsidRDefault="00A45417" w:rsidP="00A45417">
      <w:pPr>
        <w:pStyle w:val="BOHeading1"/>
      </w:pPr>
      <w:r>
        <w:t>Fiscal Position</w:t>
      </w:r>
    </w:p>
    <w:p w:rsidR="00A45417" w:rsidRDefault="00A45417" w:rsidP="00A45417">
      <w:pPr>
        <w:pStyle w:val="BOBodyText"/>
        <w:rPr>
          <w:spacing w:val="-2"/>
        </w:rPr>
      </w:pPr>
      <w:r>
        <w:rPr>
          <w:spacing w:val="-2"/>
        </w:rPr>
        <w:t>The Government has continued its targeted elimination of the fiscal deficit in order to stabilise the Territory’s debt burden by 2017-18. The fiscal deficit has improved significantly since the May 2013 Budget, with a small deficit of $39 million projected by 2017-18. The significant improvement is a result of additional own</w:t>
      </w:r>
      <w:r>
        <w:rPr>
          <w:spacing w:val="-2"/>
        </w:rPr>
        <w:noBreakHyphen/>
        <w:t xml:space="preserve">source revenue </w:t>
      </w:r>
      <w:r>
        <w:t>due to the current economic conditions,</w:t>
      </w:r>
      <w:r>
        <w:rPr>
          <w:spacing w:val="-2"/>
        </w:rPr>
        <w:t xml:space="preserve"> efficiency measures across general government agencies and the improving financial position of the Power and Water Corporation. </w:t>
      </w:r>
    </w:p>
    <w:p w:rsidR="00A45417" w:rsidRDefault="00A45417" w:rsidP="00A45417">
      <w:pPr>
        <w:pStyle w:val="BOHeading1"/>
      </w:pPr>
      <w:r>
        <w:t>Key Economic Indicators</w:t>
      </w:r>
    </w:p>
    <w:p w:rsidR="00A45417" w:rsidRDefault="00A45417" w:rsidP="00A45417">
      <w:pPr>
        <w:pStyle w:val="BOBodyText"/>
      </w:pPr>
      <w:r>
        <w:t>Economic growth in the Territory is estimated to be 5.0 per cent in 2013</w:t>
      </w:r>
      <w:r>
        <w:noBreakHyphen/>
        <w:t>14, strengthening to 6.0 per cent in 2014</w:t>
      </w:r>
      <w:r>
        <w:noBreakHyphen/>
        <w:t xml:space="preserve">15. Growth is expected to be underpinned by an acceleration of onshore construction activity related to the INPEX </w:t>
      </w:r>
      <w:proofErr w:type="spellStart"/>
      <w:r>
        <w:t>Ichthys</w:t>
      </w:r>
      <w:proofErr w:type="spellEnd"/>
      <w:r>
        <w:t xml:space="preserve"> liquefied natural gas project.</w:t>
      </w:r>
    </w:p>
    <w:p w:rsidR="00A45417" w:rsidRDefault="00A45417" w:rsidP="00A45417">
      <w:pPr>
        <w:pStyle w:val="BOBodyText"/>
      </w:pPr>
      <w:r>
        <w:t xml:space="preserve">In the forward years, the Territory economy is expected to undergo a significant transition. From 2015-16, private investment is expected to moderate and net exports are expected to emerge as the primary driver of economic growth as the </w:t>
      </w:r>
      <w:proofErr w:type="spellStart"/>
      <w:r>
        <w:t>Ichthys</w:t>
      </w:r>
      <w:proofErr w:type="spellEnd"/>
      <w:r>
        <w:t xml:space="preserve"> project transitions from the construction to the production phase.</w:t>
      </w:r>
    </w:p>
    <w:p w:rsidR="00A45417" w:rsidRDefault="00A45417" w:rsidP="00A45417">
      <w:pPr>
        <w:pStyle w:val="BOBodyText"/>
      </w:pPr>
      <w:r>
        <w:t>Territory employment growth is expected to strengthen over the next two years to 3.8 per cent in 2014</w:t>
      </w:r>
      <w:r>
        <w:noBreakHyphen/>
        <w:t>15, supported by elevated levels of construction activity that is expected to flow through to other industries in the Territory.</w:t>
      </w:r>
    </w:p>
    <w:p w:rsidR="00A45417" w:rsidRDefault="00A45417" w:rsidP="00A45417">
      <w:pPr>
        <w:pStyle w:val="BOBodyText"/>
      </w:pPr>
      <w:r>
        <w:t>Consistent with economic activity, Territory population growth is estimated to increase by 1.6 per cent in 2014 before strengthening to 2.6 per cent in 2015.</w:t>
      </w:r>
    </w:p>
    <w:p w:rsidR="00A45417" w:rsidRDefault="00A45417" w:rsidP="00A45417">
      <w:pPr>
        <w:pStyle w:val="BOBodyText"/>
      </w:pPr>
      <w:r>
        <w:t xml:space="preserve">In the forward years, Territory employment and population growth are expected to moderate as the </w:t>
      </w:r>
      <w:proofErr w:type="spellStart"/>
      <w:r>
        <w:t>Ichthys</w:t>
      </w:r>
      <w:proofErr w:type="spellEnd"/>
      <w:r>
        <w:t xml:space="preserve"> project transitions from the construction phase to the less labour</w:t>
      </w:r>
      <w:r>
        <w:noBreakHyphen/>
        <w:t>intensive production phase.</w:t>
      </w:r>
    </w:p>
    <w:p w:rsidR="00A45417" w:rsidRDefault="00A45417" w:rsidP="00A45417">
      <w:pPr>
        <w:pStyle w:val="BOTableHeading"/>
        <w:spacing w:before="113"/>
        <w:rPr>
          <w:rStyle w:val="BOBlueText288"/>
        </w:rPr>
      </w:pPr>
      <w:r>
        <w:rPr>
          <w:rStyle w:val="BOBlueText288"/>
        </w:rPr>
        <w:t>Key Economic Indicators</w:t>
      </w:r>
    </w:p>
    <w:tbl>
      <w:tblPr>
        <w:tblW w:w="0" w:type="auto"/>
        <w:tblInd w:w="8" w:type="dxa"/>
        <w:tblLayout w:type="fixed"/>
        <w:tblCellMar>
          <w:left w:w="0" w:type="dxa"/>
          <w:right w:w="0" w:type="dxa"/>
        </w:tblCellMar>
        <w:tblLook w:val="0000" w:firstRow="0" w:lastRow="0" w:firstColumn="0" w:lastColumn="0" w:noHBand="0" w:noVBand="0"/>
      </w:tblPr>
      <w:tblGrid>
        <w:gridCol w:w="1840"/>
        <w:gridCol w:w="775"/>
        <w:gridCol w:w="775"/>
        <w:gridCol w:w="774"/>
        <w:gridCol w:w="775"/>
        <w:gridCol w:w="775"/>
        <w:gridCol w:w="803"/>
      </w:tblGrid>
      <w:tr w:rsidR="00A45417" w:rsidTr="00546FA7">
        <w:tblPrEx>
          <w:tblCellMar>
            <w:top w:w="0" w:type="dxa"/>
            <w:left w:w="0" w:type="dxa"/>
            <w:bottom w:w="0" w:type="dxa"/>
            <w:right w:w="0" w:type="dxa"/>
          </w:tblCellMar>
        </w:tblPrEx>
        <w:trPr>
          <w:trHeight w:val="255"/>
        </w:trPr>
        <w:tc>
          <w:tcPr>
            <w:tcW w:w="1840" w:type="dxa"/>
            <w:tcBorders>
              <w:bottom w:val="single" w:sz="4" w:space="0" w:color="D3752E"/>
            </w:tcBorders>
            <w:tcMar>
              <w:top w:w="28" w:type="dxa"/>
              <w:left w:w="0" w:type="dxa"/>
              <w:bottom w:w="28" w:type="dxa"/>
              <w:right w:w="0" w:type="dxa"/>
            </w:tcMar>
          </w:tcPr>
          <w:p w:rsidR="00A45417" w:rsidRDefault="00A45417">
            <w:pPr>
              <w:pStyle w:val="BOTableText"/>
            </w:pPr>
            <w:r>
              <w:rPr>
                <w:rStyle w:val="BOBlueText288"/>
              </w:rPr>
              <w:t> </w:t>
            </w:r>
          </w:p>
        </w:tc>
        <w:tc>
          <w:tcPr>
            <w:tcW w:w="775" w:type="dxa"/>
            <w:tcBorders>
              <w:bottom w:val="single" w:sz="4" w:space="0" w:color="D3752E"/>
            </w:tcBorders>
            <w:tcMar>
              <w:top w:w="28" w:type="dxa"/>
              <w:left w:w="0" w:type="dxa"/>
              <w:bottom w:w="28" w:type="dxa"/>
              <w:right w:w="0" w:type="dxa"/>
            </w:tcMar>
          </w:tcPr>
          <w:p w:rsidR="00A45417" w:rsidRDefault="00A45417">
            <w:pPr>
              <w:pStyle w:val="BOTableTextCentred"/>
            </w:pPr>
            <w:r>
              <w:rPr>
                <w:rStyle w:val="BOBlueText288"/>
              </w:rPr>
              <w:t>2012-13</w:t>
            </w:r>
          </w:p>
        </w:tc>
        <w:tc>
          <w:tcPr>
            <w:tcW w:w="775" w:type="dxa"/>
            <w:tcBorders>
              <w:bottom w:val="single" w:sz="4" w:space="0" w:color="D3752E"/>
            </w:tcBorders>
            <w:tcMar>
              <w:top w:w="28" w:type="dxa"/>
              <w:left w:w="0" w:type="dxa"/>
              <w:bottom w:w="28" w:type="dxa"/>
              <w:right w:w="0" w:type="dxa"/>
            </w:tcMar>
          </w:tcPr>
          <w:p w:rsidR="00A45417" w:rsidRDefault="00A45417">
            <w:pPr>
              <w:pStyle w:val="BOTableTextCentred"/>
            </w:pPr>
            <w:r>
              <w:rPr>
                <w:rStyle w:val="BOBlueText288"/>
              </w:rPr>
              <w:t>2013-14e</w:t>
            </w:r>
          </w:p>
        </w:tc>
        <w:tc>
          <w:tcPr>
            <w:tcW w:w="774" w:type="dxa"/>
            <w:tcBorders>
              <w:bottom w:val="single" w:sz="4" w:space="0" w:color="D3752E"/>
            </w:tcBorders>
            <w:tcMar>
              <w:top w:w="28" w:type="dxa"/>
              <w:left w:w="0" w:type="dxa"/>
              <w:bottom w:w="28" w:type="dxa"/>
              <w:right w:w="0" w:type="dxa"/>
            </w:tcMar>
          </w:tcPr>
          <w:p w:rsidR="00A45417" w:rsidRDefault="00A45417">
            <w:pPr>
              <w:pStyle w:val="BOTableTextCentred"/>
            </w:pPr>
            <w:r>
              <w:rPr>
                <w:rStyle w:val="BOBlueText288"/>
              </w:rPr>
              <w:t>2014-15f</w:t>
            </w:r>
          </w:p>
        </w:tc>
        <w:tc>
          <w:tcPr>
            <w:tcW w:w="775" w:type="dxa"/>
            <w:tcBorders>
              <w:bottom w:val="single" w:sz="4" w:space="0" w:color="D3752E"/>
            </w:tcBorders>
            <w:tcMar>
              <w:top w:w="28" w:type="dxa"/>
              <w:left w:w="0" w:type="dxa"/>
              <w:bottom w:w="28" w:type="dxa"/>
              <w:right w:w="0" w:type="dxa"/>
            </w:tcMar>
          </w:tcPr>
          <w:p w:rsidR="00A45417" w:rsidRDefault="00A45417">
            <w:pPr>
              <w:pStyle w:val="BOTableTextCentred"/>
            </w:pPr>
            <w:r>
              <w:rPr>
                <w:rStyle w:val="BOBlueText288"/>
              </w:rPr>
              <w:t>2015-16f</w:t>
            </w:r>
          </w:p>
        </w:tc>
        <w:tc>
          <w:tcPr>
            <w:tcW w:w="775" w:type="dxa"/>
            <w:tcBorders>
              <w:bottom w:val="single" w:sz="4" w:space="0" w:color="D3752E"/>
            </w:tcBorders>
            <w:tcMar>
              <w:top w:w="28" w:type="dxa"/>
              <w:left w:w="0" w:type="dxa"/>
              <w:bottom w:w="28" w:type="dxa"/>
              <w:right w:w="0" w:type="dxa"/>
            </w:tcMar>
          </w:tcPr>
          <w:p w:rsidR="00A45417" w:rsidRDefault="00A45417">
            <w:pPr>
              <w:pStyle w:val="BOTableTextCentred"/>
            </w:pPr>
            <w:r>
              <w:rPr>
                <w:rStyle w:val="BOBlueText288"/>
              </w:rPr>
              <w:t>2016-17f</w:t>
            </w:r>
          </w:p>
        </w:tc>
        <w:tc>
          <w:tcPr>
            <w:tcW w:w="803" w:type="dxa"/>
            <w:tcBorders>
              <w:bottom w:val="single" w:sz="4" w:space="0" w:color="D3752E"/>
            </w:tcBorders>
            <w:tcMar>
              <w:top w:w="28" w:type="dxa"/>
              <w:left w:w="0" w:type="dxa"/>
              <w:bottom w:w="28" w:type="dxa"/>
              <w:right w:w="0" w:type="dxa"/>
            </w:tcMar>
          </w:tcPr>
          <w:p w:rsidR="00A45417" w:rsidRDefault="00A45417">
            <w:pPr>
              <w:pStyle w:val="BOTableTextCentred"/>
            </w:pPr>
            <w:r>
              <w:rPr>
                <w:rStyle w:val="BOBlueText288"/>
              </w:rPr>
              <w:t>2017-18f</w:t>
            </w:r>
          </w:p>
        </w:tc>
      </w:tr>
      <w:tr w:rsidR="00A45417" w:rsidTr="00546FA7">
        <w:tblPrEx>
          <w:tblCellMar>
            <w:top w:w="0" w:type="dxa"/>
            <w:left w:w="0" w:type="dxa"/>
            <w:bottom w:w="0" w:type="dxa"/>
            <w:right w:w="0" w:type="dxa"/>
          </w:tblCellMar>
        </w:tblPrEx>
        <w:trPr>
          <w:trHeight w:val="300"/>
        </w:trPr>
        <w:tc>
          <w:tcPr>
            <w:tcW w:w="1840" w:type="dxa"/>
            <w:tcBorders>
              <w:top w:val="single" w:sz="4" w:space="0" w:color="D3752E"/>
            </w:tcBorders>
            <w:tcMar>
              <w:top w:w="28" w:type="dxa"/>
              <w:left w:w="0" w:type="dxa"/>
              <w:bottom w:w="28" w:type="dxa"/>
              <w:right w:w="0" w:type="dxa"/>
            </w:tcMar>
          </w:tcPr>
          <w:p w:rsidR="00A45417" w:rsidRDefault="00A45417">
            <w:pPr>
              <w:pStyle w:val="NoParagraphStyle"/>
              <w:spacing w:line="240" w:lineRule="auto"/>
              <w:textAlignment w:val="auto"/>
              <w:rPr>
                <w:rFonts w:ascii="Arial MT Std Light" w:hAnsi="Arial MT Std Light" w:cstheme="minorBidi"/>
                <w:color w:val="auto"/>
                <w:lang w:val="en-AU"/>
              </w:rPr>
            </w:pPr>
          </w:p>
        </w:tc>
        <w:tc>
          <w:tcPr>
            <w:tcW w:w="775" w:type="dxa"/>
            <w:tcBorders>
              <w:top w:val="single" w:sz="4" w:space="0" w:color="D3752E"/>
            </w:tcBorders>
            <w:tcMar>
              <w:top w:w="28" w:type="dxa"/>
              <w:left w:w="0" w:type="dxa"/>
              <w:bottom w:w="28" w:type="dxa"/>
              <w:right w:w="0" w:type="dxa"/>
            </w:tcMar>
          </w:tcPr>
          <w:p w:rsidR="00A45417" w:rsidRDefault="00A45417">
            <w:pPr>
              <w:pStyle w:val="BOTableTextCentred"/>
            </w:pPr>
            <w:r>
              <w:rPr>
                <w:rStyle w:val="BOBlueText288"/>
              </w:rPr>
              <w:t>%</w:t>
            </w:r>
          </w:p>
        </w:tc>
        <w:tc>
          <w:tcPr>
            <w:tcW w:w="775" w:type="dxa"/>
            <w:tcBorders>
              <w:top w:val="single" w:sz="4" w:space="0" w:color="D3752E"/>
            </w:tcBorders>
            <w:tcMar>
              <w:top w:w="28" w:type="dxa"/>
              <w:left w:w="0" w:type="dxa"/>
              <w:bottom w:w="28" w:type="dxa"/>
              <w:right w:w="0" w:type="dxa"/>
            </w:tcMar>
          </w:tcPr>
          <w:p w:rsidR="00A45417" w:rsidRDefault="00A45417">
            <w:pPr>
              <w:pStyle w:val="BOTableTextCentred"/>
            </w:pPr>
            <w:r>
              <w:rPr>
                <w:rStyle w:val="BOBlueText288"/>
              </w:rPr>
              <w:t>%</w:t>
            </w:r>
          </w:p>
        </w:tc>
        <w:tc>
          <w:tcPr>
            <w:tcW w:w="774" w:type="dxa"/>
            <w:tcBorders>
              <w:top w:val="single" w:sz="4" w:space="0" w:color="D3752E"/>
            </w:tcBorders>
            <w:tcMar>
              <w:top w:w="28" w:type="dxa"/>
              <w:left w:w="0" w:type="dxa"/>
              <w:bottom w:w="28" w:type="dxa"/>
              <w:right w:w="0" w:type="dxa"/>
            </w:tcMar>
          </w:tcPr>
          <w:p w:rsidR="00A45417" w:rsidRDefault="00A45417">
            <w:pPr>
              <w:pStyle w:val="BOTableTextCentred"/>
            </w:pPr>
            <w:r>
              <w:rPr>
                <w:rStyle w:val="BOBlueText288"/>
              </w:rPr>
              <w:t>%</w:t>
            </w:r>
          </w:p>
        </w:tc>
        <w:tc>
          <w:tcPr>
            <w:tcW w:w="775" w:type="dxa"/>
            <w:tcBorders>
              <w:top w:val="single" w:sz="4" w:space="0" w:color="D3752E"/>
            </w:tcBorders>
            <w:tcMar>
              <w:top w:w="28" w:type="dxa"/>
              <w:left w:w="0" w:type="dxa"/>
              <w:bottom w:w="28" w:type="dxa"/>
              <w:right w:w="0" w:type="dxa"/>
            </w:tcMar>
          </w:tcPr>
          <w:p w:rsidR="00A45417" w:rsidRDefault="00A45417">
            <w:pPr>
              <w:pStyle w:val="BOTableTextCentred"/>
            </w:pPr>
            <w:r>
              <w:rPr>
                <w:rStyle w:val="BOBlueText288"/>
              </w:rPr>
              <w:t>%</w:t>
            </w:r>
          </w:p>
        </w:tc>
        <w:tc>
          <w:tcPr>
            <w:tcW w:w="775" w:type="dxa"/>
            <w:tcBorders>
              <w:top w:val="single" w:sz="4" w:space="0" w:color="D3752E"/>
            </w:tcBorders>
            <w:tcMar>
              <w:top w:w="28" w:type="dxa"/>
              <w:left w:w="0" w:type="dxa"/>
              <w:bottom w:w="28" w:type="dxa"/>
              <w:right w:w="0" w:type="dxa"/>
            </w:tcMar>
          </w:tcPr>
          <w:p w:rsidR="00A45417" w:rsidRDefault="00A45417">
            <w:pPr>
              <w:pStyle w:val="BOTableTextCentred"/>
            </w:pPr>
            <w:r>
              <w:rPr>
                <w:rStyle w:val="BOBlueText288"/>
                <w:w w:val="100"/>
              </w:rPr>
              <w:t>%</w:t>
            </w:r>
          </w:p>
        </w:tc>
        <w:tc>
          <w:tcPr>
            <w:tcW w:w="803" w:type="dxa"/>
            <w:tcBorders>
              <w:top w:val="single" w:sz="4" w:space="0" w:color="D3752E"/>
            </w:tcBorders>
            <w:tcMar>
              <w:top w:w="28" w:type="dxa"/>
              <w:left w:w="0" w:type="dxa"/>
              <w:bottom w:w="28" w:type="dxa"/>
              <w:right w:w="0" w:type="dxa"/>
            </w:tcMar>
          </w:tcPr>
          <w:p w:rsidR="00A45417" w:rsidRDefault="00A45417">
            <w:pPr>
              <w:pStyle w:val="BOTableTextCentred"/>
            </w:pPr>
            <w:r>
              <w:rPr>
                <w:rStyle w:val="BOBlueText288"/>
              </w:rPr>
              <w:t>%</w:t>
            </w:r>
          </w:p>
        </w:tc>
      </w:tr>
      <w:tr w:rsidR="00A45417" w:rsidTr="00546FA7">
        <w:tblPrEx>
          <w:tblCellMar>
            <w:top w:w="0" w:type="dxa"/>
            <w:left w:w="0" w:type="dxa"/>
            <w:bottom w:w="0" w:type="dxa"/>
            <w:right w:w="0" w:type="dxa"/>
          </w:tblCellMar>
        </w:tblPrEx>
        <w:trPr>
          <w:trHeight w:val="255"/>
        </w:trPr>
        <w:tc>
          <w:tcPr>
            <w:tcW w:w="1840" w:type="dxa"/>
            <w:tcMar>
              <w:top w:w="28" w:type="dxa"/>
              <w:left w:w="0" w:type="dxa"/>
              <w:bottom w:w="28" w:type="dxa"/>
              <w:right w:w="0" w:type="dxa"/>
            </w:tcMar>
          </w:tcPr>
          <w:p w:rsidR="00A45417" w:rsidRDefault="00A45417">
            <w:pPr>
              <w:pStyle w:val="BOTableText"/>
            </w:pPr>
            <w:r>
              <w:rPr>
                <w:rStyle w:val="BOBlueText288"/>
              </w:rPr>
              <w:t>Gross state product</w:t>
            </w:r>
            <w:r>
              <w:rPr>
                <w:rStyle w:val="BOBlueText288"/>
                <w:vertAlign w:val="superscript"/>
              </w:rPr>
              <w:t>1</w:t>
            </w:r>
          </w:p>
        </w:tc>
        <w:tc>
          <w:tcPr>
            <w:tcW w:w="775" w:type="dxa"/>
            <w:tcMar>
              <w:top w:w="28" w:type="dxa"/>
              <w:left w:w="0" w:type="dxa"/>
              <w:bottom w:w="28" w:type="dxa"/>
              <w:right w:w="283" w:type="dxa"/>
            </w:tcMar>
          </w:tcPr>
          <w:p w:rsidR="00A45417" w:rsidRDefault="00A45417">
            <w:pPr>
              <w:pStyle w:val="BOTableNumbers"/>
            </w:pPr>
            <w:r>
              <w:rPr>
                <w:rStyle w:val="BOBlueText288"/>
              </w:rPr>
              <w:t>5.6</w:t>
            </w:r>
          </w:p>
        </w:tc>
        <w:tc>
          <w:tcPr>
            <w:tcW w:w="775" w:type="dxa"/>
            <w:tcMar>
              <w:top w:w="28" w:type="dxa"/>
              <w:left w:w="0" w:type="dxa"/>
              <w:bottom w:w="28" w:type="dxa"/>
              <w:right w:w="283" w:type="dxa"/>
            </w:tcMar>
          </w:tcPr>
          <w:p w:rsidR="00A45417" w:rsidRDefault="00A45417">
            <w:pPr>
              <w:pStyle w:val="BOTableNumbers"/>
            </w:pPr>
            <w:r>
              <w:rPr>
                <w:rStyle w:val="BOBlueText288"/>
              </w:rPr>
              <w:t>5.0</w:t>
            </w:r>
          </w:p>
        </w:tc>
        <w:tc>
          <w:tcPr>
            <w:tcW w:w="774" w:type="dxa"/>
            <w:tcMar>
              <w:top w:w="28" w:type="dxa"/>
              <w:left w:w="0" w:type="dxa"/>
              <w:bottom w:w="28" w:type="dxa"/>
              <w:right w:w="283" w:type="dxa"/>
            </w:tcMar>
          </w:tcPr>
          <w:p w:rsidR="00A45417" w:rsidRDefault="00A45417">
            <w:pPr>
              <w:pStyle w:val="BOTableNumbers"/>
            </w:pPr>
            <w:r>
              <w:rPr>
                <w:rStyle w:val="BOBlueText288"/>
              </w:rPr>
              <w:t>6.0</w:t>
            </w:r>
          </w:p>
        </w:tc>
        <w:tc>
          <w:tcPr>
            <w:tcW w:w="775" w:type="dxa"/>
            <w:tcMar>
              <w:top w:w="28" w:type="dxa"/>
              <w:left w:w="0" w:type="dxa"/>
              <w:bottom w:w="28" w:type="dxa"/>
              <w:right w:w="283" w:type="dxa"/>
            </w:tcMar>
          </w:tcPr>
          <w:p w:rsidR="00A45417" w:rsidRDefault="00A45417">
            <w:pPr>
              <w:pStyle w:val="BOTableNumbers"/>
            </w:pPr>
            <w:r>
              <w:rPr>
                <w:rStyle w:val="BOBlueText288"/>
              </w:rPr>
              <w:t>3.0</w:t>
            </w:r>
          </w:p>
        </w:tc>
        <w:tc>
          <w:tcPr>
            <w:tcW w:w="775" w:type="dxa"/>
            <w:tcMar>
              <w:top w:w="28" w:type="dxa"/>
              <w:left w:w="0" w:type="dxa"/>
              <w:bottom w:w="28" w:type="dxa"/>
              <w:right w:w="283" w:type="dxa"/>
            </w:tcMar>
          </w:tcPr>
          <w:p w:rsidR="00A45417" w:rsidRDefault="00A45417">
            <w:pPr>
              <w:pStyle w:val="BOTableNumbers"/>
            </w:pPr>
            <w:r>
              <w:rPr>
                <w:rStyle w:val="BOBlueText288"/>
              </w:rPr>
              <w:t>4.0</w:t>
            </w:r>
          </w:p>
        </w:tc>
        <w:tc>
          <w:tcPr>
            <w:tcW w:w="803" w:type="dxa"/>
            <w:tcMar>
              <w:top w:w="28" w:type="dxa"/>
              <w:left w:w="0" w:type="dxa"/>
              <w:bottom w:w="28" w:type="dxa"/>
              <w:right w:w="283" w:type="dxa"/>
            </w:tcMar>
          </w:tcPr>
          <w:p w:rsidR="00A45417" w:rsidRDefault="00A45417">
            <w:pPr>
              <w:pStyle w:val="BOTableNumbers"/>
            </w:pPr>
            <w:r>
              <w:t>3.5</w:t>
            </w:r>
          </w:p>
        </w:tc>
      </w:tr>
      <w:tr w:rsidR="00A45417" w:rsidTr="00546FA7">
        <w:tblPrEx>
          <w:tblCellMar>
            <w:top w:w="0" w:type="dxa"/>
            <w:left w:w="0" w:type="dxa"/>
            <w:bottom w:w="0" w:type="dxa"/>
            <w:right w:w="0" w:type="dxa"/>
          </w:tblCellMar>
        </w:tblPrEx>
        <w:trPr>
          <w:trHeight w:val="255"/>
        </w:trPr>
        <w:tc>
          <w:tcPr>
            <w:tcW w:w="1840" w:type="dxa"/>
            <w:tcMar>
              <w:top w:w="28" w:type="dxa"/>
              <w:left w:w="0" w:type="dxa"/>
              <w:bottom w:w="28" w:type="dxa"/>
              <w:right w:w="0" w:type="dxa"/>
            </w:tcMar>
          </w:tcPr>
          <w:p w:rsidR="00A45417" w:rsidRDefault="00A45417">
            <w:pPr>
              <w:pStyle w:val="BOTableText"/>
            </w:pPr>
            <w:r>
              <w:rPr>
                <w:rStyle w:val="BOBlueText288"/>
              </w:rPr>
              <w:t>Population</w:t>
            </w:r>
            <w:r>
              <w:rPr>
                <w:rStyle w:val="BOBlueText288"/>
                <w:vertAlign w:val="superscript"/>
              </w:rPr>
              <w:t>2</w:t>
            </w:r>
          </w:p>
        </w:tc>
        <w:tc>
          <w:tcPr>
            <w:tcW w:w="775" w:type="dxa"/>
            <w:tcMar>
              <w:top w:w="28" w:type="dxa"/>
              <w:left w:w="0" w:type="dxa"/>
              <w:bottom w:w="28" w:type="dxa"/>
              <w:right w:w="283" w:type="dxa"/>
            </w:tcMar>
          </w:tcPr>
          <w:p w:rsidR="00A45417" w:rsidRDefault="00A45417">
            <w:pPr>
              <w:pStyle w:val="BOTableNumbers"/>
            </w:pPr>
            <w:r>
              <w:rPr>
                <w:rStyle w:val="BOBlueText288"/>
              </w:rPr>
              <w:t>2.3</w:t>
            </w:r>
          </w:p>
        </w:tc>
        <w:tc>
          <w:tcPr>
            <w:tcW w:w="775" w:type="dxa"/>
            <w:tcMar>
              <w:top w:w="28" w:type="dxa"/>
              <w:left w:w="0" w:type="dxa"/>
              <w:bottom w:w="28" w:type="dxa"/>
              <w:right w:w="283" w:type="dxa"/>
            </w:tcMar>
          </w:tcPr>
          <w:p w:rsidR="00A45417" w:rsidRDefault="00A45417">
            <w:pPr>
              <w:pStyle w:val="BOTableNumbers"/>
            </w:pPr>
            <w:r>
              <w:rPr>
                <w:rStyle w:val="BOBlueText288"/>
              </w:rPr>
              <w:t>2.0</w:t>
            </w:r>
          </w:p>
        </w:tc>
        <w:tc>
          <w:tcPr>
            <w:tcW w:w="774" w:type="dxa"/>
            <w:tcMar>
              <w:top w:w="28" w:type="dxa"/>
              <w:left w:w="0" w:type="dxa"/>
              <w:bottom w:w="28" w:type="dxa"/>
              <w:right w:w="283" w:type="dxa"/>
            </w:tcMar>
          </w:tcPr>
          <w:p w:rsidR="00A45417" w:rsidRDefault="00A45417">
            <w:pPr>
              <w:pStyle w:val="BOTableNumbers"/>
            </w:pPr>
            <w:r>
              <w:rPr>
                <w:rStyle w:val="BOBlueText288"/>
              </w:rPr>
              <w:t>1.6</w:t>
            </w:r>
          </w:p>
        </w:tc>
        <w:tc>
          <w:tcPr>
            <w:tcW w:w="775" w:type="dxa"/>
            <w:tcMar>
              <w:top w:w="28" w:type="dxa"/>
              <w:left w:w="0" w:type="dxa"/>
              <w:bottom w:w="28" w:type="dxa"/>
              <w:right w:w="283" w:type="dxa"/>
            </w:tcMar>
          </w:tcPr>
          <w:p w:rsidR="00A45417" w:rsidRDefault="00A45417">
            <w:pPr>
              <w:pStyle w:val="BOTableNumbers"/>
            </w:pPr>
            <w:r>
              <w:rPr>
                <w:rStyle w:val="BOBlueText288"/>
              </w:rPr>
              <w:t>2.6</w:t>
            </w:r>
          </w:p>
        </w:tc>
        <w:tc>
          <w:tcPr>
            <w:tcW w:w="775" w:type="dxa"/>
            <w:tcMar>
              <w:top w:w="28" w:type="dxa"/>
              <w:left w:w="0" w:type="dxa"/>
              <w:bottom w:w="28" w:type="dxa"/>
              <w:right w:w="283" w:type="dxa"/>
            </w:tcMar>
          </w:tcPr>
          <w:p w:rsidR="00A45417" w:rsidRDefault="00A45417">
            <w:pPr>
              <w:pStyle w:val="BOTableNumbers"/>
            </w:pPr>
            <w:r>
              <w:rPr>
                <w:rStyle w:val="BOBlueText288"/>
              </w:rPr>
              <w:t>1.0</w:t>
            </w:r>
          </w:p>
        </w:tc>
        <w:tc>
          <w:tcPr>
            <w:tcW w:w="803" w:type="dxa"/>
            <w:tcMar>
              <w:top w:w="28" w:type="dxa"/>
              <w:left w:w="0" w:type="dxa"/>
              <w:bottom w:w="28" w:type="dxa"/>
              <w:right w:w="283" w:type="dxa"/>
            </w:tcMar>
          </w:tcPr>
          <w:p w:rsidR="00A45417" w:rsidRDefault="00A45417">
            <w:pPr>
              <w:pStyle w:val="BOTableNumbers"/>
            </w:pPr>
            <w:r>
              <w:t>1.0</w:t>
            </w:r>
          </w:p>
        </w:tc>
      </w:tr>
      <w:tr w:rsidR="00A45417" w:rsidTr="00546FA7">
        <w:tblPrEx>
          <w:tblCellMar>
            <w:top w:w="0" w:type="dxa"/>
            <w:left w:w="0" w:type="dxa"/>
            <w:bottom w:w="0" w:type="dxa"/>
            <w:right w:w="0" w:type="dxa"/>
          </w:tblCellMar>
        </w:tblPrEx>
        <w:trPr>
          <w:trHeight w:val="255"/>
        </w:trPr>
        <w:tc>
          <w:tcPr>
            <w:tcW w:w="1840" w:type="dxa"/>
            <w:tcMar>
              <w:top w:w="28" w:type="dxa"/>
              <w:left w:w="0" w:type="dxa"/>
              <w:bottom w:w="28" w:type="dxa"/>
              <w:right w:w="0" w:type="dxa"/>
            </w:tcMar>
          </w:tcPr>
          <w:p w:rsidR="00A45417" w:rsidRDefault="00A45417">
            <w:pPr>
              <w:pStyle w:val="BOTableText"/>
            </w:pPr>
            <w:r>
              <w:rPr>
                <w:rStyle w:val="BOBlueText288"/>
              </w:rPr>
              <w:t>Employment</w:t>
            </w:r>
            <w:r>
              <w:rPr>
                <w:rStyle w:val="BOBlueText288"/>
                <w:vertAlign w:val="superscript"/>
              </w:rPr>
              <w:t>3</w:t>
            </w:r>
          </w:p>
        </w:tc>
        <w:tc>
          <w:tcPr>
            <w:tcW w:w="775" w:type="dxa"/>
            <w:tcMar>
              <w:top w:w="28" w:type="dxa"/>
              <w:left w:w="0" w:type="dxa"/>
              <w:bottom w:w="28" w:type="dxa"/>
              <w:right w:w="283" w:type="dxa"/>
            </w:tcMar>
          </w:tcPr>
          <w:p w:rsidR="00A45417" w:rsidRDefault="00A45417">
            <w:pPr>
              <w:pStyle w:val="BOTableNumbers"/>
            </w:pPr>
            <w:r>
              <w:rPr>
                <w:rStyle w:val="BOBlueText288"/>
              </w:rPr>
              <w:t>2.6</w:t>
            </w:r>
          </w:p>
        </w:tc>
        <w:tc>
          <w:tcPr>
            <w:tcW w:w="775" w:type="dxa"/>
            <w:tcMar>
              <w:top w:w="28" w:type="dxa"/>
              <w:left w:w="0" w:type="dxa"/>
              <w:bottom w:w="28" w:type="dxa"/>
              <w:right w:w="283" w:type="dxa"/>
            </w:tcMar>
          </w:tcPr>
          <w:p w:rsidR="00A45417" w:rsidRDefault="00A45417">
            <w:pPr>
              <w:pStyle w:val="BOTableNumbers"/>
            </w:pPr>
            <w:r>
              <w:rPr>
                <w:rStyle w:val="BOBlueText288"/>
              </w:rPr>
              <w:t>3.7</w:t>
            </w:r>
          </w:p>
        </w:tc>
        <w:tc>
          <w:tcPr>
            <w:tcW w:w="774" w:type="dxa"/>
            <w:tcMar>
              <w:top w:w="28" w:type="dxa"/>
              <w:left w:w="0" w:type="dxa"/>
              <w:bottom w:w="28" w:type="dxa"/>
              <w:right w:w="283" w:type="dxa"/>
            </w:tcMar>
          </w:tcPr>
          <w:p w:rsidR="00A45417" w:rsidRDefault="00A45417">
            <w:pPr>
              <w:pStyle w:val="BOTableNumbers"/>
            </w:pPr>
            <w:r>
              <w:rPr>
                <w:rStyle w:val="BOBlueText288"/>
              </w:rPr>
              <w:t>3.8</w:t>
            </w:r>
          </w:p>
        </w:tc>
        <w:tc>
          <w:tcPr>
            <w:tcW w:w="775" w:type="dxa"/>
            <w:tcMar>
              <w:top w:w="28" w:type="dxa"/>
              <w:left w:w="0" w:type="dxa"/>
              <w:bottom w:w="28" w:type="dxa"/>
              <w:right w:w="283" w:type="dxa"/>
            </w:tcMar>
          </w:tcPr>
          <w:p w:rsidR="00A45417" w:rsidRDefault="00A45417">
            <w:pPr>
              <w:pStyle w:val="BOTableNumbers"/>
            </w:pPr>
            <w:r>
              <w:rPr>
                <w:rStyle w:val="BOBlueText288"/>
              </w:rPr>
              <w:t>2.1</w:t>
            </w:r>
          </w:p>
        </w:tc>
        <w:tc>
          <w:tcPr>
            <w:tcW w:w="775" w:type="dxa"/>
            <w:tcMar>
              <w:top w:w="28" w:type="dxa"/>
              <w:left w:w="0" w:type="dxa"/>
              <w:bottom w:w="28" w:type="dxa"/>
              <w:right w:w="283" w:type="dxa"/>
            </w:tcMar>
          </w:tcPr>
          <w:p w:rsidR="00A45417" w:rsidRDefault="00A45417">
            <w:pPr>
              <w:pStyle w:val="BOTableNumbers"/>
            </w:pPr>
            <w:r>
              <w:rPr>
                <w:rStyle w:val="BOBlueText288"/>
              </w:rPr>
              <w:t>0.7</w:t>
            </w:r>
          </w:p>
        </w:tc>
        <w:tc>
          <w:tcPr>
            <w:tcW w:w="803" w:type="dxa"/>
            <w:tcMar>
              <w:top w:w="28" w:type="dxa"/>
              <w:left w:w="0" w:type="dxa"/>
              <w:bottom w:w="28" w:type="dxa"/>
              <w:right w:w="283" w:type="dxa"/>
            </w:tcMar>
          </w:tcPr>
          <w:p w:rsidR="00A45417" w:rsidRDefault="00A45417">
            <w:pPr>
              <w:pStyle w:val="BOTableNumbers"/>
            </w:pPr>
            <w:r>
              <w:t>0.7</w:t>
            </w:r>
          </w:p>
        </w:tc>
      </w:tr>
      <w:tr w:rsidR="00A45417" w:rsidTr="00546FA7">
        <w:tblPrEx>
          <w:tblCellMar>
            <w:top w:w="0" w:type="dxa"/>
            <w:left w:w="0" w:type="dxa"/>
            <w:bottom w:w="0" w:type="dxa"/>
            <w:right w:w="0" w:type="dxa"/>
          </w:tblCellMar>
        </w:tblPrEx>
        <w:trPr>
          <w:trHeight w:val="300"/>
        </w:trPr>
        <w:tc>
          <w:tcPr>
            <w:tcW w:w="1840" w:type="dxa"/>
            <w:tcBorders>
              <w:bottom w:val="single" w:sz="4" w:space="0" w:color="D3752E"/>
            </w:tcBorders>
            <w:tcMar>
              <w:top w:w="28" w:type="dxa"/>
              <w:left w:w="0" w:type="dxa"/>
              <w:bottom w:w="28" w:type="dxa"/>
              <w:right w:w="0" w:type="dxa"/>
            </w:tcMar>
          </w:tcPr>
          <w:p w:rsidR="00A45417" w:rsidRDefault="00A45417">
            <w:pPr>
              <w:pStyle w:val="BOTableText"/>
            </w:pPr>
            <w:r>
              <w:rPr>
                <w:rStyle w:val="BOBlueText288"/>
              </w:rPr>
              <w:t>Consumer price index</w:t>
            </w:r>
            <w:r>
              <w:rPr>
                <w:rStyle w:val="BOBlueText288"/>
                <w:vertAlign w:val="superscript"/>
              </w:rPr>
              <w:t>4</w:t>
            </w:r>
          </w:p>
        </w:tc>
        <w:tc>
          <w:tcPr>
            <w:tcW w:w="775" w:type="dxa"/>
            <w:tcBorders>
              <w:bottom w:val="single" w:sz="4" w:space="0" w:color="D3752E"/>
            </w:tcBorders>
            <w:tcMar>
              <w:top w:w="28" w:type="dxa"/>
              <w:left w:w="0" w:type="dxa"/>
              <w:bottom w:w="28" w:type="dxa"/>
              <w:right w:w="283" w:type="dxa"/>
            </w:tcMar>
          </w:tcPr>
          <w:p w:rsidR="00A45417" w:rsidRDefault="00A45417">
            <w:pPr>
              <w:pStyle w:val="BOTableNumbers"/>
            </w:pPr>
            <w:r>
              <w:rPr>
                <w:rStyle w:val="BOBlueText288"/>
              </w:rPr>
              <w:t>2.0</w:t>
            </w:r>
          </w:p>
        </w:tc>
        <w:tc>
          <w:tcPr>
            <w:tcW w:w="775" w:type="dxa"/>
            <w:tcBorders>
              <w:bottom w:val="single" w:sz="4" w:space="0" w:color="D3752E"/>
            </w:tcBorders>
            <w:tcMar>
              <w:top w:w="28" w:type="dxa"/>
              <w:left w:w="0" w:type="dxa"/>
              <w:bottom w:w="28" w:type="dxa"/>
              <w:right w:w="283" w:type="dxa"/>
            </w:tcMar>
          </w:tcPr>
          <w:p w:rsidR="00A45417" w:rsidRDefault="00A45417">
            <w:pPr>
              <w:pStyle w:val="BOTableNumbers"/>
            </w:pPr>
            <w:r>
              <w:rPr>
                <w:rStyle w:val="BOBlueText288"/>
              </w:rPr>
              <w:t>3.9</w:t>
            </w:r>
          </w:p>
        </w:tc>
        <w:tc>
          <w:tcPr>
            <w:tcW w:w="774" w:type="dxa"/>
            <w:tcBorders>
              <w:bottom w:val="single" w:sz="4" w:space="0" w:color="D3752E"/>
            </w:tcBorders>
            <w:tcMar>
              <w:top w:w="28" w:type="dxa"/>
              <w:left w:w="0" w:type="dxa"/>
              <w:bottom w:w="28" w:type="dxa"/>
              <w:right w:w="283" w:type="dxa"/>
            </w:tcMar>
          </w:tcPr>
          <w:p w:rsidR="00A45417" w:rsidRDefault="00A45417">
            <w:pPr>
              <w:pStyle w:val="BOTableNumbers"/>
            </w:pPr>
            <w:r>
              <w:rPr>
                <w:rStyle w:val="BOBlueText288"/>
              </w:rPr>
              <w:t>3.0</w:t>
            </w:r>
          </w:p>
        </w:tc>
        <w:tc>
          <w:tcPr>
            <w:tcW w:w="775" w:type="dxa"/>
            <w:tcBorders>
              <w:bottom w:val="single" w:sz="4" w:space="0" w:color="D3752E"/>
            </w:tcBorders>
            <w:tcMar>
              <w:top w:w="28" w:type="dxa"/>
              <w:left w:w="0" w:type="dxa"/>
              <w:bottom w:w="28" w:type="dxa"/>
              <w:right w:w="283" w:type="dxa"/>
            </w:tcMar>
          </w:tcPr>
          <w:p w:rsidR="00A45417" w:rsidRDefault="00A45417">
            <w:pPr>
              <w:pStyle w:val="BOTableNumbers"/>
            </w:pPr>
            <w:r>
              <w:rPr>
                <w:rStyle w:val="BOBlueText288"/>
              </w:rPr>
              <w:t>2.8</w:t>
            </w:r>
          </w:p>
        </w:tc>
        <w:tc>
          <w:tcPr>
            <w:tcW w:w="775" w:type="dxa"/>
            <w:tcBorders>
              <w:bottom w:val="single" w:sz="4" w:space="0" w:color="D3752E"/>
            </w:tcBorders>
            <w:tcMar>
              <w:top w:w="28" w:type="dxa"/>
              <w:left w:w="0" w:type="dxa"/>
              <w:bottom w:w="28" w:type="dxa"/>
              <w:right w:w="283" w:type="dxa"/>
            </w:tcMar>
          </w:tcPr>
          <w:p w:rsidR="00A45417" w:rsidRDefault="00A45417">
            <w:pPr>
              <w:pStyle w:val="BOTableNumbers"/>
            </w:pPr>
            <w:r>
              <w:rPr>
                <w:rStyle w:val="BOBlueText288"/>
              </w:rPr>
              <w:t>2.5</w:t>
            </w:r>
          </w:p>
        </w:tc>
        <w:tc>
          <w:tcPr>
            <w:tcW w:w="803" w:type="dxa"/>
            <w:tcBorders>
              <w:bottom w:val="single" w:sz="4" w:space="0" w:color="D3752E"/>
            </w:tcBorders>
            <w:tcMar>
              <w:top w:w="28" w:type="dxa"/>
              <w:left w:w="0" w:type="dxa"/>
              <w:bottom w:w="28" w:type="dxa"/>
              <w:right w:w="283" w:type="dxa"/>
            </w:tcMar>
          </w:tcPr>
          <w:p w:rsidR="00A45417" w:rsidRDefault="00A45417">
            <w:pPr>
              <w:pStyle w:val="BOTableNumbers"/>
            </w:pPr>
            <w:r>
              <w:t>2.5</w:t>
            </w:r>
          </w:p>
        </w:tc>
      </w:tr>
    </w:tbl>
    <w:p w:rsidR="00A45417" w:rsidRDefault="00A45417" w:rsidP="00A45417">
      <w:pPr>
        <w:pStyle w:val="BONoteText"/>
      </w:pPr>
      <w:proofErr w:type="gramStart"/>
      <w:r>
        <w:t>e</w:t>
      </w:r>
      <w:proofErr w:type="gramEnd"/>
      <w:r>
        <w:t>: estimate; f: forecast</w:t>
      </w:r>
    </w:p>
    <w:p w:rsidR="00A45417" w:rsidRDefault="00A45417" w:rsidP="00A45417">
      <w:pPr>
        <w:pStyle w:val="BONoteText"/>
      </w:pPr>
      <w:r>
        <w:t>1</w:t>
      </w:r>
      <w:r>
        <w:tab/>
        <w:t>Year ended June, year</w:t>
      </w:r>
      <w:r>
        <w:noBreakHyphen/>
        <w:t>on</w:t>
      </w:r>
      <w:r>
        <w:noBreakHyphen/>
        <w:t>year percentage change, inflation adjusted.</w:t>
      </w:r>
    </w:p>
    <w:p w:rsidR="00A45417" w:rsidRDefault="00A45417" w:rsidP="00A45417">
      <w:pPr>
        <w:pStyle w:val="BONoteText"/>
      </w:pPr>
      <w:r>
        <w:t>2</w:t>
      </w:r>
      <w:r>
        <w:tab/>
        <w:t>As at December, annual percentage change.</w:t>
      </w:r>
    </w:p>
    <w:p w:rsidR="00A45417" w:rsidRDefault="00A45417" w:rsidP="00A45417">
      <w:pPr>
        <w:pStyle w:val="BONoteText"/>
      </w:pPr>
      <w:r>
        <w:t>3</w:t>
      </w:r>
      <w:r>
        <w:tab/>
        <w:t>Year-on-year percentage change.</w:t>
      </w:r>
    </w:p>
    <w:p w:rsidR="00A45417" w:rsidRDefault="00A45417" w:rsidP="00A45417">
      <w:pPr>
        <w:pStyle w:val="BONoteText"/>
      </w:pPr>
      <w:r>
        <w:t>4</w:t>
      </w:r>
      <w:r>
        <w:tab/>
        <w:t>As at December, year</w:t>
      </w:r>
      <w:r>
        <w:noBreakHyphen/>
        <w:t>on</w:t>
      </w:r>
      <w:r>
        <w:noBreakHyphen/>
        <w:t>year percentage change.</w:t>
      </w:r>
    </w:p>
    <w:p w:rsidR="00A45417" w:rsidRDefault="00A45417" w:rsidP="00A45417">
      <w:pPr>
        <w:pStyle w:val="BONoteText"/>
        <w:spacing w:after="113"/>
        <w:rPr>
          <w:rStyle w:val="BOBlueText288"/>
        </w:rPr>
      </w:pPr>
      <w:r>
        <w:t>Source: ABS; Department of Treasury and Finance</w:t>
      </w:r>
    </w:p>
    <w:p w:rsidR="00A45417" w:rsidRDefault="00A45417">
      <w:pPr>
        <w:rPr>
          <w:rFonts w:ascii="Arial MT Std Light" w:hAnsi="Arial MT Std Light" w:cs="Arial MT Std Light"/>
          <w:color w:val="043071"/>
          <w:spacing w:val="-3"/>
          <w:w w:val="90"/>
          <w:sz w:val="30"/>
          <w:szCs w:val="30"/>
          <w:lang w:val="en-GB"/>
        </w:rPr>
      </w:pPr>
      <w:r>
        <w:br w:type="page"/>
      </w:r>
    </w:p>
    <w:p w:rsidR="00A45417" w:rsidRDefault="00A45417" w:rsidP="00A45417">
      <w:pPr>
        <w:pStyle w:val="BOHeading1"/>
      </w:pPr>
      <w:r>
        <w:lastRenderedPageBreak/>
        <w:t>Economic Development</w:t>
      </w:r>
    </w:p>
    <w:p w:rsidR="00A45417" w:rsidRDefault="00A45417" w:rsidP="00A45417">
      <w:pPr>
        <w:pStyle w:val="BOBodyText"/>
      </w:pPr>
      <w:r>
        <w:t>The 2014-15 Budget focuses on developing Northern Australia and advancing the Territory’s economy through the creation of jobs and business opportunities including:</w:t>
      </w:r>
    </w:p>
    <w:p w:rsidR="00A45417" w:rsidRPr="003B31BA" w:rsidRDefault="00A45417" w:rsidP="00E644C3">
      <w:pPr>
        <w:pStyle w:val="BOBodyBullet"/>
      </w:pPr>
      <w:r w:rsidRPr="003B31BA">
        <w:t>$5.88 million over two years, including an additional $5.1 million to establish the Northern Australia Development Office and to support the Northern Territory Government Commissioner to Indonesia and the Association of Southeast Asian Nations (ASEAN) region;</w:t>
      </w:r>
    </w:p>
    <w:p w:rsidR="00A45417" w:rsidRPr="003B31BA" w:rsidRDefault="00A45417" w:rsidP="00E644C3">
      <w:pPr>
        <w:pStyle w:val="BOBodyBullet"/>
      </w:pPr>
      <w:r w:rsidRPr="003B31BA">
        <w:t>$23.8 million over four years to the Department of Mines and Energy to continue the Creating Opportunities for Resource Exploration initiative; and</w:t>
      </w:r>
    </w:p>
    <w:p w:rsidR="00A45417" w:rsidRPr="003B31BA" w:rsidRDefault="00A45417" w:rsidP="00E644C3">
      <w:pPr>
        <w:pStyle w:val="BOBodyBullet"/>
      </w:pPr>
      <w:proofErr w:type="gramStart"/>
      <w:r w:rsidRPr="003B31BA">
        <w:t>an</w:t>
      </w:r>
      <w:proofErr w:type="gramEnd"/>
      <w:r w:rsidRPr="003B31BA">
        <w:t xml:space="preserve"> additional $7.5 million for Tourism NT, providing a total of $13.6 million to extend the Territory’s international marketing activities.</w:t>
      </w:r>
    </w:p>
    <w:p w:rsidR="00A45417" w:rsidRDefault="00A45417" w:rsidP="00A45417">
      <w:pPr>
        <w:pStyle w:val="BOHeading1"/>
      </w:pPr>
      <w:r>
        <w:t>Affordable Housing and Land Release</w:t>
      </w:r>
    </w:p>
    <w:p w:rsidR="00A45417" w:rsidRDefault="00A45417" w:rsidP="00A45417">
      <w:pPr>
        <w:pStyle w:val="BOBodyText"/>
      </w:pPr>
      <w:r>
        <w:t xml:space="preserve">The 2014-15 Budget provides support to ensure housing supply will keep pace with the Territory’s growing population and make home ownership affordable and accessible for </w:t>
      </w:r>
      <w:proofErr w:type="spellStart"/>
      <w:r>
        <w:t>Territorians</w:t>
      </w:r>
      <w:proofErr w:type="spellEnd"/>
      <w:r>
        <w:t>.</w:t>
      </w:r>
    </w:p>
    <w:p w:rsidR="00A45417" w:rsidRDefault="00A45417" w:rsidP="00A45417">
      <w:pPr>
        <w:pStyle w:val="BOBodyText"/>
      </w:pPr>
      <w:r>
        <w:t xml:space="preserve">The 2014-15 Budget supports a significant residential land release program including $36.9 million to continue the staged development at </w:t>
      </w:r>
      <w:proofErr w:type="spellStart"/>
      <w:r>
        <w:t>Zuccoli</w:t>
      </w:r>
      <w:proofErr w:type="spellEnd"/>
      <w:r>
        <w:t xml:space="preserve">, $17 million for projects in the Greater Darwin area, $15.7 million for projects in the northern region and $7.3 million for land release projects in Alice Springs including </w:t>
      </w:r>
      <w:proofErr w:type="spellStart"/>
      <w:r>
        <w:t>Kilgariff</w:t>
      </w:r>
      <w:proofErr w:type="spellEnd"/>
      <w:r>
        <w:t xml:space="preserve"> stage 1a and Larapinta Valley redevelopment.</w:t>
      </w:r>
    </w:p>
    <w:p w:rsidR="00A45417" w:rsidRDefault="00A45417" w:rsidP="00A45417">
      <w:pPr>
        <w:pStyle w:val="BOBodyText"/>
      </w:pPr>
      <w:r>
        <w:t xml:space="preserve">The 2014-15 Budget also invests in public housing assets with $20.6 million for repairs and maintenance, $12.4 million for upgrades and $4 million to continue redevelopment of public housing unit complexes. </w:t>
      </w:r>
    </w:p>
    <w:p w:rsidR="00A45417" w:rsidRDefault="00A45417" w:rsidP="00A45417">
      <w:pPr>
        <w:pStyle w:val="BOBodyText"/>
      </w:pPr>
      <w:r>
        <w:t xml:space="preserve">The Territory Government continues to support home loan products and services to increase the supply of new housing and alleviate demand pressures in the rental market. </w:t>
      </w:r>
    </w:p>
    <w:p w:rsidR="00A45417" w:rsidRDefault="00A45417" w:rsidP="00A45417">
      <w:pPr>
        <w:pStyle w:val="BOHeading1"/>
      </w:pPr>
      <w:r>
        <w:t>Infrastructure</w:t>
      </w:r>
    </w:p>
    <w:p w:rsidR="00A45417" w:rsidRDefault="00A45417" w:rsidP="00A45417">
      <w:pPr>
        <w:pStyle w:val="BOBodyText"/>
      </w:pPr>
      <w:r>
        <w:t>The 2014</w:t>
      </w:r>
      <w:r>
        <w:noBreakHyphen/>
        <w:t xml:space="preserve">15 infrastructure program underpins the Territory Government’s priority of developing Northern Australia to create economic opportunities for </w:t>
      </w:r>
      <w:proofErr w:type="spellStart"/>
      <w:r>
        <w:t>Territorians</w:t>
      </w:r>
      <w:proofErr w:type="spellEnd"/>
      <w:r>
        <w:t>. Total infrastructure payments will be $1.14 billion in 2014-15, with 71 per cent of this Territory funded.</w:t>
      </w:r>
    </w:p>
    <w:p w:rsidR="00A45417" w:rsidRDefault="00A45417" w:rsidP="00A45417">
      <w:pPr>
        <w:pStyle w:val="BOBodyText"/>
      </w:pPr>
      <w:r>
        <w:t xml:space="preserve">The 2014-15 infrastructure </w:t>
      </w:r>
      <w:proofErr w:type="gramStart"/>
      <w:r>
        <w:t>program</w:t>
      </w:r>
      <w:proofErr w:type="gramEnd"/>
      <w:r>
        <w:t xml:space="preserve"> focuses on improving transport networks across the Territory by investing $408 million to build new and upgrade existing roads and transport assets, and $135.5 million for projects to accelerate the release of residential, commercial and industrial land.</w:t>
      </w:r>
    </w:p>
    <w:p w:rsidR="00A45417" w:rsidRDefault="00A45417" w:rsidP="00A45417">
      <w:pPr>
        <w:pStyle w:val="BOBodyText"/>
      </w:pPr>
      <w:r>
        <w:t xml:space="preserve">In partnership with the Commonwealth, the 2014-15 infrastructure </w:t>
      </w:r>
      <w:proofErr w:type="gramStart"/>
      <w:r>
        <w:t>program</w:t>
      </w:r>
      <w:proofErr w:type="gramEnd"/>
      <w:r>
        <w:t xml:space="preserve"> continues the strong investment in remote Indigenous housing and infrastructure, with $122.8 million to build new, and upgrade existing, houses in remote communities. The 2014-15 infrastructure program also provides $421.7 million for new and upgraded infrastructure in remote communities to deliver better housing, transport, health, </w:t>
      </w:r>
      <w:proofErr w:type="gramStart"/>
      <w:r>
        <w:t>education</w:t>
      </w:r>
      <w:proofErr w:type="gramEnd"/>
      <w:r>
        <w:t xml:space="preserve"> and police facilities. </w:t>
      </w:r>
    </w:p>
    <w:p w:rsidR="00A45417" w:rsidRDefault="00A45417" w:rsidP="00A45417">
      <w:pPr>
        <w:pStyle w:val="BOBodyText"/>
      </w:pPr>
      <w:r>
        <w:t xml:space="preserve">Infrastructure investment in the Power and Water Corporation is estimated at $276 million in 2014-15. </w:t>
      </w:r>
    </w:p>
    <w:p w:rsidR="00A45417" w:rsidRDefault="00A45417" w:rsidP="00A45417">
      <w:pPr>
        <w:pStyle w:val="BOBoxHeading"/>
        <w:rPr>
          <w:rStyle w:val="BOBlueText288"/>
        </w:rPr>
      </w:pPr>
      <w:r>
        <w:rPr>
          <w:rStyle w:val="BOBlueText288"/>
        </w:rPr>
        <w:t>Operating Expenses</w:t>
      </w:r>
    </w:p>
    <w:p w:rsidR="00A45417" w:rsidRDefault="00A45417" w:rsidP="00546FA7">
      <w:pPr>
        <w:pStyle w:val="BOBodyText"/>
      </w:pPr>
      <w:r>
        <w:t>Funding to key service delivery agencies in 2014-15 includes:</w:t>
      </w:r>
    </w:p>
    <w:p w:rsidR="00A45417" w:rsidRDefault="00A45417" w:rsidP="00E644C3">
      <w:pPr>
        <w:pStyle w:val="BOBodyBullet"/>
      </w:pPr>
      <w:r>
        <w:t>$1.35 billion for Health;</w:t>
      </w:r>
    </w:p>
    <w:p w:rsidR="00A45417" w:rsidRDefault="00A45417" w:rsidP="00E644C3">
      <w:pPr>
        <w:pStyle w:val="BOBodyBullet"/>
      </w:pPr>
      <w:r>
        <w:t>$871 million for Education;</w:t>
      </w:r>
    </w:p>
    <w:p w:rsidR="00A45417" w:rsidRDefault="00A45417" w:rsidP="00E644C3">
      <w:pPr>
        <w:pStyle w:val="BOBodyBullet"/>
      </w:pPr>
      <w:r>
        <w:t>$382 million for Police, Fire and Emergency Services;</w:t>
      </w:r>
    </w:p>
    <w:p w:rsidR="00A45417" w:rsidRDefault="00A45417" w:rsidP="00E644C3">
      <w:pPr>
        <w:pStyle w:val="BOBodyBullet"/>
      </w:pPr>
      <w:r>
        <w:t>$310 million for Housing;</w:t>
      </w:r>
    </w:p>
    <w:p w:rsidR="00A45417" w:rsidRDefault="00A45417" w:rsidP="00E644C3">
      <w:pPr>
        <w:pStyle w:val="BOBodyBullet"/>
      </w:pPr>
      <w:r>
        <w:t>$161 million for Children and Families;</w:t>
      </w:r>
    </w:p>
    <w:p w:rsidR="00A45417" w:rsidRDefault="00A45417" w:rsidP="00E644C3">
      <w:pPr>
        <w:pStyle w:val="BOBodyBullet"/>
      </w:pPr>
      <w:r>
        <w:t>$223 million for Correctional Services; and</w:t>
      </w:r>
    </w:p>
    <w:p w:rsidR="00A45417" w:rsidRDefault="00A45417" w:rsidP="00E644C3">
      <w:pPr>
        <w:pStyle w:val="BOBodyBullet"/>
      </w:pPr>
      <w:proofErr w:type="gramStart"/>
      <w:r>
        <w:t>$153 million for Community Services.</w:t>
      </w:r>
      <w:proofErr w:type="gramEnd"/>
    </w:p>
    <w:p w:rsidR="00EB046E" w:rsidRDefault="00EB046E">
      <w:pPr>
        <w:rPr>
          <w:rFonts w:ascii="Arial MT Std Light" w:hAnsi="Arial MT Std Light" w:cs="Arial MT Std Light"/>
          <w:color w:val="043071"/>
          <w:spacing w:val="-3"/>
          <w:w w:val="90"/>
          <w:sz w:val="28"/>
          <w:szCs w:val="28"/>
          <w:lang w:val="en-GB"/>
        </w:rPr>
      </w:pPr>
      <w:r>
        <w:br w:type="page"/>
      </w:r>
    </w:p>
    <w:p w:rsidR="00A45417" w:rsidRDefault="00A45417" w:rsidP="00A45417">
      <w:pPr>
        <w:pStyle w:val="BOBoxHeading"/>
        <w:spacing w:before="170"/>
      </w:pPr>
      <w:r>
        <w:lastRenderedPageBreak/>
        <w:t>Regional Development</w:t>
      </w:r>
    </w:p>
    <w:p w:rsidR="00A45417" w:rsidRDefault="00A45417" w:rsidP="000B18AF">
      <w:pPr>
        <w:pStyle w:val="BOBodyText"/>
      </w:pPr>
      <w:r>
        <w:t>The 2014-15 Budget initiatives include:</w:t>
      </w:r>
    </w:p>
    <w:p w:rsidR="00A45417" w:rsidRDefault="00A45417" w:rsidP="00E644C3">
      <w:pPr>
        <w:pStyle w:val="BOBodyBullet"/>
      </w:pPr>
      <w:r>
        <w:t>$17.5 million to upgrade essential services infrastructure in remote communities;</w:t>
      </w:r>
    </w:p>
    <w:p w:rsidR="00A45417" w:rsidRDefault="00A45417" w:rsidP="00E644C3">
      <w:pPr>
        <w:pStyle w:val="BOBodyBullet"/>
      </w:pPr>
      <w:r>
        <w:t>$10 million for strategic regional economic infrastructure;</w:t>
      </w:r>
    </w:p>
    <w:p w:rsidR="00A45417" w:rsidRDefault="00A45417" w:rsidP="00E644C3">
      <w:pPr>
        <w:pStyle w:val="BOBodyBullet"/>
      </w:pPr>
      <w:r>
        <w:t>$49.2 million to support the local economies of regional areas including funding for vocational education and training, tourism marketing and livestock and mining industry support; and</w:t>
      </w:r>
    </w:p>
    <w:p w:rsidR="00A45417" w:rsidRDefault="00A45417" w:rsidP="00E644C3">
      <w:pPr>
        <w:pStyle w:val="BOBodyBullet"/>
      </w:pPr>
      <w:proofErr w:type="gramStart"/>
      <w:r>
        <w:t>$184.2 million in 2014-15 under the ten</w:t>
      </w:r>
      <w:r>
        <w:noBreakHyphen/>
        <w:t>year Stronger Futures in the Northern Territory National Partnership Agreement to improve Indigenous outcomes.</w:t>
      </w:r>
      <w:proofErr w:type="gramEnd"/>
    </w:p>
    <w:p w:rsidR="00EB046E" w:rsidRDefault="00EB046E" w:rsidP="00A45417">
      <w:pPr>
        <w:pStyle w:val="BOTableHeading"/>
      </w:pPr>
    </w:p>
    <w:p w:rsidR="00A45417" w:rsidRDefault="00A45417" w:rsidP="00A45417">
      <w:pPr>
        <w:pStyle w:val="BOTableHeading"/>
      </w:pPr>
      <w:r>
        <w:t>Significant Territory Government 2014-15 Projects</w:t>
      </w:r>
    </w:p>
    <w:tbl>
      <w:tblPr>
        <w:tblW w:w="0" w:type="auto"/>
        <w:tblInd w:w="8" w:type="dxa"/>
        <w:tblLayout w:type="fixed"/>
        <w:tblCellMar>
          <w:left w:w="0" w:type="dxa"/>
          <w:right w:w="0" w:type="dxa"/>
        </w:tblCellMar>
        <w:tblLook w:val="0000" w:firstRow="0" w:lastRow="0" w:firstColumn="0" w:lastColumn="0" w:noHBand="0" w:noVBand="0"/>
      </w:tblPr>
      <w:tblGrid>
        <w:gridCol w:w="3678"/>
        <w:gridCol w:w="1276"/>
      </w:tblGrid>
      <w:tr w:rsidR="00A45417" w:rsidTr="00546FA7">
        <w:tblPrEx>
          <w:tblCellMar>
            <w:top w:w="0" w:type="dxa"/>
            <w:left w:w="0" w:type="dxa"/>
            <w:bottom w:w="0" w:type="dxa"/>
            <w:right w:w="0" w:type="dxa"/>
          </w:tblCellMar>
        </w:tblPrEx>
        <w:trPr>
          <w:trHeight w:val="300"/>
        </w:trPr>
        <w:tc>
          <w:tcPr>
            <w:tcW w:w="3678" w:type="dxa"/>
            <w:tcBorders>
              <w:bottom w:val="single" w:sz="4" w:space="0" w:color="D3752E"/>
            </w:tcBorders>
            <w:tcMar>
              <w:top w:w="28" w:type="dxa"/>
              <w:left w:w="0" w:type="dxa"/>
              <w:bottom w:w="28" w:type="dxa"/>
              <w:right w:w="0" w:type="dxa"/>
            </w:tcMar>
          </w:tcPr>
          <w:p w:rsidR="00A45417" w:rsidRDefault="00A45417">
            <w:pPr>
              <w:pStyle w:val="BOBoxTableText"/>
            </w:pPr>
            <w:r>
              <w:t>Project</w:t>
            </w:r>
          </w:p>
        </w:tc>
        <w:tc>
          <w:tcPr>
            <w:tcW w:w="1276" w:type="dxa"/>
            <w:tcBorders>
              <w:bottom w:val="single" w:sz="4" w:space="0" w:color="D3752E"/>
            </w:tcBorders>
            <w:tcMar>
              <w:top w:w="28" w:type="dxa"/>
              <w:left w:w="0" w:type="dxa"/>
              <w:bottom w:w="28" w:type="dxa"/>
              <w:right w:w="0" w:type="dxa"/>
            </w:tcMar>
          </w:tcPr>
          <w:p w:rsidR="00A45417" w:rsidRDefault="00A45417">
            <w:pPr>
              <w:pStyle w:val="BOTableTextCentred"/>
            </w:pPr>
            <w:r>
              <w:t>$M</w:t>
            </w:r>
          </w:p>
        </w:tc>
      </w:tr>
      <w:tr w:rsidR="00A45417" w:rsidTr="00546FA7">
        <w:tblPrEx>
          <w:tblCellMar>
            <w:top w:w="0" w:type="dxa"/>
            <w:left w:w="0" w:type="dxa"/>
            <w:bottom w:w="0" w:type="dxa"/>
            <w:right w:w="0" w:type="dxa"/>
          </w:tblCellMar>
        </w:tblPrEx>
        <w:trPr>
          <w:trHeight w:val="300"/>
        </w:trPr>
        <w:tc>
          <w:tcPr>
            <w:tcW w:w="3678" w:type="dxa"/>
            <w:tcBorders>
              <w:top w:val="single" w:sz="4" w:space="0" w:color="D3752E"/>
            </w:tcBorders>
            <w:tcMar>
              <w:top w:w="28" w:type="dxa"/>
              <w:left w:w="0" w:type="dxa"/>
              <w:bottom w:w="28" w:type="dxa"/>
              <w:right w:w="0" w:type="dxa"/>
            </w:tcMar>
          </w:tcPr>
          <w:p w:rsidR="00A45417" w:rsidRDefault="00A45417">
            <w:pPr>
              <w:pStyle w:val="BOTableText"/>
            </w:pPr>
            <w:proofErr w:type="spellStart"/>
            <w:r>
              <w:t>Palmerston</w:t>
            </w:r>
            <w:proofErr w:type="spellEnd"/>
            <w:r>
              <w:t xml:space="preserve"> East </w:t>
            </w:r>
            <w:proofErr w:type="spellStart"/>
            <w:r>
              <w:t>headworks</w:t>
            </w:r>
            <w:proofErr w:type="spellEnd"/>
          </w:p>
        </w:tc>
        <w:tc>
          <w:tcPr>
            <w:tcW w:w="1276" w:type="dxa"/>
            <w:tcBorders>
              <w:top w:val="single" w:sz="4" w:space="0" w:color="D3752E"/>
            </w:tcBorders>
            <w:tcMar>
              <w:top w:w="28" w:type="dxa"/>
              <w:left w:w="0" w:type="dxa"/>
              <w:bottom w:w="28" w:type="dxa"/>
              <w:right w:w="57" w:type="dxa"/>
            </w:tcMar>
          </w:tcPr>
          <w:p w:rsidR="00A45417" w:rsidRDefault="00A45417">
            <w:pPr>
              <w:pStyle w:val="BOTableNumbers"/>
            </w:pPr>
            <w:r>
              <w:t>37</w:t>
            </w:r>
          </w:p>
        </w:tc>
      </w:tr>
      <w:tr w:rsidR="00A45417" w:rsidTr="00546FA7">
        <w:tblPrEx>
          <w:tblCellMar>
            <w:top w:w="0" w:type="dxa"/>
            <w:left w:w="0" w:type="dxa"/>
            <w:bottom w:w="0" w:type="dxa"/>
            <w:right w:w="0" w:type="dxa"/>
          </w:tblCellMar>
        </w:tblPrEx>
        <w:trPr>
          <w:trHeight w:val="300"/>
        </w:trPr>
        <w:tc>
          <w:tcPr>
            <w:tcW w:w="3678" w:type="dxa"/>
            <w:tcMar>
              <w:top w:w="28" w:type="dxa"/>
              <w:left w:w="0" w:type="dxa"/>
              <w:bottom w:w="28" w:type="dxa"/>
              <w:right w:w="0" w:type="dxa"/>
            </w:tcMar>
          </w:tcPr>
          <w:p w:rsidR="00A45417" w:rsidRDefault="00A45417">
            <w:pPr>
              <w:pStyle w:val="BOTableText"/>
            </w:pPr>
            <w:r>
              <w:t>Alice Springs Hospital upgrades</w:t>
            </w:r>
          </w:p>
        </w:tc>
        <w:tc>
          <w:tcPr>
            <w:tcW w:w="1276" w:type="dxa"/>
            <w:tcMar>
              <w:top w:w="28" w:type="dxa"/>
              <w:left w:w="0" w:type="dxa"/>
              <w:bottom w:w="28" w:type="dxa"/>
              <w:right w:w="57" w:type="dxa"/>
            </w:tcMar>
          </w:tcPr>
          <w:p w:rsidR="00A45417" w:rsidRDefault="00A45417">
            <w:pPr>
              <w:pStyle w:val="BOTableNumbers"/>
            </w:pPr>
            <w:r>
              <w:t>35</w:t>
            </w:r>
          </w:p>
        </w:tc>
      </w:tr>
      <w:tr w:rsidR="00A45417" w:rsidTr="00546FA7">
        <w:tblPrEx>
          <w:tblCellMar>
            <w:top w:w="0" w:type="dxa"/>
            <w:left w:w="0" w:type="dxa"/>
            <w:bottom w:w="0" w:type="dxa"/>
            <w:right w:w="0" w:type="dxa"/>
          </w:tblCellMar>
        </w:tblPrEx>
        <w:trPr>
          <w:trHeight w:val="300"/>
        </w:trPr>
        <w:tc>
          <w:tcPr>
            <w:tcW w:w="3678" w:type="dxa"/>
            <w:tcMar>
              <w:top w:w="28" w:type="dxa"/>
              <w:left w:w="0" w:type="dxa"/>
              <w:bottom w:w="28" w:type="dxa"/>
              <w:right w:w="0" w:type="dxa"/>
            </w:tcMar>
          </w:tcPr>
          <w:p w:rsidR="00A45417" w:rsidRDefault="00A45417">
            <w:pPr>
              <w:pStyle w:val="BOTableText"/>
            </w:pPr>
            <w:r>
              <w:t>Royal Darwin Hospital upgrades</w:t>
            </w:r>
          </w:p>
        </w:tc>
        <w:tc>
          <w:tcPr>
            <w:tcW w:w="1276" w:type="dxa"/>
            <w:tcMar>
              <w:top w:w="28" w:type="dxa"/>
              <w:left w:w="0" w:type="dxa"/>
              <w:bottom w:w="28" w:type="dxa"/>
              <w:right w:w="57" w:type="dxa"/>
            </w:tcMar>
          </w:tcPr>
          <w:p w:rsidR="00A45417" w:rsidRDefault="00A45417">
            <w:pPr>
              <w:pStyle w:val="BOTableNumbers"/>
            </w:pPr>
            <w:r>
              <w:t>35</w:t>
            </w:r>
          </w:p>
        </w:tc>
      </w:tr>
      <w:tr w:rsidR="00A45417" w:rsidTr="00546FA7">
        <w:tblPrEx>
          <w:tblCellMar>
            <w:top w:w="0" w:type="dxa"/>
            <w:left w:w="0" w:type="dxa"/>
            <w:bottom w:w="0" w:type="dxa"/>
            <w:right w:w="0" w:type="dxa"/>
          </w:tblCellMar>
        </w:tblPrEx>
        <w:trPr>
          <w:trHeight w:val="300"/>
        </w:trPr>
        <w:tc>
          <w:tcPr>
            <w:tcW w:w="3678" w:type="dxa"/>
            <w:tcMar>
              <w:top w:w="28" w:type="dxa"/>
              <w:left w:w="0" w:type="dxa"/>
              <w:bottom w:w="28" w:type="dxa"/>
              <w:right w:w="0" w:type="dxa"/>
            </w:tcMar>
          </w:tcPr>
          <w:p w:rsidR="00A45417" w:rsidRDefault="00A45417">
            <w:pPr>
              <w:pStyle w:val="BOTableText"/>
            </w:pPr>
            <w:r>
              <w:t>Strategic economic development roads</w:t>
            </w:r>
          </w:p>
        </w:tc>
        <w:tc>
          <w:tcPr>
            <w:tcW w:w="1276" w:type="dxa"/>
            <w:tcMar>
              <w:top w:w="28" w:type="dxa"/>
              <w:left w:w="0" w:type="dxa"/>
              <w:bottom w:w="28" w:type="dxa"/>
              <w:right w:w="57" w:type="dxa"/>
            </w:tcMar>
          </w:tcPr>
          <w:p w:rsidR="00A45417" w:rsidRDefault="00A45417">
            <w:pPr>
              <w:pStyle w:val="BOTableNumbers"/>
            </w:pPr>
            <w:r>
              <w:t>30</w:t>
            </w:r>
          </w:p>
        </w:tc>
      </w:tr>
      <w:tr w:rsidR="00A45417" w:rsidTr="00546FA7">
        <w:tblPrEx>
          <w:tblCellMar>
            <w:top w:w="0" w:type="dxa"/>
            <w:left w:w="0" w:type="dxa"/>
            <w:bottom w:w="0" w:type="dxa"/>
            <w:right w:w="0" w:type="dxa"/>
          </w:tblCellMar>
        </w:tblPrEx>
        <w:trPr>
          <w:trHeight w:val="300"/>
        </w:trPr>
        <w:tc>
          <w:tcPr>
            <w:tcW w:w="3678" w:type="dxa"/>
            <w:tcMar>
              <w:top w:w="28" w:type="dxa"/>
              <w:left w:w="0" w:type="dxa"/>
              <w:bottom w:w="28" w:type="dxa"/>
              <w:right w:w="0" w:type="dxa"/>
            </w:tcMar>
          </w:tcPr>
          <w:p w:rsidR="00A45417" w:rsidRDefault="00A45417">
            <w:pPr>
              <w:pStyle w:val="BOTableText"/>
            </w:pPr>
            <w:r>
              <w:t>Greater Darwin area land release</w:t>
            </w:r>
          </w:p>
        </w:tc>
        <w:tc>
          <w:tcPr>
            <w:tcW w:w="1276" w:type="dxa"/>
            <w:tcMar>
              <w:top w:w="28" w:type="dxa"/>
              <w:left w:w="0" w:type="dxa"/>
              <w:bottom w:w="28" w:type="dxa"/>
              <w:right w:w="57" w:type="dxa"/>
            </w:tcMar>
          </w:tcPr>
          <w:p w:rsidR="00A45417" w:rsidRDefault="00A45417">
            <w:pPr>
              <w:pStyle w:val="BOTableNumbers"/>
            </w:pPr>
            <w:r>
              <w:t>17</w:t>
            </w:r>
          </w:p>
        </w:tc>
      </w:tr>
      <w:tr w:rsidR="00A45417" w:rsidTr="00546FA7">
        <w:tblPrEx>
          <w:tblCellMar>
            <w:top w:w="0" w:type="dxa"/>
            <w:left w:w="0" w:type="dxa"/>
            <w:bottom w:w="0" w:type="dxa"/>
            <w:right w:w="0" w:type="dxa"/>
          </w:tblCellMar>
        </w:tblPrEx>
        <w:trPr>
          <w:trHeight w:val="300"/>
        </w:trPr>
        <w:tc>
          <w:tcPr>
            <w:tcW w:w="3678" w:type="dxa"/>
            <w:tcMar>
              <w:top w:w="28" w:type="dxa"/>
              <w:left w:w="0" w:type="dxa"/>
              <w:bottom w:w="28" w:type="dxa"/>
              <w:right w:w="0" w:type="dxa"/>
            </w:tcMar>
          </w:tcPr>
          <w:p w:rsidR="00A45417" w:rsidRDefault="00A45417">
            <w:pPr>
              <w:pStyle w:val="BOTableText"/>
            </w:pPr>
            <w:r>
              <w:t>Northern region land release</w:t>
            </w:r>
          </w:p>
        </w:tc>
        <w:tc>
          <w:tcPr>
            <w:tcW w:w="1276" w:type="dxa"/>
            <w:tcMar>
              <w:top w:w="28" w:type="dxa"/>
              <w:left w:w="0" w:type="dxa"/>
              <w:bottom w:w="28" w:type="dxa"/>
              <w:right w:w="57" w:type="dxa"/>
            </w:tcMar>
          </w:tcPr>
          <w:p w:rsidR="00A45417" w:rsidRDefault="00A45417">
            <w:pPr>
              <w:pStyle w:val="BOTableNumbers"/>
            </w:pPr>
            <w:r>
              <w:t>16</w:t>
            </w:r>
          </w:p>
        </w:tc>
      </w:tr>
      <w:tr w:rsidR="00A45417" w:rsidTr="00546FA7">
        <w:tblPrEx>
          <w:tblCellMar>
            <w:top w:w="0" w:type="dxa"/>
            <w:left w:w="0" w:type="dxa"/>
            <w:bottom w:w="0" w:type="dxa"/>
            <w:right w:w="0" w:type="dxa"/>
          </w:tblCellMar>
        </w:tblPrEx>
        <w:trPr>
          <w:trHeight w:val="300"/>
        </w:trPr>
        <w:tc>
          <w:tcPr>
            <w:tcW w:w="3678" w:type="dxa"/>
            <w:tcMar>
              <w:top w:w="28" w:type="dxa"/>
              <w:left w:w="0" w:type="dxa"/>
              <w:bottom w:w="28" w:type="dxa"/>
              <w:right w:w="0" w:type="dxa"/>
            </w:tcMar>
          </w:tcPr>
          <w:p w:rsidR="00A45417" w:rsidRDefault="00A45417">
            <w:pPr>
              <w:pStyle w:val="BOTableText"/>
            </w:pPr>
            <w:r>
              <w:t>Southern region land release</w:t>
            </w:r>
          </w:p>
        </w:tc>
        <w:tc>
          <w:tcPr>
            <w:tcW w:w="1276" w:type="dxa"/>
            <w:tcMar>
              <w:top w:w="28" w:type="dxa"/>
              <w:left w:w="0" w:type="dxa"/>
              <w:bottom w:w="28" w:type="dxa"/>
              <w:right w:w="57" w:type="dxa"/>
            </w:tcMar>
          </w:tcPr>
          <w:p w:rsidR="00A45417" w:rsidRDefault="00A45417">
            <w:pPr>
              <w:pStyle w:val="BOTableNumbers"/>
            </w:pPr>
            <w:r>
              <w:t>11</w:t>
            </w:r>
          </w:p>
        </w:tc>
      </w:tr>
      <w:tr w:rsidR="00A45417" w:rsidTr="00546FA7">
        <w:tblPrEx>
          <w:tblCellMar>
            <w:top w:w="0" w:type="dxa"/>
            <w:left w:w="0" w:type="dxa"/>
            <w:bottom w:w="0" w:type="dxa"/>
            <w:right w:w="0" w:type="dxa"/>
          </w:tblCellMar>
        </w:tblPrEx>
        <w:trPr>
          <w:trHeight w:val="300"/>
        </w:trPr>
        <w:tc>
          <w:tcPr>
            <w:tcW w:w="3678" w:type="dxa"/>
            <w:tcMar>
              <w:top w:w="28" w:type="dxa"/>
              <w:left w:w="0" w:type="dxa"/>
              <w:bottom w:w="28" w:type="dxa"/>
              <w:right w:w="0" w:type="dxa"/>
            </w:tcMar>
          </w:tcPr>
          <w:p w:rsidR="00A45417" w:rsidRDefault="00A45417">
            <w:pPr>
              <w:pStyle w:val="BOTableText"/>
            </w:pPr>
            <w:r>
              <w:t>Hidden Valley Motor Sports Complex upgrades</w:t>
            </w:r>
          </w:p>
        </w:tc>
        <w:tc>
          <w:tcPr>
            <w:tcW w:w="1276" w:type="dxa"/>
            <w:tcMar>
              <w:top w:w="28" w:type="dxa"/>
              <w:left w:w="0" w:type="dxa"/>
              <w:bottom w:w="28" w:type="dxa"/>
              <w:right w:w="57" w:type="dxa"/>
            </w:tcMar>
          </w:tcPr>
          <w:p w:rsidR="00A45417" w:rsidRDefault="00A45417">
            <w:pPr>
              <w:pStyle w:val="BOTableNumbers"/>
            </w:pPr>
            <w:r>
              <w:t>9</w:t>
            </w:r>
          </w:p>
        </w:tc>
      </w:tr>
      <w:tr w:rsidR="00A45417" w:rsidTr="00546FA7">
        <w:tblPrEx>
          <w:tblCellMar>
            <w:top w:w="0" w:type="dxa"/>
            <w:left w:w="0" w:type="dxa"/>
            <w:bottom w:w="0" w:type="dxa"/>
            <w:right w:w="0" w:type="dxa"/>
          </w:tblCellMar>
        </w:tblPrEx>
        <w:trPr>
          <w:trHeight w:val="300"/>
        </w:trPr>
        <w:tc>
          <w:tcPr>
            <w:tcW w:w="3678" w:type="dxa"/>
            <w:tcBorders>
              <w:bottom w:val="single" w:sz="4" w:space="0" w:color="D3752E"/>
            </w:tcBorders>
            <w:tcMar>
              <w:top w:w="28" w:type="dxa"/>
              <w:left w:w="0" w:type="dxa"/>
              <w:bottom w:w="28" w:type="dxa"/>
              <w:right w:w="0" w:type="dxa"/>
            </w:tcMar>
          </w:tcPr>
          <w:p w:rsidR="00A45417" w:rsidRDefault="00A45417">
            <w:pPr>
              <w:pStyle w:val="BOTableText"/>
            </w:pPr>
            <w:r>
              <w:t>Outback Way roads</w:t>
            </w:r>
          </w:p>
        </w:tc>
        <w:tc>
          <w:tcPr>
            <w:tcW w:w="1276" w:type="dxa"/>
            <w:tcBorders>
              <w:bottom w:val="single" w:sz="4" w:space="0" w:color="D3752E"/>
            </w:tcBorders>
            <w:tcMar>
              <w:top w:w="28" w:type="dxa"/>
              <w:left w:w="0" w:type="dxa"/>
              <w:bottom w:w="28" w:type="dxa"/>
              <w:right w:w="57" w:type="dxa"/>
            </w:tcMar>
          </w:tcPr>
          <w:p w:rsidR="00A45417" w:rsidRDefault="00A45417">
            <w:pPr>
              <w:pStyle w:val="BOTableNumbers"/>
            </w:pPr>
            <w:r>
              <w:rPr>
                <w:rStyle w:val="BOBlueText288"/>
              </w:rPr>
              <w:t>7</w:t>
            </w:r>
          </w:p>
        </w:tc>
      </w:tr>
    </w:tbl>
    <w:p w:rsidR="00A45417" w:rsidRDefault="00A45417" w:rsidP="00A45417">
      <w:pPr>
        <w:pStyle w:val="BOBodyText"/>
        <w:rPr>
          <w:rStyle w:val="BOBlueText288"/>
        </w:rPr>
      </w:pPr>
    </w:p>
    <w:p w:rsidR="00A45417" w:rsidRDefault="00A45417" w:rsidP="00A45417">
      <w:pPr>
        <w:pStyle w:val="BOTableHeading"/>
        <w:spacing w:before="113"/>
      </w:pPr>
      <w:r>
        <w:t>Major Capital Works Projects by Functional Category</w:t>
      </w:r>
    </w:p>
    <w:tbl>
      <w:tblPr>
        <w:tblW w:w="0" w:type="auto"/>
        <w:tblInd w:w="8" w:type="dxa"/>
        <w:tblLayout w:type="fixed"/>
        <w:tblCellMar>
          <w:left w:w="0" w:type="dxa"/>
          <w:right w:w="0" w:type="dxa"/>
        </w:tblCellMar>
        <w:tblLook w:val="0000" w:firstRow="0" w:lastRow="0" w:firstColumn="0" w:lastColumn="0" w:noHBand="0" w:noVBand="0"/>
      </w:tblPr>
      <w:tblGrid>
        <w:gridCol w:w="3678"/>
        <w:gridCol w:w="1276"/>
      </w:tblGrid>
      <w:tr w:rsidR="00A45417" w:rsidTr="00546FA7">
        <w:tblPrEx>
          <w:tblCellMar>
            <w:top w:w="0" w:type="dxa"/>
            <w:left w:w="0" w:type="dxa"/>
            <w:bottom w:w="0" w:type="dxa"/>
            <w:right w:w="0" w:type="dxa"/>
          </w:tblCellMar>
        </w:tblPrEx>
        <w:trPr>
          <w:trHeight w:val="85"/>
        </w:trPr>
        <w:tc>
          <w:tcPr>
            <w:tcW w:w="3678" w:type="dxa"/>
            <w:tcBorders>
              <w:bottom w:val="single" w:sz="4" w:space="0" w:color="D3752E"/>
            </w:tcBorders>
            <w:tcMar>
              <w:top w:w="28" w:type="dxa"/>
              <w:left w:w="0" w:type="dxa"/>
              <w:bottom w:w="28" w:type="dxa"/>
              <w:right w:w="0" w:type="dxa"/>
            </w:tcMar>
          </w:tcPr>
          <w:p w:rsidR="00A45417" w:rsidRDefault="00A45417">
            <w:pPr>
              <w:pStyle w:val="NoParagraphStyle"/>
              <w:spacing w:line="240" w:lineRule="auto"/>
              <w:textAlignment w:val="auto"/>
              <w:rPr>
                <w:rFonts w:ascii="Arial MT Std" w:hAnsi="Arial MT Std" w:cstheme="minorBidi"/>
                <w:color w:val="auto"/>
                <w:lang w:val="en-AU"/>
              </w:rPr>
            </w:pPr>
          </w:p>
        </w:tc>
        <w:tc>
          <w:tcPr>
            <w:tcW w:w="1276" w:type="dxa"/>
            <w:tcBorders>
              <w:bottom w:val="single" w:sz="4" w:space="0" w:color="D3752E"/>
            </w:tcBorders>
            <w:tcMar>
              <w:top w:w="28" w:type="dxa"/>
              <w:left w:w="0" w:type="dxa"/>
              <w:bottom w:w="28" w:type="dxa"/>
              <w:right w:w="0" w:type="dxa"/>
            </w:tcMar>
          </w:tcPr>
          <w:p w:rsidR="00A45417" w:rsidRDefault="00A45417">
            <w:pPr>
              <w:pStyle w:val="BOTableNumbers"/>
              <w:jc w:val="center"/>
            </w:pPr>
            <w:r>
              <w:rPr>
                <w:rStyle w:val="BOBlueText288"/>
              </w:rPr>
              <w:t>$M</w:t>
            </w:r>
          </w:p>
        </w:tc>
      </w:tr>
      <w:tr w:rsidR="00A45417" w:rsidTr="00546FA7">
        <w:tblPrEx>
          <w:tblCellMar>
            <w:top w:w="0" w:type="dxa"/>
            <w:left w:w="0" w:type="dxa"/>
            <w:bottom w:w="0" w:type="dxa"/>
            <w:right w:w="0" w:type="dxa"/>
          </w:tblCellMar>
        </w:tblPrEx>
        <w:trPr>
          <w:trHeight w:val="85"/>
        </w:trPr>
        <w:tc>
          <w:tcPr>
            <w:tcW w:w="3678" w:type="dxa"/>
            <w:tcBorders>
              <w:top w:val="single" w:sz="4" w:space="0" w:color="D3752E"/>
            </w:tcBorders>
            <w:tcMar>
              <w:top w:w="28" w:type="dxa"/>
              <w:left w:w="0" w:type="dxa"/>
              <w:bottom w:w="28" w:type="dxa"/>
              <w:right w:w="0" w:type="dxa"/>
            </w:tcMar>
          </w:tcPr>
          <w:p w:rsidR="00A45417" w:rsidRDefault="00A45417">
            <w:pPr>
              <w:pStyle w:val="BOTableText"/>
            </w:pPr>
            <w:r>
              <w:rPr>
                <w:rStyle w:val="BOBlueText288"/>
              </w:rPr>
              <w:t>Roads and transport</w:t>
            </w:r>
          </w:p>
        </w:tc>
        <w:tc>
          <w:tcPr>
            <w:tcW w:w="1276" w:type="dxa"/>
            <w:tcBorders>
              <w:top w:val="single" w:sz="4" w:space="0" w:color="D3752E"/>
            </w:tcBorders>
            <w:tcMar>
              <w:top w:w="28" w:type="dxa"/>
              <w:left w:w="0" w:type="dxa"/>
              <w:bottom w:w="28" w:type="dxa"/>
              <w:right w:w="57" w:type="dxa"/>
            </w:tcMar>
          </w:tcPr>
          <w:p w:rsidR="00A45417" w:rsidRDefault="00A45417">
            <w:pPr>
              <w:pStyle w:val="BOTableNumbers"/>
            </w:pPr>
            <w:r>
              <w:rPr>
                <w:rStyle w:val="BOBlueText288"/>
              </w:rPr>
              <w:t>326</w:t>
            </w:r>
          </w:p>
        </w:tc>
      </w:tr>
      <w:tr w:rsidR="00A45417" w:rsidTr="00546FA7">
        <w:tblPrEx>
          <w:tblCellMar>
            <w:top w:w="0" w:type="dxa"/>
            <w:left w:w="0" w:type="dxa"/>
            <w:bottom w:w="0" w:type="dxa"/>
            <w:right w:w="0" w:type="dxa"/>
          </w:tblCellMar>
        </w:tblPrEx>
        <w:trPr>
          <w:trHeight w:val="85"/>
        </w:trPr>
        <w:tc>
          <w:tcPr>
            <w:tcW w:w="3678" w:type="dxa"/>
            <w:tcMar>
              <w:top w:w="28" w:type="dxa"/>
              <w:left w:w="0" w:type="dxa"/>
              <w:bottom w:w="28" w:type="dxa"/>
              <w:right w:w="0" w:type="dxa"/>
            </w:tcMar>
          </w:tcPr>
          <w:p w:rsidR="00A45417" w:rsidRDefault="00A45417">
            <w:pPr>
              <w:pStyle w:val="BOTableText"/>
            </w:pPr>
            <w:r>
              <w:rPr>
                <w:rStyle w:val="BOBlueText288"/>
              </w:rPr>
              <w:t>Housing and related works</w:t>
            </w:r>
          </w:p>
        </w:tc>
        <w:tc>
          <w:tcPr>
            <w:tcW w:w="1276" w:type="dxa"/>
            <w:tcMar>
              <w:top w:w="28" w:type="dxa"/>
              <w:left w:w="0" w:type="dxa"/>
              <w:bottom w:w="28" w:type="dxa"/>
              <w:right w:w="57" w:type="dxa"/>
            </w:tcMar>
          </w:tcPr>
          <w:p w:rsidR="00A45417" w:rsidRDefault="00A45417">
            <w:pPr>
              <w:pStyle w:val="BOTableNumbers"/>
            </w:pPr>
            <w:r>
              <w:rPr>
                <w:rStyle w:val="BOBlueText288"/>
              </w:rPr>
              <w:t>181</w:t>
            </w:r>
          </w:p>
        </w:tc>
      </w:tr>
      <w:tr w:rsidR="00A45417" w:rsidTr="00546FA7">
        <w:tblPrEx>
          <w:tblCellMar>
            <w:top w:w="0" w:type="dxa"/>
            <w:left w:w="0" w:type="dxa"/>
            <w:bottom w:w="0" w:type="dxa"/>
            <w:right w:w="0" w:type="dxa"/>
          </w:tblCellMar>
        </w:tblPrEx>
        <w:trPr>
          <w:trHeight w:val="85"/>
        </w:trPr>
        <w:tc>
          <w:tcPr>
            <w:tcW w:w="3678" w:type="dxa"/>
            <w:tcMar>
              <w:top w:w="28" w:type="dxa"/>
              <w:left w:w="0" w:type="dxa"/>
              <w:bottom w:w="28" w:type="dxa"/>
              <w:right w:w="0" w:type="dxa"/>
            </w:tcMar>
          </w:tcPr>
          <w:p w:rsidR="00A45417" w:rsidRDefault="00A45417">
            <w:pPr>
              <w:pStyle w:val="BOTableText"/>
            </w:pPr>
            <w:r>
              <w:rPr>
                <w:rStyle w:val="BOBlueText288"/>
              </w:rPr>
              <w:t>Health</w:t>
            </w:r>
          </w:p>
        </w:tc>
        <w:tc>
          <w:tcPr>
            <w:tcW w:w="1276" w:type="dxa"/>
            <w:tcMar>
              <w:top w:w="28" w:type="dxa"/>
              <w:left w:w="0" w:type="dxa"/>
              <w:bottom w:w="28" w:type="dxa"/>
              <w:right w:w="57" w:type="dxa"/>
            </w:tcMar>
          </w:tcPr>
          <w:p w:rsidR="00A45417" w:rsidRDefault="00A45417">
            <w:pPr>
              <w:pStyle w:val="BOTableNumbers"/>
            </w:pPr>
            <w:r>
              <w:rPr>
                <w:rStyle w:val="BOBlueText288"/>
              </w:rPr>
              <w:t>160</w:t>
            </w:r>
          </w:p>
        </w:tc>
      </w:tr>
      <w:tr w:rsidR="00A45417" w:rsidTr="00546FA7">
        <w:tblPrEx>
          <w:tblCellMar>
            <w:top w:w="0" w:type="dxa"/>
            <w:left w:w="0" w:type="dxa"/>
            <w:bottom w:w="0" w:type="dxa"/>
            <w:right w:w="0" w:type="dxa"/>
          </w:tblCellMar>
        </w:tblPrEx>
        <w:trPr>
          <w:trHeight w:val="85"/>
        </w:trPr>
        <w:tc>
          <w:tcPr>
            <w:tcW w:w="3678" w:type="dxa"/>
            <w:tcMar>
              <w:top w:w="28" w:type="dxa"/>
              <w:left w:w="0" w:type="dxa"/>
              <w:bottom w:w="28" w:type="dxa"/>
              <w:right w:w="0" w:type="dxa"/>
            </w:tcMar>
          </w:tcPr>
          <w:p w:rsidR="00A45417" w:rsidRDefault="00A45417">
            <w:pPr>
              <w:pStyle w:val="BOTableText"/>
            </w:pPr>
            <w:r>
              <w:rPr>
                <w:rStyle w:val="BOBlueText288"/>
              </w:rPr>
              <w:t>Economic and community infrastructure</w:t>
            </w:r>
          </w:p>
        </w:tc>
        <w:tc>
          <w:tcPr>
            <w:tcW w:w="1276" w:type="dxa"/>
            <w:tcMar>
              <w:top w:w="28" w:type="dxa"/>
              <w:left w:w="0" w:type="dxa"/>
              <w:bottom w:w="28" w:type="dxa"/>
              <w:right w:w="57" w:type="dxa"/>
            </w:tcMar>
          </w:tcPr>
          <w:p w:rsidR="00A45417" w:rsidRDefault="00A45417">
            <w:pPr>
              <w:pStyle w:val="BOTableNumbers"/>
            </w:pPr>
            <w:r>
              <w:rPr>
                <w:rStyle w:val="BOBlueText288"/>
              </w:rPr>
              <w:t>139</w:t>
            </w:r>
          </w:p>
        </w:tc>
      </w:tr>
      <w:tr w:rsidR="00A45417" w:rsidTr="00546FA7">
        <w:tblPrEx>
          <w:tblCellMar>
            <w:top w:w="0" w:type="dxa"/>
            <w:left w:w="0" w:type="dxa"/>
            <w:bottom w:w="0" w:type="dxa"/>
            <w:right w:w="0" w:type="dxa"/>
          </w:tblCellMar>
        </w:tblPrEx>
        <w:trPr>
          <w:trHeight w:val="85"/>
        </w:trPr>
        <w:tc>
          <w:tcPr>
            <w:tcW w:w="3678" w:type="dxa"/>
            <w:tcMar>
              <w:top w:w="28" w:type="dxa"/>
              <w:left w:w="0" w:type="dxa"/>
              <w:bottom w:w="28" w:type="dxa"/>
              <w:right w:w="0" w:type="dxa"/>
            </w:tcMar>
          </w:tcPr>
          <w:p w:rsidR="00A45417" w:rsidRDefault="00A45417">
            <w:pPr>
              <w:pStyle w:val="BOTableText"/>
            </w:pPr>
            <w:r>
              <w:rPr>
                <w:rStyle w:val="BOBlueText288"/>
              </w:rPr>
              <w:t>Education</w:t>
            </w:r>
          </w:p>
        </w:tc>
        <w:tc>
          <w:tcPr>
            <w:tcW w:w="1276" w:type="dxa"/>
            <w:tcMar>
              <w:top w:w="28" w:type="dxa"/>
              <w:left w:w="0" w:type="dxa"/>
              <w:bottom w:w="28" w:type="dxa"/>
              <w:right w:w="57" w:type="dxa"/>
            </w:tcMar>
          </w:tcPr>
          <w:p w:rsidR="00A45417" w:rsidRDefault="00A45417">
            <w:pPr>
              <w:pStyle w:val="BOTableNumbers"/>
            </w:pPr>
            <w:r>
              <w:rPr>
                <w:rStyle w:val="BOBlueText288"/>
              </w:rPr>
              <w:t>49</w:t>
            </w:r>
          </w:p>
        </w:tc>
      </w:tr>
      <w:tr w:rsidR="00A45417" w:rsidTr="00546FA7">
        <w:tblPrEx>
          <w:tblCellMar>
            <w:top w:w="0" w:type="dxa"/>
            <w:left w:w="0" w:type="dxa"/>
            <w:bottom w:w="0" w:type="dxa"/>
            <w:right w:w="0" w:type="dxa"/>
          </w:tblCellMar>
        </w:tblPrEx>
        <w:trPr>
          <w:trHeight w:val="85"/>
        </w:trPr>
        <w:tc>
          <w:tcPr>
            <w:tcW w:w="3678" w:type="dxa"/>
            <w:tcMar>
              <w:top w:w="28" w:type="dxa"/>
              <w:left w:w="0" w:type="dxa"/>
              <w:bottom w:w="28" w:type="dxa"/>
              <w:right w:w="0" w:type="dxa"/>
            </w:tcMar>
          </w:tcPr>
          <w:p w:rsidR="00A45417" w:rsidRDefault="00A45417">
            <w:pPr>
              <w:pStyle w:val="BOTableText"/>
            </w:pPr>
            <w:r>
              <w:rPr>
                <w:rStyle w:val="BOBlueText288"/>
              </w:rPr>
              <w:t>Community safety</w:t>
            </w:r>
          </w:p>
        </w:tc>
        <w:tc>
          <w:tcPr>
            <w:tcW w:w="1276" w:type="dxa"/>
            <w:tcMar>
              <w:top w:w="28" w:type="dxa"/>
              <w:left w:w="0" w:type="dxa"/>
              <w:bottom w:w="28" w:type="dxa"/>
              <w:right w:w="57" w:type="dxa"/>
            </w:tcMar>
          </w:tcPr>
          <w:p w:rsidR="00A45417" w:rsidRDefault="00A45417">
            <w:pPr>
              <w:pStyle w:val="BOTableNumbers"/>
            </w:pPr>
            <w:r>
              <w:rPr>
                <w:rStyle w:val="BOBlueText288"/>
              </w:rPr>
              <w:t>46</w:t>
            </w:r>
          </w:p>
        </w:tc>
      </w:tr>
      <w:tr w:rsidR="00A45417" w:rsidTr="00546FA7">
        <w:tblPrEx>
          <w:tblCellMar>
            <w:top w:w="0" w:type="dxa"/>
            <w:left w:w="0" w:type="dxa"/>
            <w:bottom w:w="0" w:type="dxa"/>
            <w:right w:w="0" w:type="dxa"/>
          </w:tblCellMar>
        </w:tblPrEx>
        <w:trPr>
          <w:trHeight w:val="85"/>
        </w:trPr>
        <w:tc>
          <w:tcPr>
            <w:tcW w:w="3678" w:type="dxa"/>
            <w:tcMar>
              <w:top w:w="28" w:type="dxa"/>
              <w:left w:w="0" w:type="dxa"/>
              <w:bottom w:w="28" w:type="dxa"/>
              <w:right w:w="0" w:type="dxa"/>
            </w:tcMar>
          </w:tcPr>
          <w:p w:rsidR="00A45417" w:rsidRDefault="00A45417">
            <w:pPr>
              <w:pStyle w:val="BOTableText"/>
            </w:pPr>
            <w:r>
              <w:t>Lifestyle and environment</w:t>
            </w:r>
          </w:p>
        </w:tc>
        <w:tc>
          <w:tcPr>
            <w:tcW w:w="1276" w:type="dxa"/>
            <w:tcMar>
              <w:top w:w="28" w:type="dxa"/>
              <w:left w:w="0" w:type="dxa"/>
              <w:bottom w:w="28" w:type="dxa"/>
              <w:right w:w="57" w:type="dxa"/>
            </w:tcMar>
          </w:tcPr>
          <w:p w:rsidR="00A45417" w:rsidRDefault="00A45417">
            <w:pPr>
              <w:pStyle w:val="BOTableNumbers"/>
            </w:pPr>
            <w:r>
              <w:rPr>
                <w:rStyle w:val="BOBlueText288"/>
              </w:rPr>
              <w:t>28</w:t>
            </w:r>
          </w:p>
        </w:tc>
      </w:tr>
      <w:tr w:rsidR="00A45417" w:rsidTr="00546FA7">
        <w:tblPrEx>
          <w:tblCellMar>
            <w:top w:w="0" w:type="dxa"/>
            <w:left w:w="0" w:type="dxa"/>
            <w:bottom w:w="0" w:type="dxa"/>
            <w:right w:w="0" w:type="dxa"/>
          </w:tblCellMar>
        </w:tblPrEx>
        <w:trPr>
          <w:trHeight w:val="85"/>
        </w:trPr>
        <w:tc>
          <w:tcPr>
            <w:tcW w:w="3678" w:type="dxa"/>
            <w:tcBorders>
              <w:bottom w:val="single" w:sz="4" w:space="0" w:color="D3752E"/>
            </w:tcBorders>
            <w:tcMar>
              <w:top w:w="28" w:type="dxa"/>
              <w:left w:w="0" w:type="dxa"/>
              <w:bottom w:w="28" w:type="dxa"/>
              <w:right w:w="0" w:type="dxa"/>
            </w:tcMar>
          </w:tcPr>
          <w:p w:rsidR="00A45417" w:rsidRDefault="00A45417">
            <w:pPr>
              <w:pStyle w:val="BOTableText"/>
            </w:pPr>
            <w:r>
              <w:rPr>
                <w:rStyle w:val="BOBoldtext"/>
              </w:rPr>
              <w:t>Total Budget sector</w:t>
            </w:r>
          </w:p>
        </w:tc>
        <w:tc>
          <w:tcPr>
            <w:tcW w:w="1276" w:type="dxa"/>
            <w:tcBorders>
              <w:bottom w:val="single" w:sz="4" w:space="0" w:color="D3752E"/>
            </w:tcBorders>
            <w:tcMar>
              <w:top w:w="28" w:type="dxa"/>
              <w:left w:w="0" w:type="dxa"/>
              <w:bottom w:w="28" w:type="dxa"/>
              <w:right w:w="57" w:type="dxa"/>
            </w:tcMar>
          </w:tcPr>
          <w:p w:rsidR="00A45417" w:rsidRDefault="00A45417">
            <w:pPr>
              <w:pStyle w:val="BOTableNumbers"/>
            </w:pPr>
            <w:r>
              <w:rPr>
                <w:rStyle w:val="BOBoldtext"/>
              </w:rPr>
              <w:t>929</w:t>
            </w:r>
          </w:p>
        </w:tc>
      </w:tr>
    </w:tbl>
    <w:p w:rsidR="00A45417" w:rsidRDefault="00A45417" w:rsidP="00A45417">
      <w:pPr>
        <w:pStyle w:val="BOBodyText"/>
        <w:rPr>
          <w:rStyle w:val="BOBlueText288"/>
        </w:rPr>
      </w:pPr>
    </w:p>
    <w:p w:rsidR="00A45417" w:rsidRDefault="00A45417" w:rsidP="00A45417">
      <w:pPr>
        <w:pStyle w:val="BOBoxHeading"/>
        <w:spacing w:before="227"/>
      </w:pPr>
      <w:r>
        <w:t>Other Key 2014-15 Initiatives</w:t>
      </w:r>
    </w:p>
    <w:p w:rsidR="00A45417" w:rsidRDefault="00A45417" w:rsidP="00A45417">
      <w:pPr>
        <w:pStyle w:val="BOBoxtext"/>
      </w:pPr>
      <w:r>
        <w:t>The 2014-15 Budget includes:</w:t>
      </w:r>
    </w:p>
    <w:p w:rsidR="00A45417" w:rsidRDefault="00A45417" w:rsidP="00E644C3">
      <w:pPr>
        <w:pStyle w:val="BOBodyBullet"/>
      </w:pPr>
      <w:r>
        <w:t>$5 million to expand the Sports Voucher scheme from $75 to $200 and to include more activities;</w:t>
      </w:r>
    </w:p>
    <w:p w:rsidR="00A45417" w:rsidRDefault="00A45417" w:rsidP="00E644C3">
      <w:pPr>
        <w:pStyle w:val="BOBodyBullet"/>
      </w:pPr>
      <w:r>
        <w:t>$5.9 million to increase and expand the Northern Territory Early Childhood Services Subsidy; and</w:t>
      </w:r>
    </w:p>
    <w:p w:rsidR="00A45417" w:rsidRPr="000B18AF" w:rsidRDefault="00A45417" w:rsidP="00E644C3">
      <w:pPr>
        <w:pStyle w:val="BOBodyBullet"/>
      </w:pPr>
      <w:r w:rsidRPr="000B18AF">
        <w:t>$6.6 million to continue providing the Back to School Voucher of $150 per student across all Territory schools.</w:t>
      </w:r>
    </w:p>
    <w:p w:rsidR="00546FA7" w:rsidRDefault="00546FA7">
      <w:pPr>
        <w:rPr>
          <w:rFonts w:ascii="Arial MT Std" w:hAnsi="Arial MT Std" w:cs="Arial MT Std"/>
          <w:b/>
          <w:bCs/>
          <w:color w:val="D3752E"/>
          <w:spacing w:val="-7"/>
          <w:w w:val="85"/>
          <w:sz w:val="60"/>
          <w:szCs w:val="60"/>
          <w:lang w:val="en-GB"/>
        </w:rPr>
      </w:pPr>
      <w:r>
        <w:rPr>
          <w:w w:val="85"/>
          <w:sz w:val="60"/>
          <w:szCs w:val="60"/>
        </w:rPr>
        <w:br w:type="page"/>
      </w:r>
    </w:p>
    <w:p w:rsidR="00A45417" w:rsidRDefault="00A45417" w:rsidP="00A45417">
      <w:pPr>
        <w:pStyle w:val="BOChapterHeading"/>
        <w:rPr>
          <w:w w:val="85"/>
          <w:sz w:val="60"/>
          <w:szCs w:val="60"/>
        </w:rPr>
      </w:pPr>
      <w:r>
        <w:rPr>
          <w:w w:val="85"/>
          <w:sz w:val="60"/>
          <w:szCs w:val="60"/>
        </w:rPr>
        <w:lastRenderedPageBreak/>
        <w:t>Fiscal Outlook</w:t>
      </w:r>
    </w:p>
    <w:p w:rsidR="00A45417" w:rsidRDefault="00A45417" w:rsidP="00A45417">
      <w:pPr>
        <w:pStyle w:val="BOHeading1"/>
        <w:rPr>
          <w:rStyle w:val="BOBlueText288"/>
        </w:rPr>
      </w:pPr>
      <w:r>
        <w:rPr>
          <w:rStyle w:val="BOBlueText288"/>
        </w:rPr>
        <w:t>Fiscal Outlook</w:t>
      </w:r>
    </w:p>
    <w:p w:rsidR="00A45417" w:rsidRDefault="00A45417" w:rsidP="00A45417">
      <w:pPr>
        <w:pStyle w:val="BOBodyText"/>
      </w:pPr>
      <w:r>
        <w:t>The 2014</w:t>
      </w:r>
      <w:r>
        <w:noBreakHyphen/>
        <w:t>15 Budget demonstrates the Government’s continued focus on returning the Budget to a balanced position by 2017</w:t>
      </w:r>
      <w:r>
        <w:noBreakHyphen/>
        <w:t>18. It presents a significantly improved fiscal position from that projected in the 2013-14 Budget. This improved fiscal outlook has been achieved through a combination of the following factors:</w:t>
      </w:r>
    </w:p>
    <w:p w:rsidR="00A45417" w:rsidRDefault="00A45417" w:rsidP="00E644C3">
      <w:pPr>
        <w:pStyle w:val="BOBodyBullet"/>
      </w:pPr>
      <w:proofErr w:type="gramStart"/>
      <w:r>
        <w:t>increased</w:t>
      </w:r>
      <w:proofErr w:type="gramEnd"/>
      <w:r>
        <w:t xml:space="preserve"> Territory revenue;</w:t>
      </w:r>
    </w:p>
    <w:p w:rsidR="00A45417" w:rsidRDefault="00A45417" w:rsidP="00E644C3">
      <w:pPr>
        <w:pStyle w:val="BOBodyBullet"/>
      </w:pPr>
      <w:proofErr w:type="gramStart"/>
      <w:r>
        <w:t>additional</w:t>
      </w:r>
      <w:proofErr w:type="gramEnd"/>
      <w:r>
        <w:t xml:space="preserve"> efficiency measures through improved service delivery; and</w:t>
      </w:r>
    </w:p>
    <w:p w:rsidR="00A45417" w:rsidRDefault="00A45417" w:rsidP="00E644C3">
      <w:pPr>
        <w:pStyle w:val="BOBodyBullet"/>
      </w:pPr>
      <w:proofErr w:type="gramStart"/>
      <w:r>
        <w:t>an</w:t>
      </w:r>
      <w:proofErr w:type="gramEnd"/>
      <w:r>
        <w:t xml:space="preserve"> improving financial performance of the Power and Water Corporation.</w:t>
      </w:r>
    </w:p>
    <w:p w:rsidR="00A45417" w:rsidRDefault="00A45417" w:rsidP="00A45417">
      <w:pPr>
        <w:pStyle w:val="BOBodyText"/>
      </w:pPr>
      <w:r>
        <w:t>These factors have resulted in the general government net operating balance now projected to be in surplus by 2014</w:t>
      </w:r>
      <w:r>
        <w:noBreakHyphen/>
        <w:t xml:space="preserve">15, two years ahead of the fiscal strategy target. In addition, the </w:t>
      </w:r>
      <w:proofErr w:type="spellStart"/>
      <w:r>
        <w:t>non financial</w:t>
      </w:r>
      <w:proofErr w:type="spellEnd"/>
      <w:r>
        <w:t xml:space="preserve"> public sector fiscal balance has improved on average by $170 million per annum when compared to the 2013 May Budget. A small fiscal deficit of $39 million is projected in 2017</w:t>
      </w:r>
      <w:r>
        <w:noBreakHyphen/>
        <w:t>18, the target year to return the budget to surplus. Improvements in net debt and the net debt to revenue ratio are also projected over the forward estimate period.</w:t>
      </w:r>
    </w:p>
    <w:p w:rsidR="00A45417" w:rsidRDefault="00A45417" w:rsidP="00A45417">
      <w:pPr>
        <w:pStyle w:val="BOBodyText"/>
        <w:spacing w:after="340"/>
      </w:pPr>
      <w:r>
        <w:t xml:space="preserve">For 2014-15 the fiscal deficit is projected to be $723 million, $372 million higher than expected in the 2013-14 Budget due to the delay in the completion of the Darwin Correctional Precinct. This increase has been offset by higher revenues. </w:t>
      </w:r>
    </w:p>
    <w:p w:rsidR="00A45417" w:rsidRDefault="00A45417" w:rsidP="00A45417">
      <w:pPr>
        <w:pStyle w:val="BOTableHeading"/>
      </w:pPr>
      <w:r>
        <w:rPr>
          <w:rStyle w:val="BOBlueText288"/>
        </w:rPr>
        <w:t>Key Fiscal Indicators</w:t>
      </w:r>
    </w:p>
    <w:tbl>
      <w:tblPr>
        <w:tblW w:w="0" w:type="auto"/>
        <w:tblInd w:w="8" w:type="dxa"/>
        <w:tblLayout w:type="fixed"/>
        <w:tblCellMar>
          <w:left w:w="0" w:type="dxa"/>
          <w:right w:w="0" w:type="dxa"/>
        </w:tblCellMar>
        <w:tblLook w:val="0000" w:firstRow="0" w:lastRow="0" w:firstColumn="0" w:lastColumn="0" w:noHBand="0" w:noVBand="0"/>
      </w:tblPr>
      <w:tblGrid>
        <w:gridCol w:w="2551"/>
        <w:gridCol w:w="794"/>
        <w:gridCol w:w="794"/>
        <w:gridCol w:w="793"/>
        <w:gridCol w:w="794"/>
        <w:gridCol w:w="794"/>
      </w:tblGrid>
      <w:tr w:rsidR="00A45417" w:rsidTr="00546FA7">
        <w:tblPrEx>
          <w:tblCellMar>
            <w:top w:w="0" w:type="dxa"/>
            <w:left w:w="0" w:type="dxa"/>
            <w:bottom w:w="0" w:type="dxa"/>
            <w:right w:w="0" w:type="dxa"/>
          </w:tblCellMar>
        </w:tblPrEx>
        <w:trPr>
          <w:trHeight w:val="255"/>
        </w:trPr>
        <w:tc>
          <w:tcPr>
            <w:tcW w:w="2551" w:type="dxa"/>
            <w:tcMar>
              <w:top w:w="28" w:type="dxa"/>
              <w:left w:w="0" w:type="dxa"/>
              <w:bottom w:w="28" w:type="dxa"/>
              <w:right w:w="0" w:type="dxa"/>
            </w:tcMar>
          </w:tcPr>
          <w:p w:rsidR="00A45417" w:rsidRDefault="00A45417">
            <w:pPr>
              <w:pStyle w:val="NoParagraphStyle"/>
              <w:spacing w:line="240" w:lineRule="auto"/>
              <w:textAlignment w:val="auto"/>
              <w:rPr>
                <w:rFonts w:ascii="Arial MT Std Light" w:hAnsi="Arial MT Std Light" w:cstheme="minorBidi"/>
                <w:color w:val="auto"/>
                <w:lang w:val="en-AU"/>
              </w:rPr>
            </w:pPr>
          </w:p>
        </w:tc>
        <w:tc>
          <w:tcPr>
            <w:tcW w:w="794" w:type="dxa"/>
            <w:tcMar>
              <w:top w:w="28" w:type="dxa"/>
              <w:left w:w="0" w:type="dxa"/>
              <w:bottom w:w="28" w:type="dxa"/>
              <w:right w:w="0" w:type="dxa"/>
            </w:tcMar>
          </w:tcPr>
          <w:p w:rsidR="00A45417" w:rsidRDefault="00A45417">
            <w:pPr>
              <w:pStyle w:val="BOTableTextCentred"/>
            </w:pPr>
            <w:r>
              <w:t>2013-14</w:t>
            </w:r>
          </w:p>
        </w:tc>
        <w:tc>
          <w:tcPr>
            <w:tcW w:w="794" w:type="dxa"/>
            <w:tcMar>
              <w:top w:w="28" w:type="dxa"/>
              <w:left w:w="0" w:type="dxa"/>
              <w:bottom w:w="28" w:type="dxa"/>
              <w:right w:w="0" w:type="dxa"/>
            </w:tcMar>
          </w:tcPr>
          <w:p w:rsidR="00A45417" w:rsidRDefault="00A45417">
            <w:pPr>
              <w:pStyle w:val="BOTableTextCentred"/>
            </w:pPr>
            <w:r>
              <w:t>2014-15</w:t>
            </w:r>
          </w:p>
        </w:tc>
        <w:tc>
          <w:tcPr>
            <w:tcW w:w="793" w:type="dxa"/>
            <w:tcBorders>
              <w:bottom w:val="single" w:sz="4" w:space="0" w:color="D3752E"/>
            </w:tcBorders>
            <w:tcMar>
              <w:top w:w="28" w:type="dxa"/>
              <w:left w:w="0" w:type="dxa"/>
              <w:bottom w:w="28" w:type="dxa"/>
              <w:right w:w="0" w:type="dxa"/>
            </w:tcMar>
          </w:tcPr>
          <w:p w:rsidR="00A45417" w:rsidRDefault="00A45417">
            <w:pPr>
              <w:pStyle w:val="BOTableTextCentred"/>
            </w:pPr>
            <w:r>
              <w:t>2015-16</w:t>
            </w:r>
          </w:p>
        </w:tc>
        <w:tc>
          <w:tcPr>
            <w:tcW w:w="794" w:type="dxa"/>
            <w:tcBorders>
              <w:bottom w:val="single" w:sz="4" w:space="0" w:color="D3752E"/>
            </w:tcBorders>
            <w:tcMar>
              <w:top w:w="28" w:type="dxa"/>
              <w:left w:w="0" w:type="dxa"/>
              <w:bottom w:w="28" w:type="dxa"/>
              <w:right w:w="0" w:type="dxa"/>
            </w:tcMar>
          </w:tcPr>
          <w:p w:rsidR="00A45417" w:rsidRDefault="00A45417">
            <w:pPr>
              <w:pStyle w:val="BOTableTextCentred"/>
            </w:pPr>
            <w:r>
              <w:t>2016-17</w:t>
            </w:r>
          </w:p>
        </w:tc>
        <w:tc>
          <w:tcPr>
            <w:tcW w:w="794" w:type="dxa"/>
            <w:tcBorders>
              <w:bottom w:val="single" w:sz="4" w:space="0" w:color="D3752E"/>
            </w:tcBorders>
            <w:tcMar>
              <w:top w:w="28" w:type="dxa"/>
              <w:left w:w="0" w:type="dxa"/>
              <w:bottom w:w="28" w:type="dxa"/>
              <w:right w:w="0" w:type="dxa"/>
            </w:tcMar>
          </w:tcPr>
          <w:p w:rsidR="00A45417" w:rsidRDefault="00A45417">
            <w:pPr>
              <w:pStyle w:val="BOTableTextCentred"/>
            </w:pPr>
            <w:r>
              <w:t>2017-18</w:t>
            </w:r>
          </w:p>
        </w:tc>
      </w:tr>
      <w:tr w:rsidR="00A45417" w:rsidTr="00546FA7">
        <w:tblPrEx>
          <w:tblCellMar>
            <w:top w:w="0" w:type="dxa"/>
            <w:left w:w="0" w:type="dxa"/>
            <w:bottom w:w="0" w:type="dxa"/>
            <w:right w:w="0" w:type="dxa"/>
          </w:tblCellMar>
        </w:tblPrEx>
        <w:trPr>
          <w:trHeight w:val="255"/>
        </w:trPr>
        <w:tc>
          <w:tcPr>
            <w:tcW w:w="2551" w:type="dxa"/>
            <w:tcBorders>
              <w:bottom w:val="single" w:sz="4" w:space="0" w:color="D3752E"/>
            </w:tcBorders>
            <w:tcMar>
              <w:top w:w="28" w:type="dxa"/>
              <w:left w:w="0" w:type="dxa"/>
              <w:bottom w:w="28" w:type="dxa"/>
              <w:right w:w="0" w:type="dxa"/>
            </w:tcMar>
          </w:tcPr>
          <w:p w:rsidR="00A45417" w:rsidRDefault="00A45417">
            <w:pPr>
              <w:pStyle w:val="BOTableText"/>
            </w:pPr>
            <w:r>
              <w:t> </w:t>
            </w:r>
          </w:p>
        </w:tc>
        <w:tc>
          <w:tcPr>
            <w:tcW w:w="794" w:type="dxa"/>
            <w:tcBorders>
              <w:bottom w:val="single" w:sz="4" w:space="0" w:color="D3752E"/>
            </w:tcBorders>
            <w:tcMar>
              <w:top w:w="28" w:type="dxa"/>
              <w:left w:w="0" w:type="dxa"/>
              <w:bottom w:w="28" w:type="dxa"/>
              <w:right w:w="0" w:type="dxa"/>
            </w:tcMar>
          </w:tcPr>
          <w:p w:rsidR="00A45417" w:rsidRDefault="00A45417">
            <w:pPr>
              <w:pStyle w:val="BOTableTextCentred"/>
            </w:pPr>
            <w:r>
              <w:t>Estimate</w:t>
            </w:r>
          </w:p>
        </w:tc>
        <w:tc>
          <w:tcPr>
            <w:tcW w:w="794" w:type="dxa"/>
            <w:tcBorders>
              <w:bottom w:val="single" w:sz="4" w:space="0" w:color="D3752E"/>
            </w:tcBorders>
            <w:tcMar>
              <w:top w:w="28" w:type="dxa"/>
              <w:left w:w="0" w:type="dxa"/>
              <w:bottom w:w="28" w:type="dxa"/>
              <w:right w:w="0" w:type="dxa"/>
            </w:tcMar>
          </w:tcPr>
          <w:p w:rsidR="00A45417" w:rsidRDefault="00A45417">
            <w:pPr>
              <w:pStyle w:val="BOTableTextCentred"/>
            </w:pPr>
            <w:r>
              <w:t>Budget</w:t>
            </w:r>
          </w:p>
        </w:tc>
        <w:tc>
          <w:tcPr>
            <w:tcW w:w="2381" w:type="dxa"/>
            <w:gridSpan w:val="3"/>
            <w:tcBorders>
              <w:top w:val="single" w:sz="4" w:space="0" w:color="D3752E"/>
              <w:bottom w:val="single" w:sz="4" w:space="0" w:color="D3752E"/>
            </w:tcBorders>
            <w:tcMar>
              <w:top w:w="28" w:type="dxa"/>
              <w:left w:w="0" w:type="dxa"/>
              <w:bottom w:w="28" w:type="dxa"/>
              <w:right w:w="0" w:type="dxa"/>
            </w:tcMar>
          </w:tcPr>
          <w:p w:rsidR="00A45417" w:rsidRDefault="00A45417">
            <w:pPr>
              <w:pStyle w:val="BOTableTextCentred"/>
            </w:pPr>
            <w:r>
              <w:t>Forward Estimates</w:t>
            </w:r>
          </w:p>
        </w:tc>
      </w:tr>
      <w:tr w:rsidR="00A45417" w:rsidTr="00546FA7">
        <w:tblPrEx>
          <w:tblCellMar>
            <w:top w:w="0" w:type="dxa"/>
            <w:left w:w="0" w:type="dxa"/>
            <w:bottom w:w="0" w:type="dxa"/>
            <w:right w:w="0" w:type="dxa"/>
          </w:tblCellMar>
        </w:tblPrEx>
        <w:trPr>
          <w:trHeight w:val="255"/>
        </w:trPr>
        <w:tc>
          <w:tcPr>
            <w:tcW w:w="2551" w:type="dxa"/>
            <w:tcBorders>
              <w:top w:val="single" w:sz="4" w:space="0" w:color="D3752E"/>
            </w:tcBorders>
            <w:tcMar>
              <w:top w:w="28" w:type="dxa"/>
              <w:left w:w="0" w:type="dxa"/>
              <w:bottom w:w="28" w:type="dxa"/>
              <w:right w:w="0" w:type="dxa"/>
            </w:tcMar>
          </w:tcPr>
          <w:p w:rsidR="00A45417" w:rsidRDefault="00A45417">
            <w:pPr>
              <w:pStyle w:val="NoParagraphStyle"/>
              <w:spacing w:line="240" w:lineRule="auto"/>
              <w:textAlignment w:val="auto"/>
              <w:rPr>
                <w:rFonts w:ascii="Arial MT Std Light" w:hAnsi="Arial MT Std Light" w:cstheme="minorBidi"/>
                <w:color w:val="auto"/>
                <w:lang w:val="en-AU"/>
              </w:rPr>
            </w:pPr>
          </w:p>
        </w:tc>
        <w:tc>
          <w:tcPr>
            <w:tcW w:w="794" w:type="dxa"/>
            <w:tcBorders>
              <w:top w:val="single" w:sz="4" w:space="0" w:color="D3752E"/>
            </w:tcBorders>
            <w:tcMar>
              <w:top w:w="28" w:type="dxa"/>
              <w:left w:w="0" w:type="dxa"/>
              <w:bottom w:w="28" w:type="dxa"/>
              <w:right w:w="0" w:type="dxa"/>
            </w:tcMar>
          </w:tcPr>
          <w:p w:rsidR="00A45417" w:rsidRDefault="00A45417">
            <w:pPr>
              <w:pStyle w:val="BOTableText"/>
              <w:jc w:val="center"/>
            </w:pPr>
            <w:r>
              <w:t>$M</w:t>
            </w:r>
          </w:p>
        </w:tc>
        <w:tc>
          <w:tcPr>
            <w:tcW w:w="794" w:type="dxa"/>
            <w:tcBorders>
              <w:top w:val="single" w:sz="4" w:space="0" w:color="D3752E"/>
            </w:tcBorders>
            <w:tcMar>
              <w:top w:w="28" w:type="dxa"/>
              <w:left w:w="0" w:type="dxa"/>
              <w:bottom w:w="28" w:type="dxa"/>
              <w:right w:w="0" w:type="dxa"/>
            </w:tcMar>
          </w:tcPr>
          <w:p w:rsidR="00A45417" w:rsidRDefault="00A45417">
            <w:pPr>
              <w:pStyle w:val="BOTableText"/>
              <w:jc w:val="center"/>
            </w:pPr>
            <w:r>
              <w:t>$M</w:t>
            </w:r>
          </w:p>
        </w:tc>
        <w:tc>
          <w:tcPr>
            <w:tcW w:w="793" w:type="dxa"/>
            <w:tcBorders>
              <w:top w:val="single" w:sz="4" w:space="0" w:color="D3752E"/>
            </w:tcBorders>
            <w:tcMar>
              <w:top w:w="28" w:type="dxa"/>
              <w:left w:w="0" w:type="dxa"/>
              <w:bottom w:w="28" w:type="dxa"/>
              <w:right w:w="0" w:type="dxa"/>
            </w:tcMar>
          </w:tcPr>
          <w:p w:rsidR="00A45417" w:rsidRDefault="00A45417">
            <w:pPr>
              <w:pStyle w:val="BOTableText"/>
              <w:jc w:val="center"/>
            </w:pPr>
            <w:r>
              <w:t>$M</w:t>
            </w:r>
          </w:p>
        </w:tc>
        <w:tc>
          <w:tcPr>
            <w:tcW w:w="794" w:type="dxa"/>
            <w:tcBorders>
              <w:top w:val="single" w:sz="4" w:space="0" w:color="D3752E"/>
            </w:tcBorders>
            <w:tcMar>
              <w:top w:w="28" w:type="dxa"/>
              <w:left w:w="0" w:type="dxa"/>
              <w:bottom w:w="28" w:type="dxa"/>
              <w:right w:w="0" w:type="dxa"/>
            </w:tcMar>
          </w:tcPr>
          <w:p w:rsidR="00A45417" w:rsidRDefault="00A45417">
            <w:pPr>
              <w:pStyle w:val="BOTableText"/>
              <w:jc w:val="center"/>
            </w:pPr>
            <w:r>
              <w:t>$M</w:t>
            </w:r>
          </w:p>
        </w:tc>
        <w:tc>
          <w:tcPr>
            <w:tcW w:w="794" w:type="dxa"/>
            <w:tcBorders>
              <w:top w:val="single" w:sz="4" w:space="0" w:color="D3752E"/>
            </w:tcBorders>
            <w:tcMar>
              <w:top w:w="28" w:type="dxa"/>
              <w:left w:w="0" w:type="dxa"/>
              <w:bottom w:w="28" w:type="dxa"/>
              <w:right w:w="0" w:type="dxa"/>
            </w:tcMar>
          </w:tcPr>
          <w:p w:rsidR="00A45417" w:rsidRDefault="00A45417">
            <w:pPr>
              <w:pStyle w:val="BOTableText"/>
              <w:jc w:val="center"/>
            </w:pPr>
            <w:r>
              <w:t>$M</w:t>
            </w:r>
          </w:p>
        </w:tc>
      </w:tr>
      <w:tr w:rsidR="00A45417" w:rsidTr="00546FA7">
        <w:tblPrEx>
          <w:tblCellMar>
            <w:top w:w="0" w:type="dxa"/>
            <w:left w:w="0" w:type="dxa"/>
            <w:bottom w:w="0" w:type="dxa"/>
            <w:right w:w="0" w:type="dxa"/>
          </w:tblCellMar>
        </w:tblPrEx>
        <w:trPr>
          <w:trHeight w:val="300"/>
        </w:trPr>
        <w:tc>
          <w:tcPr>
            <w:tcW w:w="2551" w:type="dxa"/>
            <w:tcMar>
              <w:top w:w="28" w:type="dxa"/>
              <w:left w:w="0" w:type="dxa"/>
              <w:bottom w:w="28" w:type="dxa"/>
              <w:right w:w="0" w:type="dxa"/>
            </w:tcMar>
          </w:tcPr>
          <w:p w:rsidR="00A45417" w:rsidRDefault="00A45417">
            <w:pPr>
              <w:pStyle w:val="BOTableText"/>
            </w:pPr>
            <w:r>
              <w:t>Net operating balance – GGS</w:t>
            </w:r>
          </w:p>
        </w:tc>
        <w:tc>
          <w:tcPr>
            <w:tcW w:w="794" w:type="dxa"/>
            <w:tcMar>
              <w:top w:w="28" w:type="dxa"/>
              <w:left w:w="0" w:type="dxa"/>
              <w:bottom w:w="28" w:type="dxa"/>
              <w:right w:w="227" w:type="dxa"/>
            </w:tcMar>
          </w:tcPr>
          <w:p w:rsidR="00A45417" w:rsidRDefault="00A45417">
            <w:pPr>
              <w:pStyle w:val="BOTableNumbers"/>
            </w:pPr>
            <w:r>
              <w:t>- 31</w:t>
            </w:r>
          </w:p>
        </w:tc>
        <w:tc>
          <w:tcPr>
            <w:tcW w:w="794" w:type="dxa"/>
            <w:tcMar>
              <w:top w:w="28" w:type="dxa"/>
              <w:left w:w="0" w:type="dxa"/>
              <w:bottom w:w="28" w:type="dxa"/>
              <w:right w:w="227" w:type="dxa"/>
            </w:tcMar>
          </w:tcPr>
          <w:p w:rsidR="00A45417" w:rsidRDefault="00A45417">
            <w:pPr>
              <w:pStyle w:val="BOTableNumbers"/>
            </w:pPr>
            <w:r>
              <w:t>63</w:t>
            </w:r>
          </w:p>
        </w:tc>
        <w:tc>
          <w:tcPr>
            <w:tcW w:w="793" w:type="dxa"/>
            <w:tcMar>
              <w:top w:w="28" w:type="dxa"/>
              <w:left w:w="0" w:type="dxa"/>
              <w:bottom w:w="28" w:type="dxa"/>
              <w:right w:w="227" w:type="dxa"/>
            </w:tcMar>
          </w:tcPr>
          <w:p w:rsidR="00A45417" w:rsidRDefault="00A45417">
            <w:pPr>
              <w:pStyle w:val="BOTableNumbers"/>
            </w:pPr>
            <w:r>
              <w:t>99</w:t>
            </w:r>
          </w:p>
        </w:tc>
        <w:tc>
          <w:tcPr>
            <w:tcW w:w="794" w:type="dxa"/>
            <w:tcMar>
              <w:top w:w="28" w:type="dxa"/>
              <w:left w:w="0" w:type="dxa"/>
              <w:bottom w:w="28" w:type="dxa"/>
              <w:right w:w="227" w:type="dxa"/>
            </w:tcMar>
          </w:tcPr>
          <w:p w:rsidR="00A45417" w:rsidRDefault="00A45417">
            <w:pPr>
              <w:pStyle w:val="BOTableNumbers"/>
            </w:pPr>
            <w:r>
              <w:t>69</w:t>
            </w:r>
          </w:p>
        </w:tc>
        <w:tc>
          <w:tcPr>
            <w:tcW w:w="794" w:type="dxa"/>
            <w:tcMar>
              <w:top w:w="28" w:type="dxa"/>
              <w:left w:w="0" w:type="dxa"/>
              <w:bottom w:w="28" w:type="dxa"/>
              <w:right w:w="227" w:type="dxa"/>
            </w:tcMar>
          </w:tcPr>
          <w:p w:rsidR="00A45417" w:rsidRDefault="00A45417">
            <w:pPr>
              <w:pStyle w:val="BOTableNumbers"/>
            </w:pPr>
            <w:r>
              <w:t>1</w:t>
            </w:r>
          </w:p>
        </w:tc>
      </w:tr>
      <w:tr w:rsidR="00A45417" w:rsidTr="00546FA7">
        <w:tblPrEx>
          <w:tblCellMar>
            <w:top w:w="0" w:type="dxa"/>
            <w:left w:w="0" w:type="dxa"/>
            <w:bottom w:w="0" w:type="dxa"/>
            <w:right w:w="0" w:type="dxa"/>
          </w:tblCellMar>
        </w:tblPrEx>
        <w:trPr>
          <w:trHeight w:val="300"/>
        </w:trPr>
        <w:tc>
          <w:tcPr>
            <w:tcW w:w="2551" w:type="dxa"/>
            <w:tcMar>
              <w:top w:w="28" w:type="dxa"/>
              <w:left w:w="0" w:type="dxa"/>
              <w:bottom w:w="28" w:type="dxa"/>
              <w:right w:w="0" w:type="dxa"/>
            </w:tcMar>
          </w:tcPr>
          <w:p w:rsidR="00A45417" w:rsidRDefault="00A45417">
            <w:pPr>
              <w:pStyle w:val="BOTableText"/>
              <w:ind w:left="170" w:hanging="170"/>
            </w:pPr>
            <w:r>
              <w:t>Fiscal balance – NFPS</w:t>
            </w:r>
          </w:p>
        </w:tc>
        <w:tc>
          <w:tcPr>
            <w:tcW w:w="794" w:type="dxa"/>
            <w:tcMar>
              <w:top w:w="28" w:type="dxa"/>
              <w:left w:w="0" w:type="dxa"/>
              <w:bottom w:w="28" w:type="dxa"/>
              <w:right w:w="227" w:type="dxa"/>
            </w:tcMar>
          </w:tcPr>
          <w:p w:rsidR="00A45417" w:rsidRDefault="00A45417">
            <w:pPr>
              <w:pStyle w:val="BOTableNumbers"/>
            </w:pPr>
            <w:r>
              <w:t>- 395</w:t>
            </w:r>
          </w:p>
        </w:tc>
        <w:tc>
          <w:tcPr>
            <w:tcW w:w="794" w:type="dxa"/>
            <w:tcMar>
              <w:top w:w="28" w:type="dxa"/>
              <w:left w:w="0" w:type="dxa"/>
              <w:bottom w:w="28" w:type="dxa"/>
              <w:right w:w="227" w:type="dxa"/>
            </w:tcMar>
          </w:tcPr>
          <w:p w:rsidR="00A45417" w:rsidRDefault="00A45417">
            <w:pPr>
              <w:pStyle w:val="BOTableNumbers"/>
            </w:pPr>
            <w:r>
              <w:t>- 723</w:t>
            </w:r>
          </w:p>
        </w:tc>
        <w:tc>
          <w:tcPr>
            <w:tcW w:w="793" w:type="dxa"/>
            <w:tcMar>
              <w:top w:w="28" w:type="dxa"/>
              <w:left w:w="0" w:type="dxa"/>
              <w:bottom w:w="28" w:type="dxa"/>
              <w:right w:w="227" w:type="dxa"/>
            </w:tcMar>
          </w:tcPr>
          <w:p w:rsidR="00A45417" w:rsidRDefault="00A45417">
            <w:pPr>
              <w:pStyle w:val="BOTableNumbers"/>
            </w:pPr>
            <w:r>
              <w:t>- 92</w:t>
            </w:r>
          </w:p>
        </w:tc>
        <w:tc>
          <w:tcPr>
            <w:tcW w:w="794" w:type="dxa"/>
            <w:tcMar>
              <w:top w:w="28" w:type="dxa"/>
              <w:left w:w="0" w:type="dxa"/>
              <w:bottom w:w="28" w:type="dxa"/>
              <w:right w:w="227" w:type="dxa"/>
            </w:tcMar>
          </w:tcPr>
          <w:p w:rsidR="00A45417" w:rsidRDefault="00A45417">
            <w:pPr>
              <w:pStyle w:val="BOTableNumbers"/>
            </w:pPr>
            <w:r>
              <w:t>- 53</w:t>
            </w:r>
          </w:p>
        </w:tc>
        <w:tc>
          <w:tcPr>
            <w:tcW w:w="794" w:type="dxa"/>
            <w:tcMar>
              <w:top w:w="28" w:type="dxa"/>
              <w:left w:w="0" w:type="dxa"/>
              <w:bottom w:w="28" w:type="dxa"/>
              <w:right w:w="227" w:type="dxa"/>
            </w:tcMar>
          </w:tcPr>
          <w:p w:rsidR="00A45417" w:rsidRDefault="00A45417">
            <w:pPr>
              <w:pStyle w:val="BOTableNumbers"/>
            </w:pPr>
            <w:r>
              <w:t>- 39</w:t>
            </w:r>
          </w:p>
        </w:tc>
      </w:tr>
      <w:tr w:rsidR="00A45417" w:rsidTr="00546FA7">
        <w:tblPrEx>
          <w:tblCellMar>
            <w:top w:w="0" w:type="dxa"/>
            <w:left w:w="0" w:type="dxa"/>
            <w:bottom w:w="0" w:type="dxa"/>
            <w:right w:w="0" w:type="dxa"/>
          </w:tblCellMar>
        </w:tblPrEx>
        <w:trPr>
          <w:trHeight w:val="300"/>
        </w:trPr>
        <w:tc>
          <w:tcPr>
            <w:tcW w:w="2551" w:type="dxa"/>
            <w:tcMar>
              <w:top w:w="28" w:type="dxa"/>
              <w:left w:w="0" w:type="dxa"/>
              <w:bottom w:w="28" w:type="dxa"/>
              <w:right w:w="0" w:type="dxa"/>
            </w:tcMar>
          </w:tcPr>
          <w:p w:rsidR="00A45417" w:rsidRDefault="00A45417">
            <w:pPr>
              <w:pStyle w:val="BOTableText"/>
            </w:pPr>
            <w:r>
              <w:t>Net debt – NFPS</w:t>
            </w:r>
          </w:p>
        </w:tc>
        <w:tc>
          <w:tcPr>
            <w:tcW w:w="794" w:type="dxa"/>
            <w:tcMar>
              <w:top w:w="28" w:type="dxa"/>
              <w:left w:w="0" w:type="dxa"/>
              <w:bottom w:w="28" w:type="dxa"/>
              <w:right w:w="227" w:type="dxa"/>
            </w:tcMar>
          </w:tcPr>
          <w:p w:rsidR="00A45417" w:rsidRDefault="00A45417">
            <w:pPr>
              <w:pStyle w:val="BOTableNumbers"/>
            </w:pPr>
            <w:r>
              <w:t>3 406</w:t>
            </w:r>
          </w:p>
        </w:tc>
        <w:tc>
          <w:tcPr>
            <w:tcW w:w="794" w:type="dxa"/>
            <w:tcMar>
              <w:top w:w="28" w:type="dxa"/>
              <w:left w:w="0" w:type="dxa"/>
              <w:bottom w:w="28" w:type="dxa"/>
              <w:right w:w="227" w:type="dxa"/>
            </w:tcMar>
          </w:tcPr>
          <w:p w:rsidR="00A45417" w:rsidRDefault="00A45417">
            <w:pPr>
              <w:pStyle w:val="BOTableNumbers"/>
            </w:pPr>
            <w:r>
              <w:t>4 066</w:t>
            </w:r>
          </w:p>
        </w:tc>
        <w:tc>
          <w:tcPr>
            <w:tcW w:w="793" w:type="dxa"/>
            <w:tcMar>
              <w:top w:w="28" w:type="dxa"/>
              <w:left w:w="0" w:type="dxa"/>
              <w:bottom w:w="28" w:type="dxa"/>
              <w:right w:w="227" w:type="dxa"/>
            </w:tcMar>
          </w:tcPr>
          <w:p w:rsidR="00A45417" w:rsidRDefault="00A45417">
            <w:pPr>
              <w:pStyle w:val="BOTableNumbers"/>
            </w:pPr>
            <w:r>
              <w:t>4 117</w:t>
            </w:r>
          </w:p>
        </w:tc>
        <w:tc>
          <w:tcPr>
            <w:tcW w:w="794" w:type="dxa"/>
            <w:tcMar>
              <w:top w:w="28" w:type="dxa"/>
              <w:left w:w="0" w:type="dxa"/>
              <w:bottom w:w="28" w:type="dxa"/>
              <w:right w:w="227" w:type="dxa"/>
            </w:tcMar>
          </w:tcPr>
          <w:p w:rsidR="00A45417" w:rsidRDefault="00A45417">
            <w:pPr>
              <w:pStyle w:val="BOTableNumbers"/>
            </w:pPr>
            <w:r>
              <w:t>4 139</w:t>
            </w:r>
          </w:p>
        </w:tc>
        <w:tc>
          <w:tcPr>
            <w:tcW w:w="794" w:type="dxa"/>
            <w:tcMar>
              <w:top w:w="28" w:type="dxa"/>
              <w:left w:w="0" w:type="dxa"/>
              <w:bottom w:w="28" w:type="dxa"/>
              <w:right w:w="227" w:type="dxa"/>
            </w:tcMar>
          </w:tcPr>
          <w:p w:rsidR="00A45417" w:rsidRDefault="00A45417">
            <w:pPr>
              <w:pStyle w:val="BOTableNumbers"/>
            </w:pPr>
            <w:r>
              <w:t>4 159</w:t>
            </w:r>
          </w:p>
        </w:tc>
      </w:tr>
      <w:tr w:rsidR="00A45417" w:rsidTr="00546FA7">
        <w:tblPrEx>
          <w:tblCellMar>
            <w:top w:w="0" w:type="dxa"/>
            <w:left w:w="0" w:type="dxa"/>
            <w:bottom w:w="0" w:type="dxa"/>
            <w:right w:w="0" w:type="dxa"/>
          </w:tblCellMar>
        </w:tblPrEx>
        <w:trPr>
          <w:trHeight w:val="300"/>
        </w:trPr>
        <w:tc>
          <w:tcPr>
            <w:tcW w:w="2551" w:type="dxa"/>
            <w:tcBorders>
              <w:bottom w:val="single" w:sz="4" w:space="0" w:color="D3752E"/>
            </w:tcBorders>
            <w:tcMar>
              <w:top w:w="28" w:type="dxa"/>
              <w:left w:w="0" w:type="dxa"/>
              <w:bottom w:w="28" w:type="dxa"/>
              <w:right w:w="0" w:type="dxa"/>
            </w:tcMar>
          </w:tcPr>
          <w:p w:rsidR="00A45417" w:rsidRDefault="00A45417">
            <w:pPr>
              <w:pStyle w:val="BOTableText"/>
            </w:pPr>
            <w:r>
              <w:t>Net debt to revenue – NFPS (%)</w:t>
            </w:r>
          </w:p>
        </w:tc>
        <w:tc>
          <w:tcPr>
            <w:tcW w:w="794" w:type="dxa"/>
            <w:tcBorders>
              <w:bottom w:val="single" w:sz="4" w:space="0" w:color="D3752E"/>
            </w:tcBorders>
            <w:tcMar>
              <w:top w:w="28" w:type="dxa"/>
              <w:left w:w="0" w:type="dxa"/>
              <w:bottom w:w="28" w:type="dxa"/>
              <w:right w:w="227" w:type="dxa"/>
            </w:tcMar>
          </w:tcPr>
          <w:p w:rsidR="00A45417" w:rsidRDefault="00A45417">
            <w:pPr>
              <w:pStyle w:val="BOTableNumbers"/>
            </w:pPr>
            <w:r>
              <w:t>58</w:t>
            </w:r>
          </w:p>
        </w:tc>
        <w:tc>
          <w:tcPr>
            <w:tcW w:w="794" w:type="dxa"/>
            <w:tcBorders>
              <w:bottom w:val="single" w:sz="4" w:space="0" w:color="D3752E"/>
            </w:tcBorders>
            <w:tcMar>
              <w:top w:w="28" w:type="dxa"/>
              <w:left w:w="0" w:type="dxa"/>
              <w:bottom w:w="28" w:type="dxa"/>
              <w:right w:w="227" w:type="dxa"/>
            </w:tcMar>
          </w:tcPr>
          <w:p w:rsidR="00A45417" w:rsidRDefault="00A45417">
            <w:pPr>
              <w:pStyle w:val="BOTableNumbers"/>
            </w:pPr>
            <w:r>
              <w:t>67</w:t>
            </w:r>
          </w:p>
        </w:tc>
        <w:tc>
          <w:tcPr>
            <w:tcW w:w="793" w:type="dxa"/>
            <w:tcBorders>
              <w:bottom w:val="single" w:sz="4" w:space="0" w:color="D3752E"/>
            </w:tcBorders>
            <w:tcMar>
              <w:top w:w="28" w:type="dxa"/>
              <w:left w:w="0" w:type="dxa"/>
              <w:bottom w:w="28" w:type="dxa"/>
              <w:right w:w="227" w:type="dxa"/>
            </w:tcMar>
          </w:tcPr>
          <w:p w:rsidR="00A45417" w:rsidRDefault="00A45417">
            <w:pPr>
              <w:pStyle w:val="BOTableNumbers"/>
            </w:pPr>
            <w:r>
              <w:t>66</w:t>
            </w:r>
          </w:p>
        </w:tc>
        <w:tc>
          <w:tcPr>
            <w:tcW w:w="794" w:type="dxa"/>
            <w:tcBorders>
              <w:bottom w:val="single" w:sz="4" w:space="0" w:color="D3752E"/>
            </w:tcBorders>
            <w:tcMar>
              <w:top w:w="28" w:type="dxa"/>
              <w:left w:w="0" w:type="dxa"/>
              <w:bottom w:w="28" w:type="dxa"/>
              <w:right w:w="227" w:type="dxa"/>
            </w:tcMar>
          </w:tcPr>
          <w:p w:rsidR="00A45417" w:rsidRDefault="00A45417">
            <w:pPr>
              <w:pStyle w:val="BOTableNumbers"/>
            </w:pPr>
            <w:r>
              <w:t>65</w:t>
            </w:r>
          </w:p>
        </w:tc>
        <w:tc>
          <w:tcPr>
            <w:tcW w:w="794" w:type="dxa"/>
            <w:tcBorders>
              <w:bottom w:val="single" w:sz="4" w:space="0" w:color="D3752E"/>
            </w:tcBorders>
            <w:tcMar>
              <w:top w:w="28" w:type="dxa"/>
              <w:left w:w="0" w:type="dxa"/>
              <w:bottom w:w="28" w:type="dxa"/>
              <w:right w:w="227" w:type="dxa"/>
            </w:tcMar>
          </w:tcPr>
          <w:p w:rsidR="00A45417" w:rsidRDefault="00A45417">
            <w:pPr>
              <w:pStyle w:val="BOTableNumbers"/>
            </w:pPr>
            <w:r>
              <w:t>65</w:t>
            </w:r>
          </w:p>
        </w:tc>
      </w:tr>
    </w:tbl>
    <w:p w:rsidR="00A45417" w:rsidRDefault="00A45417" w:rsidP="00A45417">
      <w:pPr>
        <w:pStyle w:val="BONoteText"/>
        <w:spacing w:after="340"/>
      </w:pPr>
      <w:r>
        <w:t xml:space="preserve">GGS: general government sector; NFPS: </w:t>
      </w:r>
      <w:proofErr w:type="spellStart"/>
      <w:r>
        <w:t>non financial</w:t>
      </w:r>
      <w:proofErr w:type="spellEnd"/>
      <w:r>
        <w:t xml:space="preserve"> public sector</w:t>
      </w:r>
      <w:r>
        <w:br/>
        <w:t>Source: Department of Treasury and Finance</w:t>
      </w:r>
    </w:p>
    <w:p w:rsidR="00A45417" w:rsidRDefault="00A45417" w:rsidP="00A45417">
      <w:pPr>
        <w:pStyle w:val="BOTableHeading"/>
        <w:rPr>
          <w:rStyle w:val="BOBlueText288"/>
        </w:rPr>
      </w:pPr>
      <w:proofErr w:type="spellStart"/>
      <w:r>
        <w:rPr>
          <w:rStyle w:val="BOBlueText288"/>
        </w:rPr>
        <w:t>Non Financial</w:t>
      </w:r>
      <w:proofErr w:type="spellEnd"/>
      <w:r>
        <w:rPr>
          <w:rStyle w:val="BOBlueText288"/>
        </w:rPr>
        <w:t xml:space="preserve"> Public Sector – Fiscal Balance</w:t>
      </w:r>
    </w:p>
    <w:p w:rsidR="00A45417" w:rsidRDefault="00E644C3" w:rsidP="00A45417">
      <w:pPr>
        <w:pStyle w:val="BOBodyText"/>
        <w:rPr>
          <w:rStyle w:val="BOBlueText288"/>
        </w:rPr>
      </w:pPr>
      <w:r>
        <w:rPr>
          <w:noProof/>
          <w:color w:val="043071"/>
          <w:lang w:val="en-AU" w:eastAsia="en-AU"/>
        </w:rPr>
        <w:drawing>
          <wp:inline distT="0" distB="0" distL="0" distR="0" wp14:anchorId="1F746E68" wp14:editId="50BC57AF">
            <wp:extent cx="4120515" cy="2309495"/>
            <wp:effectExtent l="0" t="0" r="0" b="0"/>
            <wp:docPr id="1" name="Picture 1" descr="Non Financial Public Sector – Fiscal Balanc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dget Papers\2014-15\Final\Budget Overview\Files for web\fiscal bal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0515" cy="2309495"/>
                    </a:xfrm>
                    <a:prstGeom prst="rect">
                      <a:avLst/>
                    </a:prstGeom>
                    <a:noFill/>
                    <a:ln>
                      <a:noFill/>
                    </a:ln>
                  </pic:spPr>
                </pic:pic>
              </a:graphicData>
            </a:graphic>
          </wp:inline>
        </w:drawing>
      </w:r>
    </w:p>
    <w:p w:rsidR="00A45417" w:rsidRDefault="00A45417" w:rsidP="00A45417">
      <w:pPr>
        <w:pStyle w:val="BONoteText"/>
      </w:pPr>
      <w:r>
        <w:t>Source: Department of Treasury and Finance</w:t>
      </w:r>
    </w:p>
    <w:p w:rsidR="00546FA7" w:rsidRDefault="00546FA7">
      <w:pPr>
        <w:rPr>
          <w:rStyle w:val="BOBlueText288"/>
          <w:rFonts w:ascii="Arial MT Std Light" w:hAnsi="Arial MT Std Light" w:cs="Arial MT Std Light"/>
          <w:spacing w:val="-3"/>
          <w:sz w:val="30"/>
          <w:szCs w:val="30"/>
          <w:lang w:val="en-GB"/>
        </w:rPr>
      </w:pPr>
      <w:r>
        <w:rPr>
          <w:rStyle w:val="BOBlueText288"/>
        </w:rPr>
        <w:br w:type="page"/>
      </w:r>
    </w:p>
    <w:p w:rsidR="00A45417" w:rsidRDefault="00A45417" w:rsidP="00A45417">
      <w:pPr>
        <w:pStyle w:val="BOHeading1"/>
        <w:rPr>
          <w:rStyle w:val="BOBlueText288"/>
          <w:w w:val="100"/>
        </w:rPr>
      </w:pPr>
      <w:r>
        <w:rPr>
          <w:rStyle w:val="BOBlueText288"/>
          <w:w w:val="100"/>
        </w:rPr>
        <w:lastRenderedPageBreak/>
        <w:t>Infrastructure</w:t>
      </w:r>
    </w:p>
    <w:p w:rsidR="00A45417" w:rsidRDefault="00A45417" w:rsidP="00A45417">
      <w:pPr>
        <w:pStyle w:val="BOBodyText"/>
        <w:rPr>
          <w:rStyle w:val="BOBlueText288"/>
          <w:color w:val="000000"/>
          <w:rtl/>
          <w:lang w:bidi="ar-YE"/>
        </w:rPr>
      </w:pPr>
      <w:r>
        <w:rPr>
          <w:rStyle w:val="BOBlueText288"/>
          <w:color w:val="000000"/>
        </w:rPr>
        <w:t>Total infrastructure payments in 2014-15 are estimated to be $1.14 billion, including $799</w:t>
      </w:r>
      <w:r>
        <w:rPr>
          <w:rStyle w:val="BOBlueText288"/>
          <w:rFonts w:cs="Times New Roman"/>
          <w:color w:val="000000"/>
          <w:rtl/>
          <w:lang w:bidi="ar-YE"/>
        </w:rPr>
        <w:t> </w:t>
      </w:r>
      <w:r>
        <w:rPr>
          <w:rStyle w:val="BOBlueText288"/>
          <w:color w:val="000000"/>
          <w:lang w:bidi="ar-YE"/>
        </w:rPr>
        <w:t>million for capital projects and</w:t>
      </w:r>
      <w:r>
        <w:rPr>
          <w:rStyle w:val="BOBlueText288"/>
          <w:rFonts w:cs="Times New Roman"/>
          <w:color w:val="000000"/>
          <w:rtl/>
          <w:lang w:bidi="ar-YE"/>
        </w:rPr>
        <w:t xml:space="preserve"> $</w:t>
      </w:r>
      <w:r>
        <w:rPr>
          <w:rStyle w:val="BOBlueText288"/>
          <w:color w:val="000000"/>
        </w:rPr>
        <w:t>335</w:t>
      </w:r>
      <w:r>
        <w:rPr>
          <w:rStyle w:val="BOBlueText288"/>
          <w:rFonts w:cs="Times New Roman"/>
          <w:color w:val="000000"/>
          <w:rtl/>
          <w:lang w:bidi="ar-YE"/>
        </w:rPr>
        <w:t> </w:t>
      </w:r>
      <w:r>
        <w:rPr>
          <w:rStyle w:val="BOBlueText288"/>
          <w:color w:val="000000"/>
          <w:lang w:bidi="ar-YE"/>
        </w:rPr>
        <w:t>million for repairs and maintenance</w:t>
      </w:r>
      <w:r>
        <w:rPr>
          <w:rStyle w:val="BOBlueText288"/>
          <w:rFonts w:cs="Times New Roman"/>
          <w:color w:val="000000"/>
          <w:rtl/>
          <w:lang w:bidi="ar-YE"/>
        </w:rPr>
        <w:t xml:space="preserve">. </w:t>
      </w:r>
    </w:p>
    <w:p w:rsidR="00A45417" w:rsidRDefault="00A45417" w:rsidP="00A45417">
      <w:pPr>
        <w:pStyle w:val="BOBodyText"/>
        <w:rPr>
          <w:rStyle w:val="BOBlueText288"/>
          <w:color w:val="000000"/>
          <w:spacing w:val="-1"/>
        </w:rPr>
      </w:pPr>
      <w:r>
        <w:rPr>
          <w:rStyle w:val="BOBlueText288"/>
          <w:color w:val="000000"/>
          <w:spacing w:val="-1"/>
        </w:rPr>
        <w:t xml:space="preserve">Total infrastructure payments remain steady in 2014-15, compared to 2013-14 in recognition of continued strong private sector investment associated with major projects. </w:t>
      </w:r>
    </w:p>
    <w:p w:rsidR="00A45417" w:rsidRDefault="00A45417" w:rsidP="00A45417">
      <w:pPr>
        <w:pStyle w:val="BOBodyText"/>
        <w:rPr>
          <w:rStyle w:val="BOBlueText288"/>
          <w:color w:val="000000"/>
          <w:spacing w:val="-1"/>
          <w:rtl/>
          <w:lang w:bidi="ar-YE"/>
        </w:rPr>
      </w:pPr>
      <w:r>
        <w:rPr>
          <w:rStyle w:val="BOBlueText288"/>
          <w:color w:val="000000"/>
          <w:spacing w:val="-1"/>
        </w:rPr>
        <w:t>The Budget sector capital works program in 2014-15 is $929</w:t>
      </w:r>
      <w:r>
        <w:rPr>
          <w:rStyle w:val="BOBlueText288"/>
          <w:rFonts w:cs="Times New Roman"/>
          <w:color w:val="000000"/>
          <w:spacing w:val="-1"/>
          <w:rtl/>
          <w:lang w:bidi="ar-YE"/>
        </w:rPr>
        <w:t> </w:t>
      </w:r>
      <w:r>
        <w:rPr>
          <w:rStyle w:val="BOBlueText288"/>
          <w:color w:val="000000"/>
          <w:spacing w:val="-1"/>
          <w:lang w:bidi="ar-YE"/>
        </w:rPr>
        <w:t>million, with</w:t>
      </w:r>
      <w:r>
        <w:rPr>
          <w:rStyle w:val="BOBlueText288"/>
          <w:rFonts w:cs="Times New Roman"/>
          <w:color w:val="000000"/>
          <w:spacing w:val="-1"/>
          <w:rtl/>
          <w:lang w:bidi="ar-YE"/>
        </w:rPr>
        <w:t xml:space="preserve"> </w:t>
      </w:r>
      <w:r>
        <w:rPr>
          <w:rStyle w:val="BOBlueText288"/>
          <w:color w:val="000000"/>
          <w:spacing w:val="-1"/>
        </w:rPr>
        <w:t>72</w:t>
      </w:r>
      <w:r>
        <w:rPr>
          <w:rStyle w:val="BOBlueText288"/>
          <w:rFonts w:cs="Times New Roman"/>
          <w:color w:val="000000"/>
          <w:spacing w:val="-1"/>
          <w:rtl/>
          <w:lang w:bidi="ar-YE"/>
        </w:rPr>
        <w:t> </w:t>
      </w:r>
      <w:r>
        <w:rPr>
          <w:rStyle w:val="BOBlueText288"/>
          <w:color w:val="000000"/>
          <w:spacing w:val="-1"/>
          <w:lang w:bidi="ar-YE"/>
        </w:rPr>
        <w:t>per</w:t>
      </w:r>
      <w:r>
        <w:rPr>
          <w:rStyle w:val="BOBlueText288"/>
          <w:rFonts w:cs="Times New Roman"/>
          <w:color w:val="000000"/>
          <w:spacing w:val="-1"/>
          <w:rtl/>
          <w:lang w:bidi="ar-YE"/>
        </w:rPr>
        <w:t> </w:t>
      </w:r>
      <w:r>
        <w:rPr>
          <w:rStyle w:val="BOBlueText288"/>
          <w:color w:val="000000"/>
          <w:spacing w:val="-1"/>
          <w:lang w:bidi="ar-YE"/>
        </w:rPr>
        <w:t>cent dedicated to housing, roads and transport, and health</w:t>
      </w:r>
      <w:r>
        <w:rPr>
          <w:rStyle w:val="BOBlueText288"/>
          <w:rFonts w:cs="Times New Roman"/>
          <w:color w:val="000000"/>
          <w:spacing w:val="-1"/>
          <w:rtl/>
          <w:lang w:bidi="ar-YE"/>
        </w:rPr>
        <w:t>.</w:t>
      </w:r>
    </w:p>
    <w:p w:rsidR="00A45417" w:rsidRDefault="00A45417" w:rsidP="00A45417">
      <w:pPr>
        <w:pStyle w:val="BOHeading1"/>
        <w:rPr>
          <w:rStyle w:val="BOBlueText288"/>
        </w:rPr>
      </w:pPr>
      <w:r>
        <w:rPr>
          <w:rStyle w:val="BOBlueText288"/>
        </w:rPr>
        <w:t>Revenue</w:t>
      </w:r>
    </w:p>
    <w:p w:rsidR="00A45417" w:rsidRDefault="00A45417" w:rsidP="00A45417">
      <w:pPr>
        <w:pStyle w:val="BOBodyText"/>
        <w:rPr>
          <w:rStyle w:val="BOBlueText288"/>
          <w:color w:val="000000"/>
          <w:spacing w:val="-2"/>
        </w:rPr>
      </w:pPr>
      <w:r>
        <w:rPr>
          <w:rStyle w:val="BOBlueText288"/>
          <w:color w:val="000000"/>
          <w:spacing w:val="-2"/>
        </w:rPr>
        <w:t>Territory revenue is expected to be $5.4 billion in the general government sector in 2014-15. This comprises around 58 per cent GST revenue, 19 per cent tied Commonwealth funding and 23 per cent Territory own-source revenue.</w:t>
      </w:r>
    </w:p>
    <w:p w:rsidR="00A45417" w:rsidRDefault="00A45417" w:rsidP="00A45417">
      <w:pPr>
        <w:pStyle w:val="BOBodyText"/>
        <w:rPr>
          <w:rStyle w:val="BOBlueText288"/>
          <w:color w:val="000000"/>
          <w:spacing w:val="-2"/>
          <w:rtl/>
          <w:lang w:bidi="ar-YE"/>
        </w:rPr>
      </w:pPr>
      <w:r>
        <w:rPr>
          <w:rStyle w:val="BOBlueText288"/>
          <w:color w:val="000000"/>
          <w:spacing w:val="-2"/>
        </w:rPr>
        <w:t>The projected revenue for 2014-15 from Territory own-source revenue totals $1.2</w:t>
      </w:r>
      <w:r>
        <w:rPr>
          <w:rStyle w:val="BOBlueText288"/>
          <w:rFonts w:cs="Times New Roman"/>
          <w:color w:val="000000"/>
          <w:spacing w:val="-2"/>
          <w:rtl/>
          <w:lang w:bidi="ar-YE"/>
        </w:rPr>
        <w:t> </w:t>
      </w:r>
      <w:r>
        <w:rPr>
          <w:rStyle w:val="BOBlueText288"/>
          <w:color w:val="000000"/>
          <w:spacing w:val="-2"/>
          <w:lang w:bidi="ar-YE"/>
        </w:rPr>
        <w:t>billion with Commonwealth revenue totalling $4.17</w:t>
      </w:r>
      <w:r>
        <w:rPr>
          <w:rStyle w:val="BOBlueText288"/>
          <w:rFonts w:cs="Times New Roman"/>
          <w:color w:val="000000"/>
          <w:spacing w:val="-2"/>
          <w:rtl/>
          <w:lang w:bidi="ar-YE"/>
        </w:rPr>
        <w:t> </w:t>
      </w:r>
      <w:r>
        <w:rPr>
          <w:rStyle w:val="BOBlueText288"/>
          <w:color w:val="000000"/>
          <w:spacing w:val="-2"/>
          <w:lang w:bidi="ar-YE"/>
        </w:rPr>
        <w:t>billion as shown below</w:t>
      </w:r>
      <w:r>
        <w:rPr>
          <w:rStyle w:val="BOBlueText288"/>
          <w:rFonts w:cs="Times New Roman"/>
          <w:color w:val="000000"/>
          <w:spacing w:val="-2"/>
          <w:rtl/>
          <w:lang w:bidi="ar-YE"/>
        </w:rPr>
        <w:t>.</w:t>
      </w:r>
    </w:p>
    <w:p w:rsidR="00A45417" w:rsidRDefault="00E644C3" w:rsidP="00A45417">
      <w:pPr>
        <w:pStyle w:val="BOBodyText"/>
        <w:spacing w:before="113" w:after="170"/>
        <w:rPr>
          <w:rStyle w:val="BOBlueText288"/>
        </w:rPr>
      </w:pPr>
      <w:r>
        <w:rPr>
          <w:noProof/>
          <w:color w:val="043071"/>
          <w:lang w:val="en-AU" w:eastAsia="en-AU"/>
        </w:rPr>
        <w:drawing>
          <wp:inline distT="0" distB="0" distL="0" distR="0" wp14:anchorId="647CAE7C" wp14:editId="1E3ECA0D">
            <wp:extent cx="3889375" cy="1894205"/>
            <wp:effectExtent l="0" t="0" r="0" b="0"/>
            <wp:docPr id="2" name="Picture 2" descr="Revenue chart"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udget Papers\2014-15\Final\Budget Overview\Files for web\revenue pie ch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9375" cy="1894205"/>
                    </a:xfrm>
                    <a:prstGeom prst="rect">
                      <a:avLst/>
                    </a:prstGeom>
                    <a:noFill/>
                    <a:ln>
                      <a:noFill/>
                    </a:ln>
                  </pic:spPr>
                </pic:pic>
              </a:graphicData>
            </a:graphic>
          </wp:inline>
        </w:drawing>
      </w:r>
    </w:p>
    <w:p w:rsidR="00A45417" w:rsidRDefault="00A45417" w:rsidP="00A45417">
      <w:pPr>
        <w:pStyle w:val="BONoteText"/>
        <w:spacing w:after="227"/>
      </w:pPr>
      <w:r>
        <w:t>Source: Department of Treasury and Finance</w:t>
      </w:r>
    </w:p>
    <w:p w:rsidR="00A45417" w:rsidRDefault="00A45417" w:rsidP="00A45417">
      <w:pPr>
        <w:pStyle w:val="BOHeading1"/>
        <w:spacing w:before="113"/>
        <w:rPr>
          <w:rStyle w:val="BOBlueText288"/>
        </w:rPr>
      </w:pPr>
      <w:r>
        <w:rPr>
          <w:rStyle w:val="BOBlueText288"/>
        </w:rPr>
        <w:t>Expenses</w:t>
      </w:r>
    </w:p>
    <w:p w:rsidR="00A45417" w:rsidRDefault="00A45417" w:rsidP="00A45417">
      <w:pPr>
        <w:pStyle w:val="BOBodyText"/>
        <w:rPr>
          <w:rStyle w:val="BOBlueText288"/>
          <w:color w:val="000000"/>
          <w:spacing w:val="-2"/>
        </w:rPr>
      </w:pPr>
      <w:r>
        <w:rPr>
          <w:rStyle w:val="BOBlueText288"/>
          <w:color w:val="000000"/>
          <w:spacing w:val="-2"/>
        </w:rPr>
        <w:t>In 2014-15, Territory expenses for the general government sector are estimated to be $5.3</w:t>
      </w:r>
      <w:r>
        <w:rPr>
          <w:rStyle w:val="BOBlueText288"/>
          <w:rFonts w:cs="Times New Roman"/>
          <w:color w:val="000000"/>
          <w:spacing w:val="-2"/>
          <w:rtl/>
          <w:lang w:bidi="ar-YE"/>
        </w:rPr>
        <w:t> </w:t>
      </w:r>
      <w:r>
        <w:rPr>
          <w:rStyle w:val="BOBlueText288"/>
          <w:color w:val="000000"/>
          <w:spacing w:val="-2"/>
          <w:lang w:bidi="ar-YE"/>
        </w:rPr>
        <w:t>billion</w:t>
      </w:r>
      <w:r>
        <w:rPr>
          <w:rStyle w:val="BOBlueText288"/>
          <w:rFonts w:cs="Times New Roman"/>
          <w:color w:val="000000"/>
          <w:spacing w:val="-2"/>
          <w:rtl/>
          <w:lang w:bidi="ar-YE"/>
        </w:rPr>
        <w:t xml:space="preserve">. </w:t>
      </w:r>
      <w:r>
        <w:rPr>
          <w:rStyle w:val="BOBlueText288"/>
          <w:color w:val="000000"/>
          <w:spacing w:val="-2"/>
        </w:rPr>
        <w:t>The key functions of health, education, and public order and safety comprise 58 per cent of total expenses.</w:t>
      </w:r>
    </w:p>
    <w:p w:rsidR="00A45417" w:rsidRDefault="00E644C3" w:rsidP="00A45417">
      <w:pPr>
        <w:pStyle w:val="BOBodyText"/>
        <w:spacing w:before="170" w:after="0"/>
        <w:rPr>
          <w:rStyle w:val="BOBlueText288"/>
          <w:color w:val="000000"/>
          <w:spacing w:val="-2"/>
        </w:rPr>
      </w:pPr>
      <w:r>
        <w:rPr>
          <w:noProof/>
          <w:spacing w:val="-2"/>
          <w:lang w:val="en-AU" w:eastAsia="en-AU"/>
        </w:rPr>
        <w:drawing>
          <wp:inline distT="0" distB="0" distL="0" distR="0" wp14:anchorId="69DA29FD" wp14:editId="7189C3DF">
            <wp:extent cx="3889375" cy="1882140"/>
            <wp:effectExtent l="0" t="0" r="0" b="3810"/>
            <wp:docPr id="3" name="Picture 3" descr="Expenses chart"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dget Papers\2014-15\Final\Budget Overview\Files for web\expenses pie ch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9375" cy="1882140"/>
                    </a:xfrm>
                    <a:prstGeom prst="rect">
                      <a:avLst/>
                    </a:prstGeom>
                    <a:noFill/>
                    <a:ln>
                      <a:noFill/>
                    </a:ln>
                  </pic:spPr>
                </pic:pic>
              </a:graphicData>
            </a:graphic>
          </wp:inline>
        </w:drawing>
      </w:r>
    </w:p>
    <w:p w:rsidR="00A45417" w:rsidRDefault="00A45417" w:rsidP="00A45417">
      <w:pPr>
        <w:pStyle w:val="BONoteText"/>
      </w:pPr>
      <w:r>
        <w:t>Source: Department of Treasury and Finance</w:t>
      </w:r>
    </w:p>
    <w:p w:rsidR="00D617BF" w:rsidRDefault="00D617BF" w:rsidP="00A45417"/>
    <w:p w:rsidR="00E644C3" w:rsidRDefault="00E644C3">
      <w:pPr>
        <w:rPr>
          <w:rStyle w:val="BOBlueText288"/>
          <w:rFonts w:ascii="Arial MT Std Light" w:hAnsi="Arial MT Std Light" w:cs="Arial MT Std Light"/>
          <w:spacing w:val="-3"/>
          <w:w w:val="90"/>
          <w:sz w:val="28"/>
          <w:szCs w:val="28"/>
          <w:lang w:val="en-GB"/>
        </w:rPr>
      </w:pPr>
      <w:r>
        <w:rPr>
          <w:rStyle w:val="BOBlueText288"/>
        </w:rPr>
        <w:br w:type="page"/>
      </w:r>
    </w:p>
    <w:p w:rsidR="00A45417" w:rsidRDefault="00A45417" w:rsidP="00A45417">
      <w:pPr>
        <w:pStyle w:val="BOBoxHeading"/>
        <w:rPr>
          <w:rStyle w:val="BOBlueText288"/>
        </w:rPr>
      </w:pPr>
      <w:r>
        <w:rPr>
          <w:rStyle w:val="BOBlueText288"/>
        </w:rPr>
        <w:lastRenderedPageBreak/>
        <w:t>Intergovernmental Financial Arrangements</w:t>
      </w:r>
    </w:p>
    <w:p w:rsidR="00A45417" w:rsidRDefault="00A45417" w:rsidP="000B18AF">
      <w:pPr>
        <w:pStyle w:val="BOBodyText"/>
      </w:pPr>
      <w:r>
        <w:t xml:space="preserve">Intergovernmental financial arrangements continue to be of critical importance to the Northern Territory Budget. </w:t>
      </w:r>
    </w:p>
    <w:p w:rsidR="00A45417" w:rsidRDefault="00A45417" w:rsidP="000B18AF">
      <w:pPr>
        <w:pStyle w:val="BOBodyText"/>
      </w:pPr>
      <w:r>
        <w:t>The major source of revenue to the Territory remains the GST, representing about 58 per cent of the Territory’s total revenue. GST revenue to the Territory in 2014-15 is now expected to be higher than in 2013</w:t>
      </w:r>
      <w:r>
        <w:noBreakHyphen/>
        <w:t>14.</w:t>
      </w:r>
    </w:p>
    <w:p w:rsidR="00A45417" w:rsidRDefault="00A45417" w:rsidP="00A45417">
      <w:pPr>
        <w:pStyle w:val="BOTableHeading"/>
        <w:spacing w:before="57"/>
        <w:rPr>
          <w:rStyle w:val="BOBlueText288"/>
        </w:rPr>
      </w:pPr>
      <w:r>
        <w:rPr>
          <w:rStyle w:val="BOBlueText288"/>
        </w:rPr>
        <w:t>Total Revenue 2014-15</w:t>
      </w:r>
    </w:p>
    <w:tbl>
      <w:tblPr>
        <w:tblW w:w="0" w:type="auto"/>
        <w:tblInd w:w="8" w:type="dxa"/>
        <w:tblLayout w:type="fixed"/>
        <w:tblCellMar>
          <w:left w:w="0" w:type="dxa"/>
          <w:right w:w="0" w:type="dxa"/>
        </w:tblCellMar>
        <w:tblLook w:val="0000" w:firstRow="0" w:lastRow="0" w:firstColumn="0" w:lastColumn="0" w:noHBand="0" w:noVBand="0"/>
      </w:tblPr>
      <w:tblGrid>
        <w:gridCol w:w="2827"/>
        <w:gridCol w:w="993"/>
      </w:tblGrid>
      <w:tr w:rsidR="00A45417" w:rsidTr="00546FA7">
        <w:tblPrEx>
          <w:tblCellMar>
            <w:top w:w="0" w:type="dxa"/>
            <w:left w:w="0" w:type="dxa"/>
            <w:bottom w:w="0" w:type="dxa"/>
            <w:right w:w="0" w:type="dxa"/>
          </w:tblCellMar>
        </w:tblPrEx>
        <w:trPr>
          <w:trHeight w:val="60"/>
        </w:trPr>
        <w:tc>
          <w:tcPr>
            <w:tcW w:w="2827" w:type="dxa"/>
            <w:tcBorders>
              <w:bottom w:val="single" w:sz="4" w:space="0" w:color="D3752E"/>
            </w:tcBorders>
            <w:tcMar>
              <w:top w:w="28" w:type="dxa"/>
              <w:left w:w="0" w:type="dxa"/>
              <w:bottom w:w="28" w:type="dxa"/>
              <w:right w:w="0" w:type="dxa"/>
            </w:tcMar>
          </w:tcPr>
          <w:p w:rsidR="00A45417" w:rsidRDefault="00A45417">
            <w:pPr>
              <w:pStyle w:val="NoParagraphStyle"/>
              <w:spacing w:line="240" w:lineRule="auto"/>
              <w:textAlignment w:val="auto"/>
              <w:rPr>
                <w:rFonts w:ascii="Arial MT Std Light" w:hAnsi="Arial MT Std Light" w:cstheme="minorBidi"/>
                <w:color w:val="auto"/>
                <w:lang w:val="en-AU"/>
              </w:rPr>
            </w:pPr>
          </w:p>
        </w:tc>
        <w:tc>
          <w:tcPr>
            <w:tcW w:w="993" w:type="dxa"/>
            <w:tcBorders>
              <w:bottom w:val="single" w:sz="4" w:space="0" w:color="D3752E"/>
            </w:tcBorders>
            <w:tcMar>
              <w:top w:w="28" w:type="dxa"/>
              <w:left w:w="0" w:type="dxa"/>
              <w:bottom w:w="28" w:type="dxa"/>
              <w:right w:w="0" w:type="dxa"/>
            </w:tcMar>
          </w:tcPr>
          <w:p w:rsidR="00A45417" w:rsidRDefault="00A45417">
            <w:pPr>
              <w:pStyle w:val="BOTableTextCentred"/>
            </w:pPr>
            <w:r>
              <w:rPr>
                <w:rStyle w:val="BOBlueText288"/>
              </w:rPr>
              <w:t>$M</w:t>
            </w:r>
          </w:p>
        </w:tc>
      </w:tr>
      <w:tr w:rsidR="00A45417" w:rsidTr="00546FA7">
        <w:tblPrEx>
          <w:tblCellMar>
            <w:top w:w="0" w:type="dxa"/>
            <w:left w:w="0" w:type="dxa"/>
            <w:bottom w:w="0" w:type="dxa"/>
            <w:right w:w="0" w:type="dxa"/>
          </w:tblCellMar>
        </w:tblPrEx>
        <w:trPr>
          <w:trHeight w:val="60"/>
        </w:trPr>
        <w:tc>
          <w:tcPr>
            <w:tcW w:w="2827" w:type="dxa"/>
            <w:tcBorders>
              <w:top w:val="single" w:sz="4" w:space="0" w:color="D3752E"/>
            </w:tcBorders>
            <w:tcMar>
              <w:top w:w="28" w:type="dxa"/>
              <w:left w:w="0" w:type="dxa"/>
              <w:bottom w:w="28" w:type="dxa"/>
              <w:right w:w="0" w:type="dxa"/>
            </w:tcMar>
          </w:tcPr>
          <w:p w:rsidR="00A45417" w:rsidRDefault="00A45417">
            <w:pPr>
              <w:pStyle w:val="BOTableText"/>
            </w:pPr>
            <w:r>
              <w:t>Commonwealth revenue</w:t>
            </w:r>
          </w:p>
        </w:tc>
        <w:tc>
          <w:tcPr>
            <w:tcW w:w="993" w:type="dxa"/>
            <w:tcBorders>
              <w:top w:val="single" w:sz="4" w:space="0" w:color="D3752E"/>
            </w:tcBorders>
            <w:tcMar>
              <w:top w:w="28" w:type="dxa"/>
              <w:left w:w="0" w:type="dxa"/>
              <w:bottom w:w="28" w:type="dxa"/>
              <w:right w:w="57" w:type="dxa"/>
            </w:tcMar>
          </w:tcPr>
          <w:p w:rsidR="00A45417" w:rsidRDefault="00A45417">
            <w:pPr>
              <w:pStyle w:val="BOTableNumbers"/>
            </w:pPr>
            <w:r>
              <w:t>4 171</w:t>
            </w:r>
          </w:p>
        </w:tc>
      </w:tr>
      <w:tr w:rsidR="00A45417" w:rsidTr="00546FA7">
        <w:tblPrEx>
          <w:tblCellMar>
            <w:top w:w="0" w:type="dxa"/>
            <w:left w:w="0" w:type="dxa"/>
            <w:bottom w:w="0" w:type="dxa"/>
            <w:right w:w="0" w:type="dxa"/>
          </w:tblCellMar>
        </w:tblPrEx>
        <w:trPr>
          <w:trHeight w:val="300"/>
        </w:trPr>
        <w:tc>
          <w:tcPr>
            <w:tcW w:w="2827" w:type="dxa"/>
            <w:tcMar>
              <w:top w:w="28" w:type="dxa"/>
              <w:left w:w="0" w:type="dxa"/>
              <w:bottom w:w="28" w:type="dxa"/>
              <w:right w:w="0" w:type="dxa"/>
            </w:tcMar>
          </w:tcPr>
          <w:p w:rsidR="00A45417" w:rsidRDefault="00A45417">
            <w:pPr>
              <w:pStyle w:val="BOTableTextindented"/>
            </w:pPr>
            <w:r>
              <w:t>GST</w:t>
            </w:r>
          </w:p>
        </w:tc>
        <w:tc>
          <w:tcPr>
            <w:tcW w:w="993" w:type="dxa"/>
            <w:tcMar>
              <w:top w:w="28" w:type="dxa"/>
              <w:left w:w="0" w:type="dxa"/>
              <w:bottom w:w="28" w:type="dxa"/>
              <w:right w:w="57" w:type="dxa"/>
            </w:tcMar>
          </w:tcPr>
          <w:p w:rsidR="00A45417" w:rsidRDefault="00A45417">
            <w:pPr>
              <w:pStyle w:val="BOTableNumbers"/>
            </w:pPr>
            <w:r>
              <w:t>3 129</w:t>
            </w:r>
          </w:p>
        </w:tc>
      </w:tr>
      <w:tr w:rsidR="00A45417" w:rsidTr="00546FA7">
        <w:tblPrEx>
          <w:tblCellMar>
            <w:top w:w="0" w:type="dxa"/>
            <w:left w:w="0" w:type="dxa"/>
            <w:bottom w:w="0" w:type="dxa"/>
            <w:right w:w="0" w:type="dxa"/>
          </w:tblCellMar>
        </w:tblPrEx>
        <w:trPr>
          <w:trHeight w:val="60"/>
        </w:trPr>
        <w:tc>
          <w:tcPr>
            <w:tcW w:w="2827" w:type="dxa"/>
            <w:tcMar>
              <w:top w:w="28" w:type="dxa"/>
              <w:left w:w="0" w:type="dxa"/>
              <w:bottom w:w="28" w:type="dxa"/>
              <w:right w:w="0" w:type="dxa"/>
            </w:tcMar>
          </w:tcPr>
          <w:p w:rsidR="00A45417" w:rsidRDefault="00A45417">
            <w:pPr>
              <w:pStyle w:val="BOTableTextindented"/>
            </w:pPr>
            <w:r>
              <w:t>Specific Purpose Payments</w:t>
            </w:r>
          </w:p>
        </w:tc>
        <w:tc>
          <w:tcPr>
            <w:tcW w:w="993" w:type="dxa"/>
            <w:tcMar>
              <w:top w:w="28" w:type="dxa"/>
              <w:left w:w="0" w:type="dxa"/>
              <w:bottom w:w="28" w:type="dxa"/>
              <w:right w:w="57" w:type="dxa"/>
            </w:tcMar>
          </w:tcPr>
          <w:p w:rsidR="00A45417" w:rsidRDefault="00A45417">
            <w:pPr>
              <w:pStyle w:val="BOTableNumbers"/>
            </w:pPr>
            <w:r>
              <w:t xml:space="preserve"> 297</w:t>
            </w:r>
          </w:p>
        </w:tc>
      </w:tr>
      <w:tr w:rsidR="00A45417" w:rsidTr="00546FA7">
        <w:tblPrEx>
          <w:tblCellMar>
            <w:top w:w="0" w:type="dxa"/>
            <w:left w:w="0" w:type="dxa"/>
            <w:bottom w:w="0" w:type="dxa"/>
            <w:right w:w="0" w:type="dxa"/>
          </w:tblCellMar>
        </w:tblPrEx>
        <w:trPr>
          <w:trHeight w:val="60"/>
        </w:trPr>
        <w:tc>
          <w:tcPr>
            <w:tcW w:w="2827" w:type="dxa"/>
            <w:tcMar>
              <w:top w:w="28" w:type="dxa"/>
              <w:left w:w="0" w:type="dxa"/>
              <w:bottom w:w="28" w:type="dxa"/>
              <w:right w:w="0" w:type="dxa"/>
            </w:tcMar>
          </w:tcPr>
          <w:p w:rsidR="00A45417" w:rsidRDefault="00A45417">
            <w:pPr>
              <w:pStyle w:val="BOTableTextindented"/>
            </w:pPr>
            <w:r>
              <w:t>National Partnership payments</w:t>
            </w:r>
          </w:p>
        </w:tc>
        <w:tc>
          <w:tcPr>
            <w:tcW w:w="993" w:type="dxa"/>
            <w:tcMar>
              <w:top w:w="28" w:type="dxa"/>
              <w:left w:w="0" w:type="dxa"/>
              <w:bottom w:w="28" w:type="dxa"/>
              <w:right w:w="57" w:type="dxa"/>
            </w:tcMar>
          </w:tcPr>
          <w:p w:rsidR="00A45417" w:rsidRDefault="00A45417">
            <w:pPr>
              <w:pStyle w:val="BOTableNumbers"/>
            </w:pPr>
            <w:r>
              <w:t xml:space="preserve"> 444</w:t>
            </w:r>
          </w:p>
        </w:tc>
      </w:tr>
      <w:tr w:rsidR="00A45417" w:rsidTr="00546FA7">
        <w:tblPrEx>
          <w:tblCellMar>
            <w:top w:w="0" w:type="dxa"/>
            <w:left w:w="0" w:type="dxa"/>
            <w:bottom w:w="0" w:type="dxa"/>
            <w:right w:w="0" w:type="dxa"/>
          </w:tblCellMar>
        </w:tblPrEx>
        <w:trPr>
          <w:trHeight w:val="60"/>
        </w:trPr>
        <w:tc>
          <w:tcPr>
            <w:tcW w:w="2827" w:type="dxa"/>
            <w:tcMar>
              <w:top w:w="28" w:type="dxa"/>
              <w:left w:w="0" w:type="dxa"/>
              <w:bottom w:w="28" w:type="dxa"/>
              <w:right w:w="0" w:type="dxa"/>
            </w:tcMar>
          </w:tcPr>
          <w:p w:rsidR="00A45417" w:rsidRDefault="00A45417">
            <w:pPr>
              <w:pStyle w:val="BOTableTextindented"/>
            </w:pPr>
            <w:r>
              <w:t>Other Commonwealth revenue</w:t>
            </w:r>
          </w:p>
        </w:tc>
        <w:tc>
          <w:tcPr>
            <w:tcW w:w="993" w:type="dxa"/>
            <w:tcMar>
              <w:top w:w="28" w:type="dxa"/>
              <w:left w:w="0" w:type="dxa"/>
              <w:bottom w:w="28" w:type="dxa"/>
              <w:right w:w="57" w:type="dxa"/>
            </w:tcMar>
          </w:tcPr>
          <w:p w:rsidR="00A45417" w:rsidRDefault="00A45417">
            <w:pPr>
              <w:pStyle w:val="BOTableNumbers"/>
            </w:pPr>
            <w:r>
              <w:t xml:space="preserve"> 301</w:t>
            </w:r>
          </w:p>
        </w:tc>
      </w:tr>
      <w:tr w:rsidR="00A45417" w:rsidTr="00546FA7">
        <w:tblPrEx>
          <w:tblCellMar>
            <w:top w:w="0" w:type="dxa"/>
            <w:left w:w="0" w:type="dxa"/>
            <w:bottom w:w="0" w:type="dxa"/>
            <w:right w:w="0" w:type="dxa"/>
          </w:tblCellMar>
        </w:tblPrEx>
        <w:trPr>
          <w:trHeight w:val="60"/>
        </w:trPr>
        <w:tc>
          <w:tcPr>
            <w:tcW w:w="2827" w:type="dxa"/>
            <w:tcMar>
              <w:top w:w="28" w:type="dxa"/>
              <w:left w:w="0" w:type="dxa"/>
              <w:bottom w:w="28" w:type="dxa"/>
              <w:right w:w="0" w:type="dxa"/>
            </w:tcMar>
          </w:tcPr>
          <w:p w:rsidR="00A45417" w:rsidRDefault="00A45417">
            <w:pPr>
              <w:pStyle w:val="BOTableText"/>
            </w:pPr>
            <w:r>
              <w:t>Own-source revenue</w:t>
            </w:r>
          </w:p>
        </w:tc>
        <w:tc>
          <w:tcPr>
            <w:tcW w:w="993" w:type="dxa"/>
            <w:tcMar>
              <w:top w:w="28" w:type="dxa"/>
              <w:left w:w="0" w:type="dxa"/>
              <w:bottom w:w="28" w:type="dxa"/>
              <w:right w:w="57" w:type="dxa"/>
            </w:tcMar>
          </w:tcPr>
          <w:p w:rsidR="00A45417" w:rsidRDefault="00A45417">
            <w:pPr>
              <w:pStyle w:val="BOTableNumbers"/>
            </w:pPr>
            <w:r>
              <w:t>1 200</w:t>
            </w:r>
          </w:p>
        </w:tc>
      </w:tr>
      <w:tr w:rsidR="00A45417" w:rsidTr="00546FA7">
        <w:tblPrEx>
          <w:tblCellMar>
            <w:top w:w="0" w:type="dxa"/>
            <w:left w:w="0" w:type="dxa"/>
            <w:bottom w:w="0" w:type="dxa"/>
            <w:right w:w="0" w:type="dxa"/>
          </w:tblCellMar>
        </w:tblPrEx>
        <w:trPr>
          <w:trHeight w:val="60"/>
        </w:trPr>
        <w:tc>
          <w:tcPr>
            <w:tcW w:w="2827" w:type="dxa"/>
            <w:tcBorders>
              <w:bottom w:val="single" w:sz="4" w:space="0" w:color="D3752E"/>
            </w:tcBorders>
            <w:tcMar>
              <w:top w:w="28" w:type="dxa"/>
              <w:left w:w="0" w:type="dxa"/>
              <w:bottom w:w="28" w:type="dxa"/>
              <w:right w:w="0" w:type="dxa"/>
            </w:tcMar>
          </w:tcPr>
          <w:p w:rsidR="00A45417" w:rsidRDefault="00A45417">
            <w:pPr>
              <w:pStyle w:val="BOTableText"/>
            </w:pPr>
            <w:r>
              <w:rPr>
                <w:rStyle w:val="BOBoldtext"/>
              </w:rPr>
              <w:t>Total revenue</w:t>
            </w:r>
          </w:p>
        </w:tc>
        <w:tc>
          <w:tcPr>
            <w:tcW w:w="993" w:type="dxa"/>
            <w:tcBorders>
              <w:bottom w:val="single" w:sz="4" w:space="0" w:color="D3752E"/>
            </w:tcBorders>
            <w:tcMar>
              <w:top w:w="28" w:type="dxa"/>
              <w:left w:w="0" w:type="dxa"/>
              <w:bottom w:w="28" w:type="dxa"/>
              <w:right w:w="57" w:type="dxa"/>
            </w:tcMar>
          </w:tcPr>
          <w:p w:rsidR="00A45417" w:rsidRDefault="00A45417">
            <w:pPr>
              <w:pStyle w:val="BOTableNumbers"/>
            </w:pPr>
            <w:r>
              <w:rPr>
                <w:rStyle w:val="BOBoldtext"/>
              </w:rPr>
              <w:t>5 370</w:t>
            </w:r>
          </w:p>
        </w:tc>
      </w:tr>
    </w:tbl>
    <w:p w:rsidR="00A45417" w:rsidRDefault="00A45417" w:rsidP="000B18AF">
      <w:pPr>
        <w:pStyle w:val="BOBodyText"/>
      </w:pPr>
      <w:r>
        <w:t>Tied Commonwealth revenue is 19 per cent of the Territory’s total revenue, with the Territory’s own</w:t>
      </w:r>
      <w:r>
        <w:noBreakHyphen/>
        <w:t xml:space="preserve">source revenue contributing 23 per cent. </w:t>
      </w:r>
    </w:p>
    <w:p w:rsidR="00A45417" w:rsidRDefault="00A45417" w:rsidP="000B18AF">
      <w:pPr>
        <w:pStyle w:val="BOBodyText"/>
      </w:pPr>
      <w:r>
        <w:t>Growth in own</w:t>
      </w:r>
      <w:r>
        <w:noBreakHyphen/>
        <w:t>source revenue reflects current economic conditions and results in the following increases in 2014-15:</w:t>
      </w:r>
    </w:p>
    <w:p w:rsidR="00A45417" w:rsidRDefault="00A45417" w:rsidP="00E644C3">
      <w:pPr>
        <w:pStyle w:val="BOBodyBullet"/>
      </w:pPr>
      <w:r>
        <w:t>stamp duties of $18.4 million;</w:t>
      </w:r>
    </w:p>
    <w:p w:rsidR="00A45417" w:rsidRDefault="00A45417" w:rsidP="00E644C3">
      <w:pPr>
        <w:pStyle w:val="BOBodyBullet"/>
      </w:pPr>
      <w:proofErr w:type="gramStart"/>
      <w:r>
        <w:t>payroll</w:t>
      </w:r>
      <w:proofErr w:type="gramEnd"/>
      <w:r>
        <w:t xml:space="preserve"> tax of $34.8 million; and</w:t>
      </w:r>
    </w:p>
    <w:p w:rsidR="00A45417" w:rsidRDefault="00A45417" w:rsidP="00E644C3">
      <w:pPr>
        <w:pStyle w:val="BOBodyBullet"/>
      </w:pPr>
      <w:proofErr w:type="gramStart"/>
      <w:r>
        <w:t>mining</w:t>
      </w:r>
      <w:proofErr w:type="gramEnd"/>
      <w:r>
        <w:t xml:space="preserve"> royalties of $50.8 million.</w:t>
      </w:r>
    </w:p>
    <w:p w:rsidR="00A45417" w:rsidRPr="000B18AF" w:rsidRDefault="00A45417" w:rsidP="00A45417">
      <w:pPr>
        <w:pStyle w:val="BOBoxHeading"/>
        <w:rPr>
          <w:rStyle w:val="BOBlueText288"/>
        </w:rPr>
      </w:pPr>
      <w:r w:rsidRPr="000B18AF">
        <w:rPr>
          <w:rStyle w:val="BOBlueText288"/>
        </w:rPr>
        <w:t>Government’s Fiscal Strategy</w:t>
      </w:r>
    </w:p>
    <w:p w:rsidR="00A45417" w:rsidRPr="00E644C3" w:rsidRDefault="00A45417" w:rsidP="00A45417">
      <w:pPr>
        <w:pStyle w:val="BOBoxtext"/>
        <w:rPr>
          <w:color w:val="043071"/>
        </w:rPr>
      </w:pPr>
      <w:r w:rsidRPr="00E644C3">
        <w:rPr>
          <w:rStyle w:val="BOBlueText288"/>
          <w:rFonts w:ascii="Arial MT Std Medium" w:hAnsi="Arial MT Std Medium" w:cs="Arial MT Std Medium"/>
        </w:rPr>
        <w:t>Key fiscal target:</w:t>
      </w:r>
      <w:r w:rsidRPr="00E644C3">
        <w:rPr>
          <w:color w:val="043071"/>
        </w:rPr>
        <w:t xml:space="preserve"> by 2017-18 the fiscal imbalance in the Territory’s </w:t>
      </w:r>
      <w:proofErr w:type="spellStart"/>
      <w:r w:rsidRPr="00E644C3">
        <w:rPr>
          <w:color w:val="043071"/>
        </w:rPr>
        <w:t>non financial</w:t>
      </w:r>
      <w:proofErr w:type="spellEnd"/>
      <w:r w:rsidRPr="00E644C3">
        <w:rPr>
          <w:color w:val="043071"/>
        </w:rPr>
        <w:t xml:space="preserve"> public sector is to be eliminated.</w:t>
      </w:r>
    </w:p>
    <w:p w:rsidR="00A45417" w:rsidRPr="00E644C3" w:rsidRDefault="00A45417" w:rsidP="00A45417">
      <w:pPr>
        <w:pStyle w:val="BOBoxtext"/>
        <w:rPr>
          <w:color w:val="043071"/>
        </w:rPr>
      </w:pPr>
      <w:r w:rsidRPr="00E644C3">
        <w:rPr>
          <w:rStyle w:val="BOBlueText288"/>
        </w:rPr>
        <w:t xml:space="preserve">Assessment: </w:t>
      </w:r>
      <w:r w:rsidRPr="00E644C3">
        <w:rPr>
          <w:color w:val="043071"/>
        </w:rPr>
        <w:t>fiscal balance trending to improvement with a deficit of $39 million projected in 2017</w:t>
      </w:r>
      <w:r w:rsidRPr="00E644C3">
        <w:rPr>
          <w:color w:val="043071"/>
        </w:rPr>
        <w:noBreakHyphen/>
        <w:t xml:space="preserve">18. </w:t>
      </w:r>
    </w:p>
    <w:p w:rsidR="00A45417" w:rsidRPr="00E644C3" w:rsidRDefault="00A45417" w:rsidP="00A45417">
      <w:pPr>
        <w:pStyle w:val="BOBoxtext"/>
        <w:rPr>
          <w:color w:val="043071"/>
        </w:rPr>
      </w:pPr>
      <w:r w:rsidRPr="00E644C3">
        <w:rPr>
          <w:rStyle w:val="BOBlueText288"/>
          <w:rFonts w:ascii="Arial MT Std Medium" w:hAnsi="Arial MT Std Medium" w:cs="Arial MT Std Medium"/>
        </w:rPr>
        <w:t xml:space="preserve">Associated fiscal outcome: </w:t>
      </w:r>
      <w:r w:rsidRPr="00E644C3">
        <w:rPr>
          <w:color w:val="043071"/>
        </w:rPr>
        <w:t>by 2016</w:t>
      </w:r>
      <w:r w:rsidRPr="00E644C3">
        <w:rPr>
          <w:color w:val="043071"/>
        </w:rPr>
        <w:noBreakHyphen/>
        <w:t>17 the Territory’s general government sector to achieve a net operating surplus.</w:t>
      </w:r>
    </w:p>
    <w:p w:rsidR="00A45417" w:rsidRPr="00E644C3" w:rsidRDefault="00A45417" w:rsidP="00A45417">
      <w:pPr>
        <w:pStyle w:val="BOBoxtext"/>
        <w:rPr>
          <w:color w:val="043071"/>
        </w:rPr>
      </w:pPr>
      <w:r w:rsidRPr="00E644C3">
        <w:rPr>
          <w:rStyle w:val="BOBlueText288"/>
        </w:rPr>
        <w:t xml:space="preserve">Assessment: </w:t>
      </w:r>
      <w:r w:rsidRPr="00E644C3">
        <w:rPr>
          <w:color w:val="043071"/>
        </w:rPr>
        <w:t xml:space="preserve">the operating balance in 2014-15 is a surplus, two years ahead of the fiscal strategy target. </w:t>
      </w:r>
    </w:p>
    <w:p w:rsidR="00A45417" w:rsidRPr="00E644C3" w:rsidRDefault="00A45417" w:rsidP="00A45417">
      <w:pPr>
        <w:pStyle w:val="BOBoxtext"/>
        <w:rPr>
          <w:color w:val="043071"/>
        </w:rPr>
      </w:pPr>
      <w:r w:rsidRPr="00E644C3">
        <w:rPr>
          <w:rStyle w:val="BOBlueText288"/>
          <w:rFonts w:ascii="Arial MT Std Medium" w:hAnsi="Arial MT Std Medium" w:cs="Arial MT Std Medium"/>
        </w:rPr>
        <w:t>Associated fiscal outcome:</w:t>
      </w:r>
      <w:r w:rsidRPr="00E644C3">
        <w:rPr>
          <w:rStyle w:val="BOBlueText288"/>
          <w:rFonts w:ascii="Arial MT Std" w:hAnsi="Arial MT Std" w:cs="Arial MT Std"/>
          <w:b/>
          <w:bCs/>
        </w:rPr>
        <w:t xml:space="preserve"> </w:t>
      </w:r>
      <w:r w:rsidRPr="00E644C3">
        <w:rPr>
          <w:color w:val="043071"/>
        </w:rPr>
        <w:t>by 2016</w:t>
      </w:r>
      <w:r w:rsidRPr="00E644C3">
        <w:rPr>
          <w:color w:val="043071"/>
        </w:rPr>
        <w:noBreakHyphen/>
        <w:t>17, taxation effort in the Territory’s general government sector is more on par with the average effort of the states.</w:t>
      </w:r>
    </w:p>
    <w:p w:rsidR="00A45417" w:rsidRPr="00E644C3" w:rsidRDefault="00A45417" w:rsidP="00A45417">
      <w:pPr>
        <w:pStyle w:val="BOBoxtext"/>
        <w:rPr>
          <w:color w:val="043071"/>
        </w:rPr>
      </w:pPr>
      <w:r w:rsidRPr="00E644C3">
        <w:rPr>
          <w:rStyle w:val="BOBlueText288"/>
        </w:rPr>
        <w:t xml:space="preserve">Assessment: </w:t>
      </w:r>
      <w:r w:rsidRPr="00E644C3">
        <w:rPr>
          <w:color w:val="043071"/>
        </w:rPr>
        <w:t>the Territory’s revenue</w:t>
      </w:r>
      <w:r w:rsidRPr="00E644C3">
        <w:rPr>
          <w:color w:val="043071"/>
        </w:rPr>
        <w:noBreakHyphen/>
        <w:t>raising effort in 2012-13 is 84 per cent, from 78 per cent in 2011-12.</w:t>
      </w:r>
    </w:p>
    <w:p w:rsidR="00A45417" w:rsidRPr="00E644C3" w:rsidRDefault="00A45417" w:rsidP="00A45417">
      <w:pPr>
        <w:pStyle w:val="BOBoxtext"/>
        <w:rPr>
          <w:color w:val="043071"/>
        </w:rPr>
      </w:pPr>
      <w:r w:rsidRPr="00E644C3">
        <w:rPr>
          <w:rStyle w:val="BOBlueText288"/>
          <w:rFonts w:ascii="Arial MT Std Medium" w:hAnsi="Arial MT Std Medium" w:cs="Arial MT Std Medium"/>
        </w:rPr>
        <w:t>Associated fiscal outcome:</w:t>
      </w:r>
      <w:r w:rsidRPr="00E644C3">
        <w:rPr>
          <w:rStyle w:val="BOBlueText288"/>
        </w:rPr>
        <w:t xml:space="preserve"> </w:t>
      </w:r>
      <w:r w:rsidRPr="00E644C3">
        <w:rPr>
          <w:color w:val="043071"/>
        </w:rPr>
        <w:t>by 2016</w:t>
      </w:r>
      <w:r w:rsidRPr="00E644C3">
        <w:rPr>
          <w:color w:val="043071"/>
        </w:rPr>
        <w:noBreakHyphen/>
        <w:t>17, the Territory’s government owned corporation is moving towards commercial rates of return on capital employed.</w:t>
      </w:r>
    </w:p>
    <w:p w:rsidR="00A45417" w:rsidRPr="00E644C3" w:rsidRDefault="00A45417" w:rsidP="00A45417">
      <w:pPr>
        <w:pStyle w:val="BOBoxtext"/>
        <w:rPr>
          <w:color w:val="043071"/>
        </w:rPr>
      </w:pPr>
      <w:r w:rsidRPr="00E644C3">
        <w:rPr>
          <w:rStyle w:val="BOBlueText288"/>
        </w:rPr>
        <w:t xml:space="preserve">Assessment: </w:t>
      </w:r>
      <w:r w:rsidRPr="00E644C3">
        <w:rPr>
          <w:color w:val="043071"/>
        </w:rPr>
        <w:t xml:space="preserve">the 2016-17 </w:t>
      </w:r>
      <w:proofErr w:type="gramStart"/>
      <w:r w:rsidRPr="00E644C3">
        <w:rPr>
          <w:color w:val="043071"/>
        </w:rPr>
        <w:t>estimate</w:t>
      </w:r>
      <w:proofErr w:type="gramEnd"/>
      <w:r w:rsidRPr="00E644C3">
        <w:rPr>
          <w:color w:val="043071"/>
        </w:rPr>
        <w:t xml:space="preserve"> of 5.4 per cent is trending towards the target measure.</w:t>
      </w:r>
    </w:p>
    <w:p w:rsidR="00A45417" w:rsidRPr="00E644C3" w:rsidRDefault="00A45417" w:rsidP="00A45417">
      <w:pPr>
        <w:pStyle w:val="BOBoxtext"/>
        <w:rPr>
          <w:color w:val="043071"/>
        </w:rPr>
      </w:pPr>
      <w:r w:rsidRPr="00E644C3">
        <w:rPr>
          <w:rStyle w:val="BOBlueText288"/>
          <w:rFonts w:ascii="Arial MT Std Medium" w:hAnsi="Arial MT Std Medium" w:cs="Arial MT Std Medium"/>
        </w:rPr>
        <w:t>Associated fiscal outcome:</w:t>
      </w:r>
      <w:r w:rsidRPr="00E644C3">
        <w:rPr>
          <w:color w:val="043071"/>
        </w:rPr>
        <w:t xml:space="preserve"> by 2020, the Territory’s </w:t>
      </w:r>
      <w:proofErr w:type="spellStart"/>
      <w:r w:rsidRPr="00E644C3">
        <w:rPr>
          <w:color w:val="043071"/>
        </w:rPr>
        <w:t>non financial</w:t>
      </w:r>
      <w:proofErr w:type="spellEnd"/>
      <w:r w:rsidRPr="00E644C3">
        <w:rPr>
          <w:color w:val="043071"/>
        </w:rPr>
        <w:t xml:space="preserve"> public sector net debt as a percentage of revenue is approaching 60 per cent.</w:t>
      </w:r>
    </w:p>
    <w:p w:rsidR="00A45417" w:rsidRPr="00E644C3" w:rsidRDefault="00A45417" w:rsidP="000B18AF">
      <w:pPr>
        <w:pStyle w:val="BOBodyText"/>
        <w:rPr>
          <w:color w:val="043071"/>
        </w:rPr>
      </w:pPr>
      <w:r w:rsidRPr="00E644C3">
        <w:rPr>
          <w:rStyle w:val="BOBlueText288"/>
        </w:rPr>
        <w:t>Assessment:</w:t>
      </w:r>
      <w:r w:rsidRPr="00E644C3">
        <w:rPr>
          <w:color w:val="043071"/>
        </w:rPr>
        <w:t xml:space="preserve"> net debt to revenue is projected to decrease to 65 per cent in 2017-18.</w:t>
      </w:r>
    </w:p>
    <w:p w:rsidR="00A45417" w:rsidRDefault="00A45417">
      <w:r>
        <w:br w:type="page"/>
      </w:r>
    </w:p>
    <w:p w:rsidR="00A45417" w:rsidRPr="00A45417" w:rsidRDefault="00A45417" w:rsidP="00A45417">
      <w:pPr>
        <w:suppressAutoHyphens/>
        <w:autoSpaceDE w:val="0"/>
        <w:autoSpaceDN w:val="0"/>
        <w:adjustRightInd w:val="0"/>
        <w:spacing w:after="113" w:line="600" w:lineRule="atLeast"/>
        <w:textAlignment w:val="baseline"/>
        <w:rPr>
          <w:rFonts w:ascii="Arial MT Std" w:hAnsi="Arial MT Std" w:cs="Arial MT Std"/>
          <w:b/>
          <w:bCs/>
          <w:color w:val="EF7521"/>
          <w:spacing w:val="-7"/>
          <w:w w:val="85"/>
          <w:sz w:val="60"/>
          <w:szCs w:val="60"/>
          <w:lang w:val="en-GB"/>
        </w:rPr>
      </w:pPr>
      <w:r w:rsidRPr="00A45417">
        <w:rPr>
          <w:rFonts w:ascii="Arial MT Std" w:hAnsi="Arial MT Std" w:cs="Arial MT Std"/>
          <w:b/>
          <w:bCs/>
          <w:color w:val="EF7521"/>
          <w:spacing w:val="-7"/>
          <w:w w:val="85"/>
          <w:sz w:val="60"/>
          <w:szCs w:val="60"/>
          <w:lang w:val="en-GB"/>
        </w:rPr>
        <w:lastRenderedPageBreak/>
        <w:t>Infrastructure</w:t>
      </w:r>
    </w:p>
    <w:p w:rsidR="00A45417" w:rsidRPr="00A45417" w:rsidRDefault="00A45417" w:rsidP="00A45417">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A45417">
        <w:rPr>
          <w:rFonts w:ascii="Arial MT Std Light" w:hAnsi="Arial MT Std Light" w:cs="Arial MT Std Light"/>
          <w:color w:val="002C73"/>
          <w:spacing w:val="-3"/>
          <w:w w:val="90"/>
          <w:sz w:val="30"/>
          <w:szCs w:val="30"/>
          <w:lang w:val="en-GB"/>
        </w:rPr>
        <w:t>Investing in the Territory’s Future</w:t>
      </w:r>
    </w:p>
    <w:p w:rsidR="00A45417" w:rsidRPr="00A45417" w:rsidRDefault="00A45417" w:rsidP="00A4541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The 2014-15 Budget continues to deliver high levels of infrastructure investment in the Territory, providing a total infrastructure budget of $1.14 billion.</w:t>
      </w:r>
    </w:p>
    <w:p w:rsidR="00A45417" w:rsidRPr="00A45417" w:rsidRDefault="00A45417" w:rsidP="00A45417">
      <w:pPr>
        <w:suppressAutoHyphens/>
        <w:autoSpaceDE w:val="0"/>
        <w:autoSpaceDN w:val="0"/>
        <w:adjustRightInd w:val="0"/>
        <w:spacing w:after="57"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 xml:space="preserve">Major highlights of the 2014-15 infrastructure </w:t>
      </w:r>
      <w:proofErr w:type="gramStart"/>
      <w:r w:rsidRPr="00A45417">
        <w:rPr>
          <w:rFonts w:ascii="Arial MT Std Light" w:hAnsi="Arial MT Std Light" w:cs="Arial MT Std Light"/>
          <w:color w:val="000000"/>
          <w:w w:val="90"/>
          <w:sz w:val="20"/>
          <w:szCs w:val="20"/>
          <w:lang w:val="en-GB"/>
        </w:rPr>
        <w:t>program</w:t>
      </w:r>
      <w:proofErr w:type="gramEnd"/>
      <w:r w:rsidRPr="00A45417">
        <w:rPr>
          <w:rFonts w:ascii="Arial MT Std Light" w:hAnsi="Arial MT Std Light" w:cs="Arial MT Std Light"/>
          <w:color w:val="000000"/>
          <w:w w:val="90"/>
          <w:sz w:val="20"/>
          <w:szCs w:val="20"/>
          <w:lang w:val="en-GB"/>
        </w:rPr>
        <w:t xml:space="preserve"> include:</w:t>
      </w:r>
    </w:p>
    <w:p w:rsidR="00A45417" w:rsidRPr="00A45417" w:rsidRDefault="00A45417" w:rsidP="00664802">
      <w:pPr>
        <w:pStyle w:val="BOBodyBullet"/>
      </w:pPr>
      <w:r w:rsidRPr="00A45417">
        <w:t>$224 million for housing in the Territory including:</w:t>
      </w:r>
    </w:p>
    <w:p w:rsidR="00A45417" w:rsidRPr="00A45417" w:rsidRDefault="00A45417" w:rsidP="00664802">
      <w:pPr>
        <w:pStyle w:val="BODashedText"/>
      </w:pPr>
      <w:r w:rsidRPr="00A45417">
        <w:t>$122.8 million for remote Indigenous housing capital works and $19.5 million for repairs and maintenance grants;</w:t>
      </w:r>
    </w:p>
    <w:p w:rsidR="00A45417" w:rsidRPr="00A45417" w:rsidRDefault="00A45417" w:rsidP="00664802">
      <w:pPr>
        <w:pStyle w:val="BODashedText"/>
      </w:pPr>
      <w:r w:rsidRPr="00A45417">
        <w:t>$32 million for government employee housing for more nurses, teachers and police officers in remote towns; and</w:t>
      </w:r>
    </w:p>
    <w:p w:rsidR="00A45417" w:rsidRPr="00A45417" w:rsidRDefault="00A45417" w:rsidP="00664802">
      <w:pPr>
        <w:pStyle w:val="BODashedText"/>
      </w:pPr>
      <w:r w:rsidRPr="00A45417">
        <w:t>$4 million to redevelop existing public housing complexes across the Territory.</w:t>
      </w:r>
    </w:p>
    <w:p w:rsidR="00A45417" w:rsidRPr="00A45417" w:rsidRDefault="00A45417" w:rsidP="00664802">
      <w:pPr>
        <w:pStyle w:val="BOBodyBullet"/>
      </w:pPr>
      <w:r w:rsidRPr="00A45417">
        <w:t>$84 million for education infrastructure including:</w:t>
      </w:r>
    </w:p>
    <w:p w:rsidR="00A45417" w:rsidRPr="00A45417" w:rsidRDefault="00A45417" w:rsidP="00664802">
      <w:pPr>
        <w:pStyle w:val="BODashedText"/>
      </w:pPr>
      <w:r w:rsidRPr="00A45417">
        <w:t>$11.6 million for the Northern Territory Open Education Centre;</w:t>
      </w:r>
    </w:p>
    <w:p w:rsidR="00A45417" w:rsidRPr="00A45417" w:rsidRDefault="00A45417" w:rsidP="00664802">
      <w:pPr>
        <w:pStyle w:val="BODashedText"/>
      </w:pPr>
      <w:r w:rsidRPr="00A45417">
        <w:t xml:space="preserve">$5 million to commence construction of boarding facilities to provide bush students improved access to secondary education; </w:t>
      </w:r>
    </w:p>
    <w:p w:rsidR="00A45417" w:rsidRPr="00A45417" w:rsidRDefault="00A45417" w:rsidP="00664802">
      <w:pPr>
        <w:pStyle w:val="BODashedText"/>
      </w:pPr>
      <w:r w:rsidRPr="00A45417">
        <w:t xml:space="preserve">$1.2 million to extend </w:t>
      </w:r>
      <w:proofErr w:type="spellStart"/>
      <w:r w:rsidRPr="00A45417">
        <w:t>Rosebery</w:t>
      </w:r>
      <w:proofErr w:type="spellEnd"/>
      <w:r w:rsidRPr="00A45417">
        <w:t xml:space="preserve"> Preschool to provide additional places; and</w:t>
      </w:r>
    </w:p>
    <w:p w:rsidR="00A45417" w:rsidRPr="00A45417" w:rsidRDefault="00A45417" w:rsidP="00664802">
      <w:pPr>
        <w:pStyle w:val="BODashedText"/>
      </w:pPr>
      <w:r w:rsidRPr="00A45417">
        <w:t>$34.9 million to maintain Territory schools.</w:t>
      </w:r>
    </w:p>
    <w:p w:rsidR="00A45417" w:rsidRPr="00A45417" w:rsidRDefault="00A45417" w:rsidP="00664802">
      <w:pPr>
        <w:pStyle w:val="BOBodyBullet"/>
      </w:pPr>
      <w:r w:rsidRPr="00A45417">
        <w:t>$191 million for health infrastructure including:</w:t>
      </w:r>
    </w:p>
    <w:p w:rsidR="00A45417" w:rsidRPr="00A45417" w:rsidRDefault="00A45417" w:rsidP="00664802">
      <w:pPr>
        <w:pStyle w:val="BODashedText"/>
      </w:pPr>
      <w:r w:rsidRPr="00A45417">
        <w:t xml:space="preserve">$43.6 million for remote health centres in Canteen Creek, Elliott, </w:t>
      </w:r>
      <w:proofErr w:type="spellStart"/>
      <w:r w:rsidRPr="00A45417">
        <w:t>Galiwin’ku</w:t>
      </w:r>
      <w:proofErr w:type="spellEnd"/>
      <w:r w:rsidRPr="00A45417">
        <w:t xml:space="preserve">, </w:t>
      </w:r>
      <w:proofErr w:type="spellStart"/>
      <w:r w:rsidRPr="00A45417">
        <w:t>Kaltukatjara</w:t>
      </w:r>
      <w:proofErr w:type="spellEnd"/>
      <w:r w:rsidRPr="00A45417">
        <w:t xml:space="preserve">, </w:t>
      </w:r>
      <w:proofErr w:type="spellStart"/>
      <w:r w:rsidRPr="00A45417">
        <w:t>Maningrida</w:t>
      </w:r>
      <w:proofErr w:type="spellEnd"/>
      <w:r w:rsidRPr="00A45417">
        <w:t xml:space="preserve">, </w:t>
      </w:r>
      <w:proofErr w:type="spellStart"/>
      <w:r w:rsidRPr="00A45417">
        <w:t>Ngukurr</w:t>
      </w:r>
      <w:proofErr w:type="spellEnd"/>
      <w:r w:rsidRPr="00A45417">
        <w:t xml:space="preserve">, </w:t>
      </w:r>
      <w:proofErr w:type="spellStart"/>
      <w:r w:rsidRPr="00A45417">
        <w:t>Ntaria</w:t>
      </w:r>
      <w:proofErr w:type="spellEnd"/>
      <w:r w:rsidRPr="00A45417">
        <w:t xml:space="preserve">, </w:t>
      </w:r>
      <w:proofErr w:type="spellStart"/>
      <w:r w:rsidRPr="00A45417">
        <w:t>Numbulwar</w:t>
      </w:r>
      <w:proofErr w:type="spellEnd"/>
      <w:r w:rsidRPr="00A45417">
        <w:t xml:space="preserve">, </w:t>
      </w:r>
      <w:proofErr w:type="spellStart"/>
      <w:r w:rsidRPr="00A45417">
        <w:t>Papunya</w:t>
      </w:r>
      <w:proofErr w:type="spellEnd"/>
      <w:r w:rsidRPr="00A45417">
        <w:t xml:space="preserve">, Robinson River and </w:t>
      </w:r>
      <w:proofErr w:type="spellStart"/>
      <w:r w:rsidRPr="00A45417">
        <w:t>Titjikala</w:t>
      </w:r>
      <w:proofErr w:type="spellEnd"/>
      <w:r w:rsidRPr="00A45417">
        <w:t>;</w:t>
      </w:r>
    </w:p>
    <w:p w:rsidR="00A45417" w:rsidRPr="00A45417" w:rsidRDefault="00A45417" w:rsidP="00664802">
      <w:pPr>
        <w:pStyle w:val="BODashedText"/>
      </w:pPr>
      <w:r w:rsidRPr="00A45417">
        <w:t>$35 million for upgrades at Royal Darwin Hospital;</w:t>
      </w:r>
    </w:p>
    <w:p w:rsidR="00A45417" w:rsidRPr="00A45417" w:rsidRDefault="00A45417" w:rsidP="00664802">
      <w:pPr>
        <w:pStyle w:val="BODashedText"/>
      </w:pPr>
      <w:r w:rsidRPr="00A45417">
        <w:t>$5.2 million for a multidisciplinary teaching and training facility at Alice Springs Hospital; and</w:t>
      </w:r>
    </w:p>
    <w:p w:rsidR="00A45417" w:rsidRPr="00A45417" w:rsidRDefault="00A45417" w:rsidP="00664802">
      <w:pPr>
        <w:pStyle w:val="BODashedText"/>
      </w:pPr>
      <w:r w:rsidRPr="00A45417">
        <w:t xml:space="preserve">$1.9 million to upgrade </w:t>
      </w:r>
      <w:proofErr w:type="spellStart"/>
      <w:r w:rsidRPr="00A45417">
        <w:t>airconditioning</w:t>
      </w:r>
      <w:proofErr w:type="spellEnd"/>
      <w:r w:rsidRPr="00A45417">
        <w:t xml:space="preserve"> at Katherine Hospital.</w:t>
      </w:r>
    </w:p>
    <w:p w:rsidR="00A45417" w:rsidRPr="00A45417" w:rsidRDefault="00A45417" w:rsidP="00546FA7">
      <w:pPr>
        <w:pStyle w:val="BOBodyBullet"/>
      </w:pPr>
      <w:r w:rsidRPr="00A45417">
        <w:t xml:space="preserve">$40 million for new and improved police, fire and emergency services infrastructure, including $14.2 million to continue works to deliver multipurpose police stations at </w:t>
      </w:r>
      <w:proofErr w:type="spellStart"/>
      <w:r w:rsidRPr="00A45417">
        <w:t>Arlparra</w:t>
      </w:r>
      <w:proofErr w:type="spellEnd"/>
      <w:r w:rsidRPr="00A45417">
        <w:t xml:space="preserve"> and </w:t>
      </w:r>
      <w:proofErr w:type="spellStart"/>
      <w:r w:rsidRPr="00A45417">
        <w:t>Yuendumu</w:t>
      </w:r>
      <w:proofErr w:type="spellEnd"/>
      <w:r w:rsidRPr="00A45417">
        <w:t>.</w:t>
      </w:r>
    </w:p>
    <w:p w:rsidR="00A45417" w:rsidRPr="00A45417" w:rsidRDefault="00A45417" w:rsidP="00A45417">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A45417">
        <w:rPr>
          <w:rFonts w:ascii="Arial MT Std Light" w:hAnsi="Arial MT Std Light" w:cs="Arial MT Std Light"/>
          <w:color w:val="002C73"/>
          <w:spacing w:val="-3"/>
          <w:w w:val="90"/>
          <w:sz w:val="30"/>
          <w:szCs w:val="30"/>
          <w:lang w:val="en-GB"/>
        </w:rPr>
        <w:t>Residential Land Release</w:t>
      </w:r>
    </w:p>
    <w:p w:rsidR="00A45417" w:rsidRPr="00A45417" w:rsidRDefault="00A45417" w:rsidP="00A45417">
      <w:pPr>
        <w:suppressAutoHyphens/>
        <w:autoSpaceDE w:val="0"/>
        <w:autoSpaceDN w:val="0"/>
        <w:adjustRightInd w:val="0"/>
        <w:spacing w:after="57"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The 2014-15 Budget provides $84.4 million to progress the release of residential land including:</w:t>
      </w:r>
    </w:p>
    <w:p w:rsidR="00A45417" w:rsidRPr="00E644C3" w:rsidRDefault="00A45417" w:rsidP="00E644C3">
      <w:pPr>
        <w:pStyle w:val="BOBodyBullet"/>
      </w:pPr>
      <w:r w:rsidRPr="00E644C3">
        <w:t xml:space="preserve">$44.9 million to support accelerated land release in </w:t>
      </w:r>
      <w:proofErr w:type="spellStart"/>
      <w:r w:rsidRPr="00E644C3">
        <w:t>Palmerston</w:t>
      </w:r>
      <w:proofErr w:type="spellEnd"/>
      <w:r w:rsidRPr="00E644C3">
        <w:t xml:space="preserve"> East and bring forward new releases in </w:t>
      </w:r>
      <w:proofErr w:type="spellStart"/>
      <w:r w:rsidRPr="00E644C3">
        <w:t>Berrimah</w:t>
      </w:r>
      <w:proofErr w:type="spellEnd"/>
      <w:r w:rsidRPr="00E644C3">
        <w:t xml:space="preserve"> Farm and </w:t>
      </w:r>
      <w:proofErr w:type="spellStart"/>
      <w:r w:rsidRPr="00E644C3">
        <w:t>Palmerston</w:t>
      </w:r>
      <w:proofErr w:type="spellEnd"/>
      <w:r w:rsidRPr="00E644C3">
        <w:t xml:space="preserve"> North, and to continue the staged development of land at </w:t>
      </w:r>
      <w:proofErr w:type="spellStart"/>
      <w:r w:rsidRPr="00E644C3">
        <w:t>Zuccoli</w:t>
      </w:r>
      <w:proofErr w:type="spellEnd"/>
      <w:r w:rsidRPr="00E644C3">
        <w:t>; and</w:t>
      </w:r>
    </w:p>
    <w:p w:rsidR="00A45417" w:rsidRPr="00E644C3" w:rsidRDefault="00A45417" w:rsidP="00E644C3">
      <w:pPr>
        <w:pStyle w:val="BOBodyBullet"/>
      </w:pPr>
      <w:r w:rsidRPr="00E644C3">
        <w:t xml:space="preserve">$39.5 million to progress land release projects across the Territory, including Humpty Doo, stage 2 of the Darwin Waterfront Development, Katherine East, </w:t>
      </w:r>
      <w:proofErr w:type="spellStart"/>
      <w:r w:rsidRPr="00E644C3">
        <w:t>Kalkarindji</w:t>
      </w:r>
      <w:proofErr w:type="spellEnd"/>
      <w:r w:rsidRPr="00E644C3">
        <w:t xml:space="preserve">, </w:t>
      </w:r>
      <w:proofErr w:type="spellStart"/>
      <w:r w:rsidRPr="00E644C3">
        <w:t>Mataranka</w:t>
      </w:r>
      <w:proofErr w:type="spellEnd"/>
      <w:r w:rsidRPr="00E644C3">
        <w:t xml:space="preserve">, Timber Creek, Pine Creek, Tennant Creek, Ti Tree, </w:t>
      </w:r>
      <w:proofErr w:type="spellStart"/>
      <w:r w:rsidRPr="00E644C3">
        <w:t>Kilgariff</w:t>
      </w:r>
      <w:proofErr w:type="spellEnd"/>
      <w:r w:rsidRPr="00E644C3">
        <w:t xml:space="preserve"> land development and Larapinta Valley redevelopment.</w:t>
      </w:r>
    </w:p>
    <w:p w:rsidR="00A45417" w:rsidRPr="00A45417" w:rsidRDefault="00A45417" w:rsidP="00A45417">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A45417">
        <w:rPr>
          <w:rFonts w:ascii="Arial MT Std Light" w:hAnsi="Arial MT Std Light" w:cs="Arial MT Std Light"/>
          <w:color w:val="002C73"/>
          <w:spacing w:val="-3"/>
          <w:w w:val="90"/>
          <w:sz w:val="30"/>
          <w:szCs w:val="30"/>
          <w:lang w:val="en-GB"/>
        </w:rPr>
        <w:t>Investment in Roads</w:t>
      </w:r>
    </w:p>
    <w:p w:rsidR="00A45417" w:rsidRPr="00A45417" w:rsidRDefault="00A45417" w:rsidP="00A45417">
      <w:pPr>
        <w:suppressAutoHyphens/>
        <w:autoSpaceDE w:val="0"/>
        <w:autoSpaceDN w:val="0"/>
        <w:adjustRightInd w:val="0"/>
        <w:spacing w:after="57"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The 2014-15 Budget provides $378 million towards Territory roads and national highways, including $81 million for repairs and maintenance. Investment by the Territory and Commonwealth governments includes:</w:t>
      </w:r>
    </w:p>
    <w:p w:rsidR="00A45417" w:rsidRPr="00A45417" w:rsidRDefault="00A45417" w:rsidP="00E644C3">
      <w:pPr>
        <w:pStyle w:val="BOBodyBullet"/>
      </w:pPr>
      <w:r w:rsidRPr="00A45417">
        <w:t>$30 million for strategic economic development roads projects across the Territory;</w:t>
      </w:r>
    </w:p>
    <w:p w:rsidR="00A45417" w:rsidRPr="00A45417" w:rsidRDefault="00A45417" w:rsidP="00E644C3">
      <w:pPr>
        <w:pStyle w:val="BOBodyBullet"/>
      </w:pPr>
      <w:r w:rsidRPr="00A45417">
        <w:t xml:space="preserve">$5 million for improved local roads traffic management initiatives; </w:t>
      </w:r>
    </w:p>
    <w:p w:rsidR="00A45417" w:rsidRPr="00A45417" w:rsidRDefault="00A45417" w:rsidP="00E644C3">
      <w:pPr>
        <w:pStyle w:val="BOBodyBullet"/>
      </w:pPr>
      <w:r w:rsidRPr="00A45417">
        <w:t>$4 million to upgrade the Leviathan Creek crossing on Fog Bay Road to improve flood immunity, including constructing a new bridge and associated approaches and drainage works;</w:t>
      </w:r>
    </w:p>
    <w:p w:rsidR="00A45417" w:rsidRPr="00A45417" w:rsidRDefault="00A45417" w:rsidP="00E644C3">
      <w:pPr>
        <w:pStyle w:val="BOBodyBullet"/>
      </w:pPr>
      <w:r w:rsidRPr="00A45417">
        <w:t xml:space="preserve">$7.3 million to commence improvement of the Outback Way, including upgrading and sealing various sections of the Plenty Highway and </w:t>
      </w:r>
      <w:proofErr w:type="spellStart"/>
      <w:r w:rsidRPr="00A45417">
        <w:t>Tjukururu</w:t>
      </w:r>
      <w:proofErr w:type="spellEnd"/>
      <w:r w:rsidRPr="00A45417">
        <w:t xml:space="preserve"> Road; </w:t>
      </w:r>
    </w:p>
    <w:p w:rsidR="00A45417" w:rsidRPr="00A45417" w:rsidRDefault="00A45417" w:rsidP="00E644C3">
      <w:pPr>
        <w:pStyle w:val="BOBodyBullet"/>
      </w:pPr>
      <w:r w:rsidRPr="00A45417">
        <w:t xml:space="preserve">$2.75 million to upgrade rural roads in the Katherine region, including roads in the Edith Farms, </w:t>
      </w:r>
      <w:proofErr w:type="spellStart"/>
      <w:r w:rsidRPr="00A45417">
        <w:t>Emungalan</w:t>
      </w:r>
      <w:proofErr w:type="spellEnd"/>
      <w:r w:rsidRPr="00A45417">
        <w:t xml:space="preserve"> and </w:t>
      </w:r>
      <w:proofErr w:type="spellStart"/>
      <w:r w:rsidRPr="00A45417">
        <w:t>Florina</w:t>
      </w:r>
      <w:proofErr w:type="spellEnd"/>
      <w:r w:rsidRPr="00A45417">
        <w:t xml:space="preserve"> areas and bridging at </w:t>
      </w:r>
      <w:proofErr w:type="spellStart"/>
      <w:r w:rsidRPr="00A45417">
        <w:t>Leight</w:t>
      </w:r>
      <w:proofErr w:type="spellEnd"/>
      <w:r w:rsidRPr="00A45417">
        <w:t xml:space="preserve"> Creek;</w:t>
      </w:r>
    </w:p>
    <w:p w:rsidR="00A45417" w:rsidRPr="00A45417" w:rsidRDefault="00A45417" w:rsidP="00E644C3">
      <w:pPr>
        <w:pStyle w:val="BOBodyBullet"/>
      </w:pPr>
      <w:r w:rsidRPr="00A45417">
        <w:t xml:space="preserve">$2.5 million to seal sections of the </w:t>
      </w:r>
      <w:proofErr w:type="spellStart"/>
      <w:r w:rsidRPr="00A45417">
        <w:t>Lajamanu</w:t>
      </w:r>
      <w:proofErr w:type="spellEnd"/>
      <w:r w:rsidRPr="00A45417">
        <w:t xml:space="preserve"> access road between </w:t>
      </w:r>
      <w:proofErr w:type="spellStart"/>
      <w:r w:rsidRPr="00A45417">
        <w:t>Kalkarindji</w:t>
      </w:r>
      <w:proofErr w:type="spellEnd"/>
      <w:r w:rsidRPr="00A45417">
        <w:t xml:space="preserve"> and </w:t>
      </w:r>
      <w:proofErr w:type="spellStart"/>
      <w:r w:rsidRPr="00A45417">
        <w:t>Lajamanu</w:t>
      </w:r>
      <w:proofErr w:type="spellEnd"/>
      <w:r w:rsidRPr="00A45417">
        <w:t>;</w:t>
      </w:r>
    </w:p>
    <w:p w:rsidR="00A45417" w:rsidRPr="00A45417" w:rsidRDefault="00A45417" w:rsidP="00E644C3">
      <w:pPr>
        <w:pStyle w:val="BOBodyBullet"/>
      </w:pPr>
      <w:r w:rsidRPr="00A45417">
        <w:lastRenderedPageBreak/>
        <w:t>$3 million to upgrade the Larapinta Drive/</w:t>
      </w:r>
      <w:proofErr w:type="spellStart"/>
      <w:r w:rsidRPr="00A45417">
        <w:t>Lovegrove</w:t>
      </w:r>
      <w:proofErr w:type="spellEnd"/>
      <w:r w:rsidRPr="00A45417">
        <w:t xml:space="preserve"> Drive intersection in Alice Springs;</w:t>
      </w:r>
    </w:p>
    <w:p w:rsidR="00A45417" w:rsidRPr="00A45417" w:rsidRDefault="00A45417" w:rsidP="00E644C3">
      <w:pPr>
        <w:pStyle w:val="BOBodyBullet"/>
      </w:pPr>
      <w:r w:rsidRPr="00A45417">
        <w:t>$4.75 million to continue upgrading and sealing Litchfield Park Road;</w:t>
      </w:r>
    </w:p>
    <w:p w:rsidR="00A45417" w:rsidRPr="00A45417" w:rsidRDefault="00A45417" w:rsidP="00E644C3">
      <w:pPr>
        <w:pStyle w:val="BOBodyBullet"/>
      </w:pPr>
      <w:r w:rsidRPr="00A45417">
        <w:t>$45 million to commence works on six priority projects on the regional road network as part of the Regional Roads Productivity Package;</w:t>
      </w:r>
    </w:p>
    <w:p w:rsidR="00A45417" w:rsidRPr="00A45417" w:rsidRDefault="00A45417" w:rsidP="00E644C3">
      <w:pPr>
        <w:pStyle w:val="BOBodyBullet"/>
      </w:pPr>
      <w:r w:rsidRPr="00A45417">
        <w:t xml:space="preserve">$5.5 million to duplicate </w:t>
      </w:r>
      <w:proofErr w:type="spellStart"/>
      <w:r w:rsidRPr="00A45417">
        <w:t>Roystonea</w:t>
      </w:r>
      <w:proofErr w:type="spellEnd"/>
      <w:r w:rsidRPr="00A45417">
        <w:t xml:space="preserve"> Avenue from Temple Terrace to </w:t>
      </w:r>
      <w:proofErr w:type="spellStart"/>
      <w:r w:rsidRPr="00A45417">
        <w:t>Gurd</w:t>
      </w:r>
      <w:proofErr w:type="spellEnd"/>
      <w:r w:rsidRPr="00A45417">
        <w:t> Street, including intersection upgrades;</w:t>
      </w:r>
    </w:p>
    <w:p w:rsidR="00A45417" w:rsidRPr="00A45417" w:rsidRDefault="00A45417" w:rsidP="00E644C3">
      <w:pPr>
        <w:pStyle w:val="BOBodyBullet"/>
      </w:pPr>
      <w:r w:rsidRPr="00A45417">
        <w:t>$17 million to upgrade, strengthen and widen urban arterial, rural arterial and local roads;</w:t>
      </w:r>
    </w:p>
    <w:p w:rsidR="00A45417" w:rsidRPr="00A45417" w:rsidRDefault="00A45417" w:rsidP="00E644C3">
      <w:pPr>
        <w:pStyle w:val="BOBodyBullet"/>
      </w:pPr>
      <w:r w:rsidRPr="00A45417">
        <w:t>$3 million for road safety and traffic management improvements on urban arterials; and</w:t>
      </w:r>
    </w:p>
    <w:p w:rsidR="00A45417" w:rsidRPr="00A45417" w:rsidRDefault="00A45417" w:rsidP="00E644C3">
      <w:pPr>
        <w:pStyle w:val="BOBodyBullet"/>
      </w:pPr>
      <w:r w:rsidRPr="00A45417">
        <w:t>$6 million to continue the Roads to Recovery Program on targeted local roads.</w:t>
      </w:r>
    </w:p>
    <w:p w:rsidR="00A45417" w:rsidRPr="00A45417" w:rsidRDefault="00A45417" w:rsidP="00A4541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 xml:space="preserve">The 2014-15 </w:t>
      </w:r>
      <w:proofErr w:type="gramStart"/>
      <w:r w:rsidRPr="00A45417">
        <w:rPr>
          <w:rFonts w:ascii="Arial MT Std Light" w:hAnsi="Arial MT Std Light" w:cs="Arial MT Std Light"/>
          <w:color w:val="000000"/>
          <w:w w:val="90"/>
          <w:sz w:val="20"/>
          <w:szCs w:val="20"/>
          <w:lang w:val="en-GB"/>
        </w:rPr>
        <w:t>Budget</w:t>
      </w:r>
      <w:proofErr w:type="gramEnd"/>
      <w:r w:rsidRPr="00A45417">
        <w:rPr>
          <w:rFonts w:ascii="Arial MT Std Light" w:hAnsi="Arial MT Std Light" w:cs="Arial MT Std Light"/>
          <w:color w:val="000000"/>
          <w:w w:val="90"/>
          <w:sz w:val="20"/>
          <w:szCs w:val="20"/>
          <w:lang w:val="en-GB"/>
        </w:rPr>
        <w:t xml:space="preserve"> also commits $83 million to continue the duplication of Tiger Brennan Drive from the Darwin CBD to </w:t>
      </w:r>
      <w:proofErr w:type="spellStart"/>
      <w:r w:rsidRPr="00A45417">
        <w:rPr>
          <w:rFonts w:ascii="Arial MT Std Light" w:hAnsi="Arial MT Std Light" w:cs="Arial MT Std Light"/>
          <w:color w:val="000000"/>
          <w:w w:val="90"/>
          <w:sz w:val="20"/>
          <w:szCs w:val="20"/>
          <w:lang w:val="en-GB"/>
        </w:rPr>
        <w:t>Berrimah</w:t>
      </w:r>
      <w:proofErr w:type="spellEnd"/>
      <w:r w:rsidRPr="00A45417">
        <w:rPr>
          <w:rFonts w:ascii="Arial MT Std Light" w:hAnsi="Arial MT Std Light" w:cs="Arial MT Std Light"/>
          <w:color w:val="000000"/>
          <w:w w:val="90"/>
          <w:sz w:val="20"/>
          <w:szCs w:val="20"/>
          <w:lang w:val="en-GB"/>
        </w:rPr>
        <w:t xml:space="preserve"> as part of the Territory’s $103 million Territory and Commonwealth governments’ project. </w:t>
      </w:r>
    </w:p>
    <w:p w:rsidR="00A45417" w:rsidRPr="00A45417" w:rsidRDefault="00A45417" w:rsidP="00A45417">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A45417">
        <w:rPr>
          <w:rFonts w:ascii="Arial MT Std Light" w:hAnsi="Arial MT Std Light" w:cs="Arial MT Std Light"/>
          <w:color w:val="002C73"/>
          <w:spacing w:val="-3"/>
          <w:w w:val="90"/>
          <w:sz w:val="28"/>
          <w:szCs w:val="28"/>
          <w:lang w:val="en-GB"/>
        </w:rPr>
        <w:t>Essential Infrastructure</w:t>
      </w:r>
    </w:p>
    <w:p w:rsidR="00A45417" w:rsidRPr="00A45417" w:rsidRDefault="00A45417" w:rsidP="00E644C3">
      <w:pPr>
        <w:pStyle w:val="BOBodyText"/>
      </w:pPr>
      <w:r w:rsidRPr="00A45417">
        <w:t xml:space="preserve">The Territory Government is investing $276 million to upgrade, deliver and maintain power, water and sewerage infrastructure. </w:t>
      </w:r>
    </w:p>
    <w:p w:rsidR="00A45417" w:rsidRPr="00A45417" w:rsidRDefault="00A45417" w:rsidP="00E644C3">
      <w:pPr>
        <w:pStyle w:val="BOBodyText"/>
      </w:pPr>
      <w:r w:rsidRPr="00A45417">
        <w:t>The 2014-15 Budget also provides $17.5 million to upgrade essential services infrastructure in remote communities to support additional housing and expanded government services, as well as $32.5 million in capital and repairs and maintenance investment for the Indigenous Essential Services program.</w:t>
      </w:r>
    </w:p>
    <w:p w:rsidR="00A45417" w:rsidRPr="00A45417" w:rsidRDefault="00A45417" w:rsidP="00A45417">
      <w:pPr>
        <w:keepLines/>
        <w:suppressAutoHyphens/>
        <w:autoSpaceDE w:val="0"/>
        <w:autoSpaceDN w:val="0"/>
        <w:adjustRightInd w:val="0"/>
        <w:spacing w:after="28" w:line="220" w:lineRule="atLeast"/>
        <w:textAlignment w:val="center"/>
        <w:rPr>
          <w:rFonts w:ascii="Arial MT Std" w:hAnsi="Arial MT Std" w:cs="Arial MT Std"/>
          <w:color w:val="002C73"/>
          <w:w w:val="90"/>
          <w:sz w:val="20"/>
          <w:szCs w:val="20"/>
        </w:rPr>
      </w:pPr>
      <w:r w:rsidRPr="00A45417">
        <w:rPr>
          <w:rFonts w:ascii="Arial MT Std" w:hAnsi="Arial MT Std" w:cs="Arial MT Std"/>
          <w:color w:val="002C73"/>
          <w:w w:val="90"/>
          <w:sz w:val="20"/>
          <w:szCs w:val="20"/>
        </w:rPr>
        <w:t>Total Infrastructure Payments</w:t>
      </w:r>
    </w:p>
    <w:tbl>
      <w:tblPr>
        <w:tblW w:w="0" w:type="auto"/>
        <w:tblInd w:w="8" w:type="dxa"/>
        <w:tblLayout w:type="fixed"/>
        <w:tblCellMar>
          <w:left w:w="0" w:type="dxa"/>
          <w:right w:w="0" w:type="dxa"/>
        </w:tblCellMar>
        <w:tblLook w:val="0000" w:firstRow="0" w:lastRow="0" w:firstColumn="0" w:lastColumn="0" w:noHBand="0" w:noVBand="0"/>
      </w:tblPr>
      <w:tblGrid>
        <w:gridCol w:w="2544"/>
        <w:gridCol w:w="142"/>
        <w:gridCol w:w="1134"/>
        <w:gridCol w:w="992"/>
      </w:tblGrid>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212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jc w:val="center"/>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2014-15</w:t>
            </w:r>
          </w:p>
        </w:tc>
      </w:tr>
      <w:tr w:rsidR="00A45417" w:rsidRPr="00A45417" w:rsidTr="00E644C3">
        <w:tblPrEx>
          <w:tblCellMar>
            <w:top w:w="0" w:type="dxa"/>
            <w:left w:w="0" w:type="dxa"/>
            <w:bottom w:w="0" w:type="dxa"/>
            <w:right w:w="0" w:type="dxa"/>
          </w:tblCellMar>
        </w:tblPrEx>
        <w:trPr>
          <w:trHeight w:val="300"/>
        </w:trPr>
        <w:tc>
          <w:tcPr>
            <w:tcW w:w="2686" w:type="dxa"/>
            <w:gridSpan w:val="2"/>
            <w:tcBorders>
              <w:bottom w:val="single" w:sz="4" w:space="0" w:color="D3752E"/>
            </w:tcBorders>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w:t>
            </w:r>
          </w:p>
        </w:tc>
        <w:tc>
          <w:tcPr>
            <w:tcW w:w="1134" w:type="dxa"/>
            <w:tcBorders>
              <w:bottom w:val="single" w:sz="4" w:space="0" w:color="D3752E"/>
            </w:tcBorders>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jc w:val="center"/>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Program</w:t>
            </w:r>
          </w:p>
        </w:tc>
        <w:tc>
          <w:tcPr>
            <w:tcW w:w="992" w:type="dxa"/>
            <w:tcBorders>
              <w:bottom w:val="single" w:sz="4" w:space="0" w:color="D3752E"/>
            </w:tcBorders>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jc w:val="center"/>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Cash</w:t>
            </w:r>
          </w:p>
        </w:tc>
      </w:tr>
      <w:tr w:rsidR="00A45417" w:rsidRPr="00A45417" w:rsidTr="00E644C3">
        <w:tblPrEx>
          <w:tblCellMar>
            <w:top w:w="0" w:type="dxa"/>
            <w:left w:w="0" w:type="dxa"/>
            <w:bottom w:w="0" w:type="dxa"/>
            <w:right w:w="0" w:type="dxa"/>
          </w:tblCellMar>
        </w:tblPrEx>
        <w:trPr>
          <w:trHeight w:val="300"/>
        </w:trPr>
        <w:tc>
          <w:tcPr>
            <w:tcW w:w="2686" w:type="dxa"/>
            <w:gridSpan w:val="2"/>
            <w:tcBorders>
              <w:top w:val="single" w:sz="4" w:space="0" w:color="D3752E"/>
            </w:tcBorders>
            <w:tcMar>
              <w:top w:w="28" w:type="dxa"/>
              <w:left w:w="0" w:type="dxa"/>
              <w:bottom w:w="28" w:type="dxa"/>
              <w:right w:w="0"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1134" w:type="dxa"/>
            <w:tcBorders>
              <w:top w:val="single" w:sz="4" w:space="0" w:color="D3752E"/>
            </w:tcBorders>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jc w:val="center"/>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$M</w:t>
            </w:r>
          </w:p>
        </w:tc>
        <w:tc>
          <w:tcPr>
            <w:tcW w:w="992" w:type="dxa"/>
            <w:tcBorders>
              <w:top w:val="single" w:sz="4" w:space="0" w:color="D3752E"/>
            </w:tcBorders>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jc w:val="center"/>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$M</w:t>
            </w: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BUDGET SECTOR</w:t>
            </w:r>
          </w:p>
        </w:tc>
        <w:tc>
          <w:tcPr>
            <w:tcW w:w="1134" w:type="dxa"/>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Capital works</w:t>
            </w:r>
          </w:p>
        </w:tc>
        <w:tc>
          <w:tcPr>
            <w:tcW w:w="1134" w:type="dxa"/>
            <w:tcMar>
              <w:top w:w="28" w:type="dxa"/>
              <w:left w:w="0" w:type="dxa"/>
              <w:bottom w:w="28" w:type="dxa"/>
              <w:right w:w="142"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929</w:t>
            </w: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566</w:t>
            </w: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Grants</w:t>
            </w:r>
          </w:p>
        </w:tc>
        <w:tc>
          <w:tcPr>
            <w:tcW w:w="1134" w:type="dxa"/>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Capital grants</w:t>
            </w:r>
          </w:p>
        </w:tc>
        <w:tc>
          <w:tcPr>
            <w:tcW w:w="1134" w:type="dxa"/>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38</w:t>
            </w: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Repairs and maintenance grants</w:t>
            </w:r>
          </w:p>
        </w:tc>
        <w:tc>
          <w:tcPr>
            <w:tcW w:w="1134" w:type="dxa"/>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35</w:t>
            </w: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Total grants</w:t>
            </w:r>
          </w:p>
        </w:tc>
        <w:tc>
          <w:tcPr>
            <w:tcW w:w="1134" w:type="dxa"/>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73</w:t>
            </w: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Repairs and maintenance</w:t>
            </w:r>
          </w:p>
        </w:tc>
        <w:tc>
          <w:tcPr>
            <w:tcW w:w="1134" w:type="dxa"/>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219</w:t>
            </w: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Infrastructure-related</w:t>
            </w:r>
          </w:p>
        </w:tc>
        <w:tc>
          <w:tcPr>
            <w:tcW w:w="1134" w:type="dxa"/>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r>
      <w:tr w:rsidR="00A45417" w:rsidRPr="00A45417" w:rsidTr="00E644C3">
        <w:tblPrEx>
          <w:tblCellMar>
            <w:top w:w="0" w:type="dxa"/>
            <w:left w:w="0" w:type="dxa"/>
            <w:bottom w:w="0" w:type="dxa"/>
            <w:right w:w="0" w:type="dxa"/>
          </w:tblCellMar>
        </w:tblPrEx>
        <w:trPr>
          <w:trHeight w:val="300"/>
        </w:trPr>
        <w:tc>
          <w:tcPr>
            <w:tcW w:w="2686" w:type="dxa"/>
            <w:gridSpan w:val="2"/>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Asset planning and delivery</w:t>
            </w:r>
          </w:p>
        </w:tc>
        <w:tc>
          <w:tcPr>
            <w:tcW w:w="1134" w:type="dxa"/>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6</w:t>
            </w:r>
          </w:p>
        </w:tc>
      </w:tr>
      <w:tr w:rsidR="00A45417" w:rsidRPr="00A45417" w:rsidTr="00E644C3">
        <w:tblPrEx>
          <w:tblCellMar>
            <w:top w:w="0" w:type="dxa"/>
            <w:left w:w="0" w:type="dxa"/>
            <w:bottom w:w="0" w:type="dxa"/>
            <w:right w:w="0" w:type="dxa"/>
          </w:tblCellMar>
        </w:tblPrEx>
        <w:trPr>
          <w:trHeight w:val="356"/>
        </w:trPr>
        <w:tc>
          <w:tcPr>
            <w:tcW w:w="3820" w:type="dxa"/>
            <w:gridSpan w:val="3"/>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Total infrastructure</w:t>
            </w:r>
            <w:r w:rsidRPr="00A45417">
              <w:rPr>
                <w:rFonts w:ascii="Arial MT Std Light" w:hAnsi="Arial MT Std Light" w:cs="Arial MT Std Light"/>
                <w:color w:val="002C73"/>
                <w:spacing w:val="-2"/>
                <w:w w:val="90"/>
                <w:sz w:val="18"/>
                <w:szCs w:val="18"/>
                <w:lang w:val="en-GB"/>
              </w:rPr>
              <w:noBreakHyphen/>
              <w:t>related payments</w:t>
            </w: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6</w:t>
            </w:r>
          </w:p>
        </w:tc>
      </w:tr>
      <w:tr w:rsidR="00A45417" w:rsidRPr="00A45417" w:rsidTr="00E644C3">
        <w:tblPrEx>
          <w:tblCellMar>
            <w:top w:w="0" w:type="dxa"/>
            <w:left w:w="0" w:type="dxa"/>
            <w:bottom w:w="0" w:type="dxa"/>
            <w:right w:w="0" w:type="dxa"/>
          </w:tblCellMar>
        </w:tblPrEx>
        <w:trPr>
          <w:trHeight w:val="300"/>
        </w:trPr>
        <w:tc>
          <w:tcPr>
            <w:tcW w:w="3820" w:type="dxa"/>
            <w:gridSpan w:val="3"/>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TOTAL BUDGET SECTOR</w:t>
            </w: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864</w:t>
            </w:r>
          </w:p>
        </w:tc>
      </w:tr>
      <w:tr w:rsidR="00A45417" w:rsidRPr="00A45417" w:rsidTr="00E644C3">
        <w:tblPrEx>
          <w:tblCellMar>
            <w:top w:w="0" w:type="dxa"/>
            <w:left w:w="0" w:type="dxa"/>
            <w:bottom w:w="0" w:type="dxa"/>
            <w:right w:w="0" w:type="dxa"/>
          </w:tblCellMar>
        </w:tblPrEx>
        <w:trPr>
          <w:trHeight w:val="300"/>
        </w:trPr>
        <w:tc>
          <w:tcPr>
            <w:tcW w:w="2544" w:type="dxa"/>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GOVERNMENT OWNED CORPORATIONS</w:t>
            </w:r>
          </w:p>
        </w:tc>
        <w:tc>
          <w:tcPr>
            <w:tcW w:w="1276" w:type="dxa"/>
            <w:gridSpan w:val="2"/>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r>
      <w:tr w:rsidR="00A45417" w:rsidRPr="00A45417" w:rsidTr="00E644C3">
        <w:tblPrEx>
          <w:tblCellMar>
            <w:top w:w="0" w:type="dxa"/>
            <w:left w:w="0" w:type="dxa"/>
            <w:bottom w:w="0" w:type="dxa"/>
            <w:right w:w="0" w:type="dxa"/>
          </w:tblCellMar>
        </w:tblPrEx>
        <w:trPr>
          <w:trHeight w:val="300"/>
        </w:trPr>
        <w:tc>
          <w:tcPr>
            <w:tcW w:w="3820" w:type="dxa"/>
            <w:gridSpan w:val="3"/>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Power and Water Corporation</w:t>
            </w:r>
          </w:p>
        </w:tc>
        <w:tc>
          <w:tcPr>
            <w:tcW w:w="992" w:type="dxa"/>
            <w:tcMar>
              <w:top w:w="28" w:type="dxa"/>
              <w:left w:w="0" w:type="dxa"/>
              <w:bottom w:w="28" w:type="dxa"/>
              <w:right w:w="57"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r>
      <w:tr w:rsidR="00A45417" w:rsidRPr="00A45417" w:rsidTr="00E644C3">
        <w:tblPrEx>
          <w:tblCellMar>
            <w:top w:w="0" w:type="dxa"/>
            <w:left w:w="0" w:type="dxa"/>
            <w:bottom w:w="0" w:type="dxa"/>
            <w:right w:w="0" w:type="dxa"/>
          </w:tblCellMar>
        </w:tblPrEx>
        <w:trPr>
          <w:trHeight w:val="300"/>
        </w:trPr>
        <w:tc>
          <w:tcPr>
            <w:tcW w:w="2544" w:type="dxa"/>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Capital works</w:t>
            </w:r>
          </w:p>
        </w:tc>
        <w:tc>
          <w:tcPr>
            <w:tcW w:w="1276" w:type="dxa"/>
            <w:gridSpan w:val="2"/>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195</w:t>
            </w:r>
          </w:p>
        </w:tc>
      </w:tr>
      <w:tr w:rsidR="00A45417" w:rsidRPr="00A45417" w:rsidTr="00E644C3">
        <w:tblPrEx>
          <w:tblCellMar>
            <w:top w:w="0" w:type="dxa"/>
            <w:left w:w="0" w:type="dxa"/>
            <w:bottom w:w="0" w:type="dxa"/>
            <w:right w:w="0" w:type="dxa"/>
          </w:tblCellMar>
        </w:tblPrEx>
        <w:trPr>
          <w:trHeight w:val="300"/>
        </w:trPr>
        <w:tc>
          <w:tcPr>
            <w:tcW w:w="2544" w:type="dxa"/>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Repairs and maintenance</w:t>
            </w:r>
          </w:p>
        </w:tc>
        <w:tc>
          <w:tcPr>
            <w:tcW w:w="1276" w:type="dxa"/>
            <w:gridSpan w:val="2"/>
            <w:tcMar>
              <w:top w:w="28" w:type="dxa"/>
              <w:left w:w="0" w:type="dxa"/>
              <w:bottom w:w="28" w:type="dxa"/>
              <w:right w:w="113" w:type="dxa"/>
            </w:tcMar>
          </w:tcPr>
          <w:p w:rsidR="00A45417" w:rsidRPr="00A45417" w:rsidRDefault="00A45417" w:rsidP="00A45417">
            <w:pPr>
              <w:autoSpaceDE w:val="0"/>
              <w:autoSpaceDN w:val="0"/>
              <w:adjustRightInd w:val="0"/>
              <w:spacing w:after="0" w:line="240" w:lineRule="auto"/>
              <w:rPr>
                <w:rFonts w:ascii="Arial MT Std Light" w:hAnsi="Arial MT Std Light"/>
                <w:sz w:val="24"/>
                <w:szCs w:val="24"/>
              </w:rPr>
            </w:pP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81</w:t>
            </w:r>
          </w:p>
        </w:tc>
      </w:tr>
      <w:tr w:rsidR="00A45417" w:rsidRPr="00A45417" w:rsidTr="00E644C3">
        <w:tblPrEx>
          <w:tblCellMar>
            <w:top w:w="0" w:type="dxa"/>
            <w:left w:w="0" w:type="dxa"/>
            <w:bottom w:w="0" w:type="dxa"/>
            <w:right w:w="0" w:type="dxa"/>
          </w:tblCellMar>
        </w:tblPrEx>
        <w:trPr>
          <w:trHeight w:val="375"/>
        </w:trPr>
        <w:tc>
          <w:tcPr>
            <w:tcW w:w="3820" w:type="dxa"/>
            <w:gridSpan w:val="3"/>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TOTAL GOVERNMENT OWNED CORPORATIONS</w:t>
            </w:r>
          </w:p>
        </w:tc>
        <w:tc>
          <w:tcPr>
            <w:tcW w:w="992" w:type="dxa"/>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 xml:space="preserve"> 276</w:t>
            </w:r>
          </w:p>
        </w:tc>
      </w:tr>
      <w:tr w:rsidR="00A45417" w:rsidRPr="00A45417" w:rsidTr="00E644C3">
        <w:tblPrEx>
          <w:tblCellMar>
            <w:top w:w="0" w:type="dxa"/>
            <w:left w:w="0" w:type="dxa"/>
            <w:bottom w:w="0" w:type="dxa"/>
            <w:right w:w="0" w:type="dxa"/>
          </w:tblCellMar>
        </w:tblPrEx>
        <w:trPr>
          <w:trHeight w:val="300"/>
        </w:trPr>
        <w:tc>
          <w:tcPr>
            <w:tcW w:w="3820" w:type="dxa"/>
            <w:gridSpan w:val="3"/>
            <w:tcBorders>
              <w:bottom w:val="single" w:sz="4" w:space="0" w:color="D3752E"/>
            </w:tcBorders>
            <w:tcMar>
              <w:top w:w="28" w:type="dxa"/>
              <w:left w:w="0" w:type="dxa"/>
              <w:bottom w:w="28" w:type="dxa"/>
              <w:right w:w="0" w:type="dxa"/>
            </w:tcMar>
          </w:tcPr>
          <w:p w:rsidR="00A45417" w:rsidRPr="00A45417" w:rsidRDefault="00A45417" w:rsidP="00A45417">
            <w:pPr>
              <w:suppressAutoHyphens/>
              <w:autoSpaceDE w:val="0"/>
              <w:autoSpaceDN w:val="0"/>
              <w:adjustRightInd w:val="0"/>
              <w:spacing w:after="113" w:line="220" w:lineRule="atLeas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TOTAL INFRASTRUCTURE PAYMENTS</w:t>
            </w:r>
          </w:p>
        </w:tc>
        <w:tc>
          <w:tcPr>
            <w:tcW w:w="992" w:type="dxa"/>
            <w:tcBorders>
              <w:bottom w:val="single" w:sz="4" w:space="0" w:color="D3752E"/>
            </w:tcBorders>
            <w:tcMar>
              <w:top w:w="28" w:type="dxa"/>
              <w:left w:w="0" w:type="dxa"/>
              <w:bottom w:w="28" w:type="dxa"/>
              <w:right w:w="57" w:type="dxa"/>
            </w:tcMar>
          </w:tcPr>
          <w:p w:rsidR="00A45417" w:rsidRPr="00A45417" w:rsidRDefault="00A45417" w:rsidP="00A45417">
            <w:pPr>
              <w:suppressAutoHyphens/>
              <w:autoSpaceDE w:val="0"/>
              <w:autoSpaceDN w:val="0"/>
              <w:adjustRightInd w:val="0"/>
              <w:spacing w:after="113" w:line="220" w:lineRule="atLeast"/>
              <w:jc w:val="right"/>
              <w:textAlignment w:val="center"/>
              <w:rPr>
                <w:rFonts w:ascii="Arial MT Std Light" w:hAnsi="Arial MT Std Light" w:cs="Arial MT Std Light"/>
                <w:color w:val="002C73"/>
                <w:spacing w:val="-2"/>
                <w:w w:val="90"/>
                <w:sz w:val="18"/>
                <w:szCs w:val="18"/>
                <w:lang w:val="en-GB"/>
              </w:rPr>
            </w:pPr>
            <w:r w:rsidRPr="00A45417">
              <w:rPr>
                <w:rFonts w:ascii="Arial MT Std Light" w:hAnsi="Arial MT Std Light" w:cs="Arial MT Std Light"/>
                <w:color w:val="002C73"/>
                <w:spacing w:val="-2"/>
                <w:w w:val="90"/>
                <w:sz w:val="18"/>
                <w:szCs w:val="18"/>
                <w:lang w:val="en-GB"/>
              </w:rPr>
              <w:t>1 140</w:t>
            </w:r>
          </w:p>
        </w:tc>
      </w:tr>
    </w:tbl>
    <w:p w:rsidR="00A45417" w:rsidRPr="00A45417" w:rsidRDefault="00A45417" w:rsidP="00A45417">
      <w:pPr>
        <w:tabs>
          <w:tab w:val="left" w:pos="320"/>
        </w:tabs>
        <w:suppressAutoHyphens/>
        <w:autoSpaceDE w:val="0"/>
        <w:autoSpaceDN w:val="0"/>
        <w:adjustRightInd w:val="0"/>
        <w:spacing w:after="57" w:line="280" w:lineRule="atLeast"/>
        <w:textAlignment w:val="center"/>
        <w:rPr>
          <w:rFonts w:ascii="Arial MT Std Light" w:hAnsi="Arial MT Std Light" w:cs="Arial MT Std Light"/>
          <w:color w:val="EF7521"/>
          <w:w w:val="90"/>
          <w:sz w:val="20"/>
          <w:szCs w:val="20"/>
          <w:lang w:val="en-GB"/>
        </w:rPr>
      </w:pPr>
    </w:p>
    <w:p w:rsidR="00EB046E" w:rsidRDefault="00EB046E">
      <w:pPr>
        <w:rPr>
          <w:rFonts w:ascii="Arial MT Std Light" w:hAnsi="Arial MT Std Light" w:cs="Arial MT Std Light"/>
          <w:color w:val="002C73"/>
          <w:spacing w:val="-3"/>
          <w:w w:val="90"/>
          <w:sz w:val="28"/>
          <w:szCs w:val="28"/>
          <w:lang w:val="en-GB"/>
        </w:rPr>
      </w:pPr>
      <w:r>
        <w:rPr>
          <w:rFonts w:ascii="Arial MT Std Light" w:hAnsi="Arial MT Std Light" w:cs="Arial MT Std Light"/>
          <w:color w:val="002C73"/>
          <w:spacing w:val="-3"/>
          <w:w w:val="90"/>
          <w:sz w:val="28"/>
          <w:szCs w:val="28"/>
          <w:lang w:val="en-GB"/>
        </w:rPr>
        <w:br w:type="page"/>
      </w:r>
    </w:p>
    <w:p w:rsidR="00A45417" w:rsidRPr="00A45417" w:rsidRDefault="00A45417" w:rsidP="00A45417">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A45417">
        <w:rPr>
          <w:rFonts w:ascii="Arial MT Std Light" w:hAnsi="Arial MT Std Light" w:cs="Arial MT Std Light"/>
          <w:color w:val="002C73"/>
          <w:spacing w:val="-3"/>
          <w:w w:val="90"/>
          <w:sz w:val="28"/>
          <w:szCs w:val="28"/>
          <w:lang w:val="en-GB"/>
        </w:rPr>
        <w:lastRenderedPageBreak/>
        <w:t>Industrial Land Release</w:t>
      </w:r>
    </w:p>
    <w:p w:rsidR="00A45417" w:rsidRPr="00A45417" w:rsidRDefault="00A45417" w:rsidP="00E644C3">
      <w:pPr>
        <w:pStyle w:val="BOBodyText"/>
      </w:pPr>
      <w:r w:rsidRPr="00A45417">
        <w:t>The 2014-15 Budget provides $51.1 million to progress the release of commercial and industrial land including:</w:t>
      </w:r>
    </w:p>
    <w:p w:rsidR="00A45417" w:rsidRPr="00A45417" w:rsidRDefault="00A45417" w:rsidP="00E644C3">
      <w:pPr>
        <w:pStyle w:val="BOBodyBullet"/>
      </w:pPr>
      <w:r w:rsidRPr="00A45417">
        <w:t>$5.1 million for subdivision works and associated services to create 11 strategically located industrial blocks at Darwin Business Park North;</w:t>
      </w:r>
    </w:p>
    <w:p w:rsidR="00A45417" w:rsidRPr="00A45417" w:rsidRDefault="00A45417" w:rsidP="00E644C3">
      <w:pPr>
        <w:pStyle w:val="BOBodyBullet"/>
      </w:pPr>
      <w:r w:rsidRPr="00A45417">
        <w:t>$6 million at Darwin Business Park to service further subdivisions;</w:t>
      </w:r>
    </w:p>
    <w:p w:rsidR="00A45417" w:rsidRPr="00A45417" w:rsidRDefault="00A45417" w:rsidP="00E644C3">
      <w:pPr>
        <w:pStyle w:val="BOBodyBullet"/>
      </w:pPr>
      <w:r w:rsidRPr="00A45417">
        <w:t xml:space="preserve">$6.3 million to construct 7 hectares of land to create five industrial lots adjoining </w:t>
      </w:r>
      <w:proofErr w:type="spellStart"/>
      <w:r w:rsidRPr="00A45417">
        <w:t>Muramats</w:t>
      </w:r>
      <w:proofErr w:type="spellEnd"/>
      <w:r w:rsidRPr="00A45417">
        <w:t xml:space="preserve"> Road in East Arm;</w:t>
      </w:r>
    </w:p>
    <w:p w:rsidR="00A45417" w:rsidRPr="00A45417" w:rsidRDefault="00A45417" w:rsidP="00E644C3">
      <w:pPr>
        <w:pStyle w:val="BOBodyBullet"/>
      </w:pPr>
      <w:r w:rsidRPr="00A45417">
        <w:t>$3 million for industrial land release on Udall Road, Tennant Creek;</w:t>
      </w:r>
    </w:p>
    <w:p w:rsidR="00A45417" w:rsidRPr="00A45417" w:rsidRDefault="00A45417" w:rsidP="00E644C3">
      <w:pPr>
        <w:pStyle w:val="BOBodyBullet"/>
      </w:pPr>
      <w:r w:rsidRPr="00A45417">
        <w:t xml:space="preserve">$0.8 million to construct new and upgrade existing assets and infrastructure to support agriculture, aquaculture, industrial and tourism industries on the </w:t>
      </w:r>
      <w:proofErr w:type="spellStart"/>
      <w:r w:rsidRPr="00A45417">
        <w:t>Tiwi</w:t>
      </w:r>
      <w:proofErr w:type="spellEnd"/>
      <w:r w:rsidRPr="00A45417">
        <w:t xml:space="preserve"> Islands; and </w:t>
      </w:r>
    </w:p>
    <w:p w:rsidR="00A45417" w:rsidRDefault="00A45417" w:rsidP="00E644C3">
      <w:pPr>
        <w:pStyle w:val="BOBodyBullet"/>
      </w:pPr>
      <w:r w:rsidRPr="00A45417">
        <w:t xml:space="preserve">$5.9 million to continue works, including the release of 14 lots for transport services under stage 1 of the </w:t>
      </w:r>
      <w:proofErr w:type="spellStart"/>
      <w:r w:rsidRPr="00A45417">
        <w:t>Wishart</w:t>
      </w:r>
      <w:proofErr w:type="spellEnd"/>
      <w:r w:rsidRPr="00A45417">
        <w:t xml:space="preserve"> Road Industrial Precinct development.</w:t>
      </w:r>
    </w:p>
    <w:p w:rsidR="00A45417" w:rsidRDefault="00A45417">
      <w:pPr>
        <w:rPr>
          <w:rFonts w:ascii="Arial MT Std Light" w:hAnsi="Arial MT Std Light" w:cs="Arial MT Std Light"/>
          <w:color w:val="EF7521"/>
          <w:w w:val="90"/>
          <w:sz w:val="20"/>
          <w:szCs w:val="20"/>
          <w:lang w:val="en-GB"/>
        </w:rPr>
      </w:pPr>
      <w:r>
        <w:rPr>
          <w:rFonts w:ascii="Arial MT Std Light" w:hAnsi="Arial MT Std Light" w:cs="Arial MT Std Light"/>
          <w:color w:val="EF7521"/>
          <w:w w:val="90"/>
          <w:sz w:val="20"/>
          <w:szCs w:val="20"/>
          <w:lang w:val="en-GB"/>
        </w:rPr>
        <w:br w:type="page"/>
      </w:r>
    </w:p>
    <w:p w:rsidR="00A45417" w:rsidRPr="00A45417" w:rsidRDefault="00A45417" w:rsidP="00A45417">
      <w:pPr>
        <w:suppressAutoHyphens/>
        <w:autoSpaceDE w:val="0"/>
        <w:autoSpaceDN w:val="0"/>
        <w:adjustRightInd w:val="0"/>
        <w:spacing w:after="113" w:line="600" w:lineRule="atLeast"/>
        <w:textAlignment w:val="baseline"/>
        <w:rPr>
          <w:rFonts w:ascii="Arial MT Std" w:hAnsi="Arial MT Std" w:cs="Arial MT Std"/>
          <w:b/>
          <w:bCs/>
          <w:color w:val="EF7521"/>
          <w:spacing w:val="-7"/>
          <w:w w:val="85"/>
          <w:sz w:val="60"/>
          <w:szCs w:val="60"/>
          <w:lang w:val="en-GB"/>
        </w:rPr>
      </w:pPr>
      <w:r w:rsidRPr="00A45417">
        <w:rPr>
          <w:rFonts w:ascii="Arial MT Std" w:hAnsi="Arial MT Std" w:cs="Arial MT Std"/>
          <w:b/>
          <w:bCs/>
          <w:color w:val="EF7521"/>
          <w:spacing w:val="-7"/>
          <w:w w:val="85"/>
          <w:sz w:val="60"/>
          <w:szCs w:val="60"/>
          <w:lang w:val="en-GB"/>
        </w:rPr>
        <w:lastRenderedPageBreak/>
        <w:t>Developing the Economy</w:t>
      </w:r>
    </w:p>
    <w:p w:rsidR="00A45417" w:rsidRPr="00A45417" w:rsidRDefault="00A45417" w:rsidP="00A4541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 xml:space="preserve">The 2014-15 Budget focuses on developing Northern Australia and advancing the Territory’s economy through the creation of jobs and business opportunities including $157 million for business, $45 million for tourism, $36 million for mines and energy and $54 million for primary industry and fisheries. </w:t>
      </w:r>
    </w:p>
    <w:p w:rsidR="00A45417" w:rsidRPr="00A45417" w:rsidRDefault="00A45417" w:rsidP="00A45417">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A45417">
        <w:rPr>
          <w:rFonts w:ascii="Arial MT Std Light" w:hAnsi="Arial MT Std Light" w:cs="Arial MT Std Light"/>
          <w:color w:val="002C73"/>
          <w:spacing w:val="-3"/>
          <w:w w:val="90"/>
          <w:sz w:val="30"/>
          <w:szCs w:val="30"/>
          <w:lang w:val="en-GB"/>
        </w:rPr>
        <w:t>Regional Investment</w:t>
      </w:r>
    </w:p>
    <w:p w:rsidR="00A45417" w:rsidRPr="00A45417" w:rsidRDefault="00A45417" w:rsidP="00A4541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The 2014-15 Budget promotes economic development in the Territory’s regions through investment in roads, infrastructure and services, including:</w:t>
      </w:r>
    </w:p>
    <w:p w:rsidR="00A45417" w:rsidRPr="00A45417" w:rsidRDefault="00A45417" w:rsidP="00A45417">
      <w:pPr>
        <w:suppressAutoHyphens/>
        <w:autoSpaceDE w:val="0"/>
        <w:autoSpaceDN w:val="0"/>
        <w:adjustRightInd w:val="0"/>
        <w:spacing w:after="57" w:line="288" w:lineRule="auto"/>
        <w:textAlignment w:val="center"/>
        <w:rPr>
          <w:rFonts w:ascii="Arial MT Std Light" w:hAnsi="Arial MT Std Light" w:cs="Arial MT Std Light"/>
          <w:color w:val="002C73"/>
          <w:w w:val="90"/>
          <w:lang w:val="en-GB"/>
        </w:rPr>
      </w:pPr>
      <w:proofErr w:type="spellStart"/>
      <w:r w:rsidRPr="00A45417">
        <w:rPr>
          <w:rFonts w:ascii="Arial MT Std Light" w:hAnsi="Arial MT Std Light" w:cs="Arial MT Std Light"/>
          <w:color w:val="002C73"/>
          <w:w w:val="90"/>
          <w:lang w:val="en-GB"/>
        </w:rPr>
        <w:t>Tiwi</w:t>
      </w:r>
      <w:proofErr w:type="spellEnd"/>
      <w:r w:rsidRPr="00A45417">
        <w:rPr>
          <w:rFonts w:ascii="Arial MT Std Light" w:hAnsi="Arial MT Std Light" w:cs="Arial MT Std Light"/>
          <w:color w:val="002C73"/>
          <w:w w:val="90"/>
          <w:lang w:val="en-GB"/>
        </w:rPr>
        <w:t xml:space="preserve"> Islands</w:t>
      </w:r>
    </w:p>
    <w:p w:rsidR="00A45417" w:rsidRPr="00A45417" w:rsidRDefault="00A45417" w:rsidP="00E644C3">
      <w:pPr>
        <w:pStyle w:val="BOBodyBullet"/>
      </w:pPr>
      <w:r w:rsidRPr="00A45417">
        <w:t xml:space="preserve">$0.8 million to continue the </w:t>
      </w:r>
      <w:proofErr w:type="spellStart"/>
      <w:r w:rsidRPr="00A45417">
        <w:t>Tiwi</w:t>
      </w:r>
      <w:proofErr w:type="spellEnd"/>
      <w:r w:rsidRPr="00A45417">
        <w:t xml:space="preserve"> Islands ferry services; and</w:t>
      </w:r>
    </w:p>
    <w:p w:rsidR="00A45417" w:rsidRPr="00A45417" w:rsidRDefault="00A45417" w:rsidP="00E644C3">
      <w:pPr>
        <w:pStyle w:val="BOBodyBullet"/>
      </w:pPr>
      <w:r w:rsidRPr="00A45417">
        <w:t xml:space="preserve">$0.26 million for economic development in the </w:t>
      </w:r>
      <w:proofErr w:type="spellStart"/>
      <w:r w:rsidRPr="00A45417">
        <w:t>Tiwi</w:t>
      </w:r>
      <w:proofErr w:type="spellEnd"/>
      <w:r w:rsidRPr="00A45417">
        <w:t xml:space="preserve"> Islands.</w:t>
      </w:r>
    </w:p>
    <w:p w:rsidR="00A45417" w:rsidRPr="00A45417" w:rsidRDefault="00A45417" w:rsidP="00A45417">
      <w:pPr>
        <w:suppressAutoHyphens/>
        <w:autoSpaceDE w:val="0"/>
        <w:autoSpaceDN w:val="0"/>
        <w:adjustRightInd w:val="0"/>
        <w:spacing w:after="57" w:line="288" w:lineRule="auto"/>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2C73"/>
          <w:w w:val="90"/>
          <w:lang w:val="en-GB"/>
        </w:rPr>
        <w:t>East Arnhem</w:t>
      </w:r>
    </w:p>
    <w:p w:rsidR="00A45417" w:rsidRPr="00A45417" w:rsidRDefault="00A45417" w:rsidP="00E644C3">
      <w:pPr>
        <w:pStyle w:val="BOBodyBullet"/>
      </w:pPr>
      <w:r w:rsidRPr="00A45417">
        <w:t xml:space="preserve">$2 million to match Rio Tinto’s $2 million contribution to establish a regional economic development fund for the transitional support package for the East Arnhem region; </w:t>
      </w:r>
    </w:p>
    <w:p w:rsidR="00A45417" w:rsidRPr="00A45417" w:rsidRDefault="00A45417" w:rsidP="00E644C3">
      <w:pPr>
        <w:pStyle w:val="BOBodyBullet"/>
      </w:pPr>
      <w:r w:rsidRPr="00A45417">
        <w:rPr>
          <w:spacing w:val="-2"/>
        </w:rPr>
        <w:t xml:space="preserve">$0.5 million for a medium to large vessel pontoon at Melville Bay in </w:t>
      </w:r>
      <w:proofErr w:type="spellStart"/>
      <w:r w:rsidRPr="00A45417">
        <w:rPr>
          <w:spacing w:val="-2"/>
        </w:rPr>
        <w:t>Nhulunbuy</w:t>
      </w:r>
      <w:proofErr w:type="spellEnd"/>
      <w:r w:rsidRPr="00A45417">
        <w:rPr>
          <w:spacing w:val="-2"/>
        </w:rPr>
        <w:t>; and</w:t>
      </w:r>
    </w:p>
    <w:p w:rsidR="00A45417" w:rsidRPr="00A45417" w:rsidRDefault="00A45417" w:rsidP="00E644C3">
      <w:pPr>
        <w:pStyle w:val="BOBodyBullet"/>
      </w:pPr>
      <w:r w:rsidRPr="00A45417">
        <w:t xml:space="preserve">$2.6 million to replace water storage facilities at </w:t>
      </w:r>
      <w:proofErr w:type="spellStart"/>
      <w:r w:rsidRPr="00A45417">
        <w:t>Numbulwar</w:t>
      </w:r>
      <w:proofErr w:type="spellEnd"/>
      <w:r w:rsidRPr="00A45417">
        <w:t xml:space="preserve"> and </w:t>
      </w:r>
      <w:proofErr w:type="spellStart"/>
      <w:r w:rsidRPr="00A45417">
        <w:t>Yirrkala</w:t>
      </w:r>
      <w:proofErr w:type="spellEnd"/>
      <w:r w:rsidRPr="00A45417">
        <w:t>.</w:t>
      </w:r>
    </w:p>
    <w:p w:rsidR="00A45417" w:rsidRPr="00A45417" w:rsidRDefault="00A45417" w:rsidP="00A45417">
      <w:pPr>
        <w:suppressAutoHyphens/>
        <w:autoSpaceDE w:val="0"/>
        <w:autoSpaceDN w:val="0"/>
        <w:adjustRightInd w:val="0"/>
        <w:spacing w:after="57" w:line="288" w:lineRule="auto"/>
        <w:textAlignment w:val="center"/>
        <w:rPr>
          <w:rFonts w:ascii="Arial MT Std Light" w:hAnsi="Arial MT Std Light" w:cs="Arial MT Std Light"/>
          <w:color w:val="002C73"/>
          <w:w w:val="90"/>
          <w:lang w:val="en-GB"/>
        </w:rPr>
      </w:pPr>
      <w:r w:rsidRPr="00A45417">
        <w:rPr>
          <w:rFonts w:ascii="Arial MT Std Light" w:hAnsi="Arial MT Std Light" w:cs="Arial MT Std Light"/>
          <w:color w:val="002C73"/>
          <w:w w:val="90"/>
          <w:lang w:val="en-GB"/>
        </w:rPr>
        <w:t>Central Australia</w:t>
      </w:r>
    </w:p>
    <w:p w:rsidR="00A45417" w:rsidRPr="00A45417" w:rsidRDefault="00A45417" w:rsidP="00E644C3">
      <w:pPr>
        <w:pStyle w:val="BOBodyBullet"/>
      </w:pPr>
      <w:r w:rsidRPr="00A45417">
        <w:t>$5.2 million for a multidisciplinary teaching and training facility at Alice Springs Hospital;</w:t>
      </w:r>
    </w:p>
    <w:p w:rsidR="00A45417" w:rsidRPr="00A45417" w:rsidRDefault="00A45417" w:rsidP="00E644C3">
      <w:pPr>
        <w:pStyle w:val="BOBodyBullet"/>
      </w:pPr>
      <w:r w:rsidRPr="00A45417">
        <w:t>$2.5 million to construct a tourism boardwalk in Alice Springs;</w:t>
      </w:r>
    </w:p>
    <w:p w:rsidR="00A45417" w:rsidRPr="00A45417" w:rsidRDefault="00A45417" w:rsidP="00E644C3">
      <w:pPr>
        <w:pStyle w:val="BOBodyBullet"/>
      </w:pPr>
      <w:r w:rsidRPr="00A45417">
        <w:t>$7.3 million to improve Outback Way roads;</w:t>
      </w:r>
    </w:p>
    <w:p w:rsidR="00A45417" w:rsidRPr="00A45417" w:rsidRDefault="00A45417" w:rsidP="00E644C3">
      <w:pPr>
        <w:pStyle w:val="BOBodyBullet"/>
      </w:pPr>
      <w:r w:rsidRPr="00A45417">
        <w:t xml:space="preserve">$3 million to upgrade the Larapinta and </w:t>
      </w:r>
      <w:proofErr w:type="spellStart"/>
      <w:r w:rsidRPr="00A45417">
        <w:t>Lovegrove</w:t>
      </w:r>
      <w:proofErr w:type="spellEnd"/>
      <w:r w:rsidRPr="00A45417">
        <w:t xml:space="preserve"> drives intersection; and</w:t>
      </w:r>
    </w:p>
    <w:p w:rsidR="00A45417" w:rsidRPr="00A45417" w:rsidRDefault="00A45417" w:rsidP="00E644C3">
      <w:pPr>
        <w:pStyle w:val="BOBodyBullet"/>
      </w:pPr>
      <w:r w:rsidRPr="00A45417">
        <w:t>$3 million for a new Supreme Court in Alice Springs.</w:t>
      </w:r>
    </w:p>
    <w:p w:rsidR="00A45417" w:rsidRPr="00A45417" w:rsidRDefault="00A45417" w:rsidP="00A45417">
      <w:pPr>
        <w:suppressAutoHyphens/>
        <w:autoSpaceDE w:val="0"/>
        <w:autoSpaceDN w:val="0"/>
        <w:adjustRightInd w:val="0"/>
        <w:spacing w:after="57" w:line="288" w:lineRule="auto"/>
        <w:textAlignment w:val="center"/>
        <w:rPr>
          <w:rFonts w:ascii="Arial MT Std Light" w:hAnsi="Arial MT Std Light" w:cs="Arial MT Std Light"/>
          <w:color w:val="002C73"/>
          <w:w w:val="90"/>
          <w:lang w:val="en-GB"/>
        </w:rPr>
      </w:pPr>
      <w:r w:rsidRPr="00A45417">
        <w:rPr>
          <w:rFonts w:ascii="Arial MT Std Light" w:hAnsi="Arial MT Std Light" w:cs="Arial MT Std Light"/>
          <w:color w:val="002C73"/>
          <w:w w:val="90"/>
          <w:lang w:val="en-GB"/>
        </w:rPr>
        <w:t>Across the Territory</w:t>
      </w:r>
    </w:p>
    <w:p w:rsidR="00A45417" w:rsidRPr="00A45417" w:rsidRDefault="00A45417" w:rsidP="00E644C3">
      <w:pPr>
        <w:pStyle w:val="BOBodyBullet"/>
      </w:pPr>
      <w:r w:rsidRPr="00A45417">
        <w:t>$30 million for strategic economic development roads projects;</w:t>
      </w:r>
    </w:p>
    <w:p w:rsidR="00A45417" w:rsidRPr="00A45417" w:rsidRDefault="00A45417" w:rsidP="00E644C3">
      <w:pPr>
        <w:pStyle w:val="BOBodyBullet"/>
      </w:pPr>
      <w:r w:rsidRPr="00A45417">
        <w:t xml:space="preserve">$45 million in partnership with the Commonwealth for a Regional Roads Productivity Package to upgrade the Roper Highway, Port Keats Road, Arnhem Link Road, </w:t>
      </w:r>
      <w:proofErr w:type="spellStart"/>
      <w:r w:rsidRPr="00A45417">
        <w:t>Buntine</w:t>
      </w:r>
      <w:proofErr w:type="spellEnd"/>
      <w:r w:rsidRPr="00A45417">
        <w:t xml:space="preserve"> Highway, Central Arnhem Road and Santa Teresa Road; and</w:t>
      </w:r>
    </w:p>
    <w:p w:rsidR="00A45417" w:rsidRPr="00A45417" w:rsidRDefault="00A45417" w:rsidP="00E644C3">
      <w:pPr>
        <w:pStyle w:val="BOBodyBullet"/>
      </w:pPr>
      <w:r w:rsidRPr="00A45417">
        <w:t xml:space="preserve">$14.85 million to upgrade sewerage at </w:t>
      </w:r>
      <w:proofErr w:type="spellStart"/>
      <w:r w:rsidRPr="00A45417">
        <w:t>Maningrida</w:t>
      </w:r>
      <w:proofErr w:type="spellEnd"/>
      <w:r w:rsidRPr="00A45417">
        <w:t xml:space="preserve">, </w:t>
      </w:r>
      <w:proofErr w:type="spellStart"/>
      <w:r w:rsidRPr="00A45417">
        <w:t>Angurugu</w:t>
      </w:r>
      <w:proofErr w:type="spellEnd"/>
      <w:r w:rsidRPr="00A45417">
        <w:t xml:space="preserve"> and </w:t>
      </w:r>
      <w:proofErr w:type="spellStart"/>
      <w:r w:rsidRPr="00A45417">
        <w:t>Galiwin’ku</w:t>
      </w:r>
      <w:proofErr w:type="spellEnd"/>
      <w:r w:rsidRPr="00A45417">
        <w:t>.</w:t>
      </w:r>
    </w:p>
    <w:p w:rsidR="00A45417" w:rsidRPr="00A45417" w:rsidRDefault="00A45417" w:rsidP="00A45417">
      <w:pPr>
        <w:keepLines/>
        <w:suppressAutoHyphens/>
        <w:autoSpaceDE w:val="0"/>
        <w:autoSpaceDN w:val="0"/>
        <w:adjustRightInd w:val="0"/>
        <w:spacing w:after="113" w:line="320" w:lineRule="atLeast"/>
        <w:textAlignment w:val="center"/>
        <w:rPr>
          <w:rFonts w:ascii="Arial MT Std Light" w:hAnsi="Arial MT Std Light" w:cs="Arial MT Std Light"/>
          <w:color w:val="002C73"/>
          <w:spacing w:val="-3"/>
          <w:w w:val="90"/>
          <w:sz w:val="28"/>
          <w:szCs w:val="28"/>
          <w:lang w:val="en-GB"/>
        </w:rPr>
      </w:pPr>
      <w:r w:rsidRPr="00A45417">
        <w:rPr>
          <w:rFonts w:ascii="Arial MT Std Light" w:hAnsi="Arial MT Std Light" w:cs="Arial MT Std Light"/>
          <w:color w:val="002C73"/>
          <w:spacing w:val="-3"/>
          <w:w w:val="90"/>
          <w:sz w:val="28"/>
          <w:szCs w:val="28"/>
          <w:lang w:val="en-GB"/>
        </w:rPr>
        <w:t>Primary Industry and Fisheries</w:t>
      </w:r>
    </w:p>
    <w:p w:rsidR="00A45417" w:rsidRPr="00A45417" w:rsidRDefault="00A45417" w:rsidP="00A45417">
      <w:pPr>
        <w:suppressAutoHyphens/>
        <w:autoSpaceDE w:val="0"/>
        <w:autoSpaceDN w:val="0"/>
        <w:adjustRightInd w:val="0"/>
        <w:spacing w:after="57"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The 2014</w:t>
      </w:r>
      <w:r w:rsidRPr="00A45417">
        <w:rPr>
          <w:rFonts w:ascii="Arial MT Std Light" w:hAnsi="Arial MT Std Light" w:cs="Arial MT Std Light"/>
          <w:color w:val="000000"/>
          <w:w w:val="90"/>
          <w:sz w:val="20"/>
          <w:szCs w:val="20"/>
          <w:lang w:val="en-GB"/>
        </w:rPr>
        <w:noBreakHyphen/>
        <w:t>15 Budget positions the Territory’s primary industry and fisheries sectors to benefit from trade and investment opportunities by investing:</w:t>
      </w:r>
    </w:p>
    <w:p w:rsidR="00A45417" w:rsidRPr="00A45417" w:rsidRDefault="00A45417" w:rsidP="00E644C3">
      <w:pPr>
        <w:pStyle w:val="BOBodyBullet"/>
      </w:pPr>
      <w:r w:rsidRPr="00A45417">
        <w:t>$1 million over two years to establish a Food Industry Development Group to drive agricultural development activities;</w:t>
      </w:r>
    </w:p>
    <w:p w:rsidR="00A45417" w:rsidRPr="00A45417" w:rsidRDefault="00A45417" w:rsidP="00E644C3">
      <w:pPr>
        <w:pStyle w:val="BOBodyBullet"/>
      </w:pPr>
      <w:r w:rsidRPr="00A45417">
        <w:rPr>
          <w:spacing w:val="-2"/>
        </w:rPr>
        <w:t xml:space="preserve">$1.24 million, including Commonwealth funding of $0.35 million, to improve export access to overseas markets and lengthen the mango production season; </w:t>
      </w:r>
    </w:p>
    <w:p w:rsidR="00A45417" w:rsidRPr="00A45417" w:rsidRDefault="00A45417" w:rsidP="00E644C3">
      <w:pPr>
        <w:pStyle w:val="BOBodyBullet"/>
      </w:pPr>
      <w:r w:rsidRPr="00A45417">
        <w:t xml:space="preserve">$0.4 million to lead </w:t>
      </w:r>
      <w:proofErr w:type="spellStart"/>
      <w:r w:rsidRPr="00A45417">
        <w:t>Ord</w:t>
      </w:r>
      <w:proofErr w:type="spellEnd"/>
      <w:r w:rsidRPr="00A45417">
        <w:t xml:space="preserve"> stage 3 development work;</w:t>
      </w:r>
    </w:p>
    <w:p w:rsidR="00A45417" w:rsidRPr="00A45417" w:rsidRDefault="00A45417" w:rsidP="00E644C3">
      <w:pPr>
        <w:pStyle w:val="BOBodyBullet"/>
      </w:pPr>
      <w:r w:rsidRPr="00A45417">
        <w:t xml:space="preserve">$0.4 million to support the Indigenous Pastoral Program; </w:t>
      </w:r>
      <w:r w:rsidRPr="00A45417">
        <w:rPr>
          <w:spacing w:val="-2"/>
        </w:rPr>
        <w:t>and</w:t>
      </w:r>
    </w:p>
    <w:p w:rsidR="00A45417" w:rsidRPr="00A45417" w:rsidRDefault="00A45417" w:rsidP="00E644C3">
      <w:pPr>
        <w:pStyle w:val="BOBodyBullet"/>
      </w:pPr>
      <w:r w:rsidRPr="00A45417">
        <w:rPr>
          <w:spacing w:val="-2"/>
        </w:rPr>
        <w:t>$0.7 million to continue to develop Indigenous commercial fishing capacity.</w:t>
      </w:r>
    </w:p>
    <w:p w:rsidR="00A45417" w:rsidRPr="00A45417" w:rsidRDefault="00A45417" w:rsidP="00A45417">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A45417">
        <w:rPr>
          <w:rFonts w:ascii="Arial MT Std Light" w:hAnsi="Arial MT Std Light" w:cs="Arial MT Std Light"/>
          <w:color w:val="002C73"/>
          <w:spacing w:val="-3"/>
          <w:w w:val="90"/>
          <w:sz w:val="30"/>
          <w:szCs w:val="30"/>
          <w:lang w:val="en-GB"/>
        </w:rPr>
        <w:t xml:space="preserve">Tourism </w:t>
      </w:r>
    </w:p>
    <w:p w:rsidR="00A45417" w:rsidRPr="00A45417" w:rsidRDefault="00A45417" w:rsidP="00A4541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A45417">
        <w:rPr>
          <w:rFonts w:ascii="Arial MT Std Light" w:hAnsi="Arial MT Std Light" w:cs="Arial MT Std Light"/>
          <w:color w:val="000000"/>
          <w:w w:val="90"/>
          <w:sz w:val="20"/>
          <w:szCs w:val="20"/>
          <w:lang w:val="en-GB"/>
        </w:rPr>
        <w:t xml:space="preserve">The 2014-15 </w:t>
      </w:r>
      <w:proofErr w:type="gramStart"/>
      <w:r w:rsidRPr="00A45417">
        <w:rPr>
          <w:rFonts w:ascii="Arial MT Std Light" w:hAnsi="Arial MT Std Light" w:cs="Arial MT Std Light"/>
          <w:color w:val="000000"/>
          <w:w w:val="90"/>
          <w:sz w:val="20"/>
          <w:szCs w:val="20"/>
          <w:lang w:val="en-GB"/>
        </w:rPr>
        <w:t>Budget</w:t>
      </w:r>
      <w:proofErr w:type="gramEnd"/>
      <w:r w:rsidRPr="00A45417">
        <w:rPr>
          <w:rFonts w:ascii="Arial MT Std Light" w:hAnsi="Arial MT Std Light" w:cs="Arial MT Std Light"/>
          <w:color w:val="000000"/>
          <w:w w:val="90"/>
          <w:sz w:val="20"/>
          <w:szCs w:val="20"/>
          <w:lang w:val="en-GB"/>
        </w:rPr>
        <w:t xml:space="preserve"> includes $17.5 million for domestic marketing activity, $13.6 million (including an additional $7.5 million) to market the Territory internationally, and an additional $0.5 million for a tourism product development grant program focused on regional and remote areas. Tourism funding includes:</w:t>
      </w:r>
    </w:p>
    <w:p w:rsidR="00EB046E" w:rsidRDefault="00EB046E">
      <w:pPr>
        <w:rPr>
          <w:rFonts w:ascii="Arial MT Std Light" w:hAnsi="Arial MT Std Light" w:cs="Arial MT Std Light"/>
          <w:color w:val="002C73"/>
          <w:w w:val="90"/>
          <w:lang w:val="en-GB"/>
        </w:rPr>
      </w:pPr>
      <w:r>
        <w:rPr>
          <w:rFonts w:ascii="Arial MT Std Light" w:hAnsi="Arial MT Std Light" w:cs="Arial MT Std Light"/>
          <w:color w:val="002C73"/>
          <w:w w:val="90"/>
          <w:lang w:val="en-GB"/>
        </w:rPr>
        <w:br w:type="page"/>
      </w:r>
    </w:p>
    <w:p w:rsidR="00A45417" w:rsidRPr="00A45417" w:rsidRDefault="00A45417" w:rsidP="00A45417">
      <w:pPr>
        <w:suppressAutoHyphens/>
        <w:autoSpaceDE w:val="0"/>
        <w:autoSpaceDN w:val="0"/>
        <w:adjustRightInd w:val="0"/>
        <w:spacing w:after="57" w:line="288" w:lineRule="auto"/>
        <w:textAlignment w:val="center"/>
        <w:rPr>
          <w:rFonts w:ascii="Arial MT Std Light" w:hAnsi="Arial MT Std Light" w:cs="Arial MT Std Light"/>
          <w:color w:val="002C73"/>
          <w:w w:val="90"/>
          <w:lang w:val="en-GB"/>
        </w:rPr>
      </w:pPr>
      <w:r w:rsidRPr="00A45417">
        <w:rPr>
          <w:rFonts w:ascii="Arial MT Std Light" w:hAnsi="Arial MT Std Light" w:cs="Arial MT Std Light"/>
          <w:color w:val="002C73"/>
          <w:w w:val="90"/>
          <w:lang w:val="en-GB"/>
        </w:rPr>
        <w:lastRenderedPageBreak/>
        <w:t>International Marketing</w:t>
      </w:r>
    </w:p>
    <w:p w:rsidR="00A45417" w:rsidRPr="00A45417" w:rsidRDefault="00A45417" w:rsidP="00E644C3">
      <w:pPr>
        <w:pStyle w:val="BOBodyBullet"/>
      </w:pPr>
      <w:r w:rsidRPr="00A45417">
        <w:t xml:space="preserve">$2.8 million for eastern markets to support marketing by Territory operators and promote travel to Darwin and the Top End; </w:t>
      </w:r>
    </w:p>
    <w:p w:rsidR="00A45417" w:rsidRPr="00A45417" w:rsidRDefault="00A45417" w:rsidP="00E644C3">
      <w:pPr>
        <w:pStyle w:val="BOBodyBullet"/>
      </w:pPr>
      <w:r w:rsidRPr="00A45417">
        <w:t>$7.6 million for western markets with a continued focus on regional dispersal to the Territory as part of broader Tourism Australia campaigns;</w:t>
      </w:r>
    </w:p>
    <w:p w:rsidR="00A45417" w:rsidRPr="00A45417" w:rsidRDefault="00A45417" w:rsidP="00E644C3">
      <w:pPr>
        <w:pStyle w:val="BOBodyBullet"/>
      </w:pPr>
      <w:r w:rsidRPr="00A45417">
        <w:t>$0.5 million for marketing on the east coast of Australia to encourage travellers already in Australia to include the Territory as part of their travel plans; and</w:t>
      </w:r>
    </w:p>
    <w:p w:rsidR="00A45417" w:rsidRPr="00A45417" w:rsidRDefault="00A45417" w:rsidP="00E644C3">
      <w:pPr>
        <w:pStyle w:val="BOBodyBullet"/>
      </w:pPr>
      <w:r w:rsidRPr="00A45417">
        <w:t>$0.8 million for cooperative marketing campaigns with airlines to build inbound demand for existing aviation services.</w:t>
      </w:r>
    </w:p>
    <w:p w:rsidR="00A45417" w:rsidRPr="00A45417" w:rsidRDefault="00A45417" w:rsidP="00A45417">
      <w:pPr>
        <w:suppressAutoHyphens/>
        <w:autoSpaceDE w:val="0"/>
        <w:autoSpaceDN w:val="0"/>
        <w:adjustRightInd w:val="0"/>
        <w:spacing w:after="57" w:line="288" w:lineRule="auto"/>
        <w:textAlignment w:val="center"/>
        <w:rPr>
          <w:rFonts w:ascii="Arial MT Std Light" w:hAnsi="Arial MT Std Light" w:cs="Arial MT Std Light"/>
          <w:color w:val="002C73"/>
          <w:w w:val="90"/>
          <w:lang w:val="en-GB"/>
        </w:rPr>
      </w:pPr>
      <w:r w:rsidRPr="00A45417">
        <w:rPr>
          <w:rFonts w:ascii="Arial MT Std Light" w:hAnsi="Arial MT Std Light" w:cs="Arial MT Std Light"/>
          <w:color w:val="002C73"/>
          <w:w w:val="90"/>
          <w:lang w:val="en-GB"/>
        </w:rPr>
        <w:t>Domestic Marketing</w:t>
      </w:r>
    </w:p>
    <w:p w:rsidR="00A45417" w:rsidRPr="00A45417" w:rsidRDefault="00A45417" w:rsidP="00E644C3">
      <w:pPr>
        <w:pStyle w:val="BOBodyBullet"/>
      </w:pPr>
      <w:r w:rsidRPr="00A45417">
        <w:t xml:space="preserve">$3 million for branding and regional awareness promotions including corporate sponsorships; </w:t>
      </w:r>
    </w:p>
    <w:p w:rsidR="00A45417" w:rsidRPr="00A45417" w:rsidRDefault="00A45417" w:rsidP="00E644C3">
      <w:pPr>
        <w:pStyle w:val="BOBodyBullet"/>
      </w:pPr>
      <w:r w:rsidRPr="00A45417">
        <w:rPr>
          <w:spacing w:val="-2"/>
        </w:rPr>
        <w:t>$8.2 million in cooperative activity to drive sales and trade training; and</w:t>
      </w:r>
    </w:p>
    <w:p w:rsidR="00A45417" w:rsidRPr="00A45417" w:rsidRDefault="00A45417" w:rsidP="00E644C3">
      <w:pPr>
        <w:pStyle w:val="BOBodyBullet"/>
      </w:pPr>
      <w:r w:rsidRPr="00A45417">
        <w:t>$0.65 million to capture and update tourism imagery across the regions.</w:t>
      </w:r>
    </w:p>
    <w:p w:rsidR="00A45417" w:rsidRPr="00A45417" w:rsidRDefault="00A45417" w:rsidP="00A45417">
      <w:pPr>
        <w:suppressAutoHyphens/>
        <w:autoSpaceDE w:val="0"/>
        <w:autoSpaceDN w:val="0"/>
        <w:adjustRightInd w:val="0"/>
        <w:spacing w:after="57" w:line="288" w:lineRule="auto"/>
        <w:textAlignment w:val="center"/>
        <w:rPr>
          <w:rFonts w:ascii="Arial MT Std Light" w:hAnsi="Arial MT Std Light" w:cs="Arial MT Std Light"/>
          <w:color w:val="002C73"/>
          <w:w w:val="90"/>
          <w:lang w:val="en-GB"/>
        </w:rPr>
      </w:pPr>
      <w:r w:rsidRPr="00A45417">
        <w:rPr>
          <w:rFonts w:ascii="Arial MT Std Light" w:hAnsi="Arial MT Std Light" w:cs="Arial MT Std Light"/>
          <w:color w:val="002C73"/>
          <w:w w:val="90"/>
          <w:lang w:val="en-GB"/>
        </w:rPr>
        <w:t>Other Initiatives</w:t>
      </w:r>
    </w:p>
    <w:p w:rsidR="00A45417" w:rsidRPr="00A45417" w:rsidRDefault="00A45417" w:rsidP="00E644C3">
      <w:pPr>
        <w:pStyle w:val="BOBodyBullet"/>
      </w:pPr>
      <w:r w:rsidRPr="00A45417">
        <w:t>$1.9 million for the provision of regional marketing and visitor information services across the Territory; and</w:t>
      </w:r>
    </w:p>
    <w:p w:rsidR="00A45417" w:rsidRDefault="00A45417" w:rsidP="00E644C3">
      <w:pPr>
        <w:pStyle w:val="BOBodyBullet"/>
      </w:pPr>
      <w:r w:rsidRPr="00A45417">
        <w:t>$2.5 million to promote the Territory as a business event destination.</w:t>
      </w:r>
    </w:p>
    <w:p w:rsidR="00A45417" w:rsidRPr="00A45417" w:rsidRDefault="00A45417" w:rsidP="00A45417">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A45417">
        <w:rPr>
          <w:rFonts w:ascii="Arial MT Std Light" w:hAnsi="Arial MT Std Light" w:cs="Arial MT Std Light"/>
          <w:color w:val="002C73"/>
          <w:spacing w:val="-3"/>
          <w:w w:val="90"/>
          <w:sz w:val="28"/>
          <w:szCs w:val="28"/>
          <w:lang w:val="en-GB"/>
        </w:rPr>
        <w:t>Northern Australia Development Office</w:t>
      </w:r>
    </w:p>
    <w:p w:rsidR="00A45417" w:rsidRPr="00A45417" w:rsidRDefault="00A45417" w:rsidP="00E644C3">
      <w:pPr>
        <w:pStyle w:val="BOBodyText"/>
      </w:pPr>
      <w:r w:rsidRPr="00A45417">
        <w:t>The 2014</w:t>
      </w:r>
      <w:r w:rsidRPr="00A45417">
        <w:noBreakHyphen/>
        <w:t xml:space="preserve">15 Budget includes $5.88 million over the next two years to support the Northern Australia Development Office to harness and coordinate the Territory Government’s economic development strategies locally, nationally and internationally. Additional funding includes:  </w:t>
      </w:r>
    </w:p>
    <w:p w:rsidR="00A45417" w:rsidRPr="00A45417" w:rsidRDefault="00A45417" w:rsidP="00E644C3">
      <w:pPr>
        <w:pStyle w:val="BOBodyBullet"/>
      </w:pPr>
      <w:r w:rsidRPr="00A45417">
        <w:t>$3.6 million to work with the Commonwealth and industry groups to capitalise on economic development opportunities in the Territory; and</w:t>
      </w:r>
    </w:p>
    <w:p w:rsidR="00A45417" w:rsidRPr="00A45417" w:rsidRDefault="00A45417" w:rsidP="00E644C3">
      <w:pPr>
        <w:pStyle w:val="BOBodyBullet"/>
      </w:pPr>
      <w:r w:rsidRPr="00A45417">
        <w:t>$1.5 million to support the Northern Territory Government Commissioner to Indonesia and the ASEAN region.</w:t>
      </w:r>
    </w:p>
    <w:p w:rsidR="00A45417" w:rsidRPr="00A45417" w:rsidRDefault="00A45417" w:rsidP="00A45417">
      <w:pPr>
        <w:keepLines/>
        <w:suppressAutoHyphens/>
        <w:autoSpaceDE w:val="0"/>
        <w:autoSpaceDN w:val="0"/>
        <w:adjustRightInd w:val="0"/>
        <w:spacing w:before="170" w:after="57" w:line="320" w:lineRule="atLeast"/>
        <w:textAlignment w:val="center"/>
        <w:rPr>
          <w:rFonts w:ascii="Arial MT Std Light" w:hAnsi="Arial MT Std Light" w:cs="Arial MT Std Light"/>
          <w:color w:val="002C73"/>
          <w:spacing w:val="-3"/>
          <w:w w:val="90"/>
          <w:sz w:val="28"/>
          <w:szCs w:val="28"/>
          <w:lang w:val="en-GB"/>
        </w:rPr>
      </w:pPr>
      <w:r w:rsidRPr="00A45417">
        <w:rPr>
          <w:rFonts w:ascii="Arial MT Std Light" w:hAnsi="Arial MT Std Light" w:cs="Arial MT Std Light"/>
          <w:color w:val="002C73"/>
          <w:spacing w:val="-3"/>
          <w:w w:val="90"/>
          <w:sz w:val="28"/>
          <w:szCs w:val="28"/>
          <w:lang w:val="en-GB"/>
        </w:rPr>
        <w:t>Mines and Energy</w:t>
      </w:r>
    </w:p>
    <w:p w:rsidR="00A45417" w:rsidRPr="00A45417" w:rsidRDefault="00A45417" w:rsidP="00E644C3">
      <w:pPr>
        <w:pStyle w:val="BOBodyText"/>
      </w:pPr>
      <w:r w:rsidRPr="00A45417">
        <w:t>The 2014-15 Budget includes $23.8 million over four years to continue the Creating Opportunities for Resource Exploration initiative, including:</w:t>
      </w:r>
    </w:p>
    <w:p w:rsidR="00A45417" w:rsidRPr="00A45417" w:rsidRDefault="00A45417" w:rsidP="00E644C3">
      <w:pPr>
        <w:pStyle w:val="BOBodyBullet"/>
      </w:pPr>
      <w:r w:rsidRPr="00A45417">
        <w:t>$15.8 million to create opportunities for resource exploration, including acquiring pre</w:t>
      </w:r>
      <w:r w:rsidRPr="00A45417">
        <w:noBreakHyphen/>
        <w:t xml:space="preserve">competitive geoscience information, providing industry grants for high-risk exploration, and promoting the Territory as an exploration investment destination; </w:t>
      </w:r>
    </w:p>
    <w:p w:rsidR="00A45417" w:rsidRPr="00A45417" w:rsidRDefault="00A45417" w:rsidP="00E644C3">
      <w:pPr>
        <w:pStyle w:val="BOBodyBullet"/>
      </w:pPr>
      <w:r w:rsidRPr="00A45417">
        <w:t>$8 million to assess the Territory’s shale gas potential and resources;</w:t>
      </w:r>
    </w:p>
    <w:p w:rsidR="00A45417" w:rsidRPr="00A45417" w:rsidRDefault="00A45417" w:rsidP="00E644C3">
      <w:pPr>
        <w:pStyle w:val="BOBodyBullet"/>
      </w:pPr>
      <w:r w:rsidRPr="00A45417">
        <w:t>$1.5 million to support mineral and petroleum exploration; and</w:t>
      </w:r>
    </w:p>
    <w:p w:rsidR="00A45417" w:rsidRDefault="00A45417" w:rsidP="00E644C3">
      <w:pPr>
        <w:pStyle w:val="BOBodyBullet"/>
      </w:pPr>
      <w:r w:rsidRPr="00A45417">
        <w:t>$1.1 million to improve mining approval timeframes and water monitoring assessment.</w:t>
      </w:r>
    </w:p>
    <w:p w:rsidR="00A45417" w:rsidRPr="00A45417" w:rsidRDefault="00A45417" w:rsidP="00A45417">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A45417">
        <w:rPr>
          <w:rFonts w:ascii="Arial MT Std Light" w:hAnsi="Arial MT Std Light" w:cs="Arial MT Std Light"/>
          <w:color w:val="002C73"/>
          <w:spacing w:val="-3"/>
          <w:w w:val="90"/>
          <w:sz w:val="30"/>
          <w:szCs w:val="30"/>
          <w:lang w:val="en-GB"/>
        </w:rPr>
        <w:t>Business</w:t>
      </w:r>
    </w:p>
    <w:p w:rsidR="00A45417" w:rsidRPr="00A45417" w:rsidRDefault="00A45417" w:rsidP="00E644C3">
      <w:pPr>
        <w:pStyle w:val="BOBodyText"/>
      </w:pPr>
      <w:r w:rsidRPr="00A45417">
        <w:t>The 2014-15 Budget supports local businesses to take advantage of opportunities in the growing Territory economy, including:</w:t>
      </w:r>
    </w:p>
    <w:p w:rsidR="00A45417" w:rsidRPr="00A45417" w:rsidRDefault="00A45417" w:rsidP="00E644C3">
      <w:pPr>
        <w:pStyle w:val="BOBodyBullet"/>
      </w:pPr>
      <w:r w:rsidRPr="00A45417">
        <w:t>$5.4 million for a suite of industry development programs, which aim to increase the capacity and capability of local businesses;</w:t>
      </w:r>
    </w:p>
    <w:p w:rsidR="00A45417" w:rsidRPr="00A45417" w:rsidRDefault="00A45417" w:rsidP="00E644C3">
      <w:pPr>
        <w:pStyle w:val="BOBodyBullet"/>
      </w:pPr>
      <w:r w:rsidRPr="00A45417">
        <w:t>$1.85 million to continue to support Territory Business Centres;</w:t>
      </w:r>
    </w:p>
    <w:p w:rsidR="00A45417" w:rsidRPr="00A45417" w:rsidRDefault="00A45417" w:rsidP="00E644C3">
      <w:pPr>
        <w:pStyle w:val="BOBodyBullet"/>
      </w:pPr>
      <w:r w:rsidRPr="00A45417">
        <w:t>$1 million to continue the Indigenous Workforce Participation Program, to support Indigenous employment opportunities;</w:t>
      </w:r>
    </w:p>
    <w:p w:rsidR="00A45417" w:rsidRPr="00A45417" w:rsidRDefault="00A45417" w:rsidP="00E644C3">
      <w:pPr>
        <w:pStyle w:val="BOBodyBullet"/>
      </w:pPr>
      <w:r w:rsidRPr="00A45417">
        <w:t xml:space="preserve">$0.95 million for a Red Tape Abolition Squad and to progress procurement reforms; </w:t>
      </w:r>
    </w:p>
    <w:p w:rsidR="00A45417" w:rsidRPr="00A45417" w:rsidRDefault="00A45417" w:rsidP="00E644C3">
      <w:pPr>
        <w:pStyle w:val="BOBodyBullet"/>
      </w:pPr>
      <w:r w:rsidRPr="00A45417">
        <w:t>$0.5 million over two years to implement the Business Innovation Support Initiatives program to provide funding to small and medium-sized businesses to pursue innovation and undertake research and development projects; and</w:t>
      </w:r>
    </w:p>
    <w:p w:rsidR="00A45417" w:rsidRDefault="00A45417" w:rsidP="00E644C3">
      <w:pPr>
        <w:pStyle w:val="BOBodyBullet"/>
      </w:pPr>
      <w:r w:rsidRPr="00A45417">
        <w:t xml:space="preserve">$0.2 million to provide business management </w:t>
      </w:r>
      <w:proofErr w:type="spellStart"/>
      <w:r w:rsidRPr="00A45417">
        <w:t>upskill</w:t>
      </w:r>
      <w:proofErr w:type="spellEnd"/>
      <w:r w:rsidRPr="00A45417">
        <w:t xml:space="preserve"> workshops to enhance business performance and employment.</w:t>
      </w:r>
    </w:p>
    <w:p w:rsidR="00A45417" w:rsidRDefault="00A45417">
      <w:pPr>
        <w:rPr>
          <w:rFonts w:ascii="Arial MT Std Light" w:hAnsi="Arial MT Std Light" w:cs="Arial MT Std Light"/>
          <w:color w:val="EF7521"/>
          <w:w w:val="90"/>
          <w:sz w:val="20"/>
          <w:szCs w:val="20"/>
          <w:lang w:val="en-GB"/>
        </w:rPr>
      </w:pPr>
      <w:r>
        <w:rPr>
          <w:rFonts w:ascii="Arial MT Std Light" w:hAnsi="Arial MT Std Light" w:cs="Arial MT Std Light"/>
          <w:color w:val="EF7521"/>
          <w:w w:val="90"/>
          <w:sz w:val="20"/>
          <w:szCs w:val="20"/>
          <w:lang w:val="en-GB"/>
        </w:rPr>
        <w:br w:type="page"/>
      </w:r>
    </w:p>
    <w:p w:rsidR="00A45417" w:rsidRPr="00A45417" w:rsidRDefault="00A45417" w:rsidP="00A45417">
      <w:pPr>
        <w:suppressAutoHyphens/>
        <w:autoSpaceDE w:val="0"/>
        <w:autoSpaceDN w:val="0"/>
        <w:adjustRightInd w:val="0"/>
        <w:spacing w:after="113" w:line="600" w:lineRule="atLeast"/>
        <w:textAlignment w:val="baseline"/>
        <w:rPr>
          <w:rFonts w:ascii="Arial MT Std" w:hAnsi="Arial MT Std" w:cs="Arial MT Std"/>
          <w:b/>
          <w:bCs/>
          <w:color w:val="EF7521"/>
          <w:spacing w:val="-7"/>
          <w:w w:val="85"/>
          <w:sz w:val="60"/>
          <w:szCs w:val="60"/>
          <w:lang w:val="en-GB"/>
        </w:rPr>
      </w:pPr>
      <w:r w:rsidRPr="00A45417">
        <w:rPr>
          <w:rFonts w:ascii="Arial MT Std" w:hAnsi="Arial MT Std" w:cs="Arial MT Std"/>
          <w:b/>
          <w:bCs/>
          <w:color w:val="EF7521"/>
          <w:spacing w:val="-7"/>
          <w:w w:val="85"/>
          <w:sz w:val="60"/>
          <w:szCs w:val="60"/>
          <w:lang w:val="en-GB"/>
        </w:rPr>
        <w:lastRenderedPageBreak/>
        <w:t>Regional Highlights</w:t>
      </w: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Darwin</w:t>
      </w:r>
    </w:p>
    <w:p w:rsidR="003B31BA" w:rsidRPr="003B31BA" w:rsidRDefault="003B31BA" w:rsidP="00E644C3">
      <w:pPr>
        <w:pStyle w:val="BOBodyBullet"/>
      </w:pPr>
      <w:r w:rsidRPr="003B31BA">
        <w:t>$891.4M for better health</w:t>
      </w:r>
    </w:p>
    <w:p w:rsidR="003B31BA" w:rsidRPr="003B31BA" w:rsidRDefault="003B31BA" w:rsidP="00E644C3">
      <w:pPr>
        <w:pStyle w:val="BOBodyBullet"/>
      </w:pPr>
      <w:r w:rsidRPr="003B31BA">
        <w:t>$318.2M for better schooling</w:t>
      </w:r>
    </w:p>
    <w:p w:rsidR="003B31BA" w:rsidRPr="003B31BA" w:rsidRDefault="003B31BA" w:rsidP="00E644C3">
      <w:pPr>
        <w:pStyle w:val="BOBodyBullet"/>
      </w:pPr>
      <w:r w:rsidRPr="003B31BA">
        <w:t>$293.4M for safer communities</w:t>
      </w:r>
    </w:p>
    <w:p w:rsidR="003B31BA" w:rsidRPr="003B31BA" w:rsidRDefault="003B31BA" w:rsidP="00E644C3">
      <w:pPr>
        <w:pStyle w:val="BOBodyBullet"/>
      </w:pPr>
      <w:r w:rsidRPr="003B31BA">
        <w:t xml:space="preserve">$83M to duplicate Tiger Brennan Drive – CBD to </w:t>
      </w:r>
      <w:proofErr w:type="spellStart"/>
      <w:r w:rsidRPr="003B31BA">
        <w:t>Berrimah</w:t>
      </w:r>
      <w:proofErr w:type="spellEnd"/>
    </w:p>
    <w:p w:rsidR="003B31BA" w:rsidRPr="003B31BA" w:rsidRDefault="003B31BA" w:rsidP="00E644C3">
      <w:pPr>
        <w:pStyle w:val="BOBodyBullet"/>
      </w:pPr>
      <w:r w:rsidRPr="003B31BA">
        <w:t>$42.6M to support the local economy</w:t>
      </w:r>
    </w:p>
    <w:p w:rsidR="003B31BA" w:rsidRPr="003B31BA" w:rsidRDefault="003B31BA" w:rsidP="00E644C3">
      <w:pPr>
        <w:pStyle w:val="BOBodyBullet"/>
      </w:pPr>
      <w:r w:rsidRPr="003B31BA">
        <w:t>$22.8M to upgrade Royal Darwin Hospital</w:t>
      </w:r>
    </w:p>
    <w:p w:rsidR="003B31BA" w:rsidRPr="003B31BA" w:rsidRDefault="003B31BA" w:rsidP="00E644C3">
      <w:pPr>
        <w:pStyle w:val="BOBodyBullet"/>
      </w:pPr>
      <w:r w:rsidRPr="003B31BA">
        <w:t>$11.6M for the new Northern Territory Open Education Centre</w:t>
      </w:r>
    </w:p>
    <w:p w:rsidR="003B31BA" w:rsidRPr="003B31BA" w:rsidRDefault="003B31BA" w:rsidP="00E644C3">
      <w:pPr>
        <w:pStyle w:val="BOBodyBullet"/>
      </w:pPr>
      <w:r w:rsidRPr="003B31BA">
        <w:t xml:space="preserve">$5M for the foreshore boardwalk along the base of Darwin City Esplanade from Darwin Waterfront </w:t>
      </w:r>
    </w:p>
    <w:p w:rsidR="003B31BA" w:rsidRPr="003B31BA" w:rsidRDefault="003B31BA" w:rsidP="00E644C3">
      <w:pPr>
        <w:pStyle w:val="BOBodyBullet"/>
      </w:pPr>
      <w:r w:rsidRPr="003B31BA">
        <w:t>$4.3M to upgrade the Hidden Valley Motor Sports Complex</w:t>
      </w:r>
    </w:p>
    <w:p w:rsidR="003B31BA" w:rsidRPr="003B31BA" w:rsidRDefault="003B31BA" w:rsidP="00E644C3">
      <w:pPr>
        <w:pStyle w:val="BOBodyBullet"/>
      </w:pPr>
      <w:r w:rsidRPr="003B31BA">
        <w:t xml:space="preserve">$4M to facilitate the release of land at </w:t>
      </w:r>
      <w:proofErr w:type="spellStart"/>
      <w:r w:rsidRPr="003B31BA">
        <w:t>Berrimah</w:t>
      </w:r>
      <w:proofErr w:type="spellEnd"/>
      <w:r w:rsidRPr="003B31BA">
        <w:t xml:space="preserve"> Farm</w:t>
      </w:r>
    </w:p>
    <w:p w:rsidR="003B31BA" w:rsidRPr="003B31BA" w:rsidRDefault="003B31BA" w:rsidP="00E644C3">
      <w:pPr>
        <w:pStyle w:val="BOBodyBullet"/>
      </w:pPr>
      <w:r w:rsidRPr="003B31BA">
        <w:t>$3M for the refurbishment of Darwin Plaza</w:t>
      </w:r>
    </w:p>
    <w:p w:rsidR="00A45417" w:rsidRDefault="003B31BA" w:rsidP="00E644C3">
      <w:pPr>
        <w:pStyle w:val="BOBodyBullet"/>
      </w:pPr>
      <w:r w:rsidRPr="003B31BA">
        <w:t xml:space="preserve">$2.4M for </w:t>
      </w:r>
      <w:proofErr w:type="spellStart"/>
      <w:r w:rsidRPr="003B31BA">
        <w:t>Leanyer</w:t>
      </w:r>
      <w:proofErr w:type="spellEnd"/>
      <w:r w:rsidRPr="003B31BA">
        <w:t xml:space="preserve"> Recreation Park</w:t>
      </w:r>
    </w:p>
    <w:p w:rsidR="003B31BA" w:rsidRDefault="003B31BA" w:rsidP="003B31BA">
      <w:pPr>
        <w:rPr>
          <w:rFonts w:ascii="Arial MT Std Light" w:hAnsi="Arial MT Std Light" w:cs="Arial MT Std Light"/>
          <w:color w:val="EF7521"/>
          <w:w w:val="90"/>
          <w:sz w:val="20"/>
          <w:szCs w:val="20"/>
          <w:lang w:val="en-GB"/>
        </w:rPr>
      </w:pP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proofErr w:type="spellStart"/>
      <w:r w:rsidRPr="003B31BA">
        <w:rPr>
          <w:rFonts w:ascii="Arial MT Std Light" w:hAnsi="Arial MT Std Light" w:cs="Arial MT Std Light"/>
          <w:color w:val="002C73"/>
          <w:spacing w:val="-3"/>
          <w:w w:val="90"/>
          <w:sz w:val="28"/>
          <w:szCs w:val="28"/>
          <w:lang w:val="en-GB"/>
        </w:rPr>
        <w:t>Palmerston</w:t>
      </w:r>
      <w:proofErr w:type="spellEnd"/>
      <w:r w:rsidRPr="003B31BA">
        <w:rPr>
          <w:rFonts w:ascii="Arial MT Std Light" w:hAnsi="Arial MT Std Light" w:cs="Arial MT Std Light"/>
          <w:color w:val="002C73"/>
          <w:spacing w:val="-3"/>
          <w:w w:val="90"/>
          <w:sz w:val="28"/>
          <w:szCs w:val="28"/>
          <w:lang w:val="en-GB"/>
        </w:rPr>
        <w:t xml:space="preserve"> and Litchfield</w:t>
      </w:r>
    </w:p>
    <w:p w:rsidR="003B31BA" w:rsidRPr="003B31BA" w:rsidRDefault="003B31BA" w:rsidP="00E644C3">
      <w:pPr>
        <w:pStyle w:val="BOBodyBullet"/>
      </w:pPr>
      <w:r w:rsidRPr="003B31BA">
        <w:t>$182.1M for safer communities</w:t>
      </w:r>
    </w:p>
    <w:p w:rsidR="003B31BA" w:rsidRPr="003B31BA" w:rsidRDefault="003B31BA" w:rsidP="00E644C3">
      <w:pPr>
        <w:pStyle w:val="BOBodyBullet"/>
      </w:pPr>
      <w:r w:rsidRPr="003B31BA">
        <w:t>$153.4M for better schooling</w:t>
      </w:r>
    </w:p>
    <w:p w:rsidR="003B31BA" w:rsidRPr="003B31BA" w:rsidRDefault="003B31BA" w:rsidP="00E644C3">
      <w:pPr>
        <w:pStyle w:val="BOBodyBullet"/>
      </w:pPr>
      <w:r w:rsidRPr="003B31BA">
        <w:t xml:space="preserve">$23.9M for </w:t>
      </w:r>
      <w:proofErr w:type="spellStart"/>
      <w:r w:rsidRPr="003B31BA">
        <w:t>headworks</w:t>
      </w:r>
      <w:proofErr w:type="spellEnd"/>
      <w:r w:rsidRPr="003B31BA">
        <w:t xml:space="preserve"> infrastructure to continue release of land in </w:t>
      </w:r>
      <w:proofErr w:type="spellStart"/>
      <w:r w:rsidRPr="003B31BA">
        <w:t>Palmerston</w:t>
      </w:r>
      <w:proofErr w:type="spellEnd"/>
      <w:r w:rsidRPr="003B31BA">
        <w:t xml:space="preserve"> East</w:t>
      </w:r>
    </w:p>
    <w:p w:rsidR="003B31BA" w:rsidRPr="003B31BA" w:rsidRDefault="003B31BA" w:rsidP="00E644C3">
      <w:pPr>
        <w:pStyle w:val="BOBodyBullet"/>
        <w:rPr>
          <w:spacing w:val="-2"/>
        </w:rPr>
      </w:pPr>
      <w:r w:rsidRPr="003B31BA">
        <w:rPr>
          <w:spacing w:val="-2"/>
        </w:rPr>
        <w:t>$12.8M for the Channel Island power station</w:t>
      </w:r>
    </w:p>
    <w:p w:rsidR="003B31BA" w:rsidRPr="003B31BA" w:rsidRDefault="003B31BA" w:rsidP="00E644C3">
      <w:pPr>
        <w:pStyle w:val="BOBodyBullet"/>
      </w:pPr>
      <w:r w:rsidRPr="003B31BA">
        <w:t>$8.8M to help support the local economy</w:t>
      </w:r>
    </w:p>
    <w:p w:rsidR="003B31BA" w:rsidRPr="003B31BA" w:rsidRDefault="003B31BA" w:rsidP="00E644C3">
      <w:pPr>
        <w:pStyle w:val="BOBodyBullet"/>
        <w:rPr>
          <w:spacing w:val="-2"/>
        </w:rPr>
      </w:pPr>
      <w:r w:rsidRPr="003B31BA">
        <w:rPr>
          <w:spacing w:val="-2"/>
        </w:rPr>
        <w:t xml:space="preserve">$6.5M for land release projects in Humpty Doo and </w:t>
      </w:r>
      <w:proofErr w:type="spellStart"/>
      <w:r w:rsidRPr="003B31BA">
        <w:rPr>
          <w:spacing w:val="-2"/>
        </w:rPr>
        <w:t>Palmerston</w:t>
      </w:r>
      <w:proofErr w:type="spellEnd"/>
      <w:r w:rsidRPr="003B31BA">
        <w:rPr>
          <w:spacing w:val="-2"/>
        </w:rPr>
        <w:t xml:space="preserve"> North</w:t>
      </w:r>
    </w:p>
    <w:p w:rsidR="003B31BA" w:rsidRPr="003B31BA" w:rsidRDefault="003B31BA" w:rsidP="00E644C3">
      <w:pPr>
        <w:pStyle w:val="BOBodyBullet"/>
      </w:pPr>
      <w:r w:rsidRPr="003B31BA">
        <w:t>$6.3M to provide public bus transport</w:t>
      </w:r>
    </w:p>
    <w:p w:rsidR="003B31BA" w:rsidRPr="003B31BA" w:rsidRDefault="003B31BA" w:rsidP="00E644C3">
      <w:pPr>
        <w:pStyle w:val="BOBodyBullet"/>
      </w:pPr>
      <w:r w:rsidRPr="003B31BA">
        <w:t xml:space="preserve">$6.1M for the Territory Wildlife Park </w:t>
      </w:r>
    </w:p>
    <w:p w:rsidR="003B31BA" w:rsidRPr="003B31BA" w:rsidRDefault="003B31BA" w:rsidP="00E644C3">
      <w:pPr>
        <w:pStyle w:val="BOBodyBullet"/>
      </w:pPr>
      <w:r w:rsidRPr="003B31BA">
        <w:t xml:space="preserve">$5.5M to duplicate </w:t>
      </w:r>
      <w:proofErr w:type="spellStart"/>
      <w:r w:rsidRPr="003B31BA">
        <w:t>Roystonea</w:t>
      </w:r>
      <w:proofErr w:type="spellEnd"/>
      <w:r w:rsidRPr="003B31BA">
        <w:t xml:space="preserve"> Avenue</w:t>
      </w:r>
    </w:p>
    <w:p w:rsidR="003B31BA" w:rsidRPr="003B31BA" w:rsidRDefault="003B31BA" w:rsidP="00E644C3">
      <w:pPr>
        <w:pStyle w:val="BOBodyBullet"/>
      </w:pPr>
      <w:r w:rsidRPr="003B31BA">
        <w:t xml:space="preserve">$5M for preliminary works and planning of the </w:t>
      </w:r>
      <w:proofErr w:type="spellStart"/>
      <w:r w:rsidRPr="003B31BA">
        <w:t>Palmerston</w:t>
      </w:r>
      <w:proofErr w:type="spellEnd"/>
      <w:r w:rsidRPr="003B31BA">
        <w:t xml:space="preserve"> Regional Hospital</w:t>
      </w:r>
    </w:p>
    <w:p w:rsidR="003B31BA" w:rsidRPr="003B31BA" w:rsidRDefault="003B31BA" w:rsidP="00E644C3">
      <w:pPr>
        <w:pStyle w:val="BOBodyBullet"/>
      </w:pPr>
      <w:r w:rsidRPr="003B31BA">
        <w:t>$3.5M for non-acute health and community services in the region</w:t>
      </w:r>
    </w:p>
    <w:p w:rsidR="003B31BA" w:rsidRDefault="003B31BA" w:rsidP="00E644C3">
      <w:pPr>
        <w:pStyle w:val="BOBodyBullet"/>
      </w:pPr>
      <w:r w:rsidRPr="003B31BA">
        <w:t xml:space="preserve">$2.2M to extend </w:t>
      </w:r>
      <w:proofErr w:type="spellStart"/>
      <w:r w:rsidRPr="003B31BA">
        <w:t>Rosebery</w:t>
      </w:r>
      <w:proofErr w:type="spellEnd"/>
      <w:r w:rsidRPr="003B31BA">
        <w:t xml:space="preserve"> and </w:t>
      </w:r>
      <w:proofErr w:type="spellStart"/>
      <w:r w:rsidRPr="003B31BA">
        <w:t>Durack</w:t>
      </w:r>
      <w:proofErr w:type="spellEnd"/>
      <w:r w:rsidRPr="003B31BA">
        <w:t xml:space="preserve"> preschools</w:t>
      </w:r>
    </w:p>
    <w:p w:rsidR="003B31BA" w:rsidRDefault="003B31BA" w:rsidP="003B31BA">
      <w:pPr>
        <w:rPr>
          <w:rFonts w:ascii="Arial MT Std Light" w:hAnsi="Arial MT Std Light" w:cs="Arial MT Std Light"/>
          <w:color w:val="EF7521"/>
          <w:w w:val="90"/>
          <w:sz w:val="20"/>
          <w:szCs w:val="20"/>
          <w:lang w:val="en-GB"/>
        </w:rPr>
      </w:pP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Top End Rural</w:t>
      </w:r>
    </w:p>
    <w:p w:rsidR="003B31BA" w:rsidRPr="003B31BA" w:rsidRDefault="003B31BA" w:rsidP="00E644C3">
      <w:pPr>
        <w:pStyle w:val="BOBodyBullet"/>
      </w:pPr>
      <w:r w:rsidRPr="003B31BA">
        <w:t xml:space="preserve">$62.3M under National Partnership Agreements for new housing, upgrades and property and tenancy management </w:t>
      </w:r>
    </w:p>
    <w:p w:rsidR="003B31BA" w:rsidRPr="003B31BA" w:rsidRDefault="003B31BA" w:rsidP="00E644C3">
      <w:pPr>
        <w:pStyle w:val="BOBodyBullet"/>
      </w:pPr>
      <w:r w:rsidRPr="003B31BA">
        <w:t>$54M for better schooling</w:t>
      </w:r>
    </w:p>
    <w:p w:rsidR="003B31BA" w:rsidRPr="003B31BA" w:rsidRDefault="003B31BA" w:rsidP="00E644C3">
      <w:pPr>
        <w:pStyle w:val="BOBodyBullet"/>
      </w:pPr>
      <w:r w:rsidRPr="003B31BA">
        <w:t>$49.2M for better health</w:t>
      </w:r>
    </w:p>
    <w:p w:rsidR="003B31BA" w:rsidRPr="003B31BA" w:rsidRDefault="003B31BA" w:rsidP="00E644C3">
      <w:pPr>
        <w:pStyle w:val="BOBodyBullet"/>
      </w:pPr>
      <w:r w:rsidRPr="003B31BA">
        <w:t>$19.7M to help support the local economy</w:t>
      </w:r>
    </w:p>
    <w:p w:rsidR="003B31BA" w:rsidRPr="003B31BA" w:rsidRDefault="003B31BA" w:rsidP="00E644C3">
      <w:pPr>
        <w:pStyle w:val="BOBodyBullet"/>
      </w:pPr>
      <w:r w:rsidRPr="003B31BA">
        <w:t xml:space="preserve">$17.9M for safer communities </w:t>
      </w:r>
    </w:p>
    <w:p w:rsidR="003B31BA" w:rsidRPr="003B31BA" w:rsidRDefault="003B31BA" w:rsidP="00E644C3">
      <w:pPr>
        <w:pStyle w:val="BOBodyBullet"/>
      </w:pPr>
      <w:r w:rsidRPr="003B31BA">
        <w:t>$5.9M to strengthen and widen sections of the Arnhem Highway</w:t>
      </w:r>
    </w:p>
    <w:p w:rsidR="003B31BA" w:rsidRPr="003B31BA" w:rsidRDefault="003B31BA" w:rsidP="00E644C3">
      <w:pPr>
        <w:pStyle w:val="BOBodyBullet"/>
      </w:pPr>
      <w:r w:rsidRPr="003B31BA">
        <w:t>$9M for new and continued works to upgrade and seal Fog Bay Road, including the Leviathan Creek crossing</w:t>
      </w:r>
    </w:p>
    <w:p w:rsidR="003B31BA" w:rsidRPr="003B31BA" w:rsidRDefault="003B31BA" w:rsidP="00E644C3">
      <w:pPr>
        <w:pStyle w:val="BOBodyBullet"/>
      </w:pPr>
      <w:r w:rsidRPr="003B31BA">
        <w:t xml:space="preserve">$2.5M for Mary River floodplain </w:t>
      </w:r>
      <w:r w:rsidRPr="003B31BA">
        <w:br/>
        <w:t xml:space="preserve">protection </w:t>
      </w:r>
    </w:p>
    <w:p w:rsidR="003B31BA" w:rsidRPr="003B31BA" w:rsidRDefault="003B31BA" w:rsidP="00E644C3">
      <w:pPr>
        <w:pStyle w:val="BOBodyBullet"/>
      </w:pPr>
      <w:r w:rsidRPr="003B31BA">
        <w:t xml:space="preserve">$2M to upgrade the hardstand at </w:t>
      </w:r>
      <w:proofErr w:type="spellStart"/>
      <w:r w:rsidRPr="003B31BA">
        <w:t>Wurrumiyanga</w:t>
      </w:r>
      <w:proofErr w:type="spellEnd"/>
    </w:p>
    <w:p w:rsidR="003B31BA" w:rsidRPr="003B31BA" w:rsidRDefault="003B31BA" w:rsidP="00E644C3">
      <w:pPr>
        <w:pStyle w:val="BOBodyBullet"/>
        <w:rPr>
          <w:spacing w:val="-4"/>
        </w:rPr>
      </w:pPr>
      <w:r w:rsidRPr="003B31BA">
        <w:rPr>
          <w:spacing w:val="-4"/>
        </w:rPr>
        <w:lastRenderedPageBreak/>
        <w:t xml:space="preserve">$1.7M for </w:t>
      </w:r>
      <w:proofErr w:type="spellStart"/>
      <w:r w:rsidRPr="003B31BA">
        <w:rPr>
          <w:spacing w:val="-4"/>
        </w:rPr>
        <w:t>Maningrida</w:t>
      </w:r>
      <w:proofErr w:type="spellEnd"/>
      <w:r w:rsidRPr="003B31BA">
        <w:rPr>
          <w:spacing w:val="-4"/>
        </w:rPr>
        <w:t xml:space="preserve"> Health Clinic upgrades</w:t>
      </w:r>
    </w:p>
    <w:p w:rsidR="003B31BA" w:rsidRDefault="003B31BA" w:rsidP="00E644C3">
      <w:pPr>
        <w:pStyle w:val="BOBodyBullet"/>
      </w:pPr>
      <w:r w:rsidRPr="003B31BA">
        <w:t>$0.43M for feral cat management</w:t>
      </w:r>
    </w:p>
    <w:p w:rsidR="00664802" w:rsidRDefault="00664802"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Katherine</w:t>
      </w:r>
    </w:p>
    <w:p w:rsidR="003B31BA" w:rsidRPr="003B31BA" w:rsidRDefault="003B31BA" w:rsidP="00E644C3">
      <w:pPr>
        <w:pStyle w:val="BOBodyBullet"/>
      </w:pPr>
      <w:r w:rsidRPr="003B31BA">
        <w:t>$90.8M for better schooling</w:t>
      </w:r>
    </w:p>
    <w:p w:rsidR="003B31BA" w:rsidRPr="003B31BA" w:rsidRDefault="003B31BA" w:rsidP="00E644C3">
      <w:pPr>
        <w:pStyle w:val="BOBodyBullet"/>
      </w:pPr>
      <w:r w:rsidRPr="003B31BA">
        <w:t>$59.2M for better health</w:t>
      </w:r>
    </w:p>
    <w:p w:rsidR="003B31BA" w:rsidRPr="003B31BA" w:rsidRDefault="003B31BA" w:rsidP="00E644C3">
      <w:pPr>
        <w:pStyle w:val="BOBodyBullet"/>
      </w:pPr>
      <w:r w:rsidRPr="003B31BA">
        <w:t>$59.1M for safer communities</w:t>
      </w:r>
    </w:p>
    <w:p w:rsidR="003B31BA" w:rsidRPr="003B31BA" w:rsidRDefault="003B31BA" w:rsidP="00E644C3">
      <w:pPr>
        <w:pStyle w:val="BOBodyBullet"/>
      </w:pPr>
      <w:r w:rsidRPr="003B31BA">
        <w:t xml:space="preserve">$32.4M under National Partnership Agreements for new housing, upgrades and property and tenancy management </w:t>
      </w:r>
    </w:p>
    <w:p w:rsidR="003B31BA" w:rsidRPr="003B31BA" w:rsidRDefault="003B31BA" w:rsidP="00E644C3">
      <w:pPr>
        <w:pStyle w:val="BOBodyBullet"/>
      </w:pPr>
      <w:r w:rsidRPr="003B31BA">
        <w:t>$11.1M to help support the local economy</w:t>
      </w:r>
    </w:p>
    <w:p w:rsidR="003B31BA" w:rsidRPr="003B31BA" w:rsidRDefault="003B31BA" w:rsidP="00E644C3">
      <w:pPr>
        <w:pStyle w:val="BOBodyBullet"/>
      </w:pPr>
      <w:r w:rsidRPr="003B31BA">
        <w:t xml:space="preserve">$2.8M to upgrade Katherine rural roads </w:t>
      </w:r>
    </w:p>
    <w:p w:rsidR="003B31BA" w:rsidRPr="003B31BA" w:rsidRDefault="003B31BA" w:rsidP="00E644C3">
      <w:pPr>
        <w:pStyle w:val="BOBodyBullet"/>
      </w:pPr>
      <w:r w:rsidRPr="003B31BA">
        <w:t xml:space="preserve">$2.5M to seal the </w:t>
      </w:r>
      <w:proofErr w:type="spellStart"/>
      <w:r w:rsidRPr="003B31BA">
        <w:t>Yarralin</w:t>
      </w:r>
      <w:proofErr w:type="spellEnd"/>
      <w:r w:rsidRPr="003B31BA">
        <w:t xml:space="preserve"> airstrip</w:t>
      </w:r>
    </w:p>
    <w:p w:rsidR="003B31BA" w:rsidRPr="003B31BA" w:rsidRDefault="003B31BA" w:rsidP="00E644C3">
      <w:pPr>
        <w:pStyle w:val="BOBodyBullet"/>
      </w:pPr>
      <w:r w:rsidRPr="003B31BA">
        <w:t xml:space="preserve">$2.5M to seal selected sections of the </w:t>
      </w:r>
      <w:proofErr w:type="spellStart"/>
      <w:r w:rsidRPr="003B31BA">
        <w:t>Lajamanu</w:t>
      </w:r>
      <w:proofErr w:type="spellEnd"/>
      <w:r w:rsidRPr="003B31BA">
        <w:t xml:space="preserve"> Access Road</w:t>
      </w:r>
    </w:p>
    <w:p w:rsidR="003B31BA" w:rsidRPr="003B31BA" w:rsidRDefault="003B31BA" w:rsidP="00E644C3">
      <w:pPr>
        <w:pStyle w:val="BOBodyBullet"/>
      </w:pPr>
      <w:r w:rsidRPr="003B31BA">
        <w:t xml:space="preserve">$2.2M for the </w:t>
      </w:r>
      <w:proofErr w:type="spellStart"/>
      <w:r w:rsidRPr="003B31BA">
        <w:t>Ngukurr</w:t>
      </w:r>
      <w:proofErr w:type="spellEnd"/>
      <w:r w:rsidRPr="003B31BA">
        <w:t xml:space="preserve"> Trade Training Centre</w:t>
      </w:r>
    </w:p>
    <w:p w:rsidR="003B31BA" w:rsidRDefault="003B31BA" w:rsidP="00E644C3">
      <w:pPr>
        <w:pStyle w:val="BOBodyBullet"/>
      </w:pPr>
      <w:r w:rsidRPr="003B31BA">
        <w:t>$1.5M to support new regional councils</w:t>
      </w:r>
    </w:p>
    <w:p w:rsidR="003B31BA" w:rsidRDefault="003B31BA" w:rsidP="003B31BA">
      <w:pPr>
        <w:rPr>
          <w:rFonts w:ascii="Arial MT Std Light" w:hAnsi="Arial MT Std Light" w:cs="Arial MT Std Light"/>
          <w:color w:val="EF7521"/>
          <w:w w:val="90"/>
          <w:sz w:val="20"/>
          <w:szCs w:val="20"/>
          <w:lang w:val="en-GB"/>
        </w:rPr>
      </w:pP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Central Australia</w:t>
      </w:r>
    </w:p>
    <w:p w:rsidR="003B31BA" w:rsidRPr="003B31BA" w:rsidRDefault="003B31BA" w:rsidP="00E644C3">
      <w:pPr>
        <w:pStyle w:val="BOBodyBullet"/>
      </w:pPr>
      <w:r w:rsidRPr="003B31BA">
        <w:t>$344.9M for better health</w:t>
      </w:r>
    </w:p>
    <w:p w:rsidR="003B31BA" w:rsidRPr="003B31BA" w:rsidRDefault="003B31BA" w:rsidP="00E644C3">
      <w:pPr>
        <w:pStyle w:val="BOBodyBullet"/>
      </w:pPr>
      <w:r w:rsidRPr="003B31BA">
        <w:t xml:space="preserve">$159.9M for safer communities </w:t>
      </w:r>
    </w:p>
    <w:p w:rsidR="003B31BA" w:rsidRPr="003B31BA" w:rsidRDefault="003B31BA" w:rsidP="00E644C3">
      <w:pPr>
        <w:pStyle w:val="BOBodyBullet"/>
      </w:pPr>
      <w:r w:rsidRPr="003B31BA">
        <w:t xml:space="preserve">$32.7M under National Partnership Agreements for new housing, upgrades and property and tenancy management </w:t>
      </w:r>
    </w:p>
    <w:p w:rsidR="003B31BA" w:rsidRPr="003B31BA" w:rsidRDefault="003B31BA" w:rsidP="00E644C3">
      <w:pPr>
        <w:pStyle w:val="BOBodyBullet"/>
      </w:pPr>
      <w:r w:rsidRPr="003B31BA">
        <w:t>$20.8M to help support the local economy</w:t>
      </w:r>
    </w:p>
    <w:p w:rsidR="003B31BA" w:rsidRPr="003B31BA" w:rsidRDefault="003B31BA" w:rsidP="00E644C3">
      <w:pPr>
        <w:pStyle w:val="BOBodyBullet"/>
      </w:pPr>
      <w:r w:rsidRPr="003B31BA">
        <w:t>$10.2M to continue and expand the Territory and Commonwealth governments’ Alice Springs Transformation Plan</w:t>
      </w:r>
    </w:p>
    <w:p w:rsidR="003B31BA" w:rsidRPr="003B31BA" w:rsidRDefault="003B31BA" w:rsidP="00E644C3">
      <w:pPr>
        <w:pStyle w:val="BOBodyBullet"/>
      </w:pPr>
      <w:r w:rsidRPr="003B31BA">
        <w:t>$7.3M to upgrade Outback Way roads</w:t>
      </w:r>
    </w:p>
    <w:p w:rsidR="003B31BA" w:rsidRPr="003B31BA" w:rsidRDefault="003B31BA" w:rsidP="00E644C3">
      <w:pPr>
        <w:pStyle w:val="BOBodyBullet"/>
      </w:pPr>
      <w:r w:rsidRPr="003B31BA">
        <w:t xml:space="preserve">$6.9M to develop and subdivide the </w:t>
      </w:r>
      <w:proofErr w:type="spellStart"/>
      <w:r w:rsidRPr="003B31BA">
        <w:t>Ilpeye</w:t>
      </w:r>
      <w:proofErr w:type="spellEnd"/>
      <w:r w:rsidRPr="003B31BA">
        <w:t> </w:t>
      </w:r>
      <w:proofErr w:type="spellStart"/>
      <w:r w:rsidRPr="003B31BA">
        <w:t>Ilpeye</w:t>
      </w:r>
      <w:proofErr w:type="spellEnd"/>
      <w:r w:rsidRPr="003B31BA">
        <w:t xml:space="preserve"> town camp</w:t>
      </w:r>
    </w:p>
    <w:p w:rsidR="003B31BA" w:rsidRPr="003B31BA" w:rsidRDefault="003B31BA" w:rsidP="00E644C3">
      <w:pPr>
        <w:pStyle w:val="BOBodyBullet"/>
      </w:pPr>
      <w:r w:rsidRPr="003B31BA">
        <w:t xml:space="preserve">$6.3M to progress land release in </w:t>
      </w:r>
      <w:proofErr w:type="spellStart"/>
      <w:r w:rsidRPr="003B31BA">
        <w:t>Kilgariff</w:t>
      </w:r>
      <w:proofErr w:type="spellEnd"/>
    </w:p>
    <w:p w:rsidR="003B31BA" w:rsidRPr="003B31BA" w:rsidRDefault="003B31BA" w:rsidP="00E644C3">
      <w:pPr>
        <w:pStyle w:val="BOBodyBullet"/>
      </w:pPr>
      <w:r w:rsidRPr="003B31BA">
        <w:t>$5.8M for the Alice Springs Desert Park</w:t>
      </w:r>
    </w:p>
    <w:p w:rsidR="003B31BA" w:rsidRPr="003B31BA" w:rsidRDefault="003B31BA" w:rsidP="00E644C3">
      <w:pPr>
        <w:pStyle w:val="BOBodyBullet"/>
      </w:pPr>
      <w:r w:rsidRPr="003B31BA">
        <w:t>$2.5M for tourism boardwalks</w:t>
      </w:r>
    </w:p>
    <w:p w:rsidR="003B31BA" w:rsidRPr="003B31BA" w:rsidRDefault="003B31BA" w:rsidP="00E644C3">
      <w:pPr>
        <w:pStyle w:val="BOBodyBullet"/>
      </w:pPr>
      <w:r w:rsidRPr="003B31BA">
        <w:t xml:space="preserve">$1.27M to stage the Alice Springs Masters Games and support the </w:t>
      </w:r>
      <w:proofErr w:type="spellStart"/>
      <w:r w:rsidRPr="003B31BA">
        <w:t>Imparja</w:t>
      </w:r>
      <w:proofErr w:type="spellEnd"/>
      <w:r w:rsidRPr="003B31BA">
        <w:t xml:space="preserve"> Cup</w:t>
      </w:r>
    </w:p>
    <w:p w:rsidR="003B31BA" w:rsidRDefault="003B31BA" w:rsidP="00E644C3">
      <w:pPr>
        <w:pStyle w:val="BOBodyBullet"/>
      </w:pPr>
      <w:r w:rsidRPr="003B31BA">
        <w:t>$0.47M for the assessment of mining impacts on surface and groundwater</w:t>
      </w:r>
    </w:p>
    <w:p w:rsidR="003B31BA" w:rsidRDefault="003B31BA" w:rsidP="003B31BA">
      <w:pPr>
        <w:rPr>
          <w:rFonts w:ascii="Arial MT Std Light" w:hAnsi="Arial MT Std Light" w:cs="Arial MT Std Light"/>
          <w:color w:val="EF7521"/>
          <w:w w:val="90"/>
          <w:sz w:val="20"/>
          <w:szCs w:val="20"/>
          <w:lang w:val="en-GB"/>
        </w:rPr>
      </w:pP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East Arnhem</w:t>
      </w:r>
    </w:p>
    <w:p w:rsidR="003B31BA" w:rsidRPr="003B31BA" w:rsidRDefault="003B31BA" w:rsidP="00E644C3">
      <w:pPr>
        <w:pStyle w:val="BOBodyBullet"/>
      </w:pPr>
      <w:r w:rsidRPr="003B31BA">
        <w:t>$88.9M for better schooling</w:t>
      </w:r>
    </w:p>
    <w:p w:rsidR="003B31BA" w:rsidRPr="003B31BA" w:rsidRDefault="003B31BA" w:rsidP="00E644C3">
      <w:pPr>
        <w:pStyle w:val="BOBodyBullet"/>
      </w:pPr>
      <w:r w:rsidRPr="003B31BA">
        <w:t>$48.1M for better health</w:t>
      </w:r>
    </w:p>
    <w:p w:rsidR="003B31BA" w:rsidRPr="003B31BA" w:rsidRDefault="003B31BA" w:rsidP="00E644C3">
      <w:pPr>
        <w:pStyle w:val="BOBodyBullet"/>
      </w:pPr>
      <w:r w:rsidRPr="003B31BA">
        <w:t xml:space="preserve">$28.2M for safer communities </w:t>
      </w:r>
    </w:p>
    <w:p w:rsidR="003B31BA" w:rsidRPr="003B31BA" w:rsidRDefault="003B31BA" w:rsidP="00E644C3">
      <w:pPr>
        <w:pStyle w:val="BOBodyBullet"/>
      </w:pPr>
      <w:r w:rsidRPr="003B31BA">
        <w:t xml:space="preserve">$12.3M to continue works in remote health clinics in </w:t>
      </w:r>
      <w:proofErr w:type="spellStart"/>
      <w:r w:rsidRPr="003B31BA">
        <w:t>Galiwin’ku</w:t>
      </w:r>
      <w:proofErr w:type="spellEnd"/>
      <w:r w:rsidRPr="003B31BA">
        <w:t xml:space="preserve"> and </w:t>
      </w:r>
      <w:proofErr w:type="spellStart"/>
      <w:r w:rsidRPr="003B31BA">
        <w:t>Numbulwar</w:t>
      </w:r>
      <w:proofErr w:type="spellEnd"/>
      <w:r w:rsidRPr="003B31BA">
        <w:t xml:space="preserve"> </w:t>
      </w:r>
    </w:p>
    <w:p w:rsidR="003B31BA" w:rsidRPr="003B31BA" w:rsidRDefault="003B31BA" w:rsidP="00E644C3">
      <w:pPr>
        <w:pStyle w:val="BOBodyBullet"/>
      </w:pPr>
      <w:r w:rsidRPr="003B31BA">
        <w:t xml:space="preserve">$12.9M under National Partnership Agreements for new housing, upgrades and property and tenancy management </w:t>
      </w:r>
    </w:p>
    <w:p w:rsidR="003B31BA" w:rsidRPr="003B31BA" w:rsidRDefault="003B31BA" w:rsidP="00E644C3">
      <w:pPr>
        <w:pStyle w:val="BOBodyBullet"/>
      </w:pPr>
      <w:r w:rsidRPr="003B31BA">
        <w:t>$10.6M for continued upgrades to the Central Arnhem Highway</w:t>
      </w:r>
    </w:p>
    <w:p w:rsidR="003B31BA" w:rsidRPr="003B31BA" w:rsidRDefault="003B31BA" w:rsidP="00E644C3">
      <w:pPr>
        <w:pStyle w:val="BOBodyBullet"/>
      </w:pPr>
      <w:r w:rsidRPr="003B31BA">
        <w:t>$11.5M to help support the local economy</w:t>
      </w:r>
    </w:p>
    <w:p w:rsidR="003B31BA" w:rsidRPr="003B31BA" w:rsidRDefault="003B31BA" w:rsidP="00E644C3">
      <w:pPr>
        <w:pStyle w:val="BOBodyBullet"/>
      </w:pPr>
      <w:r w:rsidRPr="003B31BA">
        <w:t>$6.2M to continue works on trade training centres across the East Arnhem region</w:t>
      </w:r>
    </w:p>
    <w:p w:rsidR="003B31BA" w:rsidRPr="003B31BA" w:rsidRDefault="003B31BA" w:rsidP="00E644C3">
      <w:pPr>
        <w:pStyle w:val="BOBodyBullet"/>
      </w:pPr>
      <w:r w:rsidRPr="003B31BA">
        <w:t xml:space="preserve">$2.82M to enhance a 50-bed prisoner work camp in </w:t>
      </w:r>
      <w:proofErr w:type="spellStart"/>
      <w:r w:rsidRPr="003B31BA">
        <w:t>Nhulunbuy</w:t>
      </w:r>
      <w:proofErr w:type="spellEnd"/>
    </w:p>
    <w:p w:rsidR="003B31BA" w:rsidRPr="003B31BA" w:rsidRDefault="003B31BA" w:rsidP="00E644C3">
      <w:pPr>
        <w:pStyle w:val="BOBodyBullet"/>
      </w:pPr>
      <w:r w:rsidRPr="003B31BA">
        <w:t>$0.25M for the Marine Ranger Program</w:t>
      </w:r>
    </w:p>
    <w:p w:rsidR="00194158" w:rsidRDefault="00194158">
      <w:pPr>
        <w:rPr>
          <w:rFonts w:ascii="Arial MT Std Light" w:hAnsi="Arial MT Std Light" w:cs="Arial MT Std Light"/>
          <w:color w:val="002C73"/>
          <w:spacing w:val="-3"/>
          <w:w w:val="90"/>
          <w:sz w:val="28"/>
          <w:szCs w:val="28"/>
          <w:lang w:val="en-GB"/>
        </w:rPr>
      </w:pP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lastRenderedPageBreak/>
        <w:t>Barkly</w:t>
      </w:r>
    </w:p>
    <w:p w:rsidR="003B31BA" w:rsidRPr="003B31BA" w:rsidRDefault="003B31BA" w:rsidP="00194158">
      <w:pPr>
        <w:pStyle w:val="BOBodyBullet"/>
      </w:pPr>
      <w:r w:rsidRPr="003B31BA">
        <w:t>$32.2M for better schooling</w:t>
      </w:r>
    </w:p>
    <w:p w:rsidR="003B31BA" w:rsidRPr="003B31BA" w:rsidRDefault="003B31BA" w:rsidP="00194158">
      <w:pPr>
        <w:pStyle w:val="BOBodyBullet"/>
      </w:pPr>
      <w:r w:rsidRPr="003B31BA">
        <w:t>$26.1M for safer communities</w:t>
      </w:r>
    </w:p>
    <w:p w:rsidR="003B31BA" w:rsidRPr="003B31BA" w:rsidRDefault="003B31BA" w:rsidP="00194158">
      <w:pPr>
        <w:pStyle w:val="BOBodyBullet"/>
      </w:pPr>
      <w:r w:rsidRPr="003B31BA">
        <w:t>$26.3M for better health</w:t>
      </w:r>
    </w:p>
    <w:p w:rsidR="003B31BA" w:rsidRPr="003B31BA" w:rsidRDefault="003B31BA" w:rsidP="00194158">
      <w:pPr>
        <w:pStyle w:val="BOBodyBullet"/>
      </w:pPr>
      <w:r w:rsidRPr="003B31BA">
        <w:t xml:space="preserve">$10.4M under National Partnership Agreements for new housing, upgrades and property and tenancy management </w:t>
      </w:r>
    </w:p>
    <w:p w:rsidR="003B31BA" w:rsidRPr="003B31BA" w:rsidRDefault="003B31BA" w:rsidP="00194158">
      <w:pPr>
        <w:pStyle w:val="BOBodyBullet"/>
      </w:pPr>
      <w:r w:rsidRPr="003B31BA">
        <w:t>$8.2M to upgrade the gas engines at Tennant Creek power station</w:t>
      </w:r>
    </w:p>
    <w:p w:rsidR="003B31BA" w:rsidRPr="003B31BA" w:rsidRDefault="003B31BA" w:rsidP="00194158">
      <w:pPr>
        <w:pStyle w:val="BOBodyBullet"/>
      </w:pPr>
      <w:r w:rsidRPr="003B31BA">
        <w:t>$5.8M to help support the local economy</w:t>
      </w:r>
    </w:p>
    <w:p w:rsidR="003B31BA" w:rsidRPr="003B31BA" w:rsidRDefault="003B31BA" w:rsidP="00194158">
      <w:pPr>
        <w:pStyle w:val="BOBodyBullet"/>
      </w:pPr>
      <w:r w:rsidRPr="003B31BA">
        <w:t>$5.18M to oversee the Commonwealth</w:t>
      </w:r>
      <w:r w:rsidRPr="003B31BA">
        <w:noBreakHyphen/>
        <w:t>funded Remote Indigenous Housing Community Benefits Package and youth accommodation initiatives</w:t>
      </w:r>
    </w:p>
    <w:p w:rsidR="003B31BA" w:rsidRPr="003B31BA" w:rsidRDefault="003B31BA" w:rsidP="00194158">
      <w:pPr>
        <w:pStyle w:val="BOBodyBullet"/>
      </w:pPr>
      <w:r w:rsidRPr="003B31BA">
        <w:t>$10.1M to continue works on the new remote health centres at Elliott and Canteen Creek</w:t>
      </w:r>
    </w:p>
    <w:p w:rsidR="003B31BA" w:rsidRDefault="003B31BA" w:rsidP="00194158">
      <w:pPr>
        <w:pStyle w:val="BOBodyBullet"/>
      </w:pPr>
      <w:r w:rsidRPr="003B31BA">
        <w:t>$2.5M to upgrade and seal the existing airstrip at Canteen Creek</w:t>
      </w:r>
    </w:p>
    <w:p w:rsidR="00664802" w:rsidRDefault="00664802"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Territory Wide</w:t>
      </w:r>
    </w:p>
    <w:p w:rsidR="003B31BA" w:rsidRPr="003B31BA" w:rsidRDefault="003B31BA" w:rsidP="00194158">
      <w:pPr>
        <w:pStyle w:val="BOBodyBullet"/>
      </w:pPr>
      <w:r w:rsidRPr="003B31BA">
        <w:t>$45M for the Regional Roads Productivity Package</w:t>
      </w:r>
    </w:p>
    <w:p w:rsidR="003B31BA" w:rsidRPr="003B31BA" w:rsidRDefault="003B31BA" w:rsidP="00194158">
      <w:pPr>
        <w:pStyle w:val="BOBodyBullet"/>
      </w:pPr>
      <w:r w:rsidRPr="003B31BA">
        <w:t>$32.2M to support homelands</w:t>
      </w:r>
    </w:p>
    <w:p w:rsidR="003B31BA" w:rsidRPr="003B31BA" w:rsidRDefault="003B31BA" w:rsidP="00194158">
      <w:pPr>
        <w:pStyle w:val="BOBodyBullet"/>
      </w:pPr>
      <w:r w:rsidRPr="003B31BA">
        <w:t>$30.8M for aeromedical retrieval services including patient-assisted travel</w:t>
      </w:r>
    </w:p>
    <w:p w:rsidR="003B31BA" w:rsidRPr="003B31BA" w:rsidRDefault="003B31BA" w:rsidP="00194158">
      <w:pPr>
        <w:pStyle w:val="BOBodyBullet"/>
      </w:pPr>
      <w:r w:rsidRPr="003B31BA">
        <w:t>$30M for strategic economic roads</w:t>
      </w:r>
    </w:p>
    <w:p w:rsidR="003B31BA" w:rsidRPr="003B31BA" w:rsidRDefault="003B31BA" w:rsidP="00194158">
      <w:pPr>
        <w:pStyle w:val="BOBodyBullet"/>
      </w:pPr>
      <w:r w:rsidRPr="003B31BA">
        <w:t xml:space="preserve">$28.3M for mandatory treatment alcohol reform programs </w:t>
      </w:r>
    </w:p>
    <w:p w:rsidR="003B31BA" w:rsidRPr="003B31BA" w:rsidRDefault="003B31BA" w:rsidP="00194158">
      <w:pPr>
        <w:pStyle w:val="BOBodyBullet"/>
      </w:pPr>
      <w:r w:rsidRPr="003B31BA">
        <w:t>$27.9M to subsidise pensioners, carers and seniors in the Territory</w:t>
      </w:r>
    </w:p>
    <w:p w:rsidR="003B31BA" w:rsidRPr="003B31BA" w:rsidRDefault="003B31BA" w:rsidP="00194158">
      <w:pPr>
        <w:pStyle w:val="BOBodyBullet"/>
      </w:pPr>
      <w:r w:rsidRPr="003B31BA">
        <w:t>$30.5M for grants to councils</w:t>
      </w:r>
    </w:p>
    <w:p w:rsidR="003B31BA" w:rsidRPr="003B31BA" w:rsidRDefault="003B31BA" w:rsidP="00194158">
      <w:pPr>
        <w:pStyle w:val="BOBodyBullet"/>
      </w:pPr>
      <w:r w:rsidRPr="003B31BA">
        <w:t>$24.6M to market and promote the Territory as a leisure tourism destination</w:t>
      </w:r>
    </w:p>
    <w:p w:rsidR="003B31BA" w:rsidRPr="003B31BA" w:rsidRDefault="003B31BA" w:rsidP="00194158">
      <w:pPr>
        <w:pStyle w:val="BOBodyBullet"/>
      </w:pPr>
      <w:r w:rsidRPr="003B31BA">
        <w:t>$24.4M for public housing, including refurbishing existing unit complexes</w:t>
      </w:r>
    </w:p>
    <w:p w:rsidR="003B31BA" w:rsidRPr="003B31BA" w:rsidRDefault="003B31BA" w:rsidP="00194158">
      <w:pPr>
        <w:pStyle w:val="BOBodyBullet"/>
      </w:pPr>
      <w:r w:rsidRPr="003B31BA">
        <w:t>$14.7M to assist the thoroughbred racing industry</w:t>
      </w:r>
    </w:p>
    <w:p w:rsidR="003B31BA" w:rsidRPr="003B31BA" w:rsidRDefault="003B31BA" w:rsidP="00194158">
      <w:pPr>
        <w:pStyle w:val="BOBodyBullet"/>
      </w:pPr>
      <w:r w:rsidRPr="003B31BA">
        <w:t>$8.6M to undertake asbestos removal from non-government buildings in 34 remote communities</w:t>
      </w:r>
    </w:p>
    <w:p w:rsidR="003B31BA" w:rsidRPr="003B31BA" w:rsidRDefault="003B31BA" w:rsidP="00194158">
      <w:pPr>
        <w:pStyle w:val="BOBodyBullet"/>
      </w:pPr>
      <w:r w:rsidRPr="003B31BA">
        <w:t>$7.12M for the newly independent Museum and Art Gallery of the Northern Territory</w:t>
      </w:r>
    </w:p>
    <w:p w:rsidR="003B31BA" w:rsidRPr="003B31BA" w:rsidRDefault="003B31BA" w:rsidP="00194158">
      <w:pPr>
        <w:pStyle w:val="BOBodyBullet"/>
      </w:pPr>
      <w:r w:rsidRPr="003B31BA">
        <w:t>$6.7M to manage and deliver geoscience and exploration data to the minerals and petroleum exploration industry</w:t>
      </w:r>
    </w:p>
    <w:p w:rsidR="003B31BA" w:rsidRPr="003B31BA" w:rsidRDefault="003B31BA" w:rsidP="00194158">
      <w:pPr>
        <w:pStyle w:val="BOBodyBullet"/>
      </w:pPr>
      <w:r w:rsidRPr="003B31BA">
        <w:t>$5.65M to support sporting peak bodies and active recreation organisations</w:t>
      </w:r>
    </w:p>
    <w:p w:rsidR="003B31BA" w:rsidRPr="003B31BA" w:rsidRDefault="003B31BA" w:rsidP="00194158">
      <w:pPr>
        <w:pStyle w:val="BOBodyBullet"/>
      </w:pPr>
      <w:r w:rsidRPr="003B31BA">
        <w:t>$5.5M to deliver sustainable municipal and essential services in rural and remote Indigenous communities</w:t>
      </w:r>
    </w:p>
    <w:p w:rsidR="003B31BA" w:rsidRDefault="003B31BA" w:rsidP="00194158">
      <w:pPr>
        <w:pStyle w:val="BOBodyBullet"/>
      </w:pPr>
      <w:r w:rsidRPr="003B31BA">
        <w:t>$5M to expand the Sports Voucher scheme to include recreational and cultural activities</w:t>
      </w:r>
    </w:p>
    <w:p w:rsidR="003B31BA" w:rsidRDefault="003B31BA">
      <w:pPr>
        <w:rPr>
          <w:rFonts w:ascii="Arial MT Std Light" w:hAnsi="Arial MT Std Light" w:cs="Arial MT Std Light"/>
          <w:color w:val="EF7521"/>
          <w:w w:val="90"/>
          <w:sz w:val="20"/>
          <w:szCs w:val="20"/>
          <w:lang w:val="en-GB"/>
        </w:rPr>
      </w:pPr>
      <w:r>
        <w:rPr>
          <w:rFonts w:ascii="Arial MT Std Light" w:hAnsi="Arial MT Std Light" w:cs="Arial MT Std Light"/>
          <w:color w:val="EF7521"/>
          <w:w w:val="90"/>
          <w:sz w:val="20"/>
          <w:szCs w:val="20"/>
          <w:lang w:val="en-GB"/>
        </w:rPr>
        <w:br w:type="page"/>
      </w:r>
    </w:p>
    <w:p w:rsidR="003B31BA" w:rsidRPr="003B31BA" w:rsidRDefault="003B31BA" w:rsidP="003B31BA">
      <w:pPr>
        <w:suppressAutoHyphens/>
        <w:autoSpaceDE w:val="0"/>
        <w:autoSpaceDN w:val="0"/>
        <w:adjustRightInd w:val="0"/>
        <w:spacing w:after="113" w:line="600" w:lineRule="atLeast"/>
        <w:textAlignment w:val="baseline"/>
        <w:rPr>
          <w:rFonts w:ascii="Arial MT Std" w:hAnsi="Arial MT Std" w:cs="Arial MT Std"/>
          <w:b/>
          <w:bCs/>
          <w:color w:val="EF7521"/>
          <w:spacing w:val="-7"/>
          <w:w w:val="85"/>
          <w:sz w:val="60"/>
          <w:szCs w:val="60"/>
          <w:lang w:val="en-GB"/>
        </w:rPr>
      </w:pPr>
      <w:r w:rsidRPr="003B31BA">
        <w:rPr>
          <w:rFonts w:ascii="Arial MT Std" w:hAnsi="Arial MT Std" w:cs="Arial MT Std"/>
          <w:b/>
          <w:bCs/>
          <w:color w:val="EF7521"/>
          <w:spacing w:val="-7"/>
          <w:w w:val="85"/>
          <w:sz w:val="60"/>
          <w:szCs w:val="60"/>
          <w:lang w:val="en-GB"/>
        </w:rPr>
        <w:lastRenderedPageBreak/>
        <w:t>Community Safety</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 xml:space="preserve">15 Budget commits $709 million to reducing crime and increasing community safety for all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The Territory Government continues to focus on all areas of law and order, including reducing alcohol</w:t>
      </w:r>
      <w:r w:rsidRPr="003B31BA">
        <w:rPr>
          <w:rFonts w:ascii="Arial MT Std Light" w:hAnsi="Arial MT Std Light" w:cs="Arial MT Std Light"/>
          <w:color w:val="000000"/>
          <w:w w:val="90"/>
          <w:sz w:val="20"/>
          <w:szCs w:val="20"/>
          <w:lang w:val="en-GB"/>
        </w:rPr>
        <w:noBreakHyphen/>
        <w:t>related crime, as well as property offences, house break</w:t>
      </w:r>
      <w:r w:rsidRPr="003B31BA">
        <w:rPr>
          <w:rFonts w:ascii="Arial MT Std Light" w:hAnsi="Arial MT Std Light" w:cs="Arial MT Std Light"/>
          <w:color w:val="000000"/>
          <w:w w:val="90"/>
          <w:sz w:val="20"/>
          <w:szCs w:val="20"/>
          <w:lang w:val="en-GB"/>
        </w:rPr>
        <w:noBreakHyphen/>
        <w:t>ins, theft and property damage.</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 xml:space="preserve">Community Safety </w:t>
      </w:r>
    </w:p>
    <w:p w:rsidR="003B31BA" w:rsidRPr="003B31BA" w:rsidRDefault="003B31BA" w:rsidP="003B31BA">
      <w:pPr>
        <w:suppressAutoHyphens/>
        <w:autoSpaceDE w:val="0"/>
        <w:autoSpaceDN w:val="0"/>
        <w:adjustRightInd w:val="0"/>
        <w:spacing w:before="57" w:after="0" w:line="288" w:lineRule="auto"/>
        <w:textAlignment w:val="center"/>
        <w:rPr>
          <w:rFonts w:ascii="Arial MT Std Light" w:hAnsi="Arial MT Std Light" w:cs="Arial MT Std Light"/>
          <w:color w:val="002C73"/>
          <w:w w:val="90"/>
          <w:lang w:val="en-GB"/>
        </w:rPr>
      </w:pPr>
      <w:r w:rsidRPr="003B31BA">
        <w:rPr>
          <w:rFonts w:ascii="Arial MT Std Light" w:hAnsi="Arial MT Std Light" w:cs="Arial MT Std Light"/>
          <w:color w:val="002C73"/>
          <w:w w:val="90"/>
          <w:lang w:val="en-GB"/>
        </w:rPr>
        <w:t>Northern Territory Domestic and Family Violence Reduction Strategy</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Northern Territory Domestic and Family Violence Reduction Strategy will be implemented in 2014, addressing domestic violence by focusing on prevention, early intervention, protection, rebuilding the lives of victims and their children, as well as accountability and positive change for perpetrators.</w:t>
      </w:r>
    </w:p>
    <w:p w:rsidR="003B31BA" w:rsidRPr="003B31BA" w:rsidRDefault="003B31BA" w:rsidP="003B31BA">
      <w:pPr>
        <w:suppressAutoHyphens/>
        <w:autoSpaceDE w:val="0"/>
        <w:autoSpaceDN w:val="0"/>
        <w:adjustRightInd w:val="0"/>
        <w:spacing w:before="57" w:after="0" w:line="288" w:lineRule="auto"/>
        <w:textAlignment w:val="center"/>
        <w:rPr>
          <w:rFonts w:ascii="Arial MT Std Light" w:hAnsi="Arial MT Std Light" w:cs="Arial MT Std Light"/>
          <w:color w:val="002C73"/>
          <w:w w:val="90"/>
          <w:lang w:val="en-GB"/>
        </w:rPr>
      </w:pPr>
      <w:r w:rsidRPr="003B31BA">
        <w:rPr>
          <w:rFonts w:ascii="Arial MT Std Light" w:hAnsi="Arial MT Std Light" w:cs="Arial MT Std Light"/>
          <w:color w:val="002C73"/>
          <w:w w:val="90"/>
          <w:lang w:val="en-GB"/>
        </w:rPr>
        <w:t>Mandatory Rehabilitation</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Territory Government continues to provide support for mandatory rehabilitation for problem drinkers. Since inception, more than 300 people have been assessed and provided with medical withdrawal and rehabilitation services.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15 Budget provides for the establishment of custom</w:t>
      </w:r>
      <w:r w:rsidRPr="003B31BA">
        <w:rPr>
          <w:rFonts w:ascii="Arial MT Std Light" w:hAnsi="Arial MT Std Light" w:cs="Arial MT Std Light"/>
          <w:color w:val="000000"/>
          <w:w w:val="90"/>
          <w:sz w:val="20"/>
          <w:szCs w:val="20"/>
          <w:lang w:val="en-GB"/>
        </w:rPr>
        <w:noBreakHyphen/>
        <w:t xml:space="preserve">designed mandatory rehabilitation facilities, including: </w:t>
      </w:r>
    </w:p>
    <w:p w:rsidR="003B31BA" w:rsidRPr="003B31BA" w:rsidRDefault="003B31BA" w:rsidP="00194158">
      <w:pPr>
        <w:pStyle w:val="BOBodyBullet"/>
      </w:pPr>
      <w:r w:rsidRPr="003B31BA">
        <w:t xml:space="preserve">the Darwin services transferring to a facility in </w:t>
      </w:r>
      <w:proofErr w:type="spellStart"/>
      <w:r w:rsidRPr="003B31BA">
        <w:t>Berrimah</w:t>
      </w:r>
      <w:proofErr w:type="spellEnd"/>
      <w:r w:rsidRPr="003B31BA">
        <w:t>, following its refurbishment into a therapeutic environment;</w:t>
      </w:r>
    </w:p>
    <w:p w:rsidR="003B31BA" w:rsidRPr="003B31BA" w:rsidRDefault="003B31BA" w:rsidP="00194158">
      <w:pPr>
        <w:pStyle w:val="BOBodyBullet"/>
      </w:pPr>
      <w:r w:rsidRPr="003B31BA">
        <w:t>a secure treatment facility in Katherine to complement expanded assessment capacity at Katherine Hospital;</w:t>
      </w:r>
    </w:p>
    <w:p w:rsidR="003B31BA" w:rsidRPr="003B31BA" w:rsidRDefault="003B31BA" w:rsidP="00194158">
      <w:pPr>
        <w:pStyle w:val="BOBodyBullet"/>
      </w:pPr>
      <w:r w:rsidRPr="003B31BA">
        <w:t>assessment and treatment facilities being developed in Tennant Creek; and</w:t>
      </w:r>
    </w:p>
    <w:p w:rsidR="003B31BA" w:rsidRPr="003B31BA" w:rsidRDefault="003B31BA" w:rsidP="00194158">
      <w:pPr>
        <w:pStyle w:val="BOBodyBullet"/>
      </w:pPr>
      <w:proofErr w:type="gramStart"/>
      <w:r w:rsidRPr="003B31BA">
        <w:t>increased</w:t>
      </w:r>
      <w:proofErr w:type="gramEnd"/>
      <w:r w:rsidRPr="003B31BA">
        <w:t xml:space="preserve"> capacity in Alice Springs.</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2C73"/>
          <w:spacing w:val="-3"/>
          <w:w w:val="90"/>
          <w:sz w:val="30"/>
          <w:szCs w:val="30"/>
          <w:lang w:val="en-GB"/>
        </w:rPr>
        <w:t>Strengthening Police Services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15 Budget also continues to support frontline policing through technology and facility upgrades including:</w:t>
      </w:r>
    </w:p>
    <w:p w:rsidR="003B31BA" w:rsidRPr="003B31BA" w:rsidRDefault="003B31BA" w:rsidP="00194158">
      <w:pPr>
        <w:pStyle w:val="BOBodyBullet"/>
      </w:pPr>
      <w:r w:rsidRPr="003B31BA">
        <w:t>installation of five new CCTV cameras at the Elizabeth River boat ramp, which will also be monitored by the CCTV Unit in Darwin;</w:t>
      </w:r>
    </w:p>
    <w:p w:rsidR="003B31BA" w:rsidRPr="003B31BA" w:rsidRDefault="003B31BA" w:rsidP="00194158">
      <w:pPr>
        <w:pStyle w:val="BOBodyBullet"/>
      </w:pPr>
      <w:r w:rsidRPr="003B31BA">
        <w:t>$4.34 million to continue to operate 24/7 front counter services at the Alice Springs Police Station, as well as upgrade and support the Northern Territory Joint Emergency Services Communication Centre (JESCC) to build on significant improvements in answer times over the past year. The funding includes $1.5 million to continue refurbishment of facilities at JESCC and additional technological resources to allow police to be dispatched to incidents electronically via new tablets; and</w:t>
      </w:r>
    </w:p>
    <w:p w:rsidR="003B31BA" w:rsidRPr="003B31BA" w:rsidRDefault="003B31BA" w:rsidP="00194158">
      <w:pPr>
        <w:pStyle w:val="BOBodyBullet"/>
      </w:pPr>
      <w:r w:rsidRPr="003B31BA">
        <w:t>$3.96 million for continued upgrades for information, communication and technology systems, including $0.91 million to upgrade the NT Fire Alarm System Transmission.</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A further $0.466 million is provided in 2014-15 for a Water Police program to provide marine ranger training.</w:t>
      </w:r>
    </w:p>
    <w:p w:rsidR="003B31BA" w:rsidRPr="003B31BA" w:rsidRDefault="003B31BA" w:rsidP="003B31BA">
      <w:pPr>
        <w:keepLines/>
        <w:suppressAutoHyphens/>
        <w:autoSpaceDE w:val="0"/>
        <w:autoSpaceDN w:val="0"/>
        <w:adjustRightInd w:val="0"/>
        <w:spacing w:before="113"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Upgraded and New Police Facilities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15 Budget provides $39.7 million for police infrastructure, including:</w:t>
      </w:r>
    </w:p>
    <w:p w:rsidR="003B31BA" w:rsidRPr="003B31BA" w:rsidRDefault="003B31BA" w:rsidP="00194158">
      <w:pPr>
        <w:pStyle w:val="BOBodyBullet"/>
      </w:pPr>
      <w:r w:rsidRPr="003B31BA">
        <w:t xml:space="preserve">$9 million to redevelop the Alice Springs Police Station; </w:t>
      </w:r>
    </w:p>
    <w:p w:rsidR="003B31BA" w:rsidRPr="003B31BA" w:rsidRDefault="003B31BA" w:rsidP="00194158">
      <w:pPr>
        <w:pStyle w:val="BOBodyBullet"/>
      </w:pPr>
      <w:r w:rsidRPr="003B31BA">
        <w:t xml:space="preserve">$15.6 million to construct police facilities in </w:t>
      </w:r>
      <w:proofErr w:type="spellStart"/>
      <w:r w:rsidRPr="003B31BA">
        <w:t>Arlparra</w:t>
      </w:r>
      <w:proofErr w:type="spellEnd"/>
      <w:r w:rsidRPr="003B31BA">
        <w:t xml:space="preserve">, </w:t>
      </w:r>
      <w:proofErr w:type="spellStart"/>
      <w:r w:rsidRPr="003B31BA">
        <w:t>Yuendumu</w:t>
      </w:r>
      <w:proofErr w:type="spellEnd"/>
      <w:r w:rsidRPr="003B31BA">
        <w:t xml:space="preserve"> and </w:t>
      </w:r>
      <w:proofErr w:type="spellStart"/>
      <w:r w:rsidRPr="003B31BA">
        <w:t>Pirlangimpi</w:t>
      </w:r>
      <w:proofErr w:type="spellEnd"/>
      <w:r w:rsidRPr="003B31BA">
        <w:t xml:space="preserve">; </w:t>
      </w:r>
    </w:p>
    <w:p w:rsidR="003B31BA" w:rsidRPr="003B31BA" w:rsidRDefault="003B31BA" w:rsidP="00194158">
      <w:pPr>
        <w:pStyle w:val="BOBodyBullet"/>
      </w:pPr>
      <w:r w:rsidRPr="003B31BA">
        <w:t xml:space="preserve">$1.8 million for overnight police facilities in Mount </w:t>
      </w:r>
      <w:proofErr w:type="spellStart"/>
      <w:r w:rsidRPr="003B31BA">
        <w:t>Leibig</w:t>
      </w:r>
      <w:proofErr w:type="spellEnd"/>
      <w:r w:rsidRPr="003B31BA">
        <w:t xml:space="preserve">, </w:t>
      </w:r>
      <w:proofErr w:type="spellStart"/>
      <w:r w:rsidRPr="003B31BA">
        <w:t>Areyonga</w:t>
      </w:r>
      <w:proofErr w:type="spellEnd"/>
      <w:r w:rsidRPr="003B31BA">
        <w:t xml:space="preserve"> and Robinson River; and</w:t>
      </w:r>
    </w:p>
    <w:p w:rsidR="003B31BA" w:rsidRPr="003B31BA" w:rsidRDefault="003B31BA" w:rsidP="00194158">
      <w:pPr>
        <w:pStyle w:val="BOBodyBullet"/>
      </w:pPr>
      <w:r w:rsidRPr="003B31BA">
        <w:t xml:space="preserve">$8.4 million for repairs and maintenance for police, fire and emergency services facilities. </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 xml:space="preserve">Supporting the Justice System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15 Budget provides new facilities and additional support for the justice system through:</w:t>
      </w:r>
    </w:p>
    <w:p w:rsidR="003B31BA" w:rsidRPr="003B31BA" w:rsidRDefault="003B31BA" w:rsidP="00194158">
      <w:pPr>
        <w:pStyle w:val="BOBodyBullet"/>
      </w:pPr>
      <w:r w:rsidRPr="003B31BA">
        <w:t>$3 million for a new Supreme Court in Alice Springs;</w:t>
      </w:r>
    </w:p>
    <w:p w:rsidR="003B31BA" w:rsidRPr="003B31BA" w:rsidRDefault="003B31BA" w:rsidP="00194158">
      <w:pPr>
        <w:pStyle w:val="BOBodyBullet"/>
      </w:pPr>
      <w:r w:rsidRPr="003B31BA">
        <w:t>$3.36 million to establish and operate the Northern Territory Civil and Administrative Tribunal. The tribunal is being established to provide a single, easy to find, easy to use, non</w:t>
      </w:r>
      <w:r w:rsidRPr="003B31BA">
        <w:noBreakHyphen/>
        <w:t>judicial body, for fair and independent resolution of disputes relating to administrative decisions; and</w:t>
      </w:r>
    </w:p>
    <w:p w:rsidR="003B31BA" w:rsidRPr="003B31BA" w:rsidRDefault="003B31BA" w:rsidP="00194158">
      <w:pPr>
        <w:pStyle w:val="BOBodyBullet"/>
      </w:pPr>
      <w:r w:rsidRPr="003B31BA">
        <w:t>$0.3 million to the Office of the Commissioner for Information and Public Interest Disclosures to strengthen capacity to investigate claims of serious improper conduct and corruption within public sector organisations.</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lastRenderedPageBreak/>
        <w:t xml:space="preserve">Enhanced Correctional Services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15 Budget also provides:</w:t>
      </w:r>
    </w:p>
    <w:p w:rsidR="003B31BA" w:rsidRPr="003B31BA" w:rsidRDefault="003B31BA" w:rsidP="00194158">
      <w:pPr>
        <w:pStyle w:val="BOBodyBullet"/>
      </w:pPr>
      <w:r w:rsidRPr="003B31BA">
        <w:t>$2.45 million to establish a 50</w:t>
      </w:r>
      <w:r w:rsidRPr="003B31BA">
        <w:noBreakHyphen/>
        <w:t xml:space="preserve">bed regional work camp at </w:t>
      </w:r>
      <w:proofErr w:type="spellStart"/>
      <w:r w:rsidRPr="003B31BA">
        <w:t>Nhulunbuy</w:t>
      </w:r>
      <w:proofErr w:type="spellEnd"/>
      <w:r w:rsidRPr="003B31BA">
        <w:t xml:space="preserve">; </w:t>
      </w:r>
    </w:p>
    <w:p w:rsidR="003B31BA" w:rsidRPr="003B31BA" w:rsidRDefault="003B31BA" w:rsidP="00194158">
      <w:pPr>
        <w:pStyle w:val="BOBodyBullet"/>
      </w:pPr>
      <w:r w:rsidRPr="003B31BA">
        <w:t>$1 million to provide enhanced electronic monitoring and surveillance of offenders in the community; and</w:t>
      </w:r>
    </w:p>
    <w:p w:rsidR="003B31BA" w:rsidRPr="003B31BA" w:rsidRDefault="003B31BA" w:rsidP="00194158">
      <w:pPr>
        <w:pStyle w:val="BOBodyBullet"/>
      </w:pPr>
      <w:r w:rsidRPr="003B31BA">
        <w:t>$2.3 million to establish and operate a mental health facility at the Darwin Correctional Precinct.</w:t>
      </w:r>
    </w:p>
    <w:p w:rsidR="003B31BA" w:rsidRPr="003B31BA" w:rsidRDefault="003B31BA" w:rsidP="003B31BA">
      <w:pPr>
        <w:keepLines/>
        <w:suppressAutoHyphens/>
        <w:autoSpaceDE w:val="0"/>
        <w:autoSpaceDN w:val="0"/>
        <w:adjustRightInd w:val="0"/>
        <w:spacing w:before="113"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 xml:space="preserve">Youth Support </w:t>
      </w:r>
    </w:p>
    <w:p w:rsidR="003B31BA" w:rsidRPr="003B31BA" w:rsidRDefault="003B31BA" w:rsidP="00194158">
      <w:pPr>
        <w:pStyle w:val="BOBodyText"/>
      </w:pPr>
      <w:r w:rsidRPr="003B31BA">
        <w:t>The 2014</w:t>
      </w:r>
      <w:r w:rsidRPr="003B31BA">
        <w:noBreakHyphen/>
        <w:t>15 Budget focuses on improving youth justice facilities and services to help reduce the number of young people at risk of offending and re</w:t>
      </w:r>
      <w:r w:rsidRPr="003B31BA">
        <w:noBreakHyphen/>
        <w:t>offending with the development of the Youth Justice Framework and includes:</w:t>
      </w:r>
    </w:p>
    <w:p w:rsidR="003B31BA" w:rsidRPr="003B31BA" w:rsidRDefault="003B31BA" w:rsidP="00194158">
      <w:pPr>
        <w:pStyle w:val="BOBodyBullet"/>
      </w:pPr>
      <w:r w:rsidRPr="003B31BA">
        <w:t>$9.75 million for youth detention across the Territory to provide a safe, structured, secure and supportive environment for young offenders; and</w:t>
      </w:r>
    </w:p>
    <w:p w:rsidR="003B31BA" w:rsidRPr="003B31BA" w:rsidRDefault="003B31BA" w:rsidP="00194158">
      <w:pPr>
        <w:pStyle w:val="BOBodyBullet"/>
      </w:pPr>
      <w:r w:rsidRPr="003B31BA">
        <w:t>$5.65 million for early intervention targeted youth programs including boot camps and community-based diversion programs for young people at risk of entering, or in, the youth justice system.</w:t>
      </w:r>
    </w:p>
    <w:p w:rsidR="003B31BA" w:rsidRPr="003B31BA" w:rsidRDefault="003B31BA" w:rsidP="003B31BA">
      <w:pPr>
        <w:keepLines/>
        <w:suppressAutoHyphens/>
        <w:autoSpaceDE w:val="0"/>
        <w:autoSpaceDN w:val="0"/>
        <w:adjustRightInd w:val="0"/>
        <w:spacing w:before="113"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Darwin Correctional Precinct</w:t>
      </w:r>
    </w:p>
    <w:p w:rsidR="003B31BA" w:rsidRPr="003B31BA" w:rsidRDefault="003B31BA" w:rsidP="00194158">
      <w:pPr>
        <w:pStyle w:val="BOBodyText"/>
      </w:pPr>
      <w:r w:rsidRPr="003B31BA">
        <w:t xml:space="preserve">The 2014-15 Budget provides $70.7 million for costs associated with the commencement and operation of the new Darwin Correctional Precinct at </w:t>
      </w:r>
      <w:proofErr w:type="spellStart"/>
      <w:r w:rsidRPr="003B31BA">
        <w:t>Holtze</w:t>
      </w:r>
      <w:proofErr w:type="spellEnd"/>
      <w:r w:rsidRPr="003B31BA">
        <w:t>.</w:t>
      </w:r>
    </w:p>
    <w:p w:rsidR="003B31BA" w:rsidRPr="003B31BA" w:rsidRDefault="003B31BA" w:rsidP="00194158">
      <w:pPr>
        <w:pStyle w:val="BOBodyText"/>
      </w:pPr>
      <w:r w:rsidRPr="003B31BA">
        <w:t>The facility is designed to maximise education, training and employment opportunities for inmates in line with the Government’s focus on reducing re</w:t>
      </w:r>
      <w:r w:rsidRPr="003B31BA">
        <w:noBreakHyphen/>
        <w:t xml:space="preserve">offending across the Territory. </w:t>
      </w:r>
    </w:p>
    <w:p w:rsidR="003B31BA" w:rsidRPr="003B31BA" w:rsidRDefault="003B31BA" w:rsidP="00194158">
      <w:pPr>
        <w:pStyle w:val="BOBodyText"/>
      </w:pPr>
      <w:r w:rsidRPr="003B31BA">
        <w:t>The precinct will see the establishment of Northern Territory Correctional Industries, providing more opportunities for inmates to receive valuable training to assist reintegration into the community and reduce the risk of recidivism.</w:t>
      </w:r>
    </w:p>
    <w:p w:rsidR="003B31BA" w:rsidRPr="003B31BA" w:rsidRDefault="003B31BA" w:rsidP="00194158">
      <w:pPr>
        <w:pStyle w:val="BOBodyText"/>
      </w:pPr>
      <w:r w:rsidRPr="003B31BA">
        <w:t>The Budget also includes $1.85 million to support ‘Sentenced to a Job’ and the continued enhancement of prison industries at Alice Springs Correctional Centre.</w:t>
      </w:r>
    </w:p>
    <w:p w:rsidR="003B31BA" w:rsidRDefault="003B31BA">
      <w:r>
        <w:br w:type="page"/>
      </w:r>
    </w:p>
    <w:p w:rsidR="003B31BA" w:rsidRPr="003B31BA" w:rsidRDefault="003B31BA" w:rsidP="003B31BA">
      <w:pPr>
        <w:suppressAutoHyphens/>
        <w:autoSpaceDE w:val="0"/>
        <w:autoSpaceDN w:val="0"/>
        <w:adjustRightInd w:val="0"/>
        <w:spacing w:after="113" w:line="600" w:lineRule="atLeast"/>
        <w:textAlignment w:val="baseline"/>
        <w:rPr>
          <w:rFonts w:ascii="Arial MT Std" w:hAnsi="Arial MT Std" w:cs="Arial MT Std"/>
          <w:b/>
          <w:bCs/>
          <w:color w:val="EF7521"/>
          <w:spacing w:val="-7"/>
          <w:w w:val="85"/>
          <w:sz w:val="60"/>
          <w:szCs w:val="60"/>
          <w:lang w:val="en-GB"/>
        </w:rPr>
      </w:pPr>
      <w:r w:rsidRPr="003B31BA">
        <w:rPr>
          <w:rFonts w:ascii="Arial MT Std" w:hAnsi="Arial MT Std" w:cs="Arial MT Std"/>
          <w:b/>
          <w:bCs/>
          <w:color w:val="EF7521"/>
          <w:spacing w:val="-7"/>
          <w:w w:val="85"/>
          <w:sz w:val="60"/>
          <w:szCs w:val="60"/>
          <w:lang w:val="en-GB"/>
        </w:rPr>
        <w:lastRenderedPageBreak/>
        <w:t>Education and Training</w:t>
      </w:r>
    </w:p>
    <w:p w:rsidR="003B31BA" w:rsidRPr="003B31BA" w:rsidRDefault="003B31BA" w:rsidP="003B31BA">
      <w:pPr>
        <w:keepLines/>
        <w:suppressAutoHyphens/>
        <w:autoSpaceDE w:val="0"/>
        <w:autoSpaceDN w:val="0"/>
        <w:adjustRightInd w:val="0"/>
        <w:spacing w:before="113"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Education Reform</w:t>
      </w:r>
    </w:p>
    <w:p w:rsidR="003B31BA" w:rsidRPr="003B31BA" w:rsidRDefault="003B31BA" w:rsidP="00194158">
      <w:pPr>
        <w:pStyle w:val="BOBodyText"/>
      </w:pPr>
      <w:r w:rsidRPr="003B31BA">
        <w:t>The 2014</w:t>
      </w:r>
      <w:r w:rsidRPr="003B31BA">
        <w:noBreakHyphen/>
        <w:t xml:space="preserve">15 Budget includes $17 million over three years to support implementation of a suite of reforms, such as the independent public schools initiative and global school budgeting. The reforms will increase school autonomy by facilitating greater local decision making to improve school performance, school leadership and teaching quality. </w:t>
      </w:r>
    </w:p>
    <w:p w:rsidR="003B31BA" w:rsidRPr="003B31BA" w:rsidRDefault="003B31BA" w:rsidP="00194158">
      <w:pPr>
        <w:pStyle w:val="BOBodyText"/>
      </w:pPr>
      <w:r w:rsidRPr="003B31BA">
        <w:t xml:space="preserve">The reforms are being supported by a review of the </w:t>
      </w:r>
      <w:r w:rsidRPr="003B31BA">
        <w:rPr>
          <w:i/>
          <w:iCs/>
        </w:rPr>
        <w:t>Education Act</w:t>
      </w:r>
      <w:r w:rsidRPr="003B31BA">
        <w:t>, which presents an opportunity to introduce the best elements of successful initiatives and reforms in other jurisdictions and internationally that have shown evidence of improving education outcomes.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rtl/>
          <w:lang w:val="en-GB" w:bidi="ar-YE"/>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 xml:space="preserve">15 Budget supports Territory students and families to maximise educational outcomes, reduce cost of living pressures on families and support post-school education. </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Improving Educational Facilities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provides new, and upgrades existing, school infrastructure across the Territory. New infrastructure projects include providing additional classrooms and educational facilities and new services to support special needs students.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2014-15 Budget provides $83.9 million for new education</w:t>
      </w:r>
      <w:r w:rsidRPr="003B31BA">
        <w:rPr>
          <w:rFonts w:ascii="Arial MT Std Light" w:hAnsi="Arial MT Std Light" w:cs="Arial MT Std Light"/>
          <w:color w:val="000000"/>
          <w:w w:val="90"/>
          <w:sz w:val="20"/>
          <w:szCs w:val="20"/>
          <w:lang w:val="en-GB"/>
        </w:rPr>
        <w:noBreakHyphen/>
        <w:t>related infrastructure priorities, including:</w:t>
      </w:r>
    </w:p>
    <w:p w:rsidR="003B31BA" w:rsidRPr="003B31BA" w:rsidRDefault="003B31BA" w:rsidP="00194158">
      <w:pPr>
        <w:pStyle w:val="BOBodyBullet"/>
      </w:pPr>
      <w:r w:rsidRPr="003B31BA">
        <w:t>$5 million to construct boarding facilities to provide bush students improved access to secondary education, being the first year of a four-year, $40.5 million program;</w:t>
      </w:r>
    </w:p>
    <w:p w:rsidR="003B31BA" w:rsidRPr="003B31BA" w:rsidRDefault="003B31BA" w:rsidP="00194158">
      <w:pPr>
        <w:pStyle w:val="BOBodyBullet"/>
      </w:pPr>
      <w:r w:rsidRPr="003B31BA">
        <w:t xml:space="preserve">$1.2 million to extend </w:t>
      </w:r>
      <w:proofErr w:type="spellStart"/>
      <w:r w:rsidRPr="003B31BA">
        <w:t>Rosebery</w:t>
      </w:r>
      <w:proofErr w:type="spellEnd"/>
      <w:r w:rsidRPr="003B31BA">
        <w:t xml:space="preserve"> Preschool to provide additional enrolment places;</w:t>
      </w:r>
    </w:p>
    <w:p w:rsidR="003B31BA" w:rsidRPr="003B31BA" w:rsidRDefault="003B31BA" w:rsidP="00194158">
      <w:pPr>
        <w:pStyle w:val="BOBodyBullet"/>
      </w:pPr>
      <w:r w:rsidRPr="003B31BA">
        <w:t>$11.6 million for construction of the Northern Territory Open Education Centre, including a $3 million contribution from INPEX;</w:t>
      </w:r>
    </w:p>
    <w:p w:rsidR="003B31BA" w:rsidRPr="003B31BA" w:rsidRDefault="003B31BA" w:rsidP="00194158">
      <w:pPr>
        <w:pStyle w:val="BOBodyBullet"/>
      </w:pPr>
      <w:r w:rsidRPr="003B31BA">
        <w:t xml:space="preserve">$5.2 million for extra classroom space and related works at </w:t>
      </w:r>
      <w:proofErr w:type="spellStart"/>
      <w:r w:rsidRPr="003B31BA">
        <w:t>Maningrida</w:t>
      </w:r>
      <w:proofErr w:type="spellEnd"/>
      <w:r w:rsidRPr="003B31BA">
        <w:t xml:space="preserve">, </w:t>
      </w:r>
      <w:proofErr w:type="spellStart"/>
      <w:r w:rsidRPr="003B31BA">
        <w:t>Galiwin’ku</w:t>
      </w:r>
      <w:proofErr w:type="spellEnd"/>
      <w:r w:rsidRPr="003B31BA">
        <w:t xml:space="preserve">, </w:t>
      </w:r>
      <w:proofErr w:type="spellStart"/>
      <w:r w:rsidRPr="003B31BA">
        <w:t>Borroloola</w:t>
      </w:r>
      <w:proofErr w:type="spellEnd"/>
      <w:r w:rsidRPr="003B31BA">
        <w:t xml:space="preserve">, </w:t>
      </w:r>
      <w:proofErr w:type="spellStart"/>
      <w:r w:rsidRPr="003B31BA">
        <w:t>Ntaria</w:t>
      </w:r>
      <w:proofErr w:type="spellEnd"/>
      <w:r w:rsidRPr="003B31BA">
        <w:t xml:space="preserve"> and </w:t>
      </w:r>
      <w:proofErr w:type="spellStart"/>
      <w:r w:rsidRPr="003B31BA">
        <w:t>Alekarenge</w:t>
      </w:r>
      <w:proofErr w:type="spellEnd"/>
      <w:r w:rsidRPr="003B31BA">
        <w:t xml:space="preserve"> schools to meet higher student attendance needs; </w:t>
      </w:r>
    </w:p>
    <w:p w:rsidR="003B31BA" w:rsidRPr="003B31BA" w:rsidRDefault="003B31BA" w:rsidP="00194158">
      <w:pPr>
        <w:pStyle w:val="BOBodyBullet"/>
      </w:pPr>
      <w:r w:rsidRPr="003B31BA">
        <w:t>$1.2 million for the redevelopment of the Batchelor Outdoor Education Centre;</w:t>
      </w:r>
    </w:p>
    <w:p w:rsidR="003B31BA" w:rsidRPr="003B31BA" w:rsidRDefault="003B31BA" w:rsidP="00194158">
      <w:pPr>
        <w:pStyle w:val="BOBodyBullet"/>
      </w:pPr>
      <w:r w:rsidRPr="003B31BA">
        <w:t xml:space="preserve">$1 million to extend the preschool at </w:t>
      </w:r>
      <w:proofErr w:type="spellStart"/>
      <w:r w:rsidRPr="003B31BA">
        <w:t>Durack</w:t>
      </w:r>
      <w:proofErr w:type="spellEnd"/>
      <w:r w:rsidRPr="003B31BA">
        <w:t xml:space="preserve"> Primary School; and</w:t>
      </w:r>
    </w:p>
    <w:p w:rsidR="003B31BA" w:rsidRPr="003B31BA" w:rsidRDefault="003B31BA" w:rsidP="00194158">
      <w:pPr>
        <w:pStyle w:val="BOBodyBullet"/>
      </w:pPr>
      <w:r w:rsidRPr="003B31BA">
        <w:t xml:space="preserve">$1.5 million to provide two permanent classrooms and a flexible learning space at </w:t>
      </w:r>
      <w:proofErr w:type="spellStart"/>
      <w:r w:rsidRPr="003B31BA">
        <w:t>Larrakeyah</w:t>
      </w:r>
      <w:proofErr w:type="spellEnd"/>
      <w:r w:rsidRPr="003B31BA">
        <w:t xml:space="preserve"> Primary School.</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In addition to infrastructure funding in the 2014-15 Budget, the government has committed to new facilities over the next four years, including:</w:t>
      </w:r>
    </w:p>
    <w:p w:rsidR="003B31BA" w:rsidRPr="003B31BA" w:rsidRDefault="003B31BA" w:rsidP="00194158">
      <w:pPr>
        <w:pStyle w:val="BOBodyBullet"/>
      </w:pPr>
      <w:r w:rsidRPr="003B31BA">
        <w:t xml:space="preserve">$37 million over two stages for a new preschool and primary school in </w:t>
      </w:r>
      <w:proofErr w:type="spellStart"/>
      <w:r w:rsidRPr="003B31BA">
        <w:t>Zuccoli</w:t>
      </w:r>
      <w:proofErr w:type="spellEnd"/>
      <w:r w:rsidRPr="003B31BA">
        <w:t>;</w:t>
      </w:r>
    </w:p>
    <w:p w:rsidR="003B31BA" w:rsidRPr="003B31BA" w:rsidRDefault="003B31BA" w:rsidP="00194158">
      <w:pPr>
        <w:pStyle w:val="BOBodyBullet"/>
      </w:pPr>
      <w:r w:rsidRPr="003B31BA">
        <w:t xml:space="preserve">$20 million for a new special school in </w:t>
      </w:r>
      <w:proofErr w:type="spellStart"/>
      <w:r w:rsidRPr="003B31BA">
        <w:t>Bellamack</w:t>
      </w:r>
      <w:proofErr w:type="spellEnd"/>
      <w:r w:rsidRPr="003B31BA">
        <w:t>; and</w:t>
      </w:r>
    </w:p>
    <w:p w:rsidR="003B31BA" w:rsidRPr="003B31BA" w:rsidRDefault="003B31BA" w:rsidP="00194158">
      <w:pPr>
        <w:pStyle w:val="BOBodyBullet"/>
      </w:pPr>
      <w:r w:rsidRPr="003B31BA">
        <w:t xml:space="preserve">$10 million for special school infrastructure in the northern suburbs.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15 Budget includes $9.2 million for minor new works in 44 schools across the Territory, including:</w:t>
      </w:r>
    </w:p>
    <w:p w:rsidR="003B31BA" w:rsidRPr="003B31BA" w:rsidRDefault="003B31BA" w:rsidP="00194158">
      <w:pPr>
        <w:pStyle w:val="BOBodyBullet"/>
      </w:pPr>
      <w:r w:rsidRPr="003B31BA">
        <w:t xml:space="preserve">$1.2 million to install and upgrade playground equipment and outdoor learning areas in schools across the Territory; </w:t>
      </w:r>
    </w:p>
    <w:p w:rsidR="003B31BA" w:rsidRPr="003B31BA" w:rsidRDefault="003B31BA" w:rsidP="00194158">
      <w:pPr>
        <w:pStyle w:val="BOBodyBullet"/>
      </w:pPr>
      <w:r w:rsidRPr="003B31BA">
        <w:t>$1.63 million to resolve flooding and drainage issues and upgrade ablutions at schools across the Territory;</w:t>
      </w:r>
    </w:p>
    <w:p w:rsidR="003B31BA" w:rsidRPr="003B31BA" w:rsidRDefault="003B31BA" w:rsidP="00194158">
      <w:pPr>
        <w:pStyle w:val="BOBodyBullet"/>
      </w:pPr>
      <w:r w:rsidRPr="003B31BA">
        <w:t xml:space="preserve">$0.45 million to install and upgrade basketball and netball courts at </w:t>
      </w:r>
      <w:proofErr w:type="spellStart"/>
      <w:r w:rsidRPr="003B31BA">
        <w:t>Centralian</w:t>
      </w:r>
      <w:proofErr w:type="spellEnd"/>
      <w:r w:rsidRPr="003B31BA">
        <w:t xml:space="preserve"> Senior College, Darwin Middle School, </w:t>
      </w:r>
      <w:proofErr w:type="spellStart"/>
      <w:r w:rsidRPr="003B31BA">
        <w:t>Wagaman</w:t>
      </w:r>
      <w:proofErr w:type="spellEnd"/>
      <w:r w:rsidRPr="003B31BA">
        <w:t xml:space="preserve"> Primary School and </w:t>
      </w:r>
      <w:proofErr w:type="spellStart"/>
      <w:r w:rsidRPr="003B31BA">
        <w:t>Woolianna</w:t>
      </w:r>
      <w:proofErr w:type="spellEnd"/>
      <w:r w:rsidRPr="003B31BA">
        <w:t xml:space="preserve"> School; </w:t>
      </w:r>
    </w:p>
    <w:p w:rsidR="003B31BA" w:rsidRPr="003B31BA" w:rsidRDefault="003B31BA" w:rsidP="00194158">
      <w:pPr>
        <w:pStyle w:val="BOBodyBullet"/>
      </w:pPr>
      <w:r w:rsidRPr="003B31BA">
        <w:t xml:space="preserve">$0.3 million for disabled and special needs access modifications in schools across the Territory; </w:t>
      </w:r>
    </w:p>
    <w:p w:rsidR="003B31BA" w:rsidRPr="003B31BA" w:rsidRDefault="003B31BA" w:rsidP="00194158">
      <w:pPr>
        <w:pStyle w:val="BOBodyBullet"/>
      </w:pPr>
      <w:r w:rsidRPr="003B31BA">
        <w:t>$0.45 million to improve parking, security and access at Sanderson Middle School;</w:t>
      </w:r>
    </w:p>
    <w:p w:rsidR="003B31BA" w:rsidRPr="003B31BA" w:rsidRDefault="003B31BA" w:rsidP="00194158">
      <w:pPr>
        <w:pStyle w:val="BOBodyBullet"/>
      </w:pPr>
      <w:r w:rsidRPr="003B31BA">
        <w:t xml:space="preserve">$0.2 million to upgrade facilities at </w:t>
      </w:r>
      <w:proofErr w:type="spellStart"/>
      <w:r w:rsidRPr="003B31BA">
        <w:t>Pularumpi</w:t>
      </w:r>
      <w:proofErr w:type="spellEnd"/>
      <w:r w:rsidRPr="003B31BA">
        <w:t xml:space="preserve"> School;</w:t>
      </w:r>
    </w:p>
    <w:p w:rsidR="003B31BA" w:rsidRPr="003B31BA" w:rsidRDefault="003B31BA" w:rsidP="00194158">
      <w:pPr>
        <w:pStyle w:val="BOBodyBullet"/>
      </w:pPr>
      <w:r w:rsidRPr="003B31BA">
        <w:t xml:space="preserve">$0.4 million to upgrade the administration area at </w:t>
      </w:r>
      <w:proofErr w:type="spellStart"/>
      <w:r w:rsidRPr="003B31BA">
        <w:t>Wulagi</w:t>
      </w:r>
      <w:proofErr w:type="spellEnd"/>
      <w:r w:rsidRPr="003B31BA">
        <w:t xml:space="preserve"> Primary School as part of modernising the school; </w:t>
      </w:r>
    </w:p>
    <w:p w:rsidR="003B31BA" w:rsidRPr="003B31BA" w:rsidRDefault="003B31BA" w:rsidP="00194158">
      <w:pPr>
        <w:pStyle w:val="BOBodyBullet"/>
      </w:pPr>
      <w:r w:rsidRPr="003B31BA">
        <w:t>$0.4 million to relocate and refurbish the English/humanities faculty room at Darwin High School;</w:t>
      </w:r>
    </w:p>
    <w:p w:rsidR="003B31BA" w:rsidRPr="003B31BA" w:rsidRDefault="003B31BA" w:rsidP="00194158">
      <w:pPr>
        <w:pStyle w:val="BOBodyBullet"/>
      </w:pPr>
      <w:r w:rsidRPr="003B31BA">
        <w:t xml:space="preserve">$0.3 million to construct a new boundary fence at </w:t>
      </w:r>
      <w:proofErr w:type="spellStart"/>
      <w:r w:rsidRPr="003B31BA">
        <w:t>Ntaria</w:t>
      </w:r>
      <w:proofErr w:type="spellEnd"/>
      <w:r w:rsidRPr="003B31BA">
        <w:t> School; and</w:t>
      </w:r>
    </w:p>
    <w:p w:rsidR="003B31BA" w:rsidRPr="003B31BA" w:rsidRDefault="003B31BA" w:rsidP="00194158">
      <w:pPr>
        <w:pStyle w:val="BOBodyBullet"/>
      </w:pPr>
      <w:r w:rsidRPr="003B31BA">
        <w:t xml:space="preserve">$0.5 million to install additional gutters and covered walkways at Dripstone Middle School, </w:t>
      </w:r>
      <w:proofErr w:type="spellStart"/>
      <w:r w:rsidRPr="003B31BA">
        <w:t>Jingili</w:t>
      </w:r>
      <w:proofErr w:type="spellEnd"/>
      <w:r w:rsidRPr="003B31BA">
        <w:t xml:space="preserve"> Primary School and </w:t>
      </w:r>
      <w:proofErr w:type="spellStart"/>
      <w:r w:rsidRPr="003B31BA">
        <w:t>Rosebery</w:t>
      </w:r>
      <w:proofErr w:type="spellEnd"/>
      <w:r w:rsidRPr="003B31BA">
        <w:t xml:space="preserve"> Primary School.</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lastRenderedPageBreak/>
        <w:t>The 2014</w:t>
      </w:r>
      <w:r w:rsidRPr="003B31BA">
        <w:rPr>
          <w:rFonts w:ascii="Arial MT Std Light" w:hAnsi="Arial MT Std Light" w:cs="Arial MT Std Light"/>
          <w:color w:val="000000"/>
          <w:w w:val="90"/>
          <w:sz w:val="20"/>
          <w:szCs w:val="20"/>
          <w:lang w:val="en-GB"/>
        </w:rPr>
        <w:noBreakHyphen/>
        <w:t xml:space="preserve">15 Budget also includes $34.9 million for repairs and maintenance of schools across the Territory, to repair ageing assets needing major mechanical, plumbing and roofing works, conduct regular tree inspections, improve energy efficiency of </w:t>
      </w:r>
      <w:proofErr w:type="gramStart"/>
      <w:r w:rsidRPr="003B31BA">
        <w:rPr>
          <w:rFonts w:ascii="Arial MT Std Light" w:hAnsi="Arial MT Std Light" w:cs="Arial MT Std Light"/>
          <w:color w:val="000000"/>
          <w:w w:val="90"/>
          <w:sz w:val="20"/>
          <w:szCs w:val="20"/>
          <w:lang w:val="en-GB"/>
        </w:rPr>
        <w:t>older</w:t>
      </w:r>
      <w:proofErr w:type="gramEnd"/>
      <w:r w:rsidRPr="003B31BA">
        <w:rPr>
          <w:rFonts w:ascii="Arial MT Std Light" w:hAnsi="Arial MT Std Light" w:cs="Arial MT Std Light"/>
          <w:color w:val="000000"/>
          <w:w w:val="90"/>
          <w:sz w:val="20"/>
          <w:szCs w:val="20"/>
          <w:lang w:val="en-GB"/>
        </w:rPr>
        <w:t xml:space="preserve"> buildings and fund retrospective building certification and compliance issues. The funding includes $4 million for remote schools in Central Australia.</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Training Opportunities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creates opportunities for skills development throughout the Territory to deliver lifelong learning for all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xml:space="preserve">, including: </w:t>
      </w:r>
    </w:p>
    <w:p w:rsidR="003B31BA" w:rsidRPr="003B31BA" w:rsidRDefault="003B31BA" w:rsidP="00194158">
      <w:pPr>
        <w:pStyle w:val="BOBodyBullet"/>
      </w:pPr>
      <w:r w:rsidRPr="003B31BA">
        <w:t xml:space="preserve">$42 million in Territory and Commonwealth funding for Charles Darwin University and the Batchelor Institute of Indigenous Tertiary Education to deliver qualifications to </w:t>
      </w:r>
      <w:proofErr w:type="spellStart"/>
      <w:r w:rsidRPr="003B31BA">
        <w:t>Territorians</w:t>
      </w:r>
      <w:proofErr w:type="spellEnd"/>
      <w:r w:rsidRPr="003B31BA">
        <w:t xml:space="preserve"> to develop new skills or build on existing skills for employment opportunities;</w:t>
      </w:r>
    </w:p>
    <w:p w:rsidR="003B31BA" w:rsidRPr="003B31BA" w:rsidRDefault="003B31BA" w:rsidP="00194158">
      <w:pPr>
        <w:pStyle w:val="BOBodyBullet"/>
      </w:pPr>
      <w:r w:rsidRPr="003B31BA">
        <w:t>$4.66 million in Territory and Commonwealth funding for the Apprenticeship and Traineeship Support package for training of apprentices and trainees, and supporting their employers;</w:t>
      </w:r>
    </w:p>
    <w:p w:rsidR="003B31BA" w:rsidRPr="003B31BA" w:rsidRDefault="003B31BA" w:rsidP="00194158">
      <w:pPr>
        <w:pStyle w:val="BOBodyBullet"/>
      </w:pPr>
      <w:r w:rsidRPr="003B31BA">
        <w:t>$5 million to provide vocational education, training and employment pathways in schools, including through trade training centres and pre</w:t>
      </w:r>
      <w:r w:rsidRPr="003B31BA">
        <w:noBreakHyphen/>
        <w:t>employment programs across the Territory in partnership with industry;</w:t>
      </w:r>
    </w:p>
    <w:p w:rsidR="003B31BA" w:rsidRPr="003B31BA" w:rsidRDefault="003B31BA" w:rsidP="00194158">
      <w:pPr>
        <w:pStyle w:val="BOBodyBullet"/>
      </w:pPr>
      <w:r w:rsidRPr="003B31BA">
        <w:t xml:space="preserve">$5.7 million in partnership with the Commonwealth to assist </w:t>
      </w:r>
      <w:proofErr w:type="spellStart"/>
      <w:r w:rsidRPr="003B31BA">
        <w:t>Territorians</w:t>
      </w:r>
      <w:proofErr w:type="spellEnd"/>
      <w:r w:rsidRPr="003B31BA">
        <w:t xml:space="preserve"> to achieve their first qualification at Certificate III or above through private training providers; </w:t>
      </w:r>
    </w:p>
    <w:p w:rsidR="003B31BA" w:rsidRPr="003B31BA" w:rsidRDefault="003B31BA" w:rsidP="00194158">
      <w:pPr>
        <w:pStyle w:val="BOBodyBullet"/>
      </w:pPr>
      <w:r w:rsidRPr="003B31BA">
        <w:t xml:space="preserve">$2.45 million for continued support for Indigenous </w:t>
      </w:r>
      <w:proofErr w:type="spellStart"/>
      <w:r w:rsidRPr="003B31BA">
        <w:t>Territorians</w:t>
      </w:r>
      <w:proofErr w:type="spellEnd"/>
      <w:r w:rsidRPr="003B31BA">
        <w:t xml:space="preserve"> to access training that links to community projects with employment outcomes, improved employability skills or enterprise development; and</w:t>
      </w:r>
    </w:p>
    <w:p w:rsidR="003B31BA" w:rsidRPr="003B31BA" w:rsidRDefault="003B31BA" w:rsidP="00194158">
      <w:pPr>
        <w:pStyle w:val="BOBodyBullet"/>
      </w:pPr>
      <w:r w:rsidRPr="003B31BA">
        <w:t xml:space="preserve">$1 million in partnership with the Commonwealth to continue implementing the Stronger Futures Local Jobs Program to deliver up to 100 additional traineeships for Indigenous </w:t>
      </w:r>
      <w:proofErr w:type="spellStart"/>
      <w:r w:rsidRPr="003B31BA">
        <w:t>Territorians</w:t>
      </w:r>
      <w:proofErr w:type="spellEnd"/>
      <w:r w:rsidRPr="003B31BA">
        <w:t xml:space="preserve"> in remote communities by June 2016.</w:t>
      </w:r>
    </w:p>
    <w:p w:rsidR="003B31BA" w:rsidRPr="003B31BA" w:rsidRDefault="003B31BA" w:rsidP="003B31BA">
      <w:pPr>
        <w:keepLines/>
        <w:suppressAutoHyphens/>
        <w:autoSpaceDE w:val="0"/>
        <w:autoSpaceDN w:val="0"/>
        <w:adjustRightInd w:val="0"/>
        <w:spacing w:before="113"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Reducing the Cost of Living</w:t>
      </w:r>
    </w:p>
    <w:p w:rsidR="003B31BA" w:rsidRPr="003B31BA" w:rsidRDefault="003B31BA" w:rsidP="00194158">
      <w:pPr>
        <w:pStyle w:val="BOBodyText"/>
      </w:pPr>
      <w:r w:rsidRPr="003B31BA">
        <w:t>The 2014-15 Budget provides additional funding to help reduce day</w:t>
      </w:r>
      <w:r w:rsidRPr="003B31BA">
        <w:noBreakHyphen/>
        <w:t>to</w:t>
      </w:r>
      <w:r w:rsidRPr="003B31BA">
        <w:noBreakHyphen/>
        <w:t>day costs faced by Territory families.</w:t>
      </w:r>
    </w:p>
    <w:p w:rsidR="003B31BA" w:rsidRPr="003B31BA" w:rsidRDefault="003B31BA" w:rsidP="003B31BA">
      <w:pPr>
        <w:suppressAutoHyphens/>
        <w:autoSpaceDE w:val="0"/>
        <w:autoSpaceDN w:val="0"/>
        <w:adjustRightInd w:val="0"/>
        <w:spacing w:before="57" w:after="0" w:line="288" w:lineRule="auto"/>
        <w:textAlignment w:val="center"/>
        <w:rPr>
          <w:rFonts w:ascii="Arial MT Std Light" w:hAnsi="Arial MT Std Light" w:cs="Arial MT Std Light"/>
          <w:color w:val="002C73"/>
          <w:w w:val="90"/>
          <w:lang w:val="en-GB"/>
        </w:rPr>
      </w:pPr>
      <w:r w:rsidRPr="003B31BA">
        <w:rPr>
          <w:rFonts w:ascii="Arial MT Std Light" w:hAnsi="Arial MT Std Light" w:cs="Arial MT Std Light"/>
          <w:color w:val="002C73"/>
          <w:w w:val="90"/>
          <w:lang w:val="en-GB"/>
        </w:rPr>
        <w:t>Northern Territory Early Childhood Services Subsidy</w:t>
      </w:r>
    </w:p>
    <w:p w:rsidR="003B31BA" w:rsidRPr="003B31BA" w:rsidRDefault="003B31BA" w:rsidP="00194158">
      <w:pPr>
        <w:pStyle w:val="BOBodyText"/>
      </w:pPr>
      <w:r w:rsidRPr="003B31BA">
        <w:t>The 2014</w:t>
      </w:r>
      <w:r w:rsidRPr="003B31BA">
        <w:noBreakHyphen/>
        <w:t>15 Budget provides $5.9 million for the Northern Territory Early Childhood Services Subsidy, including additional funding of $1.3 million to expand the scheme to include family day care and $0.4 million to increase the subsidy by 10 per cent.</w:t>
      </w:r>
    </w:p>
    <w:p w:rsidR="003B31BA" w:rsidRPr="003B31BA" w:rsidRDefault="003B31BA" w:rsidP="00194158">
      <w:pPr>
        <w:pStyle w:val="BOBodyText"/>
      </w:pPr>
      <w:r w:rsidRPr="003B31BA">
        <w:t xml:space="preserve">The subsidy of $30 per week contributes around $1445 per year towards the cost of day care for children under the age of two, and $22 per week (around $1067 per year) for children aged between two and five. </w:t>
      </w:r>
    </w:p>
    <w:p w:rsidR="003B31BA" w:rsidRPr="003B31BA" w:rsidRDefault="003B31BA" w:rsidP="003B31BA">
      <w:pPr>
        <w:suppressAutoHyphens/>
        <w:autoSpaceDE w:val="0"/>
        <w:autoSpaceDN w:val="0"/>
        <w:adjustRightInd w:val="0"/>
        <w:spacing w:before="57" w:after="0" w:line="288" w:lineRule="auto"/>
        <w:textAlignment w:val="center"/>
        <w:rPr>
          <w:rFonts w:ascii="Arial MT Std Light" w:hAnsi="Arial MT Std Light" w:cs="Arial MT Std Light"/>
          <w:color w:val="002C73"/>
          <w:w w:val="90"/>
          <w:lang w:val="en-GB"/>
        </w:rPr>
      </w:pPr>
      <w:r w:rsidRPr="003B31BA">
        <w:rPr>
          <w:rFonts w:ascii="Arial MT Std Light" w:hAnsi="Arial MT Std Light" w:cs="Arial MT Std Light"/>
          <w:color w:val="002C73"/>
          <w:w w:val="90"/>
          <w:lang w:val="en-GB"/>
        </w:rPr>
        <w:t xml:space="preserve">Sports Voucher </w:t>
      </w:r>
    </w:p>
    <w:p w:rsidR="003B31BA" w:rsidRPr="003B31BA" w:rsidRDefault="003B31BA" w:rsidP="00194158">
      <w:pPr>
        <w:pStyle w:val="BOBodyText"/>
      </w:pPr>
      <w:r w:rsidRPr="003B31BA">
        <w:t>The 2014</w:t>
      </w:r>
      <w:r w:rsidRPr="003B31BA">
        <w:noBreakHyphen/>
        <w:t>15 Budget provides a $5 million increase to the Government’s Sports Voucher scheme, increasing the annual voucher from $75 to $200. The voucher will be available twice a year ($100 in July and $100 in January) and has been expanded to include other recreation and cultural activities. The expanded scheme also allows vouchers to be used for learn</w:t>
      </w:r>
      <w:r w:rsidRPr="003B31BA">
        <w:noBreakHyphen/>
        <w:t>to</w:t>
      </w:r>
      <w:r w:rsidRPr="003B31BA">
        <w:noBreakHyphen/>
        <w:t xml:space="preserve">swim lessons for children up to five years of age. </w:t>
      </w:r>
    </w:p>
    <w:p w:rsidR="003B31BA" w:rsidRPr="003B31BA" w:rsidRDefault="003B31BA" w:rsidP="003B31BA">
      <w:pPr>
        <w:suppressAutoHyphens/>
        <w:autoSpaceDE w:val="0"/>
        <w:autoSpaceDN w:val="0"/>
        <w:adjustRightInd w:val="0"/>
        <w:spacing w:before="57" w:after="0" w:line="288" w:lineRule="auto"/>
        <w:textAlignment w:val="center"/>
        <w:rPr>
          <w:rFonts w:ascii="Arial MT Std Light" w:hAnsi="Arial MT Std Light" w:cs="Arial MT Std Light"/>
          <w:color w:val="002C73"/>
          <w:w w:val="90"/>
          <w:lang w:val="en-GB"/>
        </w:rPr>
      </w:pPr>
      <w:r w:rsidRPr="003B31BA">
        <w:rPr>
          <w:rFonts w:ascii="Arial MT Std Light" w:hAnsi="Arial MT Std Light" w:cs="Arial MT Std Light"/>
          <w:color w:val="002C73"/>
          <w:w w:val="90"/>
          <w:lang w:val="en-GB"/>
        </w:rPr>
        <w:t>Back to School Payment</w:t>
      </w:r>
    </w:p>
    <w:p w:rsidR="003B31BA" w:rsidRPr="003B31BA" w:rsidRDefault="003B31BA" w:rsidP="00194158">
      <w:pPr>
        <w:pStyle w:val="BOBodyText"/>
      </w:pPr>
      <w:r w:rsidRPr="003B31BA">
        <w:t>The 2014</w:t>
      </w:r>
      <w:r w:rsidRPr="003B31BA">
        <w:noBreakHyphen/>
        <w:t>15 Budget includes $6.6 million to continue providing the Back to School Payment Scheme of $150 per student across all Territory schools. The scheme assists parents with expenses such as school uniforms and textbooks.</w:t>
      </w:r>
    </w:p>
    <w:p w:rsidR="003B31BA" w:rsidRDefault="003B31BA">
      <w:r>
        <w:br w:type="page"/>
      </w:r>
    </w:p>
    <w:p w:rsidR="003B31BA" w:rsidRPr="003B31BA" w:rsidRDefault="003B31BA" w:rsidP="003B31BA">
      <w:pPr>
        <w:suppressAutoHyphens/>
        <w:autoSpaceDE w:val="0"/>
        <w:autoSpaceDN w:val="0"/>
        <w:adjustRightInd w:val="0"/>
        <w:spacing w:after="113" w:line="600" w:lineRule="atLeast"/>
        <w:textAlignment w:val="baseline"/>
        <w:rPr>
          <w:rFonts w:ascii="Arial MT Std" w:hAnsi="Arial MT Std" w:cs="Arial MT Std"/>
          <w:b/>
          <w:bCs/>
          <w:color w:val="EF7521"/>
          <w:spacing w:val="-7"/>
          <w:w w:val="85"/>
          <w:sz w:val="60"/>
          <w:szCs w:val="60"/>
          <w:lang w:val="en-GB"/>
        </w:rPr>
      </w:pPr>
      <w:r w:rsidRPr="003B31BA">
        <w:rPr>
          <w:rFonts w:ascii="Arial MT Std" w:hAnsi="Arial MT Std" w:cs="Arial MT Std"/>
          <w:b/>
          <w:bCs/>
          <w:color w:val="EF7521"/>
          <w:spacing w:val="-7"/>
          <w:w w:val="85"/>
          <w:sz w:val="60"/>
          <w:szCs w:val="60"/>
          <w:lang w:val="en-GB"/>
        </w:rPr>
        <w:lastRenderedPageBreak/>
        <w:t>Health and Wellbeing</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w:t>
      </w:r>
      <w:r w:rsidRPr="003B31BA">
        <w:rPr>
          <w:rFonts w:ascii="Arial MT Std Light" w:hAnsi="Arial MT Std Light" w:cs="Arial MT Std Light"/>
          <w:color w:val="000000"/>
          <w:w w:val="90"/>
          <w:sz w:val="20"/>
          <w:szCs w:val="20"/>
          <w:lang w:val="en-GB"/>
        </w:rPr>
        <w:noBreakHyphen/>
        <w:t xml:space="preserve">15 Budget supports the health and wellbeing of all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xml:space="preserve"> by investing in health infrastructure and services with $1.35 billion in total health</w:t>
      </w:r>
      <w:r w:rsidRPr="003B31BA">
        <w:rPr>
          <w:rFonts w:ascii="Arial MT Std Light" w:hAnsi="Arial MT Std Light" w:cs="Arial MT Std Light"/>
          <w:color w:val="000000"/>
          <w:w w:val="90"/>
          <w:sz w:val="20"/>
          <w:szCs w:val="20"/>
          <w:lang w:val="en-GB"/>
        </w:rPr>
        <w:noBreakHyphen/>
        <w:t>related expenditure.</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proofErr w:type="spellStart"/>
      <w:r w:rsidRPr="003B31BA">
        <w:rPr>
          <w:rFonts w:ascii="Arial MT Std Light" w:hAnsi="Arial MT Std Light" w:cs="Arial MT Std Light"/>
          <w:color w:val="002C73"/>
          <w:spacing w:val="-3"/>
          <w:w w:val="90"/>
          <w:sz w:val="30"/>
          <w:szCs w:val="30"/>
          <w:lang w:val="en-GB"/>
        </w:rPr>
        <w:t>Palmerston</w:t>
      </w:r>
      <w:proofErr w:type="spellEnd"/>
      <w:r w:rsidRPr="003B31BA">
        <w:rPr>
          <w:rFonts w:ascii="Arial MT Std Light" w:hAnsi="Arial MT Std Light" w:cs="Arial MT Std Light"/>
          <w:color w:val="002C73"/>
          <w:spacing w:val="-3"/>
          <w:w w:val="90"/>
          <w:sz w:val="30"/>
          <w:szCs w:val="30"/>
          <w:lang w:val="en-GB"/>
        </w:rPr>
        <w:t xml:space="preserve"> Regional Hospital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w:t>
      </w:r>
      <w:proofErr w:type="gramStart"/>
      <w:r w:rsidRPr="003B31BA">
        <w:rPr>
          <w:rFonts w:ascii="Arial MT Std Light" w:hAnsi="Arial MT Std Light" w:cs="Arial MT Std Light"/>
          <w:color w:val="000000"/>
          <w:w w:val="90"/>
          <w:sz w:val="20"/>
          <w:szCs w:val="20"/>
          <w:lang w:val="en-GB"/>
        </w:rPr>
        <w:t>Budget</w:t>
      </w:r>
      <w:proofErr w:type="gramEnd"/>
      <w:r w:rsidRPr="003B31BA">
        <w:rPr>
          <w:rFonts w:ascii="Arial MT Std Light" w:hAnsi="Arial MT Std Light" w:cs="Arial MT Std Light"/>
          <w:color w:val="000000"/>
          <w:w w:val="90"/>
          <w:sz w:val="20"/>
          <w:szCs w:val="20"/>
          <w:lang w:val="en-GB"/>
        </w:rPr>
        <w:t xml:space="preserve"> confirms the $150 million Commonwealth and Territory government-funded </w:t>
      </w:r>
      <w:proofErr w:type="spellStart"/>
      <w:r w:rsidRPr="003B31BA">
        <w:rPr>
          <w:rFonts w:ascii="Arial MT Std Light" w:hAnsi="Arial MT Std Light" w:cs="Arial MT Std Light"/>
          <w:color w:val="000000"/>
          <w:w w:val="90"/>
          <w:sz w:val="20"/>
          <w:szCs w:val="20"/>
          <w:lang w:val="en-GB"/>
        </w:rPr>
        <w:t>Palmerston</w:t>
      </w:r>
      <w:proofErr w:type="spellEnd"/>
      <w:r w:rsidRPr="003B31BA">
        <w:rPr>
          <w:rFonts w:ascii="Arial MT Std Light" w:hAnsi="Arial MT Std Light" w:cs="Arial MT Std Light"/>
          <w:color w:val="000000"/>
          <w:w w:val="90"/>
          <w:sz w:val="20"/>
          <w:szCs w:val="20"/>
          <w:lang w:val="en-GB"/>
        </w:rPr>
        <w:t xml:space="preserve"> Regional Hospital development.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hospital will deliver an emergency department and also provide medical and surgical services including cardiology, renal medicine, cancer services, paediatric, antenatal and postnatal obstetric services.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proofErr w:type="spellStart"/>
      <w:r w:rsidRPr="003B31BA">
        <w:rPr>
          <w:rFonts w:ascii="Arial MT Std Light" w:hAnsi="Arial MT Std Light" w:cs="Arial MT Std Light"/>
          <w:color w:val="000000"/>
          <w:w w:val="90"/>
          <w:sz w:val="20"/>
          <w:szCs w:val="20"/>
          <w:lang w:val="en-GB"/>
        </w:rPr>
        <w:t>Palmerston</w:t>
      </w:r>
      <w:proofErr w:type="spellEnd"/>
      <w:r w:rsidRPr="003B31BA">
        <w:rPr>
          <w:rFonts w:ascii="Arial MT Std Light" w:hAnsi="Arial MT Std Light" w:cs="Arial MT Std Light"/>
          <w:color w:val="000000"/>
          <w:w w:val="90"/>
          <w:sz w:val="20"/>
          <w:szCs w:val="20"/>
          <w:lang w:val="en-GB"/>
        </w:rPr>
        <w:t xml:space="preserve"> Regional Hospital </w:t>
      </w:r>
      <w:proofErr w:type="spellStart"/>
      <w:r w:rsidRPr="003B31BA">
        <w:rPr>
          <w:rFonts w:ascii="Arial MT Std Light" w:hAnsi="Arial MT Std Light" w:cs="Arial MT Std Light"/>
          <w:color w:val="000000"/>
          <w:w w:val="90"/>
          <w:sz w:val="20"/>
          <w:szCs w:val="20"/>
          <w:lang w:val="en-GB"/>
        </w:rPr>
        <w:t>headworks</w:t>
      </w:r>
      <w:proofErr w:type="spellEnd"/>
      <w:r w:rsidRPr="003B31BA">
        <w:rPr>
          <w:rFonts w:ascii="Arial MT Std Light" w:hAnsi="Arial MT Std Light" w:cs="Arial MT Std Light"/>
          <w:color w:val="000000"/>
          <w:w w:val="90"/>
          <w:sz w:val="20"/>
          <w:szCs w:val="20"/>
          <w:lang w:val="en-GB"/>
        </w:rPr>
        <w:t xml:space="preserve"> are planned to commence in 2014 and major construction works are anticipated to be underway in 2016. The hospital is projected to be completed in 2018.</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Health Services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provides funding to maintain the expanded range and quality of vital services to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xml:space="preserve"> including:</w:t>
      </w:r>
    </w:p>
    <w:p w:rsidR="003B31BA" w:rsidRPr="003B31BA" w:rsidRDefault="003B31BA" w:rsidP="00194158">
      <w:pPr>
        <w:pStyle w:val="BOBodyBullet"/>
      </w:pPr>
      <w:r w:rsidRPr="003B31BA">
        <w:t>$6.5 million in continued funding for enhanced cardiac outreach and rehabilitation services and low-risk angioplasty services;</w:t>
      </w:r>
    </w:p>
    <w:p w:rsidR="003B31BA" w:rsidRPr="003B31BA" w:rsidRDefault="003B31BA" w:rsidP="00194158">
      <w:pPr>
        <w:pStyle w:val="BOBodyBullet"/>
      </w:pPr>
      <w:r w:rsidRPr="003B31BA">
        <w:t xml:space="preserve">$7.5 million in continued funding for the implementation of review recommendations to improve the Patient Assistance Travel Scheme, a subsidy scheme to provide financial assistance to </w:t>
      </w:r>
      <w:proofErr w:type="spellStart"/>
      <w:r w:rsidRPr="003B31BA">
        <w:t>Territorians</w:t>
      </w:r>
      <w:proofErr w:type="spellEnd"/>
      <w:r w:rsidRPr="003B31BA">
        <w:t xml:space="preserve"> who are referred by an approved practitioner to the nearest approved specialist medical service;</w:t>
      </w:r>
    </w:p>
    <w:p w:rsidR="003B31BA" w:rsidRPr="003B31BA" w:rsidRDefault="003B31BA" w:rsidP="00194158">
      <w:pPr>
        <w:pStyle w:val="BOBodyBullet"/>
      </w:pPr>
      <w:r w:rsidRPr="003B31BA">
        <w:t>$4.46 million in continued funding to provide 400 elective surgery procedures per year to reduce elective surgery waiting times; and</w:t>
      </w:r>
    </w:p>
    <w:p w:rsidR="003B31BA" w:rsidRPr="003B31BA" w:rsidRDefault="003B31BA" w:rsidP="00194158">
      <w:pPr>
        <w:pStyle w:val="BOBodyBullet"/>
      </w:pPr>
      <w:r w:rsidRPr="003B31BA">
        <w:t>$5.67 million, including an additional $0.16 million in 2014-15, to meet the increased operational costs of the new Alice Springs Hospital emergency department.</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Budget 2014-15 also provides additional funding of: </w:t>
      </w:r>
    </w:p>
    <w:p w:rsidR="003B31BA" w:rsidRPr="003B31BA" w:rsidRDefault="003B31BA" w:rsidP="00194158">
      <w:pPr>
        <w:pStyle w:val="BOBodyBullet"/>
      </w:pPr>
      <w:r w:rsidRPr="003B31BA">
        <w:t>$0.39 million to support palliative respite care services in Alice Springs;</w:t>
      </w:r>
    </w:p>
    <w:p w:rsidR="003B31BA" w:rsidRPr="003B31BA" w:rsidRDefault="003B31BA" w:rsidP="00194158">
      <w:pPr>
        <w:pStyle w:val="BOBodyBullet"/>
      </w:pPr>
      <w:r w:rsidRPr="003B31BA">
        <w:t xml:space="preserve">$0.725 million for mobile breast screening across remote communities and for a </w:t>
      </w:r>
      <w:proofErr w:type="spellStart"/>
      <w:r w:rsidRPr="003B31BA">
        <w:t>Palmerston</w:t>
      </w:r>
      <w:proofErr w:type="spellEnd"/>
      <w:r w:rsidRPr="003B31BA">
        <w:t>-based service; and</w:t>
      </w:r>
    </w:p>
    <w:p w:rsidR="003B31BA" w:rsidRPr="003B31BA" w:rsidRDefault="003B31BA" w:rsidP="00194158">
      <w:pPr>
        <w:pStyle w:val="BOBodyBullet"/>
      </w:pPr>
      <w:r w:rsidRPr="003B31BA">
        <w:t xml:space="preserve">$1.32 million for primary health services at the Darwin Correctional Precinct. </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Mental Health</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w:t>
      </w:r>
      <w:proofErr w:type="gramStart"/>
      <w:r w:rsidRPr="003B31BA">
        <w:rPr>
          <w:rFonts w:ascii="Arial MT Std Light" w:hAnsi="Arial MT Std Light" w:cs="Arial MT Std Light"/>
          <w:color w:val="000000"/>
          <w:w w:val="90"/>
          <w:sz w:val="20"/>
          <w:szCs w:val="20"/>
          <w:lang w:val="en-GB"/>
        </w:rPr>
        <w:t>Budget</w:t>
      </w:r>
      <w:proofErr w:type="gramEnd"/>
      <w:r w:rsidRPr="003B31BA">
        <w:rPr>
          <w:rFonts w:ascii="Arial MT Std Light" w:hAnsi="Arial MT Std Light" w:cs="Arial MT Std Light"/>
          <w:color w:val="000000"/>
          <w:w w:val="90"/>
          <w:sz w:val="20"/>
          <w:szCs w:val="20"/>
          <w:lang w:val="en-GB"/>
        </w:rPr>
        <w:t xml:space="preserve"> includes $52.2 million to provide mental health services across the Territory. In 2013-14, the delivery of frontline mental health services transferred from the Department of Health to the Top End and Central Australia Health Services. The department retains responsibility for reporting, policy and procedure development, legal and forensic services, while the Health Services provide specialist mental health services including assessment, case management and treatment.  </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Northern Territory Pensioner and Carer Concession Scheme</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provides $27.9 million to support seniors, carers, pensioners and veterans through a range of concessions for services including utilities, rates, spectacles, </w:t>
      </w:r>
      <w:proofErr w:type="gramStart"/>
      <w:r w:rsidRPr="003B31BA">
        <w:rPr>
          <w:rFonts w:ascii="Arial MT Std Light" w:hAnsi="Arial MT Std Light" w:cs="Arial MT Std Light"/>
          <w:color w:val="000000"/>
          <w:w w:val="90"/>
          <w:sz w:val="20"/>
          <w:szCs w:val="20"/>
          <w:lang w:val="en-GB"/>
        </w:rPr>
        <w:t>drivers</w:t>
      </w:r>
      <w:proofErr w:type="gramEnd"/>
      <w:r w:rsidRPr="003B31BA">
        <w:rPr>
          <w:rFonts w:ascii="Arial MT Std Light" w:hAnsi="Arial MT Std Light" w:cs="Arial MT Std Light"/>
          <w:color w:val="000000"/>
          <w:w w:val="90"/>
          <w:sz w:val="20"/>
          <w:szCs w:val="20"/>
          <w:lang w:val="en-GB"/>
        </w:rPr>
        <w:t xml:space="preserve"> licences, motor vehicle registration and travel.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To ensure that the Northern Territory Pensioner and Carer Concession Scheme (NTPCCS) remains an equitable and sustainable source of support for those most in need, membership requirements for new members entering the NTPCCS have been revised. New senior members will be required to meet Commonwealth eligibility criteria to receive concessions by being in receipt of a </w:t>
      </w:r>
      <w:proofErr w:type="spellStart"/>
      <w:r w:rsidRPr="003B31BA">
        <w:rPr>
          <w:rFonts w:ascii="Arial MT Std Light" w:hAnsi="Arial MT Std Light" w:cs="Arial MT Std Light"/>
          <w:color w:val="000000"/>
          <w:w w:val="90"/>
          <w:sz w:val="20"/>
          <w:szCs w:val="20"/>
          <w:lang w:val="en-GB"/>
        </w:rPr>
        <w:t>Centrelink</w:t>
      </w:r>
      <w:proofErr w:type="spellEnd"/>
      <w:r w:rsidRPr="003B31BA">
        <w:rPr>
          <w:rFonts w:ascii="Arial MT Std Light" w:hAnsi="Arial MT Std Light" w:cs="Arial MT Std Light"/>
          <w:color w:val="000000"/>
          <w:w w:val="90"/>
          <w:sz w:val="20"/>
          <w:szCs w:val="20"/>
          <w:lang w:val="en-GB"/>
        </w:rPr>
        <w:t xml:space="preserve"> concession such as the Commonwealth Seniors Health Care Card, bringing seniors into line with membership requirements for existing non-senior scheme members. The revised membership arrangements will only apply to new members, existing members will be unaffected by this change.</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Health Infrastructure</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continues to invest in the health and wellbeing of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xml:space="preserve"> by upgrading health facilities including:</w:t>
      </w:r>
    </w:p>
    <w:p w:rsidR="003B31BA" w:rsidRPr="003B31BA" w:rsidRDefault="003B31BA" w:rsidP="00194158">
      <w:pPr>
        <w:pStyle w:val="BOBodyBullet"/>
      </w:pPr>
      <w:r w:rsidRPr="003B31BA">
        <w:t>$22.8 million for upgrades at Royal Darwin Hospital, including:</w:t>
      </w:r>
    </w:p>
    <w:p w:rsidR="003B31BA" w:rsidRPr="00194158" w:rsidRDefault="003B31BA" w:rsidP="00194158">
      <w:pPr>
        <w:pStyle w:val="BODashedText"/>
      </w:pPr>
      <w:r w:rsidRPr="00194158">
        <w:t>$11.9 million Commonwealth funding to refurbish paediatric wards;</w:t>
      </w:r>
    </w:p>
    <w:p w:rsidR="003B31BA" w:rsidRPr="00194158" w:rsidRDefault="003B31BA" w:rsidP="00194158">
      <w:pPr>
        <w:pStyle w:val="BODashedText"/>
      </w:pPr>
      <w:r w:rsidRPr="00194158">
        <w:lastRenderedPageBreak/>
        <w:t>$6.7 million to upgrade negative pressure rooms; and</w:t>
      </w:r>
    </w:p>
    <w:p w:rsidR="003B31BA" w:rsidRPr="00194158" w:rsidRDefault="003B31BA" w:rsidP="00194158">
      <w:pPr>
        <w:pStyle w:val="BODashedText"/>
      </w:pPr>
      <w:r w:rsidRPr="00194158">
        <w:t>$4.2 million to upgrade fire control measures;</w:t>
      </w:r>
    </w:p>
    <w:p w:rsidR="003B31BA" w:rsidRPr="003B31BA" w:rsidRDefault="003B31BA" w:rsidP="00194158">
      <w:pPr>
        <w:pStyle w:val="BOBodyBullet"/>
      </w:pPr>
      <w:r w:rsidRPr="003B31BA">
        <w:t xml:space="preserve">$8 million in Commonwealth funding for remote health clinics: </w:t>
      </w:r>
    </w:p>
    <w:p w:rsidR="003B31BA" w:rsidRPr="003B31BA" w:rsidRDefault="003B31BA" w:rsidP="00194158">
      <w:pPr>
        <w:pStyle w:val="BODashedText"/>
      </w:pPr>
      <w:r w:rsidRPr="003B31BA">
        <w:t>$5.3 million for Robinson River; and</w:t>
      </w:r>
    </w:p>
    <w:p w:rsidR="003B31BA" w:rsidRPr="003B31BA" w:rsidRDefault="003B31BA" w:rsidP="00194158">
      <w:pPr>
        <w:pStyle w:val="BODashedText"/>
      </w:pPr>
      <w:r w:rsidRPr="003B31BA">
        <w:t xml:space="preserve">$2.7 million for </w:t>
      </w:r>
      <w:proofErr w:type="spellStart"/>
      <w:r w:rsidRPr="003B31BA">
        <w:t>Titjikala</w:t>
      </w:r>
      <w:proofErr w:type="spellEnd"/>
      <w:r w:rsidRPr="003B31BA">
        <w:t>;</w:t>
      </w:r>
    </w:p>
    <w:p w:rsidR="003B31BA" w:rsidRPr="003B31BA" w:rsidRDefault="003B31BA" w:rsidP="00194158">
      <w:pPr>
        <w:pStyle w:val="BOBodyBullet"/>
      </w:pPr>
      <w:r w:rsidRPr="003B31BA">
        <w:t xml:space="preserve">$35.6 million in Commonwealth funding for remote health centres in Canteen Creek, Elliott, </w:t>
      </w:r>
      <w:proofErr w:type="spellStart"/>
      <w:r w:rsidRPr="003B31BA">
        <w:t>Galiwin’ku</w:t>
      </w:r>
      <w:proofErr w:type="spellEnd"/>
      <w:r w:rsidRPr="003B31BA">
        <w:t xml:space="preserve">, </w:t>
      </w:r>
      <w:proofErr w:type="spellStart"/>
      <w:r w:rsidRPr="003B31BA">
        <w:t>Kaltukatjara</w:t>
      </w:r>
      <w:proofErr w:type="spellEnd"/>
      <w:r w:rsidRPr="003B31BA">
        <w:t xml:space="preserve">, </w:t>
      </w:r>
      <w:proofErr w:type="spellStart"/>
      <w:r w:rsidRPr="003B31BA">
        <w:t>Maningrida</w:t>
      </w:r>
      <w:proofErr w:type="spellEnd"/>
      <w:r w:rsidRPr="003B31BA">
        <w:t xml:space="preserve">, </w:t>
      </w:r>
      <w:proofErr w:type="spellStart"/>
      <w:r w:rsidRPr="003B31BA">
        <w:t>Ngukurr</w:t>
      </w:r>
      <w:proofErr w:type="spellEnd"/>
      <w:r w:rsidRPr="003B31BA">
        <w:t xml:space="preserve">, </w:t>
      </w:r>
      <w:proofErr w:type="spellStart"/>
      <w:r w:rsidRPr="003B31BA">
        <w:t>Ntaria</w:t>
      </w:r>
      <w:proofErr w:type="spellEnd"/>
      <w:r w:rsidRPr="003B31BA">
        <w:t xml:space="preserve">, </w:t>
      </w:r>
      <w:proofErr w:type="spellStart"/>
      <w:r w:rsidRPr="003B31BA">
        <w:t>Numbulwar</w:t>
      </w:r>
      <w:proofErr w:type="spellEnd"/>
      <w:r w:rsidRPr="003B31BA">
        <w:t xml:space="preserve"> and </w:t>
      </w:r>
      <w:proofErr w:type="spellStart"/>
      <w:r w:rsidRPr="003B31BA">
        <w:t>Papunya</w:t>
      </w:r>
      <w:proofErr w:type="spellEnd"/>
      <w:r w:rsidRPr="003B31BA">
        <w:t>;</w:t>
      </w:r>
    </w:p>
    <w:p w:rsidR="003B31BA" w:rsidRPr="003B31BA" w:rsidRDefault="003B31BA" w:rsidP="00194158">
      <w:pPr>
        <w:pStyle w:val="BOBodyBullet"/>
      </w:pPr>
      <w:r w:rsidRPr="003B31BA">
        <w:t>$5.2 million in Commonwealth funding for a multidisciplinary teaching and training facility at the Alice Springs Hospital; and</w:t>
      </w:r>
    </w:p>
    <w:p w:rsidR="003B31BA" w:rsidRPr="003B31BA" w:rsidRDefault="003B31BA" w:rsidP="00194158">
      <w:pPr>
        <w:pStyle w:val="BOBodyBullet"/>
      </w:pPr>
      <w:r w:rsidRPr="003B31BA">
        <w:t xml:space="preserve">$1.9 million for emergency department </w:t>
      </w:r>
      <w:proofErr w:type="spellStart"/>
      <w:r w:rsidRPr="003B31BA">
        <w:t>airconditioning</w:t>
      </w:r>
      <w:proofErr w:type="spellEnd"/>
      <w:r w:rsidRPr="003B31BA">
        <w:t xml:space="preserve"> at Katherine Hospital.</w:t>
      </w: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New Health Services Framework</w:t>
      </w:r>
    </w:p>
    <w:p w:rsidR="003B31BA" w:rsidRPr="003B31BA" w:rsidRDefault="003B31BA" w:rsidP="00194158">
      <w:pPr>
        <w:pStyle w:val="BOBodyText"/>
      </w:pPr>
      <w:r w:rsidRPr="003B31BA">
        <w:t xml:space="preserve">From 1 July 2014, primary health care services will be integrated into the Top End Health Service and the Central Australia Health Service through the transfer of urban and remote primary health care services and prison health from the Department of Health. </w:t>
      </w:r>
    </w:p>
    <w:p w:rsidR="003B31BA" w:rsidRDefault="003B31BA" w:rsidP="00194158">
      <w:pPr>
        <w:pStyle w:val="BOBodyText"/>
      </w:pPr>
      <w:r w:rsidRPr="003B31BA">
        <w:t>The three separate entities (the department and the two Health Services) will continue to operate as a single Territory-wide system with consistent standards and protocols to ensure that service accessibility, safety and quality are not compromised by the structural changes.</w:t>
      </w: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Supporting Children</w:t>
      </w:r>
    </w:p>
    <w:p w:rsidR="003B31BA" w:rsidRPr="003B31BA" w:rsidRDefault="003B31BA" w:rsidP="00194158">
      <w:pPr>
        <w:pStyle w:val="BOBodyText"/>
      </w:pPr>
      <w:r w:rsidRPr="003B31BA">
        <w:t>Budget 2014-15 provides $161 million to the Department of Children and Families for a range of services to protect children in the Northern Territory from harm, including:</w:t>
      </w:r>
    </w:p>
    <w:p w:rsidR="003B31BA" w:rsidRPr="003B31BA" w:rsidRDefault="003B31BA" w:rsidP="00194158">
      <w:pPr>
        <w:pStyle w:val="BOBodyBullet"/>
      </w:pPr>
      <w:r w:rsidRPr="003B31BA">
        <w:rPr>
          <w:w w:val="87"/>
        </w:rPr>
        <w:t>$79.4 million to provide out</w:t>
      </w:r>
      <w:r w:rsidRPr="003B31BA">
        <w:rPr>
          <w:w w:val="87"/>
        </w:rPr>
        <w:noBreakHyphen/>
        <w:t>of</w:t>
      </w:r>
      <w:r w:rsidRPr="003B31BA">
        <w:rPr>
          <w:w w:val="87"/>
        </w:rPr>
        <w:noBreakHyphen/>
        <w:t>home care services including:</w:t>
      </w:r>
    </w:p>
    <w:p w:rsidR="003B31BA" w:rsidRPr="003B31BA" w:rsidRDefault="003B31BA" w:rsidP="00194158">
      <w:pPr>
        <w:pStyle w:val="BODashedText"/>
      </w:pPr>
      <w:r w:rsidRPr="003B31BA">
        <w:t>$0.8 million for additional recruitment, retention and support for foster and kinship carers, improving long-term care options for children;</w:t>
      </w:r>
    </w:p>
    <w:p w:rsidR="003B31BA" w:rsidRPr="003B31BA" w:rsidRDefault="003B31BA" w:rsidP="00194158">
      <w:pPr>
        <w:pStyle w:val="BODashedText"/>
      </w:pPr>
      <w:r w:rsidRPr="003B31BA">
        <w:t>$2.1 million to improve management and accountability of out-of-home care services, providing better outcomes for children; and</w:t>
      </w:r>
    </w:p>
    <w:p w:rsidR="003B31BA" w:rsidRPr="003B31BA" w:rsidRDefault="003B31BA" w:rsidP="00194158">
      <w:pPr>
        <w:pStyle w:val="BODashedText"/>
      </w:pPr>
      <w:r w:rsidRPr="003B31BA">
        <w:t xml:space="preserve">$0.5 million for a new residential care facility in Tennant Creek for children under ten years </w:t>
      </w:r>
      <w:r w:rsidRPr="003B31BA">
        <w:br/>
        <w:t>of age;</w:t>
      </w:r>
    </w:p>
    <w:p w:rsidR="003B31BA" w:rsidRPr="003B31BA" w:rsidRDefault="003B31BA" w:rsidP="00194158">
      <w:pPr>
        <w:pStyle w:val="BOBodyBullet"/>
      </w:pPr>
      <w:r w:rsidRPr="003B31BA">
        <w:t>$33.9 million to provide child protection services including $40 000 for upgrades to the Katherine Service Centre to provide sensitive and secure premises for staff and clients; and</w:t>
      </w:r>
    </w:p>
    <w:p w:rsidR="003B31BA" w:rsidRPr="003B31BA" w:rsidRDefault="003B31BA" w:rsidP="00194158">
      <w:pPr>
        <w:pStyle w:val="BOBodyBullet"/>
      </w:pPr>
      <w:r w:rsidRPr="003B31BA">
        <w:t>$38.3 million for family and parent support services including $1.4 million for new youth services in Katherine, Darwin and Alice Springs.</w:t>
      </w:r>
    </w:p>
    <w:p w:rsidR="003B31BA" w:rsidRPr="003B31BA" w:rsidRDefault="003B31BA" w:rsidP="00194158">
      <w:pPr>
        <w:pStyle w:val="BOBodyText"/>
      </w:pPr>
      <w:r w:rsidRPr="003B31BA">
        <w:t xml:space="preserve">Budget 2014-15 also provides $0.94 million to continue funding for the </w:t>
      </w:r>
      <w:proofErr w:type="spellStart"/>
      <w:r w:rsidRPr="003B31BA">
        <w:t>BushMob</w:t>
      </w:r>
      <w:proofErr w:type="spellEnd"/>
      <w:r w:rsidRPr="003B31BA">
        <w:t xml:space="preserve"> Youth Residential Rehabilitation Service in Alice Springs. </w:t>
      </w:r>
    </w:p>
    <w:p w:rsidR="003B31BA" w:rsidRDefault="003B31BA">
      <w:r>
        <w:br w:type="page"/>
      </w:r>
    </w:p>
    <w:p w:rsidR="003B31BA" w:rsidRPr="003B31BA" w:rsidRDefault="003B31BA" w:rsidP="003B31BA">
      <w:pPr>
        <w:suppressAutoHyphens/>
        <w:autoSpaceDE w:val="0"/>
        <w:autoSpaceDN w:val="0"/>
        <w:adjustRightInd w:val="0"/>
        <w:spacing w:after="113" w:line="600" w:lineRule="atLeast"/>
        <w:textAlignment w:val="baseline"/>
        <w:rPr>
          <w:rFonts w:ascii="Arial MT Std" w:hAnsi="Arial MT Std" w:cs="Arial MT Std"/>
          <w:b/>
          <w:bCs/>
          <w:color w:val="EF7521"/>
          <w:spacing w:val="-7"/>
          <w:w w:val="85"/>
          <w:sz w:val="60"/>
          <w:szCs w:val="60"/>
          <w:lang w:val="en-GB"/>
        </w:rPr>
      </w:pPr>
      <w:r w:rsidRPr="003B31BA">
        <w:rPr>
          <w:rFonts w:ascii="Arial MT Std" w:hAnsi="Arial MT Std" w:cs="Arial MT Std"/>
          <w:b/>
          <w:bCs/>
          <w:color w:val="EF7521"/>
          <w:spacing w:val="-7"/>
          <w:w w:val="85"/>
          <w:sz w:val="60"/>
          <w:szCs w:val="60"/>
          <w:lang w:val="en-GB"/>
        </w:rPr>
        <w:lastRenderedPageBreak/>
        <w:t>Housing</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provides strong support for home ownership through the continued release of residential land, a range of Home Build Access loans and </w:t>
      </w:r>
      <w:proofErr w:type="gramStart"/>
      <w:r w:rsidRPr="003B31BA">
        <w:rPr>
          <w:rFonts w:ascii="Arial MT Std Light" w:hAnsi="Arial MT Std Light" w:cs="Arial MT Std Light"/>
          <w:color w:val="000000"/>
          <w:w w:val="90"/>
          <w:sz w:val="20"/>
          <w:szCs w:val="20"/>
          <w:lang w:val="en-GB"/>
        </w:rPr>
        <w:t>a  First</w:t>
      </w:r>
      <w:proofErr w:type="gramEnd"/>
      <w:r w:rsidRPr="003B31BA">
        <w:rPr>
          <w:rFonts w:ascii="Arial MT Std Light" w:hAnsi="Arial MT Std Light" w:cs="Arial MT Std Light"/>
          <w:color w:val="000000"/>
          <w:w w:val="90"/>
          <w:sz w:val="20"/>
          <w:szCs w:val="20"/>
          <w:lang w:val="en-GB"/>
        </w:rPr>
        <w:t xml:space="preserve"> Home Owner Grant scheme that focuses on increasing the Territory’s new dwelling stock. </w:t>
      </w:r>
    </w:p>
    <w:p w:rsidR="003B31BA" w:rsidRPr="003B31BA" w:rsidRDefault="003B31BA" w:rsidP="00546FA7">
      <w:pPr>
        <w:pStyle w:val="BOHeading1"/>
      </w:pPr>
      <w:r w:rsidRPr="003B31BA">
        <w:t>Increasing Land Supply</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2014-15 Budget commits $84.4 million to progress residential land development to meet the needs of the Territory’s growing population, including:</w:t>
      </w:r>
    </w:p>
    <w:p w:rsidR="003B31BA" w:rsidRPr="003B31BA" w:rsidRDefault="003B31BA" w:rsidP="00546FA7">
      <w:pPr>
        <w:pStyle w:val="BOHeading2"/>
      </w:pPr>
      <w:r w:rsidRPr="003B31BA">
        <w:t>Darwin</w:t>
      </w:r>
    </w:p>
    <w:p w:rsidR="003B31BA" w:rsidRPr="003B31BA" w:rsidRDefault="003B31BA" w:rsidP="00194158">
      <w:pPr>
        <w:pStyle w:val="BOBodyBullet"/>
      </w:pPr>
      <w:r w:rsidRPr="003B31BA">
        <w:t xml:space="preserve">$36.9 million to continue the staged development at </w:t>
      </w:r>
      <w:proofErr w:type="spellStart"/>
      <w:r w:rsidRPr="003B31BA">
        <w:t>Zuccoli</w:t>
      </w:r>
      <w:proofErr w:type="spellEnd"/>
      <w:r w:rsidRPr="003B31BA">
        <w:t>;</w:t>
      </w:r>
    </w:p>
    <w:p w:rsidR="003B31BA" w:rsidRPr="003B31BA" w:rsidRDefault="003B31BA" w:rsidP="00194158">
      <w:pPr>
        <w:pStyle w:val="BOBodyBullet"/>
      </w:pPr>
      <w:r w:rsidRPr="003B31BA">
        <w:t xml:space="preserve">$4 million to facilitate the release of land at </w:t>
      </w:r>
      <w:proofErr w:type="spellStart"/>
      <w:r w:rsidRPr="003B31BA">
        <w:t>Berrimah</w:t>
      </w:r>
      <w:proofErr w:type="spellEnd"/>
      <w:r w:rsidRPr="003B31BA">
        <w:t xml:space="preserve"> Farm for residential, commercial and mixed-use development; </w:t>
      </w:r>
    </w:p>
    <w:p w:rsidR="003B31BA" w:rsidRPr="003B31BA" w:rsidRDefault="003B31BA" w:rsidP="00194158">
      <w:pPr>
        <w:pStyle w:val="BOBodyBullet"/>
      </w:pPr>
      <w:r w:rsidRPr="003B31BA">
        <w:t xml:space="preserve">$4 million to support </w:t>
      </w:r>
      <w:proofErr w:type="spellStart"/>
      <w:r w:rsidRPr="003B31BA">
        <w:t>headworks</w:t>
      </w:r>
      <w:proofErr w:type="spellEnd"/>
      <w:r w:rsidRPr="003B31BA">
        <w:t xml:space="preserve"> for a staged release of a mixed-use urban and residential development at </w:t>
      </w:r>
      <w:proofErr w:type="spellStart"/>
      <w:r w:rsidRPr="003B31BA">
        <w:t>Palmerston</w:t>
      </w:r>
      <w:proofErr w:type="spellEnd"/>
      <w:r w:rsidRPr="003B31BA">
        <w:t xml:space="preserve"> North to support and complement the development of the </w:t>
      </w:r>
      <w:proofErr w:type="spellStart"/>
      <w:r w:rsidRPr="003B31BA">
        <w:t>Palmerston</w:t>
      </w:r>
      <w:proofErr w:type="spellEnd"/>
      <w:r w:rsidRPr="003B31BA">
        <w:t> Regional Hospital; and</w:t>
      </w:r>
    </w:p>
    <w:p w:rsidR="003B31BA" w:rsidRPr="003B31BA" w:rsidRDefault="003B31BA" w:rsidP="00194158">
      <w:pPr>
        <w:pStyle w:val="BOBodyBullet"/>
      </w:pPr>
      <w:r w:rsidRPr="003B31BA">
        <w:t xml:space="preserve">$4.5 million for </w:t>
      </w:r>
      <w:proofErr w:type="spellStart"/>
      <w:r w:rsidRPr="003B31BA">
        <w:t>headworks</w:t>
      </w:r>
      <w:proofErr w:type="spellEnd"/>
      <w:r w:rsidRPr="003B31BA">
        <w:t xml:space="preserve"> for stage 2 of the Darwin Waterfront Development.</w:t>
      </w:r>
    </w:p>
    <w:p w:rsidR="003B31BA" w:rsidRPr="003B31BA" w:rsidRDefault="003B31BA" w:rsidP="00546FA7">
      <w:pPr>
        <w:pStyle w:val="BOHeading2"/>
      </w:pPr>
      <w:r w:rsidRPr="003B31BA">
        <w:t>Greater Darwin Area</w:t>
      </w:r>
    </w:p>
    <w:p w:rsidR="003B31BA" w:rsidRPr="003B31BA" w:rsidRDefault="003B31BA" w:rsidP="00194158">
      <w:pPr>
        <w:pStyle w:val="BOBodyBullet"/>
      </w:pPr>
      <w:r w:rsidRPr="003B31BA">
        <w:t xml:space="preserve">$4.5 million for drainage works in the rural area and to upgrade </w:t>
      </w:r>
      <w:proofErr w:type="spellStart"/>
      <w:r w:rsidRPr="003B31BA">
        <w:t>headworks</w:t>
      </w:r>
      <w:proofErr w:type="spellEnd"/>
      <w:r w:rsidRPr="003B31BA">
        <w:t xml:space="preserve"> infrastructure to support development of private </w:t>
      </w:r>
      <w:proofErr w:type="gramStart"/>
      <w:r w:rsidRPr="003B31BA">
        <w:t>land</w:t>
      </w:r>
      <w:proofErr w:type="gramEnd"/>
      <w:r w:rsidRPr="003B31BA">
        <w:t xml:space="preserve"> in Humpty Doo.</w:t>
      </w:r>
    </w:p>
    <w:p w:rsidR="003B31BA" w:rsidRPr="003B31BA" w:rsidRDefault="003B31BA" w:rsidP="00546FA7">
      <w:pPr>
        <w:pStyle w:val="BOHeading2"/>
      </w:pPr>
      <w:r w:rsidRPr="003B31BA">
        <w:t xml:space="preserve">Northern Region </w:t>
      </w:r>
    </w:p>
    <w:p w:rsidR="003B31BA" w:rsidRPr="003B31BA" w:rsidRDefault="003B31BA" w:rsidP="00194158">
      <w:pPr>
        <w:pStyle w:val="BOBodyBullet"/>
      </w:pPr>
      <w:r w:rsidRPr="003B31BA">
        <w:t xml:space="preserve">$15.7 million for projects to facilitate land release in Katherine East, </w:t>
      </w:r>
      <w:proofErr w:type="spellStart"/>
      <w:r w:rsidRPr="003B31BA">
        <w:t>Kalkarindji</w:t>
      </w:r>
      <w:proofErr w:type="spellEnd"/>
      <w:r w:rsidRPr="003B31BA">
        <w:t xml:space="preserve">, Pine Creek, </w:t>
      </w:r>
      <w:proofErr w:type="spellStart"/>
      <w:r w:rsidRPr="003B31BA">
        <w:t>Mataranka</w:t>
      </w:r>
      <w:proofErr w:type="spellEnd"/>
      <w:r w:rsidRPr="003B31BA">
        <w:t xml:space="preserve"> and Timber Creek. </w:t>
      </w:r>
    </w:p>
    <w:p w:rsidR="003B31BA" w:rsidRPr="003B31BA" w:rsidRDefault="003B31BA" w:rsidP="00546FA7">
      <w:pPr>
        <w:pStyle w:val="BOHeading2"/>
      </w:pPr>
      <w:r w:rsidRPr="003B31BA">
        <w:t xml:space="preserve">Southern Region </w:t>
      </w:r>
    </w:p>
    <w:p w:rsidR="003B31BA" w:rsidRPr="003B31BA" w:rsidRDefault="003B31BA" w:rsidP="00194158">
      <w:pPr>
        <w:pStyle w:val="BOBodyBullet"/>
      </w:pPr>
      <w:r w:rsidRPr="003B31BA">
        <w:t>$4 million for infrastructure to facilitate land release in Tennant Creek and Ti Tree.</w:t>
      </w:r>
    </w:p>
    <w:p w:rsidR="003B31BA" w:rsidRPr="003B31BA" w:rsidRDefault="003B31BA" w:rsidP="00546FA7">
      <w:pPr>
        <w:pStyle w:val="BOHeading2"/>
      </w:pPr>
      <w:r w:rsidRPr="003B31BA">
        <w:t xml:space="preserve">Alice Springs </w:t>
      </w:r>
    </w:p>
    <w:p w:rsidR="003B31BA" w:rsidRPr="003B31BA" w:rsidRDefault="003B31BA" w:rsidP="00194158">
      <w:pPr>
        <w:pStyle w:val="BOBodyBullet"/>
      </w:pPr>
      <w:r w:rsidRPr="003B31BA">
        <w:t xml:space="preserve">$6.3 million for land release projects, including </w:t>
      </w:r>
      <w:proofErr w:type="spellStart"/>
      <w:r w:rsidRPr="003B31BA">
        <w:t>Kilgariff</w:t>
      </w:r>
      <w:proofErr w:type="spellEnd"/>
      <w:r w:rsidRPr="003B31BA">
        <w:t xml:space="preserve"> stage 1a and </w:t>
      </w:r>
      <w:proofErr w:type="spellStart"/>
      <w:r w:rsidRPr="003B31BA">
        <w:t>headworks</w:t>
      </w:r>
      <w:proofErr w:type="spellEnd"/>
      <w:r w:rsidRPr="003B31BA">
        <w:t xml:space="preserve"> for future stages at </w:t>
      </w:r>
      <w:proofErr w:type="spellStart"/>
      <w:r w:rsidRPr="003B31BA">
        <w:t>Kilgariff</w:t>
      </w:r>
      <w:proofErr w:type="spellEnd"/>
      <w:r w:rsidRPr="003B31BA">
        <w:t>.</w:t>
      </w:r>
    </w:p>
    <w:p w:rsidR="003B31BA" w:rsidRPr="003B31BA" w:rsidRDefault="003B31BA" w:rsidP="003B31BA">
      <w:pPr>
        <w:keepLines/>
        <w:suppressAutoHyphens/>
        <w:autoSpaceDE w:val="0"/>
        <w:autoSpaceDN w:val="0"/>
        <w:adjustRightInd w:val="0"/>
        <w:spacing w:after="28" w:line="220" w:lineRule="atLeast"/>
        <w:textAlignment w:val="center"/>
        <w:rPr>
          <w:rFonts w:ascii="Arial MT Std" w:hAnsi="Arial MT Std" w:cs="Arial MT Std"/>
          <w:color w:val="002C73"/>
          <w:w w:val="90"/>
          <w:sz w:val="20"/>
          <w:szCs w:val="20"/>
        </w:rPr>
      </w:pPr>
      <w:r w:rsidRPr="003B31BA">
        <w:rPr>
          <w:rFonts w:ascii="Arial MT Std" w:hAnsi="Arial MT Std" w:cs="Arial MT Std"/>
          <w:color w:val="002C73"/>
          <w:w w:val="90"/>
          <w:sz w:val="20"/>
          <w:szCs w:val="20"/>
        </w:rPr>
        <w:t xml:space="preserve">Indicative dwellings from land release </w:t>
      </w:r>
    </w:p>
    <w:p w:rsidR="003B31BA" w:rsidRPr="003B31BA" w:rsidRDefault="00664802" w:rsidP="003B31BA">
      <w:pPr>
        <w:keepLines/>
        <w:suppressAutoHyphens/>
        <w:autoSpaceDE w:val="0"/>
        <w:autoSpaceDN w:val="0"/>
        <w:adjustRightInd w:val="0"/>
        <w:spacing w:after="0" w:line="220" w:lineRule="atLeast"/>
        <w:textAlignment w:val="center"/>
        <w:rPr>
          <w:rFonts w:ascii="Arial MT Std" w:hAnsi="Arial MT Std" w:cs="Arial MT Std"/>
          <w:color w:val="002C73"/>
          <w:w w:val="90"/>
          <w:sz w:val="20"/>
          <w:szCs w:val="20"/>
        </w:rPr>
      </w:pPr>
      <w:r>
        <w:rPr>
          <w:rFonts w:ascii="Arial MT Std" w:hAnsi="Arial MT Std" w:cs="Arial MT Std"/>
          <w:noProof/>
          <w:color w:val="002C73"/>
          <w:w w:val="90"/>
          <w:sz w:val="20"/>
          <w:szCs w:val="20"/>
          <w:lang w:eastAsia="en-AU"/>
        </w:rPr>
        <w:drawing>
          <wp:inline distT="0" distB="0" distL="0" distR="0">
            <wp:extent cx="3841750" cy="2612390"/>
            <wp:effectExtent l="0" t="0" r="6350" b="0"/>
            <wp:docPr id="4" name="Picture 4" descr="Housing chart"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Budget Papers\2014-15\Final\Budget Overview\Files for web\hous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0" cy="2612390"/>
                    </a:xfrm>
                    <a:prstGeom prst="rect">
                      <a:avLst/>
                    </a:prstGeom>
                    <a:noFill/>
                    <a:ln>
                      <a:noFill/>
                    </a:ln>
                  </pic:spPr>
                </pic:pic>
              </a:graphicData>
            </a:graphic>
          </wp:inline>
        </w:drawing>
      </w:r>
    </w:p>
    <w:p w:rsidR="003B31BA" w:rsidRPr="003B31BA" w:rsidRDefault="003B31BA" w:rsidP="003B31BA">
      <w:pPr>
        <w:tabs>
          <w:tab w:val="left" w:pos="170"/>
        </w:tabs>
        <w:autoSpaceDE w:val="0"/>
        <w:autoSpaceDN w:val="0"/>
        <w:adjustRightInd w:val="0"/>
        <w:spacing w:after="0" w:line="180" w:lineRule="atLeast"/>
        <w:textAlignment w:val="center"/>
        <w:rPr>
          <w:rFonts w:ascii="Arial MT Std Light" w:hAnsi="Arial MT Std Light" w:cs="Arial MT Std Light"/>
          <w:color w:val="002C73"/>
          <w:w w:val="90"/>
          <w:sz w:val="14"/>
          <w:szCs w:val="14"/>
          <w:lang w:val="en-GB"/>
        </w:rPr>
      </w:pPr>
      <w:r w:rsidRPr="003B31BA">
        <w:rPr>
          <w:rFonts w:ascii="Arial MT Std Light" w:hAnsi="Arial MT Std Light" w:cs="Arial MT Std Light"/>
          <w:color w:val="002C73"/>
          <w:w w:val="90"/>
          <w:sz w:val="14"/>
          <w:szCs w:val="14"/>
          <w:lang w:val="en-GB"/>
        </w:rPr>
        <w:t>Source: Department of Lands, Planning and Environment</w:t>
      </w:r>
    </w:p>
    <w:p w:rsidR="00664802" w:rsidRDefault="00664802"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p>
    <w:p w:rsidR="003B31BA" w:rsidRPr="00546FA7" w:rsidRDefault="003B31BA" w:rsidP="00546FA7">
      <w:pPr>
        <w:pStyle w:val="BOHeading1"/>
      </w:pPr>
      <w:r w:rsidRPr="00546FA7">
        <w:t>Real Housing for Growth</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Territory Government’s Real Housing for Growth plan provides more housing choices for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with $6.7 million in 2014-15 to:</w:t>
      </w:r>
    </w:p>
    <w:p w:rsidR="003B31BA" w:rsidRPr="003B31BA" w:rsidRDefault="003B31BA" w:rsidP="00194158">
      <w:pPr>
        <w:pStyle w:val="BOBodyBullet"/>
      </w:pPr>
      <w:r w:rsidRPr="003B31BA">
        <w:t>increase the supply of affordable housing for families and key workers to ease cost of living pressures;</w:t>
      </w:r>
    </w:p>
    <w:p w:rsidR="003B31BA" w:rsidRPr="003B31BA" w:rsidRDefault="003B31BA" w:rsidP="00194158">
      <w:pPr>
        <w:pStyle w:val="BOBodyBullet"/>
      </w:pPr>
      <w:r w:rsidRPr="003B31BA">
        <w:t>support rental initiatives of the Real Housing for Growth Plan; and</w:t>
      </w:r>
    </w:p>
    <w:p w:rsidR="003B31BA" w:rsidRPr="003B31BA" w:rsidRDefault="003B31BA" w:rsidP="00194158">
      <w:pPr>
        <w:pStyle w:val="BOBodyBullet"/>
      </w:pPr>
      <w:proofErr w:type="gramStart"/>
      <w:r w:rsidRPr="003B31BA">
        <w:t>support</w:t>
      </w:r>
      <w:proofErr w:type="gramEnd"/>
      <w:r w:rsidRPr="003B31BA">
        <w:t xml:space="preserve"> a head lease scheme where subsidised rents are provided to eligible key workers at 30 per cent below market rates. </w:t>
      </w:r>
    </w:p>
    <w:p w:rsidR="003B31BA" w:rsidRPr="003B31BA" w:rsidRDefault="003B31BA" w:rsidP="00546FA7">
      <w:pPr>
        <w:pStyle w:val="BOHeading1"/>
      </w:pPr>
      <w:bookmarkStart w:id="0" w:name="_GoBack"/>
      <w:bookmarkEnd w:id="0"/>
      <w:r w:rsidRPr="003B31BA">
        <w:lastRenderedPageBreak/>
        <w:t>Government Employee Housing</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invests $33.1 million to construct and upgrade government employee housing to support more nurses, teachers and police officers in remote communities including $3.6 million to continue repairs and maintenance of existing government employee assets across the Territory. </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Remote Housing</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continues to support the Territory Government’s </w:t>
      </w:r>
      <w:proofErr w:type="gramStart"/>
      <w:r w:rsidRPr="003B31BA">
        <w:rPr>
          <w:rFonts w:ascii="Arial MT Std Light" w:hAnsi="Arial MT Std Light" w:cs="Arial MT Std Light"/>
          <w:color w:val="000000"/>
          <w:w w:val="90"/>
          <w:sz w:val="20"/>
          <w:szCs w:val="20"/>
          <w:lang w:val="en-GB"/>
        </w:rPr>
        <w:t>Framing</w:t>
      </w:r>
      <w:proofErr w:type="gramEnd"/>
      <w:r w:rsidRPr="003B31BA">
        <w:rPr>
          <w:rFonts w:ascii="Arial MT Std Light" w:hAnsi="Arial MT Std Light" w:cs="Arial MT Std Light"/>
          <w:color w:val="000000"/>
          <w:w w:val="90"/>
          <w:sz w:val="20"/>
          <w:szCs w:val="20"/>
          <w:lang w:val="en-GB"/>
        </w:rPr>
        <w:t xml:space="preserve"> the Future strategy to improve housing stock for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xml:space="preserve"> living in remote areas.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Under National Partnership Agreements between the Territory and Commonwealth governments, the 2014-15 Budget includes: </w:t>
      </w:r>
    </w:p>
    <w:p w:rsidR="003B31BA" w:rsidRPr="003B31BA" w:rsidRDefault="003B31BA" w:rsidP="00194158">
      <w:pPr>
        <w:pStyle w:val="BOBodyBullet"/>
      </w:pPr>
      <w:r w:rsidRPr="003B31BA">
        <w:t xml:space="preserve">$122.8 million to construct new and upgrade existing housing in remote Indigenous communities; and </w:t>
      </w:r>
    </w:p>
    <w:p w:rsidR="003B31BA" w:rsidRPr="003B31BA" w:rsidRDefault="003B31BA" w:rsidP="00194158">
      <w:pPr>
        <w:pStyle w:val="BOBodyBullet"/>
      </w:pPr>
      <w:r w:rsidRPr="003B31BA">
        <w:t xml:space="preserve">$30.2 million to provide property and tenancy management for remote Indigenous public housing.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w:t>
      </w:r>
      <w:proofErr w:type="gramStart"/>
      <w:r w:rsidRPr="003B31BA">
        <w:rPr>
          <w:rFonts w:ascii="Arial MT Std Light" w:hAnsi="Arial MT Std Light" w:cs="Arial MT Std Light"/>
          <w:color w:val="000000"/>
          <w:w w:val="90"/>
          <w:sz w:val="20"/>
          <w:szCs w:val="20"/>
          <w:lang w:val="en-GB"/>
        </w:rPr>
        <w:t>Budget</w:t>
      </w:r>
      <w:proofErr w:type="gramEnd"/>
      <w:r w:rsidRPr="003B31BA">
        <w:rPr>
          <w:rFonts w:ascii="Arial MT Std Light" w:hAnsi="Arial MT Std Light" w:cs="Arial MT Std Light"/>
          <w:color w:val="000000"/>
          <w:w w:val="90"/>
          <w:sz w:val="20"/>
          <w:szCs w:val="20"/>
          <w:lang w:val="en-GB"/>
        </w:rPr>
        <w:t xml:space="preserve"> also includes $4.5 million over three years from 2014</w:t>
      </w:r>
      <w:r w:rsidRPr="003B31BA">
        <w:rPr>
          <w:rFonts w:ascii="Arial MT Std Light" w:hAnsi="Arial MT Std Light" w:cs="Arial MT Std Light"/>
          <w:color w:val="000000"/>
          <w:w w:val="90"/>
          <w:sz w:val="20"/>
          <w:szCs w:val="20"/>
          <w:lang w:val="en-GB"/>
        </w:rPr>
        <w:noBreakHyphen/>
        <w:t xml:space="preserve">15, to develop a Remote Indigenous Home Purchase Strategy to increase home ownership opportunities for remote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xml:space="preserve"> living in remote communities.</w:t>
      </w: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Home Loan Support</w:t>
      </w:r>
    </w:p>
    <w:p w:rsidR="003B31BA" w:rsidRPr="003B31BA" w:rsidRDefault="003B31BA" w:rsidP="00194158">
      <w:pPr>
        <w:pStyle w:val="BOBodyText"/>
      </w:pPr>
      <w:r w:rsidRPr="003B31BA">
        <w:t xml:space="preserve">The 2014-15 Budget provides a number of home ownership loan products and services to </w:t>
      </w:r>
      <w:proofErr w:type="spellStart"/>
      <w:r w:rsidRPr="003B31BA">
        <w:t>Territorians</w:t>
      </w:r>
      <w:proofErr w:type="spellEnd"/>
      <w:r w:rsidRPr="003B31BA">
        <w:t xml:space="preserve"> who would otherwise be unable to access private sector finance. The Territory Government’s home loan products focus on increasing the supply of new housing to alleviate demand pressures in the rental market.</w:t>
      </w:r>
    </w:p>
    <w:p w:rsidR="003B31BA" w:rsidRPr="003B31BA" w:rsidRDefault="003B31BA" w:rsidP="00194158">
      <w:pPr>
        <w:pStyle w:val="BOBodyText"/>
      </w:pPr>
      <w:r w:rsidRPr="003B31BA">
        <w:t>The 2014-15 Budget provides Home Build Access loans for home buyers across the Territory, including:</w:t>
      </w:r>
    </w:p>
    <w:p w:rsidR="003B31BA" w:rsidRPr="003B31BA" w:rsidRDefault="003B31BA" w:rsidP="00194158">
      <w:pPr>
        <w:pStyle w:val="BOBodyBullet"/>
      </w:pPr>
      <w:proofErr w:type="gramStart"/>
      <w:r w:rsidRPr="003B31BA">
        <w:t>the</w:t>
      </w:r>
      <w:proofErr w:type="gramEnd"/>
      <w:r w:rsidRPr="003B31BA">
        <w:t xml:space="preserve"> </w:t>
      </w:r>
      <w:proofErr w:type="spellStart"/>
      <w:r w:rsidRPr="003B31BA">
        <w:t>HomeBuild</w:t>
      </w:r>
      <w:proofErr w:type="spellEnd"/>
      <w:r w:rsidRPr="003B31BA">
        <w:t xml:space="preserve"> Access Low Deposit Loan, which provides a Territory Government loan of up to 17.5 per cent, with an 80 per cent loan provided by the Territory Insurance Office. This allows home buyers to borrow up to 97.5 per cent of the purchase price, with a deposit of 2.5 per cent; </w:t>
      </w:r>
    </w:p>
    <w:p w:rsidR="003B31BA" w:rsidRPr="003B31BA" w:rsidRDefault="003B31BA" w:rsidP="00194158">
      <w:pPr>
        <w:pStyle w:val="BOBodyBullet"/>
      </w:pPr>
      <w:r w:rsidRPr="003B31BA">
        <w:t xml:space="preserve">the </w:t>
      </w:r>
      <w:proofErr w:type="spellStart"/>
      <w:r w:rsidRPr="003B31BA">
        <w:t>HomeBuild</w:t>
      </w:r>
      <w:proofErr w:type="spellEnd"/>
      <w:r w:rsidRPr="003B31BA">
        <w:t xml:space="preserve"> Access Off The Plan Deposit Loan to help fund the deposit for off</w:t>
      </w:r>
      <w:r w:rsidRPr="003B31BA">
        <w:noBreakHyphen/>
        <w:t>the</w:t>
      </w:r>
      <w:r w:rsidRPr="003B31BA">
        <w:noBreakHyphen/>
        <w:t>plan purchases;</w:t>
      </w:r>
    </w:p>
    <w:p w:rsidR="003B31BA" w:rsidRPr="003B31BA" w:rsidRDefault="003B31BA" w:rsidP="00194158">
      <w:pPr>
        <w:pStyle w:val="BOBodyBullet"/>
      </w:pPr>
      <w:r w:rsidRPr="003B31BA">
        <w:t xml:space="preserve">the </w:t>
      </w:r>
      <w:proofErr w:type="spellStart"/>
      <w:r w:rsidRPr="003B31BA">
        <w:t>HomeBuild</w:t>
      </w:r>
      <w:proofErr w:type="spellEnd"/>
      <w:r w:rsidRPr="003B31BA">
        <w:t xml:space="preserve"> Access Subsidised Interest Rate Loan, which reduces the interest rate for the first five years of the loan term; and</w:t>
      </w:r>
    </w:p>
    <w:p w:rsidR="003B31BA" w:rsidRPr="003B31BA" w:rsidRDefault="003B31BA" w:rsidP="00194158">
      <w:pPr>
        <w:pStyle w:val="BOBodyBullet"/>
      </w:pPr>
      <w:r w:rsidRPr="003B31BA">
        <w:t>a Fee Assistance Loan, for eligible Subsidised Interest Rate Loan applicants, to enable borrowing of up to $10 000 interest-free to help with costs associated with buying a home such as conveyancing, white goods and stamp duty.</w:t>
      </w: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First Home Owner Grant</w:t>
      </w:r>
    </w:p>
    <w:p w:rsidR="003B31BA" w:rsidRPr="003B31BA" w:rsidRDefault="003B31BA" w:rsidP="00194158">
      <w:pPr>
        <w:pStyle w:val="BOBodyText"/>
      </w:pPr>
      <w:r w:rsidRPr="003B31BA">
        <w:t>The Territory Government’s First Home Owner Grant provides targeted assistance for people looking to purchase their first property, with the following changes taking effect from 13 May 2014:</w:t>
      </w:r>
    </w:p>
    <w:p w:rsidR="003B31BA" w:rsidRPr="003B31BA" w:rsidRDefault="003B31BA" w:rsidP="00194158">
      <w:pPr>
        <w:pStyle w:val="BOBodyBullet"/>
      </w:pPr>
      <w:r w:rsidRPr="003B31BA">
        <w:t>increasing the grant from $25 000 to $26 000 for first home buyers building a new home; and</w:t>
      </w:r>
    </w:p>
    <w:p w:rsidR="003B31BA" w:rsidRPr="003B31BA" w:rsidRDefault="003B31BA" w:rsidP="00194158">
      <w:pPr>
        <w:pStyle w:val="BOBodyBullet"/>
      </w:pPr>
      <w:proofErr w:type="gramStart"/>
      <w:r w:rsidRPr="003B31BA">
        <w:t>removing</w:t>
      </w:r>
      <w:proofErr w:type="gramEnd"/>
      <w:r w:rsidRPr="003B31BA">
        <w:t xml:space="preserve"> the $600 000 value cap, meaning buyers can consider a wider range of properties. </w:t>
      </w:r>
    </w:p>
    <w:p w:rsidR="003B31BA" w:rsidRPr="003B31BA" w:rsidRDefault="003B31BA" w:rsidP="00194158">
      <w:pPr>
        <w:pStyle w:val="BOBodyText"/>
      </w:pPr>
      <w:r w:rsidRPr="003B31BA">
        <w:t>To encourage an increase in the construction of new dwellings, the scheme will be available for new homes only from 1 January 2015. The current grant for the purchase of existing homes will cease from this date. This is consistent with most other jurisdictions and encourages an increase in housing supply.</w:t>
      </w:r>
    </w:p>
    <w:p w:rsidR="003B31BA" w:rsidRPr="003B31BA" w:rsidRDefault="003B31BA" w:rsidP="003B31BA">
      <w:pPr>
        <w:keepLines/>
        <w:suppressAutoHyphens/>
        <w:autoSpaceDE w:val="0"/>
        <w:autoSpaceDN w:val="0"/>
        <w:adjustRightInd w:val="0"/>
        <w:spacing w:before="113"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Improving Public Housing</w:t>
      </w:r>
    </w:p>
    <w:p w:rsidR="003B31BA" w:rsidRPr="003B31BA" w:rsidRDefault="003B31BA" w:rsidP="00194158">
      <w:pPr>
        <w:pStyle w:val="BOBodyText"/>
      </w:pPr>
      <w:r w:rsidRPr="003B31BA">
        <w:t xml:space="preserve">The 2014-15 Budget will support the development of public housing to suit the needs of </w:t>
      </w:r>
      <w:proofErr w:type="spellStart"/>
      <w:r w:rsidRPr="003B31BA">
        <w:t>Territorians</w:t>
      </w:r>
      <w:proofErr w:type="spellEnd"/>
      <w:r w:rsidRPr="003B31BA">
        <w:t xml:space="preserve"> and increase the number of smaller one to two-bedroom public housing dwellings suitable for smaller households, senior tenants or tenants with disabilities. </w:t>
      </w:r>
    </w:p>
    <w:p w:rsidR="003B31BA" w:rsidRPr="003B31BA" w:rsidRDefault="003B31BA" w:rsidP="00194158">
      <w:pPr>
        <w:pStyle w:val="BOBodyText"/>
      </w:pPr>
      <w:r w:rsidRPr="003B31BA">
        <w:t xml:space="preserve">The 2014-15 Budget provides $4 million to continue the redevelopment of public housing unit complexes, with an aim to improve housing affordability and reduce concentrations of social disadvantage. </w:t>
      </w:r>
    </w:p>
    <w:p w:rsidR="003B31BA" w:rsidRDefault="003B31BA" w:rsidP="00194158">
      <w:pPr>
        <w:pStyle w:val="BOBodyText"/>
      </w:pPr>
      <w:r w:rsidRPr="003B31BA">
        <w:t>The 2014-15 Budget also includes $20.6 million for repairs and maintenance for public housing across the Territory and $12.4 million for upgrades.</w:t>
      </w:r>
    </w:p>
    <w:p w:rsidR="003B31BA" w:rsidRDefault="003B31BA">
      <w:pPr>
        <w:rPr>
          <w:rFonts w:ascii="Arial MT Std Light" w:hAnsi="Arial MT Std Light" w:cs="Arial MT Std Light"/>
          <w:color w:val="EF7521"/>
          <w:w w:val="90"/>
          <w:sz w:val="20"/>
          <w:szCs w:val="20"/>
          <w:lang w:val="en-GB"/>
        </w:rPr>
      </w:pPr>
      <w:r>
        <w:rPr>
          <w:rFonts w:ascii="Arial MT Std Light" w:hAnsi="Arial MT Std Light" w:cs="Arial MT Std Light"/>
          <w:color w:val="EF7521"/>
          <w:w w:val="90"/>
          <w:sz w:val="20"/>
          <w:szCs w:val="20"/>
          <w:lang w:val="en-GB"/>
        </w:rPr>
        <w:br w:type="page"/>
      </w:r>
    </w:p>
    <w:p w:rsidR="003B31BA" w:rsidRPr="003B31BA" w:rsidRDefault="003B31BA" w:rsidP="003B31BA">
      <w:pPr>
        <w:suppressAutoHyphens/>
        <w:autoSpaceDE w:val="0"/>
        <w:autoSpaceDN w:val="0"/>
        <w:adjustRightInd w:val="0"/>
        <w:spacing w:after="113" w:line="600" w:lineRule="atLeast"/>
        <w:textAlignment w:val="baseline"/>
        <w:rPr>
          <w:rFonts w:ascii="Arial MT Std" w:hAnsi="Arial MT Std" w:cs="Arial MT Std"/>
          <w:b/>
          <w:bCs/>
          <w:color w:val="EF7521"/>
          <w:spacing w:val="-7"/>
          <w:w w:val="85"/>
          <w:sz w:val="60"/>
          <w:szCs w:val="60"/>
          <w:lang w:val="en-GB"/>
        </w:rPr>
      </w:pPr>
      <w:r w:rsidRPr="003B31BA">
        <w:rPr>
          <w:rFonts w:ascii="Arial MT Std" w:hAnsi="Arial MT Std" w:cs="Arial MT Std"/>
          <w:b/>
          <w:bCs/>
          <w:color w:val="EF7521"/>
          <w:spacing w:val="-7"/>
          <w:w w:val="85"/>
          <w:sz w:val="60"/>
          <w:szCs w:val="60"/>
          <w:lang w:val="en-GB"/>
        </w:rPr>
        <w:lastRenderedPageBreak/>
        <w:t>Lifestyle</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supports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xml:space="preserve"> to lead a healthy and balanced lifestyle, with $82 million provided for greater resources for sport, recreation and cultural activities.</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Keeping Kids Active</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w:t>
      </w:r>
      <w:proofErr w:type="gramStart"/>
      <w:r w:rsidRPr="003B31BA">
        <w:rPr>
          <w:rFonts w:ascii="Arial MT Std Light" w:hAnsi="Arial MT Std Light" w:cs="Arial MT Std Light"/>
          <w:color w:val="000000"/>
          <w:w w:val="90"/>
          <w:sz w:val="20"/>
          <w:szCs w:val="20"/>
          <w:lang w:val="en-GB"/>
        </w:rPr>
        <w:t>Budget</w:t>
      </w:r>
      <w:proofErr w:type="gramEnd"/>
      <w:r w:rsidRPr="003B31BA">
        <w:rPr>
          <w:rFonts w:ascii="Arial MT Std Light" w:hAnsi="Arial MT Std Light" w:cs="Arial MT Std Light"/>
          <w:color w:val="000000"/>
          <w:w w:val="90"/>
          <w:sz w:val="20"/>
          <w:szCs w:val="20"/>
          <w:lang w:val="en-GB"/>
        </w:rPr>
        <w:t xml:space="preserve"> supports Territory children to get into organised sport and recreation activities to help them lead healthier lives, with additional funding of $5 million for the Sports Voucher scheme, increasing the annual voucher from $75 to $200.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scheme is being expanded to include more activities such as dance, music lessons and other arts and cultural pursuits and can also be used for learn</w:t>
      </w:r>
      <w:r w:rsidRPr="003B31BA">
        <w:rPr>
          <w:rFonts w:ascii="Arial MT Std Light" w:hAnsi="Arial MT Std Light" w:cs="Arial MT Std Light"/>
          <w:color w:val="000000"/>
          <w:w w:val="90"/>
          <w:sz w:val="20"/>
          <w:szCs w:val="20"/>
          <w:lang w:val="en-GB"/>
        </w:rPr>
        <w:noBreakHyphen/>
        <w:t>to</w:t>
      </w:r>
      <w:r w:rsidRPr="003B31BA">
        <w:rPr>
          <w:rFonts w:ascii="Arial MT Std Light" w:hAnsi="Arial MT Std Light" w:cs="Arial MT Std Light"/>
          <w:color w:val="000000"/>
          <w:w w:val="90"/>
          <w:sz w:val="20"/>
          <w:szCs w:val="20"/>
          <w:lang w:val="en-GB"/>
        </w:rPr>
        <w:noBreakHyphen/>
        <w:t>swim lessons for children up to five years.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w:t>
      </w:r>
      <w:proofErr w:type="gramStart"/>
      <w:r w:rsidRPr="003B31BA">
        <w:rPr>
          <w:rFonts w:ascii="Arial MT Std Light" w:hAnsi="Arial MT Std Light" w:cs="Arial MT Std Light"/>
          <w:color w:val="000000"/>
          <w:w w:val="90"/>
          <w:sz w:val="20"/>
          <w:szCs w:val="20"/>
          <w:lang w:val="en-GB"/>
        </w:rPr>
        <w:t>Budget</w:t>
      </w:r>
      <w:proofErr w:type="gramEnd"/>
      <w:r w:rsidRPr="003B31BA">
        <w:rPr>
          <w:rFonts w:ascii="Arial MT Std Light" w:hAnsi="Arial MT Std Light" w:cs="Arial MT Std Light"/>
          <w:color w:val="000000"/>
          <w:w w:val="90"/>
          <w:sz w:val="20"/>
          <w:szCs w:val="20"/>
          <w:lang w:val="en-GB"/>
        </w:rPr>
        <w:t xml:space="preserve"> also supports growth of sport at the grassroots level and keeps children and adults active, with $19.67 million in grants to sport and recreation organisations and programs, including:</w:t>
      </w:r>
    </w:p>
    <w:p w:rsidR="003B31BA" w:rsidRPr="003B31BA" w:rsidRDefault="003B31BA" w:rsidP="00F53010">
      <w:pPr>
        <w:pStyle w:val="BOBodyBullet"/>
      </w:pPr>
      <w:r w:rsidRPr="003B31BA">
        <w:t>$5.6 million for grants to peak sporting bodies and recreation bodies; and</w:t>
      </w:r>
    </w:p>
    <w:p w:rsidR="003B31BA" w:rsidRPr="003B31BA" w:rsidRDefault="003B31BA" w:rsidP="00F53010">
      <w:pPr>
        <w:pStyle w:val="BOBodyBullet"/>
      </w:pPr>
      <w:r w:rsidRPr="003B31BA">
        <w:t>$2.3 million to support sporting programs in remote communities.</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Sports and Major Events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delivers major sporting and entertainment events for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with $5.84 million for major events including:</w:t>
      </w:r>
    </w:p>
    <w:p w:rsidR="003B31BA" w:rsidRPr="003B31BA" w:rsidRDefault="003B31BA" w:rsidP="00F53010">
      <w:pPr>
        <w:pStyle w:val="BOBodyBullet"/>
      </w:pPr>
      <w:r w:rsidRPr="003B31BA">
        <w:t xml:space="preserve">$2.19 million for the V8 Supercars Championship, including the Race and Rock Concert; </w:t>
      </w:r>
    </w:p>
    <w:p w:rsidR="003B31BA" w:rsidRPr="003B31BA" w:rsidRDefault="003B31BA" w:rsidP="00F53010">
      <w:pPr>
        <w:pStyle w:val="BOBodyBullet"/>
      </w:pPr>
      <w:r w:rsidRPr="003B31BA">
        <w:t>$1 million to Parramatta Eels to hold an NRL premiership game in Darwin and pre-season game in Alice Springs;</w:t>
      </w:r>
    </w:p>
    <w:p w:rsidR="003B31BA" w:rsidRPr="003B31BA" w:rsidRDefault="003B31BA" w:rsidP="00F53010">
      <w:pPr>
        <w:pStyle w:val="BOBodyBullet"/>
      </w:pPr>
      <w:r w:rsidRPr="003B31BA">
        <w:t xml:space="preserve">$1 million to bring the AFL’s Melbourne Demons to the Territory with matches to be played at both TIO </w:t>
      </w:r>
      <w:proofErr w:type="spellStart"/>
      <w:r w:rsidRPr="003B31BA">
        <w:t>Traeger</w:t>
      </w:r>
      <w:proofErr w:type="spellEnd"/>
      <w:r w:rsidRPr="003B31BA">
        <w:t xml:space="preserve"> Park in Alice Springs and TIO Stadium in Darwin;</w:t>
      </w:r>
    </w:p>
    <w:p w:rsidR="003B31BA" w:rsidRPr="003B31BA" w:rsidRDefault="003B31BA" w:rsidP="00F53010">
      <w:pPr>
        <w:pStyle w:val="BOBodyBullet"/>
      </w:pPr>
      <w:r w:rsidRPr="003B31BA">
        <w:t>$0.15 million to support Adelaide United in hosting pre-season A-League games in Alice Springs; and</w:t>
      </w:r>
    </w:p>
    <w:p w:rsidR="003B31BA" w:rsidRPr="003B31BA" w:rsidRDefault="003B31BA" w:rsidP="00F53010">
      <w:pPr>
        <w:pStyle w:val="BOBodyBullet"/>
      </w:pPr>
      <w:r w:rsidRPr="003B31BA">
        <w:t>$58 000 for the Tattersall’s Finke Desert Race.</w:t>
      </w:r>
    </w:p>
    <w:p w:rsidR="003B31BA" w:rsidRPr="003B31BA" w:rsidRDefault="003B31BA" w:rsidP="003B31BA">
      <w:pPr>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3B31BA">
        <w:rPr>
          <w:rFonts w:ascii="Arial MT Std Light" w:hAnsi="Arial MT Std Light" w:cs="Arial MT Std Light"/>
          <w:color w:val="002C73"/>
          <w:spacing w:val="-3"/>
          <w:w w:val="90"/>
          <w:sz w:val="30"/>
          <w:szCs w:val="30"/>
          <w:lang w:val="en-GB"/>
        </w:rPr>
        <w:t xml:space="preserve">Recreation and Fishing </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 xml:space="preserve">The 2014-15 Budget allows </w:t>
      </w:r>
      <w:proofErr w:type="spellStart"/>
      <w:r w:rsidRPr="003B31BA">
        <w:rPr>
          <w:rFonts w:ascii="Arial MT Std Light" w:hAnsi="Arial MT Std Light" w:cs="Arial MT Std Light"/>
          <w:color w:val="000000"/>
          <w:w w:val="90"/>
          <w:sz w:val="20"/>
          <w:szCs w:val="20"/>
          <w:lang w:val="en-GB"/>
        </w:rPr>
        <w:t>Territorians</w:t>
      </w:r>
      <w:proofErr w:type="spellEnd"/>
      <w:r w:rsidRPr="003B31BA">
        <w:rPr>
          <w:rFonts w:ascii="Arial MT Std Light" w:hAnsi="Arial MT Std Light" w:cs="Arial MT Std Light"/>
          <w:color w:val="000000"/>
          <w:w w:val="90"/>
          <w:sz w:val="20"/>
          <w:szCs w:val="20"/>
          <w:lang w:val="en-GB"/>
        </w:rPr>
        <w:t xml:space="preserve"> to continue to enjoy a range of recreational facilities and events, including $14.7 million to assist the thoroughbred racing industry for race meetings.</w:t>
      </w:r>
    </w:p>
    <w:p w:rsidR="003B31BA" w:rsidRPr="003B31BA" w:rsidRDefault="003B31BA" w:rsidP="003B31BA">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31BA">
        <w:rPr>
          <w:rFonts w:ascii="Arial MT Std Light" w:hAnsi="Arial MT Std Light" w:cs="Arial MT Std Light"/>
          <w:color w:val="000000"/>
          <w:w w:val="90"/>
          <w:sz w:val="20"/>
          <w:szCs w:val="20"/>
          <w:lang w:val="en-GB"/>
        </w:rPr>
        <w:t>The 2014-15 Budget provides $11.7 million for fishing industry management and development, including:</w:t>
      </w:r>
    </w:p>
    <w:p w:rsidR="003B31BA" w:rsidRPr="003B31BA" w:rsidRDefault="003B31BA" w:rsidP="00F53010">
      <w:pPr>
        <w:pStyle w:val="BOBodyBullet"/>
      </w:pPr>
      <w:r w:rsidRPr="003B31BA">
        <w:t xml:space="preserve">$2.5 million for the sustainable management of the Territory aquatic resource; </w:t>
      </w:r>
    </w:p>
    <w:p w:rsidR="003B31BA" w:rsidRPr="003B31BA" w:rsidRDefault="003B31BA" w:rsidP="00F53010">
      <w:pPr>
        <w:pStyle w:val="BOBodyBullet"/>
      </w:pPr>
      <w:r w:rsidRPr="003B31BA">
        <w:t>$2.5 million additional funding to upgrade two barrages upstream of Shady Camp on the Mary River to prevent salt water intrusion and protect upstream ecosystems and habitats; and</w:t>
      </w:r>
    </w:p>
    <w:p w:rsidR="003B31BA" w:rsidRPr="003B31BA" w:rsidRDefault="003B31BA" w:rsidP="00F53010">
      <w:pPr>
        <w:pStyle w:val="BOBodyBullet"/>
      </w:pPr>
      <w:r w:rsidRPr="003B31BA">
        <w:t>$0.56 million for the sustainable management of the Territory’s recreational fishing sector.</w:t>
      </w: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Arts and Culture</w:t>
      </w:r>
    </w:p>
    <w:p w:rsidR="003B31BA" w:rsidRPr="003B31BA" w:rsidRDefault="003B31BA" w:rsidP="00F53010">
      <w:pPr>
        <w:pStyle w:val="BOBodyText"/>
      </w:pPr>
      <w:r w:rsidRPr="003B31BA">
        <w:t xml:space="preserve">The 2014-15 Budget helps support arts and cultural institutions so that they can continue to be enjoyed by </w:t>
      </w:r>
      <w:proofErr w:type="spellStart"/>
      <w:r w:rsidRPr="003B31BA">
        <w:t>Territorians</w:t>
      </w:r>
      <w:proofErr w:type="spellEnd"/>
      <w:r w:rsidRPr="003B31BA">
        <w:t xml:space="preserve"> and visitors each year. </w:t>
      </w:r>
    </w:p>
    <w:p w:rsidR="003B31BA" w:rsidRPr="003B31BA" w:rsidRDefault="003B31BA" w:rsidP="00F53010">
      <w:pPr>
        <w:pStyle w:val="BOBodyText"/>
      </w:pPr>
      <w:r w:rsidRPr="003B31BA">
        <w:t>A total of $44.9 million will help support our arts and cultural institutions including:</w:t>
      </w:r>
    </w:p>
    <w:p w:rsidR="003B31BA" w:rsidRPr="003B31BA" w:rsidRDefault="003B31BA" w:rsidP="00F53010">
      <w:pPr>
        <w:pStyle w:val="BOBodyBullet"/>
      </w:pPr>
      <w:r w:rsidRPr="003B31BA">
        <w:tab/>
        <w:t>$7.12 million to support the Museum and Art Gallery of the Northern Territory under its new governance arrangement as an independent, stronger statutory authority; and</w:t>
      </w:r>
    </w:p>
    <w:p w:rsidR="003B31BA" w:rsidRPr="003B31BA" w:rsidRDefault="003B31BA" w:rsidP="00F53010">
      <w:pPr>
        <w:pStyle w:val="BOBodyBullet"/>
      </w:pPr>
      <w:r w:rsidRPr="003B31BA">
        <w:tab/>
        <w:t>$2.85 million for ongoing repairs and maintenance of our cultural institutions across the Territory.</w:t>
      </w:r>
    </w:p>
    <w:p w:rsidR="003B31BA" w:rsidRPr="003B31BA" w:rsidRDefault="003B31BA" w:rsidP="003B31BA">
      <w:pPr>
        <w:keepLines/>
        <w:suppressAutoHyphens/>
        <w:autoSpaceDE w:val="0"/>
        <w:autoSpaceDN w:val="0"/>
        <w:adjustRightInd w:val="0"/>
        <w:spacing w:after="57" w:line="320" w:lineRule="atLeast"/>
        <w:textAlignment w:val="center"/>
        <w:rPr>
          <w:rFonts w:ascii="Arial MT Std Light" w:hAnsi="Arial MT Std Light" w:cs="Arial MT Std Light"/>
          <w:color w:val="002C73"/>
          <w:spacing w:val="-3"/>
          <w:w w:val="90"/>
          <w:sz w:val="28"/>
          <w:szCs w:val="28"/>
          <w:lang w:val="en-GB"/>
        </w:rPr>
      </w:pPr>
      <w:r w:rsidRPr="003B31BA">
        <w:rPr>
          <w:rFonts w:ascii="Arial MT Std Light" w:hAnsi="Arial MT Std Light" w:cs="Arial MT Std Light"/>
          <w:color w:val="002C73"/>
          <w:spacing w:val="-3"/>
          <w:w w:val="90"/>
          <w:sz w:val="28"/>
          <w:szCs w:val="28"/>
          <w:lang w:val="en-GB"/>
        </w:rPr>
        <w:t>Sporting Facilities</w:t>
      </w:r>
    </w:p>
    <w:p w:rsidR="003B31BA" w:rsidRPr="003B31BA" w:rsidRDefault="003B31BA" w:rsidP="00F53010">
      <w:pPr>
        <w:pStyle w:val="BOBodyText"/>
      </w:pPr>
      <w:r w:rsidRPr="003B31BA">
        <w:t>The 2014-15 Budget continues investment in sports and recreation facilities, including:</w:t>
      </w:r>
    </w:p>
    <w:p w:rsidR="003B31BA" w:rsidRPr="003B31BA" w:rsidRDefault="003B31BA" w:rsidP="00F53010">
      <w:pPr>
        <w:pStyle w:val="BOBodyBullet"/>
      </w:pPr>
      <w:r w:rsidRPr="003B31BA">
        <w:tab/>
        <w:t>$4.27 million for stage 2 upgrades to the Hidden Valley Motor Sports Complex, which includes upgrades of drainage, sewerage and toilets and the redesign of the track’s turn 1;</w:t>
      </w:r>
    </w:p>
    <w:p w:rsidR="003B31BA" w:rsidRPr="003B31BA" w:rsidRDefault="003B31BA" w:rsidP="00F53010">
      <w:pPr>
        <w:pStyle w:val="BOBodyBullet"/>
      </w:pPr>
      <w:r w:rsidRPr="003B31BA">
        <w:tab/>
        <w:t>$2.38 million for repairs and maintenance to sporting facilities across the Territory; and</w:t>
      </w:r>
    </w:p>
    <w:p w:rsidR="003B31BA" w:rsidRPr="003B31BA" w:rsidRDefault="003B31BA" w:rsidP="00F53010">
      <w:pPr>
        <w:pStyle w:val="BOBodyBullet"/>
      </w:pPr>
      <w:r w:rsidRPr="003B31BA">
        <w:lastRenderedPageBreak/>
        <w:tab/>
        <w:t>$0.3 million to continue upgrades to the Alice Springs drag strip, and construct light towers to allow night racing and the ability to host regional and national events.</w:t>
      </w:r>
    </w:p>
    <w:p w:rsidR="003B31BA" w:rsidRPr="003B31BA" w:rsidRDefault="003B31BA" w:rsidP="00F53010">
      <w:pPr>
        <w:pStyle w:val="BOBodyText"/>
      </w:pPr>
      <w:r w:rsidRPr="003B31BA">
        <w:t>The 2014-15 Budget also includes $0.78 million for minor new works to improve sporting facilities.</w:t>
      </w:r>
    </w:p>
    <w:p w:rsidR="003B31BA" w:rsidRDefault="003B31BA" w:rsidP="003B31BA"/>
    <w:sectPr w:rsidR="003B31BA" w:rsidSect="00EB046E">
      <w:headerReference w:type="even" r:id="rId12"/>
      <w:headerReference w:type="default" r:id="rId13"/>
      <w:footerReference w:type="even" r:id="rId14"/>
      <w:footerReference w:type="default" r:id="rId15"/>
      <w:pgSz w:w="11906" w:h="16838"/>
      <w:pgMar w:top="720" w:right="720" w:bottom="720" w:left="720" w:header="624"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A7" w:rsidRDefault="00546FA7" w:rsidP="00546FA7">
      <w:pPr>
        <w:spacing w:after="0" w:line="240" w:lineRule="auto"/>
      </w:pPr>
      <w:r>
        <w:separator/>
      </w:r>
    </w:p>
  </w:endnote>
  <w:endnote w:type="continuationSeparator" w:id="0">
    <w:p w:rsidR="00546FA7" w:rsidRDefault="00546FA7" w:rsidP="0054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Arial MT Std">
    <w:panose1 w:val="020B0402020200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Std Medium">
    <w:panose1 w:val="020B07030304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A7" w:rsidRPr="00EB046E" w:rsidRDefault="00546FA7">
    <w:pPr>
      <w:pStyle w:val="Footer"/>
      <w:rPr>
        <w:sz w:val="18"/>
        <w:szCs w:val="18"/>
      </w:rPr>
    </w:pPr>
    <w:r w:rsidRPr="00EB046E">
      <w:rPr>
        <w:sz w:val="18"/>
        <w:szCs w:val="18"/>
      </w:rPr>
      <w:fldChar w:fldCharType="begin"/>
    </w:r>
    <w:r w:rsidRPr="00EB046E">
      <w:rPr>
        <w:sz w:val="18"/>
        <w:szCs w:val="18"/>
      </w:rPr>
      <w:instrText xml:space="preserve"> PAGE   \* MERGEFORMAT </w:instrText>
    </w:r>
    <w:r w:rsidRPr="00EB046E">
      <w:rPr>
        <w:sz w:val="18"/>
        <w:szCs w:val="18"/>
      </w:rPr>
      <w:fldChar w:fldCharType="separate"/>
    </w:r>
    <w:r w:rsidR="00EB046E">
      <w:rPr>
        <w:noProof/>
        <w:sz w:val="18"/>
        <w:szCs w:val="18"/>
      </w:rPr>
      <w:t>2</w:t>
    </w:r>
    <w:r w:rsidRPr="00EB046E">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A7" w:rsidRPr="00EB046E" w:rsidRDefault="00EB046E" w:rsidP="00EB046E">
    <w:pPr>
      <w:pStyle w:val="Footer"/>
      <w:jc w:val="right"/>
      <w:rPr>
        <w:sz w:val="18"/>
        <w:szCs w:val="18"/>
      </w:rPr>
    </w:pPr>
    <w:r w:rsidRPr="00EB046E">
      <w:rPr>
        <w:sz w:val="18"/>
        <w:szCs w:val="18"/>
      </w:rPr>
      <w:fldChar w:fldCharType="begin"/>
    </w:r>
    <w:r w:rsidRPr="00EB046E">
      <w:rPr>
        <w:sz w:val="18"/>
        <w:szCs w:val="18"/>
      </w:rPr>
      <w:instrText xml:space="preserve"> PAGE   \* MERGEFORMAT </w:instrText>
    </w:r>
    <w:r w:rsidRPr="00EB046E">
      <w:rPr>
        <w:sz w:val="18"/>
        <w:szCs w:val="18"/>
      </w:rPr>
      <w:fldChar w:fldCharType="separate"/>
    </w:r>
    <w:r>
      <w:rPr>
        <w:noProof/>
        <w:sz w:val="18"/>
        <w:szCs w:val="18"/>
      </w:rPr>
      <w:t>3</w:t>
    </w:r>
    <w:r w:rsidRPr="00EB046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A7" w:rsidRDefault="00546FA7" w:rsidP="00546FA7">
      <w:pPr>
        <w:spacing w:after="0" w:line="240" w:lineRule="auto"/>
      </w:pPr>
      <w:r>
        <w:separator/>
      </w:r>
    </w:p>
  </w:footnote>
  <w:footnote w:type="continuationSeparator" w:id="0">
    <w:p w:rsidR="00546FA7" w:rsidRDefault="00546FA7" w:rsidP="00546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A7" w:rsidRPr="00546FA7" w:rsidRDefault="00546FA7" w:rsidP="00546FA7">
    <w:pPr>
      <w:pStyle w:val="Header"/>
      <w:spacing w:after="120"/>
      <w:rPr>
        <w:rFonts w:ascii="Arial MT Std Light" w:hAnsi="Arial MT Std Light"/>
        <w:sz w:val="18"/>
        <w:szCs w:val="18"/>
      </w:rPr>
    </w:pPr>
    <w:r w:rsidRPr="00546FA7">
      <w:rPr>
        <w:rFonts w:ascii="Arial MT Std Light" w:hAnsi="Arial MT Std Light"/>
        <w:sz w:val="18"/>
        <w:szCs w:val="18"/>
      </w:rPr>
      <w:t>Budget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A7" w:rsidRPr="00EB046E" w:rsidRDefault="00EB046E" w:rsidP="00EB046E">
    <w:pPr>
      <w:pStyle w:val="Header"/>
      <w:spacing w:after="120"/>
      <w:jc w:val="right"/>
      <w:rPr>
        <w:rFonts w:ascii="Arial MT Std Light" w:hAnsi="Arial MT Std Light"/>
        <w:sz w:val="18"/>
        <w:szCs w:val="18"/>
      </w:rPr>
    </w:pPr>
    <w:r w:rsidRPr="00546FA7">
      <w:rPr>
        <w:rFonts w:ascii="Arial MT Std Light" w:hAnsi="Arial MT Std Light"/>
        <w:sz w:val="18"/>
        <w:szCs w:val="18"/>
      </w:rPr>
      <w:t>Budget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B4B43"/>
    <w:multiLevelType w:val="hybridMultilevel"/>
    <w:tmpl w:val="BBF6560A"/>
    <w:lvl w:ilvl="0" w:tplc="463AAE2C">
      <w:start w:val="1"/>
      <w:numFmt w:val="bullet"/>
      <w:pStyle w:val="BODashed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DC68D1"/>
    <w:multiLevelType w:val="hybridMultilevel"/>
    <w:tmpl w:val="4DF8AEE8"/>
    <w:lvl w:ilvl="0" w:tplc="956A8BBA">
      <w:start w:val="1"/>
      <w:numFmt w:val="bullet"/>
      <w:pStyle w:val="BO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Mx8Ss4u9inyQ+MTzwhquH2JNujw=" w:salt="WkzbfMfzK6yDyAOA8PWXq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17"/>
    <w:rsid w:val="000B18AF"/>
    <w:rsid w:val="00194158"/>
    <w:rsid w:val="002E48B2"/>
    <w:rsid w:val="003B31BA"/>
    <w:rsid w:val="00546FA7"/>
    <w:rsid w:val="00664802"/>
    <w:rsid w:val="00A24714"/>
    <w:rsid w:val="00A45417"/>
    <w:rsid w:val="00D43645"/>
    <w:rsid w:val="00D617BF"/>
    <w:rsid w:val="00DE1BD6"/>
    <w:rsid w:val="00E644C3"/>
    <w:rsid w:val="00EB046E"/>
    <w:rsid w:val="00F53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4541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BodyText">
    <w:name w:val="BO Body Text"/>
    <w:basedOn w:val="NoParagraphStyle"/>
    <w:uiPriority w:val="99"/>
    <w:rsid w:val="00A45417"/>
    <w:pPr>
      <w:suppressAutoHyphens/>
      <w:spacing w:after="113" w:line="280" w:lineRule="atLeast"/>
    </w:pPr>
    <w:rPr>
      <w:rFonts w:ascii="Arial MT Std Light" w:hAnsi="Arial MT Std Light" w:cs="Arial MT Std Light"/>
      <w:w w:val="90"/>
      <w:sz w:val="20"/>
      <w:szCs w:val="20"/>
    </w:rPr>
  </w:style>
  <w:style w:type="paragraph" w:customStyle="1" w:styleId="BOHeading1">
    <w:name w:val="BO Heading 1"/>
    <w:basedOn w:val="NoParagraphStyle"/>
    <w:uiPriority w:val="99"/>
    <w:rsid w:val="00A45417"/>
    <w:pPr>
      <w:keepLines/>
      <w:suppressAutoHyphens/>
      <w:spacing w:after="57" w:line="360" w:lineRule="atLeast"/>
    </w:pPr>
    <w:rPr>
      <w:rFonts w:ascii="Arial MT Std Light" w:hAnsi="Arial MT Std Light" w:cs="Arial MT Std Light"/>
      <w:color w:val="043071"/>
      <w:spacing w:val="-3"/>
      <w:w w:val="90"/>
      <w:sz w:val="30"/>
      <w:szCs w:val="30"/>
    </w:rPr>
  </w:style>
  <w:style w:type="paragraph" w:customStyle="1" w:styleId="BOTableHeading">
    <w:name w:val="BO Table Heading"/>
    <w:basedOn w:val="NoParagraphStyle"/>
    <w:uiPriority w:val="99"/>
    <w:rsid w:val="00A45417"/>
    <w:pPr>
      <w:keepLines/>
      <w:suppressAutoHyphens/>
      <w:spacing w:after="28" w:line="220" w:lineRule="atLeast"/>
    </w:pPr>
    <w:rPr>
      <w:rFonts w:ascii="Arial MT Std" w:hAnsi="Arial MT Std" w:cs="Arial MT Std"/>
      <w:color w:val="043071"/>
      <w:w w:val="90"/>
      <w:sz w:val="20"/>
      <w:szCs w:val="20"/>
      <w:lang w:val="en-AU"/>
    </w:rPr>
  </w:style>
  <w:style w:type="paragraph" w:customStyle="1" w:styleId="BONoteText">
    <w:name w:val="BO Note Text"/>
    <w:basedOn w:val="NoParagraphStyle"/>
    <w:uiPriority w:val="99"/>
    <w:rsid w:val="00A45417"/>
    <w:pPr>
      <w:tabs>
        <w:tab w:val="left" w:pos="170"/>
      </w:tabs>
      <w:spacing w:line="180" w:lineRule="atLeast"/>
    </w:pPr>
    <w:rPr>
      <w:rFonts w:ascii="Arial MT Std Light" w:hAnsi="Arial MT Std Light" w:cs="Arial MT Std Light"/>
      <w:color w:val="043071"/>
      <w:w w:val="90"/>
      <w:sz w:val="14"/>
      <w:szCs w:val="14"/>
    </w:rPr>
  </w:style>
  <w:style w:type="paragraph" w:customStyle="1" w:styleId="BOBodyBullet">
    <w:name w:val="BO Body Bullet"/>
    <w:basedOn w:val="BOBodyText"/>
    <w:uiPriority w:val="99"/>
    <w:rsid w:val="00E644C3"/>
    <w:pPr>
      <w:numPr>
        <w:numId w:val="1"/>
      </w:numPr>
      <w:spacing w:after="85"/>
      <w:ind w:left="426"/>
    </w:pPr>
  </w:style>
  <w:style w:type="paragraph" w:customStyle="1" w:styleId="BOTableText">
    <w:name w:val="BO Table Text"/>
    <w:basedOn w:val="NoParagraphStyle"/>
    <w:uiPriority w:val="99"/>
    <w:rsid w:val="00A45417"/>
    <w:pPr>
      <w:suppressAutoHyphens/>
      <w:spacing w:after="113" w:line="220" w:lineRule="atLeast"/>
    </w:pPr>
    <w:rPr>
      <w:rFonts w:ascii="Arial MT Std Light" w:hAnsi="Arial MT Std Light" w:cs="Arial MT Std Light"/>
      <w:color w:val="043071"/>
      <w:spacing w:val="-2"/>
      <w:w w:val="90"/>
      <w:sz w:val="18"/>
      <w:szCs w:val="18"/>
      <w:lang w:val="en-US"/>
    </w:rPr>
  </w:style>
  <w:style w:type="paragraph" w:customStyle="1" w:styleId="BOTableTextCentred">
    <w:name w:val="BO Table Text Centred"/>
    <w:basedOn w:val="BOTableText"/>
    <w:uiPriority w:val="99"/>
    <w:rsid w:val="00A45417"/>
    <w:pPr>
      <w:jc w:val="center"/>
    </w:pPr>
  </w:style>
  <w:style w:type="paragraph" w:customStyle="1" w:styleId="BOTableNumbers">
    <w:name w:val="BO Table Numbers"/>
    <w:basedOn w:val="BOTableText"/>
    <w:uiPriority w:val="99"/>
    <w:rsid w:val="00A45417"/>
    <w:pPr>
      <w:jc w:val="right"/>
    </w:pPr>
  </w:style>
  <w:style w:type="character" w:customStyle="1" w:styleId="BOBlueText288">
    <w:name w:val="BO BlueText 288"/>
    <w:uiPriority w:val="99"/>
    <w:rsid w:val="00A45417"/>
    <w:rPr>
      <w:color w:val="043071"/>
    </w:rPr>
  </w:style>
  <w:style w:type="paragraph" w:customStyle="1" w:styleId="BOBoxHeading">
    <w:name w:val="BO Box Heading"/>
    <w:basedOn w:val="BOHeading1"/>
    <w:uiPriority w:val="99"/>
    <w:rsid w:val="00A45417"/>
    <w:pPr>
      <w:spacing w:line="320" w:lineRule="atLeast"/>
    </w:pPr>
    <w:rPr>
      <w:sz w:val="28"/>
      <w:szCs w:val="28"/>
    </w:rPr>
  </w:style>
  <w:style w:type="paragraph" w:customStyle="1" w:styleId="BOBoxtext">
    <w:name w:val="BO Box text"/>
    <w:basedOn w:val="BOBodyText"/>
    <w:uiPriority w:val="99"/>
    <w:rsid w:val="00A45417"/>
    <w:rPr>
      <w:color w:val="D3752E"/>
    </w:rPr>
  </w:style>
  <w:style w:type="paragraph" w:customStyle="1" w:styleId="BOBoxBullet">
    <w:name w:val="BO Box Bullet"/>
    <w:basedOn w:val="BOBodyBullet"/>
    <w:uiPriority w:val="99"/>
    <w:rsid w:val="00A45417"/>
    <w:pPr>
      <w:spacing w:after="57"/>
    </w:pPr>
    <w:rPr>
      <w:color w:val="D3752E"/>
    </w:rPr>
  </w:style>
  <w:style w:type="paragraph" w:customStyle="1" w:styleId="BOBoxTableText">
    <w:name w:val="BO Box Table Text"/>
    <w:basedOn w:val="BOTableText"/>
    <w:uiPriority w:val="99"/>
    <w:rsid w:val="00A45417"/>
  </w:style>
  <w:style w:type="character" w:customStyle="1" w:styleId="BOBoldtext">
    <w:name w:val="BO Bold text"/>
    <w:uiPriority w:val="99"/>
    <w:rsid w:val="00A45417"/>
  </w:style>
  <w:style w:type="paragraph" w:customStyle="1" w:styleId="BOChapterHeading">
    <w:name w:val="BO Chapter Heading"/>
    <w:basedOn w:val="NoParagraphStyle"/>
    <w:uiPriority w:val="99"/>
    <w:rsid w:val="00A45417"/>
    <w:pPr>
      <w:suppressAutoHyphens/>
      <w:spacing w:after="113" w:line="600" w:lineRule="atLeast"/>
      <w:textAlignment w:val="baseline"/>
    </w:pPr>
    <w:rPr>
      <w:rFonts w:ascii="Arial MT Std" w:hAnsi="Arial MT Std" w:cs="Arial MT Std"/>
      <w:b/>
      <w:bCs/>
      <w:color w:val="D3752E"/>
      <w:spacing w:val="-7"/>
      <w:w w:val="90"/>
      <w:sz w:val="66"/>
      <w:szCs w:val="66"/>
    </w:rPr>
  </w:style>
  <w:style w:type="paragraph" w:customStyle="1" w:styleId="RHChapterHeading">
    <w:name w:val="RH Chapter Heading"/>
    <w:basedOn w:val="NoParagraphStyle"/>
    <w:uiPriority w:val="99"/>
    <w:rsid w:val="00A45417"/>
    <w:pPr>
      <w:suppressAutoHyphens/>
      <w:spacing w:after="113" w:line="600" w:lineRule="atLeast"/>
      <w:textAlignment w:val="baseline"/>
    </w:pPr>
    <w:rPr>
      <w:rFonts w:ascii="Arial MT Std" w:hAnsi="Arial MT Std" w:cs="Arial MT Std"/>
      <w:b/>
      <w:bCs/>
      <w:color w:val="D3752E"/>
      <w:spacing w:val="-7"/>
      <w:w w:val="90"/>
      <w:sz w:val="66"/>
      <w:szCs w:val="66"/>
    </w:rPr>
  </w:style>
  <w:style w:type="paragraph" w:customStyle="1" w:styleId="BOTableTextindented">
    <w:name w:val="BO Table Text indented"/>
    <w:basedOn w:val="BOTableText"/>
    <w:uiPriority w:val="99"/>
    <w:rsid w:val="00A45417"/>
    <w:pPr>
      <w:ind w:left="170" w:right="283"/>
    </w:pPr>
  </w:style>
  <w:style w:type="paragraph" w:customStyle="1" w:styleId="BODashText">
    <w:name w:val="BO Dash Text"/>
    <w:basedOn w:val="BOBodyBullet"/>
    <w:uiPriority w:val="99"/>
    <w:rsid w:val="00A45417"/>
    <w:pPr>
      <w:ind w:left="340"/>
    </w:pPr>
  </w:style>
  <w:style w:type="paragraph" w:customStyle="1" w:styleId="BOHeading2">
    <w:name w:val="BO Heading 2"/>
    <w:basedOn w:val="BOBodyText"/>
    <w:uiPriority w:val="99"/>
    <w:rsid w:val="00A45417"/>
    <w:pPr>
      <w:spacing w:after="57" w:line="288" w:lineRule="auto"/>
    </w:pPr>
    <w:rPr>
      <w:color w:val="002C73"/>
      <w:sz w:val="22"/>
      <w:szCs w:val="22"/>
    </w:rPr>
  </w:style>
  <w:style w:type="character" w:customStyle="1" w:styleId="BOLightItalic">
    <w:name w:val="BO Light Italic"/>
    <w:uiPriority w:val="99"/>
    <w:rsid w:val="003B31BA"/>
    <w:rPr>
      <w:i/>
      <w:iCs/>
    </w:rPr>
  </w:style>
  <w:style w:type="paragraph" w:customStyle="1" w:styleId="BODashedText">
    <w:name w:val="BO Dashed Text"/>
    <w:basedOn w:val="BOBodyBullet"/>
    <w:uiPriority w:val="99"/>
    <w:rsid w:val="00194158"/>
    <w:pPr>
      <w:numPr>
        <w:numId w:val="2"/>
      </w:numPr>
    </w:pPr>
  </w:style>
  <w:style w:type="paragraph" w:customStyle="1" w:styleId="BOBoxDashedText">
    <w:name w:val="BO Box Dashed Text"/>
    <w:basedOn w:val="BODashedText"/>
    <w:uiPriority w:val="99"/>
    <w:rsid w:val="003B31BA"/>
    <w:rPr>
      <w:color w:val="EF7521"/>
    </w:rPr>
  </w:style>
  <w:style w:type="paragraph" w:styleId="BalloonText">
    <w:name w:val="Balloon Text"/>
    <w:basedOn w:val="Normal"/>
    <w:link w:val="BalloonTextChar"/>
    <w:uiPriority w:val="99"/>
    <w:semiHidden/>
    <w:unhideWhenUsed/>
    <w:rsid w:val="00E6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C3"/>
    <w:rPr>
      <w:rFonts w:ascii="Tahoma" w:hAnsi="Tahoma" w:cs="Tahoma"/>
      <w:sz w:val="16"/>
      <w:szCs w:val="16"/>
    </w:rPr>
  </w:style>
  <w:style w:type="paragraph" w:styleId="Header">
    <w:name w:val="header"/>
    <w:basedOn w:val="Normal"/>
    <w:link w:val="HeaderChar"/>
    <w:uiPriority w:val="99"/>
    <w:unhideWhenUsed/>
    <w:rsid w:val="00546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FA7"/>
  </w:style>
  <w:style w:type="paragraph" w:styleId="Footer">
    <w:name w:val="footer"/>
    <w:basedOn w:val="Normal"/>
    <w:link w:val="FooterChar"/>
    <w:uiPriority w:val="99"/>
    <w:unhideWhenUsed/>
    <w:rsid w:val="00546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4541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BodyText">
    <w:name w:val="BO Body Text"/>
    <w:basedOn w:val="NoParagraphStyle"/>
    <w:uiPriority w:val="99"/>
    <w:rsid w:val="00A45417"/>
    <w:pPr>
      <w:suppressAutoHyphens/>
      <w:spacing w:after="113" w:line="280" w:lineRule="atLeast"/>
    </w:pPr>
    <w:rPr>
      <w:rFonts w:ascii="Arial MT Std Light" w:hAnsi="Arial MT Std Light" w:cs="Arial MT Std Light"/>
      <w:w w:val="90"/>
      <w:sz w:val="20"/>
      <w:szCs w:val="20"/>
    </w:rPr>
  </w:style>
  <w:style w:type="paragraph" w:customStyle="1" w:styleId="BOHeading1">
    <w:name w:val="BO Heading 1"/>
    <w:basedOn w:val="NoParagraphStyle"/>
    <w:uiPriority w:val="99"/>
    <w:rsid w:val="00A45417"/>
    <w:pPr>
      <w:keepLines/>
      <w:suppressAutoHyphens/>
      <w:spacing w:after="57" w:line="360" w:lineRule="atLeast"/>
    </w:pPr>
    <w:rPr>
      <w:rFonts w:ascii="Arial MT Std Light" w:hAnsi="Arial MT Std Light" w:cs="Arial MT Std Light"/>
      <w:color w:val="043071"/>
      <w:spacing w:val="-3"/>
      <w:w w:val="90"/>
      <w:sz w:val="30"/>
      <w:szCs w:val="30"/>
    </w:rPr>
  </w:style>
  <w:style w:type="paragraph" w:customStyle="1" w:styleId="BOTableHeading">
    <w:name w:val="BO Table Heading"/>
    <w:basedOn w:val="NoParagraphStyle"/>
    <w:uiPriority w:val="99"/>
    <w:rsid w:val="00A45417"/>
    <w:pPr>
      <w:keepLines/>
      <w:suppressAutoHyphens/>
      <w:spacing w:after="28" w:line="220" w:lineRule="atLeast"/>
    </w:pPr>
    <w:rPr>
      <w:rFonts w:ascii="Arial MT Std" w:hAnsi="Arial MT Std" w:cs="Arial MT Std"/>
      <w:color w:val="043071"/>
      <w:w w:val="90"/>
      <w:sz w:val="20"/>
      <w:szCs w:val="20"/>
      <w:lang w:val="en-AU"/>
    </w:rPr>
  </w:style>
  <w:style w:type="paragraph" w:customStyle="1" w:styleId="BONoteText">
    <w:name w:val="BO Note Text"/>
    <w:basedOn w:val="NoParagraphStyle"/>
    <w:uiPriority w:val="99"/>
    <w:rsid w:val="00A45417"/>
    <w:pPr>
      <w:tabs>
        <w:tab w:val="left" w:pos="170"/>
      </w:tabs>
      <w:spacing w:line="180" w:lineRule="atLeast"/>
    </w:pPr>
    <w:rPr>
      <w:rFonts w:ascii="Arial MT Std Light" w:hAnsi="Arial MT Std Light" w:cs="Arial MT Std Light"/>
      <w:color w:val="043071"/>
      <w:w w:val="90"/>
      <w:sz w:val="14"/>
      <w:szCs w:val="14"/>
    </w:rPr>
  </w:style>
  <w:style w:type="paragraph" w:customStyle="1" w:styleId="BOBodyBullet">
    <w:name w:val="BO Body Bullet"/>
    <w:basedOn w:val="BOBodyText"/>
    <w:uiPriority w:val="99"/>
    <w:rsid w:val="00E644C3"/>
    <w:pPr>
      <w:numPr>
        <w:numId w:val="1"/>
      </w:numPr>
      <w:spacing w:after="85"/>
      <w:ind w:left="426"/>
    </w:pPr>
  </w:style>
  <w:style w:type="paragraph" w:customStyle="1" w:styleId="BOTableText">
    <w:name w:val="BO Table Text"/>
    <w:basedOn w:val="NoParagraphStyle"/>
    <w:uiPriority w:val="99"/>
    <w:rsid w:val="00A45417"/>
    <w:pPr>
      <w:suppressAutoHyphens/>
      <w:spacing w:after="113" w:line="220" w:lineRule="atLeast"/>
    </w:pPr>
    <w:rPr>
      <w:rFonts w:ascii="Arial MT Std Light" w:hAnsi="Arial MT Std Light" w:cs="Arial MT Std Light"/>
      <w:color w:val="043071"/>
      <w:spacing w:val="-2"/>
      <w:w w:val="90"/>
      <w:sz w:val="18"/>
      <w:szCs w:val="18"/>
      <w:lang w:val="en-US"/>
    </w:rPr>
  </w:style>
  <w:style w:type="paragraph" w:customStyle="1" w:styleId="BOTableTextCentred">
    <w:name w:val="BO Table Text Centred"/>
    <w:basedOn w:val="BOTableText"/>
    <w:uiPriority w:val="99"/>
    <w:rsid w:val="00A45417"/>
    <w:pPr>
      <w:jc w:val="center"/>
    </w:pPr>
  </w:style>
  <w:style w:type="paragraph" w:customStyle="1" w:styleId="BOTableNumbers">
    <w:name w:val="BO Table Numbers"/>
    <w:basedOn w:val="BOTableText"/>
    <w:uiPriority w:val="99"/>
    <w:rsid w:val="00A45417"/>
    <w:pPr>
      <w:jc w:val="right"/>
    </w:pPr>
  </w:style>
  <w:style w:type="character" w:customStyle="1" w:styleId="BOBlueText288">
    <w:name w:val="BO BlueText 288"/>
    <w:uiPriority w:val="99"/>
    <w:rsid w:val="00A45417"/>
    <w:rPr>
      <w:color w:val="043071"/>
    </w:rPr>
  </w:style>
  <w:style w:type="paragraph" w:customStyle="1" w:styleId="BOBoxHeading">
    <w:name w:val="BO Box Heading"/>
    <w:basedOn w:val="BOHeading1"/>
    <w:uiPriority w:val="99"/>
    <w:rsid w:val="00A45417"/>
    <w:pPr>
      <w:spacing w:line="320" w:lineRule="atLeast"/>
    </w:pPr>
    <w:rPr>
      <w:sz w:val="28"/>
      <w:szCs w:val="28"/>
    </w:rPr>
  </w:style>
  <w:style w:type="paragraph" w:customStyle="1" w:styleId="BOBoxtext">
    <w:name w:val="BO Box text"/>
    <w:basedOn w:val="BOBodyText"/>
    <w:uiPriority w:val="99"/>
    <w:rsid w:val="00A45417"/>
    <w:rPr>
      <w:color w:val="D3752E"/>
    </w:rPr>
  </w:style>
  <w:style w:type="paragraph" w:customStyle="1" w:styleId="BOBoxBullet">
    <w:name w:val="BO Box Bullet"/>
    <w:basedOn w:val="BOBodyBullet"/>
    <w:uiPriority w:val="99"/>
    <w:rsid w:val="00A45417"/>
    <w:pPr>
      <w:spacing w:after="57"/>
    </w:pPr>
    <w:rPr>
      <w:color w:val="D3752E"/>
    </w:rPr>
  </w:style>
  <w:style w:type="paragraph" w:customStyle="1" w:styleId="BOBoxTableText">
    <w:name w:val="BO Box Table Text"/>
    <w:basedOn w:val="BOTableText"/>
    <w:uiPriority w:val="99"/>
    <w:rsid w:val="00A45417"/>
  </w:style>
  <w:style w:type="character" w:customStyle="1" w:styleId="BOBoldtext">
    <w:name w:val="BO Bold text"/>
    <w:uiPriority w:val="99"/>
    <w:rsid w:val="00A45417"/>
  </w:style>
  <w:style w:type="paragraph" w:customStyle="1" w:styleId="BOChapterHeading">
    <w:name w:val="BO Chapter Heading"/>
    <w:basedOn w:val="NoParagraphStyle"/>
    <w:uiPriority w:val="99"/>
    <w:rsid w:val="00A45417"/>
    <w:pPr>
      <w:suppressAutoHyphens/>
      <w:spacing w:after="113" w:line="600" w:lineRule="atLeast"/>
      <w:textAlignment w:val="baseline"/>
    </w:pPr>
    <w:rPr>
      <w:rFonts w:ascii="Arial MT Std" w:hAnsi="Arial MT Std" w:cs="Arial MT Std"/>
      <w:b/>
      <w:bCs/>
      <w:color w:val="D3752E"/>
      <w:spacing w:val="-7"/>
      <w:w w:val="90"/>
      <w:sz w:val="66"/>
      <w:szCs w:val="66"/>
    </w:rPr>
  </w:style>
  <w:style w:type="paragraph" w:customStyle="1" w:styleId="RHChapterHeading">
    <w:name w:val="RH Chapter Heading"/>
    <w:basedOn w:val="NoParagraphStyle"/>
    <w:uiPriority w:val="99"/>
    <w:rsid w:val="00A45417"/>
    <w:pPr>
      <w:suppressAutoHyphens/>
      <w:spacing w:after="113" w:line="600" w:lineRule="atLeast"/>
      <w:textAlignment w:val="baseline"/>
    </w:pPr>
    <w:rPr>
      <w:rFonts w:ascii="Arial MT Std" w:hAnsi="Arial MT Std" w:cs="Arial MT Std"/>
      <w:b/>
      <w:bCs/>
      <w:color w:val="D3752E"/>
      <w:spacing w:val="-7"/>
      <w:w w:val="90"/>
      <w:sz w:val="66"/>
      <w:szCs w:val="66"/>
    </w:rPr>
  </w:style>
  <w:style w:type="paragraph" w:customStyle="1" w:styleId="BOTableTextindented">
    <w:name w:val="BO Table Text indented"/>
    <w:basedOn w:val="BOTableText"/>
    <w:uiPriority w:val="99"/>
    <w:rsid w:val="00A45417"/>
    <w:pPr>
      <w:ind w:left="170" w:right="283"/>
    </w:pPr>
  </w:style>
  <w:style w:type="paragraph" w:customStyle="1" w:styleId="BODashText">
    <w:name w:val="BO Dash Text"/>
    <w:basedOn w:val="BOBodyBullet"/>
    <w:uiPriority w:val="99"/>
    <w:rsid w:val="00A45417"/>
    <w:pPr>
      <w:ind w:left="340"/>
    </w:pPr>
  </w:style>
  <w:style w:type="paragraph" w:customStyle="1" w:styleId="BOHeading2">
    <w:name w:val="BO Heading 2"/>
    <w:basedOn w:val="BOBodyText"/>
    <w:uiPriority w:val="99"/>
    <w:rsid w:val="00A45417"/>
    <w:pPr>
      <w:spacing w:after="57" w:line="288" w:lineRule="auto"/>
    </w:pPr>
    <w:rPr>
      <w:color w:val="002C73"/>
      <w:sz w:val="22"/>
      <w:szCs w:val="22"/>
    </w:rPr>
  </w:style>
  <w:style w:type="character" w:customStyle="1" w:styleId="BOLightItalic">
    <w:name w:val="BO Light Italic"/>
    <w:uiPriority w:val="99"/>
    <w:rsid w:val="003B31BA"/>
    <w:rPr>
      <w:i/>
      <w:iCs/>
    </w:rPr>
  </w:style>
  <w:style w:type="paragraph" w:customStyle="1" w:styleId="BODashedText">
    <w:name w:val="BO Dashed Text"/>
    <w:basedOn w:val="BOBodyBullet"/>
    <w:uiPriority w:val="99"/>
    <w:rsid w:val="00194158"/>
    <w:pPr>
      <w:numPr>
        <w:numId w:val="2"/>
      </w:numPr>
    </w:pPr>
  </w:style>
  <w:style w:type="paragraph" w:customStyle="1" w:styleId="BOBoxDashedText">
    <w:name w:val="BO Box Dashed Text"/>
    <w:basedOn w:val="BODashedText"/>
    <w:uiPriority w:val="99"/>
    <w:rsid w:val="003B31BA"/>
    <w:rPr>
      <w:color w:val="EF7521"/>
    </w:rPr>
  </w:style>
  <w:style w:type="paragraph" w:styleId="BalloonText">
    <w:name w:val="Balloon Text"/>
    <w:basedOn w:val="Normal"/>
    <w:link w:val="BalloonTextChar"/>
    <w:uiPriority w:val="99"/>
    <w:semiHidden/>
    <w:unhideWhenUsed/>
    <w:rsid w:val="00E6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C3"/>
    <w:rPr>
      <w:rFonts w:ascii="Tahoma" w:hAnsi="Tahoma" w:cs="Tahoma"/>
      <w:sz w:val="16"/>
      <w:szCs w:val="16"/>
    </w:rPr>
  </w:style>
  <w:style w:type="paragraph" w:styleId="Header">
    <w:name w:val="header"/>
    <w:basedOn w:val="Normal"/>
    <w:link w:val="HeaderChar"/>
    <w:uiPriority w:val="99"/>
    <w:unhideWhenUsed/>
    <w:rsid w:val="00546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FA7"/>
  </w:style>
  <w:style w:type="paragraph" w:styleId="Footer">
    <w:name w:val="footer"/>
    <w:basedOn w:val="Normal"/>
    <w:link w:val="FooterChar"/>
    <w:uiPriority w:val="99"/>
    <w:unhideWhenUsed/>
    <w:rsid w:val="00546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 xsi:nil="true"/>
    <Publication_x0020_Title xmlns="378e824e-6e02-4c0d-8321-dd86fba681ee" xsi:nil="tru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13</Sub_x0020_Category>
    <Identifier xmlns="378e824e-6e02-4c0d-8321-dd86fba681ee" xsi:nil="true"/>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C278D94A-458B-4BFD-AA60-7DD844512414}"/>
</file>

<file path=customXml/itemProps2.xml><?xml version="1.0" encoding="utf-8"?>
<ds:datastoreItem xmlns:ds="http://schemas.openxmlformats.org/officeDocument/2006/customXml" ds:itemID="{5D023AFA-679C-4F4B-8804-7397C5407EDB}"/>
</file>

<file path=customXml/itemProps3.xml><?xml version="1.0" encoding="utf-8"?>
<ds:datastoreItem xmlns:ds="http://schemas.openxmlformats.org/officeDocument/2006/customXml" ds:itemID="{DE965CAF-843B-40CC-9DBF-A825DE6C1609}"/>
</file>

<file path=docProps/app.xml><?xml version="1.0" encoding="utf-8"?>
<Properties xmlns="http://schemas.openxmlformats.org/officeDocument/2006/extended-properties" xmlns:vt="http://schemas.openxmlformats.org/officeDocument/2006/docPropsVTypes">
  <Template>Normal.dotm</Template>
  <TotalTime>95</TotalTime>
  <Pages>25</Pages>
  <Words>8425</Words>
  <Characters>48025</Characters>
  <Application>Microsoft Office Word</Application>
  <DocSecurity>8</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Overview: 2014-15</dc:title>
  <dc:creator>Shona Needham</dc:creator>
  <cp:lastModifiedBy>Shona Needham</cp:lastModifiedBy>
  <cp:revision>4</cp:revision>
  <dcterms:created xsi:type="dcterms:W3CDTF">2014-05-13T02:37:00Z</dcterms:created>
  <dcterms:modified xsi:type="dcterms:W3CDTF">2014-05-13T04:12:00Z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