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8074F" w14:textId="665C0A29" w:rsidR="00F66CD6" w:rsidRDefault="00F66CD6" w:rsidP="007003F0">
      <w:pPr>
        <w:pStyle w:val="Heading1"/>
      </w:pPr>
      <w:r>
        <w:t>CG-HI-001</w:t>
      </w:r>
    </w:p>
    <w:tbl>
      <w:tblPr>
        <w:tblStyle w:val="NTGTable"/>
        <w:tblW w:w="0" w:type="auto"/>
        <w:tblLook w:val="04A0" w:firstRow="1" w:lastRow="0" w:firstColumn="1" w:lastColumn="0" w:noHBand="0" w:noVBand="1"/>
      </w:tblPr>
      <w:tblGrid>
        <w:gridCol w:w="2407"/>
        <w:gridCol w:w="2407"/>
        <w:gridCol w:w="2407"/>
        <w:gridCol w:w="2407"/>
      </w:tblGrid>
      <w:tr w:rsidR="007003F0" w14:paraId="3473D0EF" w14:textId="77777777" w:rsidTr="007003F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7" w:type="dxa"/>
            <w:vMerge w:val="restart"/>
          </w:tcPr>
          <w:p w14:paraId="2E6646A8" w14:textId="0B9E1173" w:rsidR="007003F0" w:rsidRDefault="007003F0" w:rsidP="007003F0">
            <w:r w:rsidRPr="007003F0">
              <w:t>Version</w:t>
            </w:r>
          </w:p>
        </w:tc>
        <w:tc>
          <w:tcPr>
            <w:tcW w:w="2407" w:type="dxa"/>
            <w:vMerge w:val="restart"/>
          </w:tcPr>
          <w:p w14:paraId="24B15926" w14:textId="4A10258B" w:rsidR="007003F0" w:rsidRDefault="007003F0" w:rsidP="007003F0">
            <w:pPr>
              <w:cnfStyle w:val="100000000000" w:firstRow="1" w:lastRow="0" w:firstColumn="0" w:lastColumn="0" w:oddVBand="0" w:evenVBand="0" w:oddHBand="0" w:evenHBand="0" w:firstRowFirstColumn="0" w:firstRowLastColumn="0" w:lastRowFirstColumn="0" w:lastRowLastColumn="0"/>
            </w:pPr>
            <w:r w:rsidRPr="007003F0">
              <w:t>Issued</w:t>
            </w:r>
          </w:p>
        </w:tc>
        <w:tc>
          <w:tcPr>
            <w:tcW w:w="4814" w:type="dxa"/>
            <w:gridSpan w:val="2"/>
          </w:tcPr>
          <w:p w14:paraId="540DE76B" w14:textId="0CB25A2A" w:rsidR="007003F0" w:rsidRDefault="007003F0" w:rsidP="007003F0">
            <w:pPr>
              <w:cnfStyle w:val="100000000000" w:firstRow="1" w:lastRow="0" w:firstColumn="0" w:lastColumn="0" w:oddVBand="0" w:evenVBand="0" w:oddHBand="0" w:evenHBand="0" w:firstRowFirstColumn="0" w:firstRowLastColumn="0" w:lastRowFirstColumn="0" w:lastRowLastColumn="0"/>
            </w:pPr>
            <w:r w:rsidRPr="007003F0">
              <w:t>Dates of Effect</w:t>
            </w:r>
          </w:p>
        </w:tc>
      </w:tr>
      <w:tr w:rsidR="007003F0" w14:paraId="28844BA0" w14:textId="77777777" w:rsidTr="00ED1C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vMerge/>
          </w:tcPr>
          <w:p w14:paraId="5A232B3A" w14:textId="77777777" w:rsidR="007003F0" w:rsidRDefault="007003F0" w:rsidP="007003F0"/>
        </w:tc>
        <w:tc>
          <w:tcPr>
            <w:tcW w:w="2407" w:type="dxa"/>
            <w:vMerge/>
          </w:tcPr>
          <w:p w14:paraId="123E3813" w14:textId="77777777" w:rsidR="007003F0" w:rsidRDefault="007003F0" w:rsidP="007003F0">
            <w:pPr>
              <w:cnfStyle w:val="000000100000" w:firstRow="0" w:lastRow="0" w:firstColumn="0" w:lastColumn="0" w:oddVBand="0" w:evenVBand="0" w:oddHBand="1" w:evenHBand="0" w:firstRowFirstColumn="0" w:firstRowLastColumn="0" w:lastRowFirstColumn="0" w:lastRowLastColumn="0"/>
            </w:pPr>
          </w:p>
        </w:tc>
        <w:tc>
          <w:tcPr>
            <w:tcW w:w="2407" w:type="dxa"/>
            <w:shd w:val="clear" w:color="auto" w:fill="D9D9D9" w:themeFill="background1" w:themeFillShade="D9"/>
          </w:tcPr>
          <w:p w14:paraId="77F9E8DF" w14:textId="3139AF76"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From:</w:t>
            </w:r>
          </w:p>
        </w:tc>
        <w:tc>
          <w:tcPr>
            <w:tcW w:w="2407" w:type="dxa"/>
            <w:shd w:val="clear" w:color="auto" w:fill="D9D9D9" w:themeFill="background1" w:themeFillShade="D9"/>
          </w:tcPr>
          <w:p w14:paraId="4967A726" w14:textId="0D0D102C"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From:</w:t>
            </w:r>
          </w:p>
        </w:tc>
      </w:tr>
      <w:tr w:rsidR="007003F0" w14:paraId="1F294F74" w14:textId="77777777" w:rsidTr="007003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76560566" w14:textId="2C346652" w:rsidR="007003F0" w:rsidRDefault="007003F0" w:rsidP="007003F0">
            <w:r w:rsidRPr="007003F0">
              <w:t>1</w:t>
            </w:r>
          </w:p>
        </w:tc>
        <w:tc>
          <w:tcPr>
            <w:tcW w:w="2407" w:type="dxa"/>
          </w:tcPr>
          <w:p w14:paraId="5D1A16CF" w14:textId="71462F61"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9 May 2005</w:t>
            </w:r>
          </w:p>
        </w:tc>
        <w:tc>
          <w:tcPr>
            <w:tcW w:w="2407" w:type="dxa"/>
          </w:tcPr>
          <w:p w14:paraId="4CE9EDAC" w14:textId="2C94830B"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3 May 2005</w:t>
            </w:r>
          </w:p>
        </w:tc>
        <w:tc>
          <w:tcPr>
            <w:tcW w:w="2407" w:type="dxa"/>
          </w:tcPr>
          <w:p w14:paraId="454FBD98" w14:textId="5873F890"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19 June 2005</w:t>
            </w:r>
          </w:p>
        </w:tc>
      </w:tr>
      <w:tr w:rsidR="007003F0" w14:paraId="0AED5A29" w14:textId="77777777" w:rsidTr="007003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0ED9E9D0" w14:textId="741395A9" w:rsidR="007003F0" w:rsidRDefault="007003F0" w:rsidP="007003F0">
            <w:r w:rsidRPr="007003F0">
              <w:t>2</w:t>
            </w:r>
          </w:p>
        </w:tc>
        <w:tc>
          <w:tcPr>
            <w:tcW w:w="2407" w:type="dxa"/>
          </w:tcPr>
          <w:p w14:paraId="58EB8DC7" w14:textId="2E615D12"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1 July 2005</w:t>
            </w:r>
          </w:p>
        </w:tc>
        <w:tc>
          <w:tcPr>
            <w:tcW w:w="2407" w:type="dxa"/>
          </w:tcPr>
          <w:p w14:paraId="5FAAF47E" w14:textId="683C4BEF"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20 June 2005</w:t>
            </w:r>
          </w:p>
        </w:tc>
        <w:tc>
          <w:tcPr>
            <w:tcW w:w="2407" w:type="dxa"/>
          </w:tcPr>
          <w:p w14:paraId="3C726083" w14:textId="6C3A0C34"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30 April 2007</w:t>
            </w:r>
          </w:p>
        </w:tc>
      </w:tr>
      <w:tr w:rsidR="007003F0" w14:paraId="0E37F06F" w14:textId="77777777" w:rsidTr="007003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4EA87ED5" w14:textId="09F314D0" w:rsidR="007003F0" w:rsidRDefault="007003F0" w:rsidP="007003F0">
            <w:r w:rsidRPr="007003F0">
              <w:t>3</w:t>
            </w:r>
          </w:p>
        </w:tc>
        <w:tc>
          <w:tcPr>
            <w:tcW w:w="2407" w:type="dxa"/>
          </w:tcPr>
          <w:p w14:paraId="3116841A" w14:textId="4D723505"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1 May 2007</w:t>
            </w:r>
          </w:p>
        </w:tc>
        <w:tc>
          <w:tcPr>
            <w:tcW w:w="2407" w:type="dxa"/>
          </w:tcPr>
          <w:p w14:paraId="47D6A14D" w14:textId="3168E945"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1 May 2007</w:t>
            </w:r>
          </w:p>
        </w:tc>
        <w:tc>
          <w:tcPr>
            <w:tcW w:w="2407" w:type="dxa"/>
          </w:tcPr>
          <w:p w14:paraId="0FF6E83C" w14:textId="20C9B77D"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31 December 2007</w:t>
            </w:r>
          </w:p>
        </w:tc>
      </w:tr>
      <w:tr w:rsidR="007003F0" w14:paraId="76AE4BD9" w14:textId="77777777" w:rsidTr="007003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130F935D" w14:textId="7590EB75" w:rsidR="007003F0" w:rsidRDefault="007003F0" w:rsidP="007003F0">
            <w:r w:rsidRPr="007003F0">
              <w:t>4</w:t>
            </w:r>
          </w:p>
        </w:tc>
        <w:tc>
          <w:tcPr>
            <w:tcW w:w="2407" w:type="dxa"/>
          </w:tcPr>
          <w:p w14:paraId="579523BC" w14:textId="53A5D86C"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2 January 2008</w:t>
            </w:r>
          </w:p>
        </w:tc>
        <w:tc>
          <w:tcPr>
            <w:tcW w:w="2407" w:type="dxa"/>
          </w:tcPr>
          <w:p w14:paraId="0F88D20B" w14:textId="1C6C76E3"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1 January 2008</w:t>
            </w:r>
          </w:p>
        </w:tc>
        <w:tc>
          <w:tcPr>
            <w:tcW w:w="2407" w:type="dxa"/>
          </w:tcPr>
          <w:p w14:paraId="0EEEB54F" w14:textId="0819992B"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5 May 2008</w:t>
            </w:r>
          </w:p>
        </w:tc>
      </w:tr>
      <w:tr w:rsidR="007003F0" w14:paraId="50674407" w14:textId="77777777" w:rsidTr="007003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17A0ADDC" w14:textId="5915AAA9" w:rsidR="007003F0" w:rsidRDefault="007003F0" w:rsidP="007003F0">
            <w:r w:rsidRPr="007003F0">
              <w:t>5</w:t>
            </w:r>
          </w:p>
        </w:tc>
        <w:tc>
          <w:tcPr>
            <w:tcW w:w="2407" w:type="dxa"/>
          </w:tcPr>
          <w:p w14:paraId="0A3A854D" w14:textId="2F40FD65"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6 May 2008</w:t>
            </w:r>
          </w:p>
        </w:tc>
        <w:tc>
          <w:tcPr>
            <w:tcW w:w="2407" w:type="dxa"/>
          </w:tcPr>
          <w:p w14:paraId="02188D2E" w14:textId="6B45EA06"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6 May 2008</w:t>
            </w:r>
          </w:p>
        </w:tc>
        <w:tc>
          <w:tcPr>
            <w:tcW w:w="2407" w:type="dxa"/>
          </w:tcPr>
          <w:p w14:paraId="02ECC5A7" w14:textId="742FDC51"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31 December 2009</w:t>
            </w:r>
          </w:p>
        </w:tc>
      </w:tr>
      <w:tr w:rsidR="007003F0" w14:paraId="4C38C7EE" w14:textId="77777777" w:rsidTr="007003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24A99F66" w14:textId="6B23FE3E" w:rsidR="007003F0" w:rsidRDefault="007003F0" w:rsidP="007003F0">
            <w:r w:rsidRPr="007003F0">
              <w:t>6</w:t>
            </w:r>
          </w:p>
        </w:tc>
        <w:tc>
          <w:tcPr>
            <w:tcW w:w="2407" w:type="dxa"/>
          </w:tcPr>
          <w:p w14:paraId="1A54DC9B" w14:textId="5EDD833D"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18 December 2009</w:t>
            </w:r>
          </w:p>
        </w:tc>
        <w:tc>
          <w:tcPr>
            <w:tcW w:w="2407" w:type="dxa"/>
          </w:tcPr>
          <w:p w14:paraId="449FE3E6" w14:textId="73009898"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1 January 2010</w:t>
            </w:r>
          </w:p>
        </w:tc>
        <w:tc>
          <w:tcPr>
            <w:tcW w:w="2407" w:type="dxa"/>
          </w:tcPr>
          <w:p w14:paraId="44F6D43B" w14:textId="78EAEC76"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3 May 2010</w:t>
            </w:r>
          </w:p>
        </w:tc>
      </w:tr>
      <w:tr w:rsidR="007003F0" w14:paraId="7A092261" w14:textId="77777777" w:rsidTr="007003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395ACFE6" w14:textId="677E64C6" w:rsidR="007003F0" w:rsidRDefault="007003F0" w:rsidP="007003F0">
            <w:r w:rsidRPr="007003F0">
              <w:t>7</w:t>
            </w:r>
          </w:p>
        </w:tc>
        <w:tc>
          <w:tcPr>
            <w:tcW w:w="2407" w:type="dxa"/>
          </w:tcPr>
          <w:p w14:paraId="6BE68D9C" w14:textId="76ECEE25"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5 May 2010</w:t>
            </w:r>
          </w:p>
        </w:tc>
        <w:tc>
          <w:tcPr>
            <w:tcW w:w="2407" w:type="dxa"/>
          </w:tcPr>
          <w:p w14:paraId="06D37876" w14:textId="7A79090F"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4 May 2010</w:t>
            </w:r>
          </w:p>
        </w:tc>
        <w:tc>
          <w:tcPr>
            <w:tcW w:w="2407" w:type="dxa"/>
          </w:tcPr>
          <w:p w14:paraId="79C0F1CC" w14:textId="105D7BF7"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2 May 2011</w:t>
            </w:r>
          </w:p>
        </w:tc>
      </w:tr>
      <w:tr w:rsidR="007003F0" w14:paraId="3EDF7940" w14:textId="77777777" w:rsidTr="007003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4B78EC6E" w14:textId="6D695B6A" w:rsidR="007003F0" w:rsidRDefault="007003F0" w:rsidP="007003F0">
            <w:r w:rsidRPr="007003F0">
              <w:t>D</w:t>
            </w:r>
          </w:p>
        </w:tc>
        <w:tc>
          <w:tcPr>
            <w:tcW w:w="2407" w:type="dxa"/>
          </w:tcPr>
          <w:p w14:paraId="79132846" w14:textId="7DE4E38C"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3 May 2011</w:t>
            </w:r>
          </w:p>
        </w:tc>
        <w:tc>
          <w:tcPr>
            <w:tcW w:w="2407" w:type="dxa"/>
          </w:tcPr>
          <w:p w14:paraId="6EFD1058" w14:textId="50FA5D61"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3 May 2011</w:t>
            </w:r>
          </w:p>
        </w:tc>
        <w:tc>
          <w:tcPr>
            <w:tcW w:w="2407" w:type="dxa"/>
          </w:tcPr>
          <w:p w14:paraId="7D68F72D" w14:textId="2FDD4541"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3 December 2012</w:t>
            </w:r>
          </w:p>
        </w:tc>
      </w:tr>
      <w:tr w:rsidR="007003F0" w14:paraId="7F60D448" w14:textId="77777777" w:rsidTr="007003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1E3B687D" w14:textId="56B6A17C" w:rsidR="007003F0" w:rsidRDefault="007003F0" w:rsidP="007003F0">
            <w:r w:rsidRPr="007003F0">
              <w:t>9</w:t>
            </w:r>
          </w:p>
        </w:tc>
        <w:tc>
          <w:tcPr>
            <w:tcW w:w="2407" w:type="dxa"/>
          </w:tcPr>
          <w:p w14:paraId="68244DE3" w14:textId="375DE7D7"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7 December 2012</w:t>
            </w:r>
          </w:p>
        </w:tc>
        <w:tc>
          <w:tcPr>
            <w:tcW w:w="2407" w:type="dxa"/>
          </w:tcPr>
          <w:p w14:paraId="53CCEC6F" w14:textId="2893FC1F"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4 December 2012</w:t>
            </w:r>
          </w:p>
        </w:tc>
        <w:tc>
          <w:tcPr>
            <w:tcW w:w="2407" w:type="dxa"/>
          </w:tcPr>
          <w:p w14:paraId="77973889" w14:textId="503C0302"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27 April 2015</w:t>
            </w:r>
          </w:p>
        </w:tc>
      </w:tr>
      <w:tr w:rsidR="007003F0" w14:paraId="4E608CB1" w14:textId="77777777" w:rsidTr="007003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40BCB961" w14:textId="294C4416" w:rsidR="007003F0" w:rsidRDefault="007003F0" w:rsidP="007003F0">
            <w:r w:rsidRPr="007003F0">
              <w:t>10</w:t>
            </w:r>
          </w:p>
        </w:tc>
        <w:tc>
          <w:tcPr>
            <w:tcW w:w="2407" w:type="dxa"/>
          </w:tcPr>
          <w:p w14:paraId="23209562" w14:textId="6DDCCA18"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28 April 2015</w:t>
            </w:r>
          </w:p>
        </w:tc>
        <w:tc>
          <w:tcPr>
            <w:tcW w:w="2407" w:type="dxa"/>
          </w:tcPr>
          <w:p w14:paraId="340F8D98" w14:textId="4A41ED35"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28 April</w:t>
            </w:r>
          </w:p>
        </w:tc>
        <w:tc>
          <w:tcPr>
            <w:tcW w:w="2407" w:type="dxa"/>
          </w:tcPr>
          <w:p w14:paraId="53B7D483" w14:textId="5E35F912"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23 May 2016</w:t>
            </w:r>
          </w:p>
        </w:tc>
      </w:tr>
      <w:tr w:rsidR="007003F0" w14:paraId="63BEF847" w14:textId="77777777" w:rsidTr="007003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690239BD" w14:textId="24DB65B3" w:rsidR="007003F0" w:rsidRDefault="007003F0" w:rsidP="007003F0">
            <w:r w:rsidRPr="007003F0">
              <w:t>11</w:t>
            </w:r>
          </w:p>
        </w:tc>
        <w:tc>
          <w:tcPr>
            <w:tcW w:w="2407" w:type="dxa"/>
          </w:tcPr>
          <w:p w14:paraId="156E06E4" w14:textId="0FD95C12"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24 May 2016</w:t>
            </w:r>
          </w:p>
        </w:tc>
        <w:tc>
          <w:tcPr>
            <w:tcW w:w="2407" w:type="dxa"/>
          </w:tcPr>
          <w:p w14:paraId="390B1CA4" w14:textId="20ADE26D"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24 May 2016</w:t>
            </w:r>
          </w:p>
        </w:tc>
        <w:tc>
          <w:tcPr>
            <w:tcW w:w="2407" w:type="dxa"/>
          </w:tcPr>
          <w:p w14:paraId="7A5681D0" w14:textId="49D438CD"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31 August 2016</w:t>
            </w:r>
          </w:p>
        </w:tc>
      </w:tr>
      <w:tr w:rsidR="007003F0" w14:paraId="079E5A6A" w14:textId="77777777" w:rsidTr="007003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3047B567" w14:textId="6D93FC11" w:rsidR="007003F0" w:rsidRDefault="007003F0" w:rsidP="007003F0">
            <w:r w:rsidRPr="007003F0">
              <w:t>12</w:t>
            </w:r>
          </w:p>
        </w:tc>
        <w:tc>
          <w:tcPr>
            <w:tcW w:w="2407" w:type="dxa"/>
          </w:tcPr>
          <w:p w14:paraId="4A0702B0" w14:textId="613A1215"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1 September 2016</w:t>
            </w:r>
          </w:p>
        </w:tc>
        <w:tc>
          <w:tcPr>
            <w:tcW w:w="2407" w:type="dxa"/>
          </w:tcPr>
          <w:p w14:paraId="09FF04B7" w14:textId="0BD49DDA"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1 September 2016</w:t>
            </w:r>
          </w:p>
        </w:tc>
        <w:tc>
          <w:tcPr>
            <w:tcW w:w="2407" w:type="dxa"/>
          </w:tcPr>
          <w:p w14:paraId="17648DBD" w14:textId="76B86F16"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30 June 2017</w:t>
            </w:r>
          </w:p>
        </w:tc>
      </w:tr>
      <w:tr w:rsidR="007003F0" w14:paraId="5F6B3E6D" w14:textId="77777777" w:rsidTr="007003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60FF444F" w14:textId="1C8A965B" w:rsidR="007003F0" w:rsidRDefault="007003F0" w:rsidP="007003F0">
            <w:r w:rsidRPr="007003F0">
              <w:t>13</w:t>
            </w:r>
          </w:p>
        </w:tc>
        <w:tc>
          <w:tcPr>
            <w:tcW w:w="2407" w:type="dxa"/>
          </w:tcPr>
          <w:p w14:paraId="3BEC868E" w14:textId="0BB6E22D"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1 July 2017</w:t>
            </w:r>
          </w:p>
        </w:tc>
        <w:tc>
          <w:tcPr>
            <w:tcW w:w="2407" w:type="dxa"/>
          </w:tcPr>
          <w:p w14:paraId="7BF2D916" w14:textId="020F85E8"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1 July 2017</w:t>
            </w:r>
          </w:p>
        </w:tc>
        <w:tc>
          <w:tcPr>
            <w:tcW w:w="2407" w:type="dxa"/>
          </w:tcPr>
          <w:p w14:paraId="2E7F2996" w14:textId="2890D98B"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30 April 2018</w:t>
            </w:r>
          </w:p>
        </w:tc>
      </w:tr>
      <w:tr w:rsidR="007003F0" w14:paraId="39AA3A56" w14:textId="77777777" w:rsidTr="007003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3046BAC2" w14:textId="57F66F2E" w:rsidR="007003F0" w:rsidRDefault="007003F0" w:rsidP="007003F0">
            <w:r w:rsidRPr="007003F0">
              <w:t>14</w:t>
            </w:r>
          </w:p>
        </w:tc>
        <w:tc>
          <w:tcPr>
            <w:tcW w:w="2407" w:type="dxa"/>
          </w:tcPr>
          <w:p w14:paraId="2477722E" w14:textId="241425B5"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1 May 2018</w:t>
            </w:r>
          </w:p>
        </w:tc>
        <w:tc>
          <w:tcPr>
            <w:tcW w:w="2407" w:type="dxa"/>
          </w:tcPr>
          <w:p w14:paraId="1564100D" w14:textId="33F75D1B"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1 May 2018</w:t>
            </w:r>
          </w:p>
        </w:tc>
        <w:tc>
          <w:tcPr>
            <w:tcW w:w="2407" w:type="dxa"/>
          </w:tcPr>
          <w:p w14:paraId="3AC8852F" w14:textId="33BBB22C" w:rsidR="007003F0" w:rsidRDefault="007003F0" w:rsidP="007003F0">
            <w:pPr>
              <w:cnfStyle w:val="000000100000" w:firstRow="0" w:lastRow="0" w:firstColumn="0" w:lastColumn="0" w:oddVBand="0" w:evenVBand="0" w:oddHBand="1" w:evenHBand="0" w:firstRowFirstColumn="0" w:firstRowLastColumn="0" w:lastRowFirstColumn="0" w:lastRowLastColumn="0"/>
            </w:pPr>
            <w:r w:rsidRPr="007003F0">
              <w:t>6 May 2019</w:t>
            </w:r>
          </w:p>
        </w:tc>
      </w:tr>
      <w:tr w:rsidR="007003F0" w14:paraId="7E2801FC" w14:textId="77777777" w:rsidTr="007003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528CBC0C" w14:textId="42AF01E6" w:rsidR="007003F0" w:rsidRDefault="007003F0" w:rsidP="007003F0">
            <w:r w:rsidRPr="007003F0">
              <w:t>15</w:t>
            </w:r>
          </w:p>
        </w:tc>
        <w:tc>
          <w:tcPr>
            <w:tcW w:w="2407" w:type="dxa"/>
          </w:tcPr>
          <w:p w14:paraId="7C170B25" w14:textId="4EE8AC12"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7 May 2019</w:t>
            </w:r>
          </w:p>
        </w:tc>
        <w:tc>
          <w:tcPr>
            <w:tcW w:w="2407" w:type="dxa"/>
          </w:tcPr>
          <w:p w14:paraId="1B139523" w14:textId="4F1E0E5F"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7 May 2019</w:t>
            </w:r>
          </w:p>
        </w:tc>
        <w:tc>
          <w:tcPr>
            <w:tcW w:w="2407" w:type="dxa"/>
          </w:tcPr>
          <w:p w14:paraId="594D1B95" w14:textId="4F1A3890" w:rsidR="007003F0" w:rsidRDefault="007003F0" w:rsidP="007003F0">
            <w:pPr>
              <w:cnfStyle w:val="000000010000" w:firstRow="0" w:lastRow="0" w:firstColumn="0" w:lastColumn="0" w:oddVBand="0" w:evenVBand="0" w:oddHBand="0" w:evenHBand="1" w:firstRowFirstColumn="0" w:firstRowLastColumn="0" w:lastRowFirstColumn="0" w:lastRowLastColumn="0"/>
            </w:pPr>
            <w:r w:rsidRPr="007003F0">
              <w:t>Current</w:t>
            </w:r>
          </w:p>
        </w:tc>
      </w:tr>
    </w:tbl>
    <w:p w14:paraId="701445C3" w14:textId="77777777" w:rsidR="007003F0" w:rsidRPr="007003F0" w:rsidRDefault="007003F0" w:rsidP="007003F0"/>
    <w:p w14:paraId="26F393F5" w14:textId="77777777" w:rsidR="00F66CD6" w:rsidRDefault="00F66CD6" w:rsidP="007003F0">
      <w:pPr>
        <w:pStyle w:val="Heading1"/>
      </w:pPr>
      <w:r>
        <w:t>Purpose</w:t>
      </w:r>
    </w:p>
    <w:p w14:paraId="697FE5B5" w14:textId="33D518A4" w:rsidR="00F66CD6" w:rsidRDefault="00F66CD6" w:rsidP="007003F0">
      <w:pPr>
        <w:pStyle w:val="ListNumber"/>
        <w:numPr>
          <w:ilvl w:val="0"/>
          <w:numId w:val="47"/>
        </w:numPr>
      </w:pPr>
      <w:r>
        <w:t xml:space="preserve">This Guideline explains the eligibility criteria for the stamp duty Territory home owner discount (THOD) and senior, pensioner and carer concession (SPCC) (collectively ‘the </w:t>
      </w:r>
      <w:r w:rsidR="007D73A2">
        <w:t>home owner assistance</w:t>
      </w:r>
      <w:r>
        <w:t xml:space="preserve"> schemes’) under the Stamp Duty Act</w:t>
      </w:r>
      <w:r w:rsidR="00451193">
        <w:t xml:space="preserve"> 1978</w:t>
      </w:r>
      <w:r>
        <w:t xml:space="preserve"> (SDA). </w:t>
      </w:r>
    </w:p>
    <w:p w14:paraId="6A9C4A6F" w14:textId="77777777" w:rsidR="00F66CD6" w:rsidRDefault="00F66CD6" w:rsidP="007003F0">
      <w:pPr>
        <w:pStyle w:val="ListNumber"/>
      </w:pPr>
      <w:r>
        <w:t xml:space="preserve">For information on the first home owner grant (FHOG), including eligibility criteria and the procedure for applying, refer to the </w:t>
      </w:r>
      <w:hyperlink r:id="rId8" w:history="1">
        <w:r w:rsidRPr="00F66CD6">
          <w:rPr>
            <w:rStyle w:val="Hyperlink"/>
          </w:rPr>
          <w:t xml:space="preserve">FHOG </w:t>
        </w:r>
        <w:r w:rsidRPr="00FA4A3F">
          <w:rPr>
            <w:rStyle w:val="Hyperlink"/>
          </w:rPr>
          <w:t>Application</w:t>
        </w:r>
        <w:r w:rsidRPr="00F66CD6">
          <w:rPr>
            <w:rStyle w:val="Hyperlink"/>
          </w:rPr>
          <w:t xml:space="preserve"> Form F-HI-001</w:t>
        </w:r>
      </w:hyperlink>
      <w:r>
        <w:t xml:space="preserve"> and the guide to the application.</w:t>
      </w:r>
    </w:p>
    <w:p w14:paraId="08E083EE" w14:textId="111F195B" w:rsidR="00F66CD6" w:rsidRDefault="00F66CD6" w:rsidP="007003F0">
      <w:pPr>
        <w:pStyle w:val="Heading1"/>
      </w:pPr>
      <w:r>
        <w:t xml:space="preserve">Application of the </w:t>
      </w:r>
      <w:r w:rsidR="007D73A2">
        <w:t>home owner assistance</w:t>
      </w:r>
      <w:r>
        <w:t xml:space="preserve"> schemes</w:t>
      </w:r>
    </w:p>
    <w:p w14:paraId="283201C0" w14:textId="711C805D" w:rsidR="00F66CD6" w:rsidRDefault="00F66CD6" w:rsidP="007003F0">
      <w:pPr>
        <w:pStyle w:val="ListNumber"/>
      </w:pPr>
      <w:r>
        <w:t xml:space="preserve">The </w:t>
      </w:r>
      <w:r w:rsidR="007D73A2">
        <w:t>home owner assistance</w:t>
      </w:r>
      <w:r>
        <w:t xml:space="preserve"> schemes may apply to a conveyance, whether by way of sale or gift, of land on which there is a home or on which a home will be built.</w:t>
      </w:r>
    </w:p>
    <w:p w14:paraId="2179F6BF" w14:textId="77777777" w:rsidR="00F66CD6" w:rsidRDefault="00F66CD6" w:rsidP="007003F0">
      <w:pPr>
        <w:pStyle w:val="ListNumber"/>
      </w:pPr>
      <w:r>
        <w:t>They may also apply to the grant or transfer of particular leases and subleases of land from the Commonwealth or Northern Territory on which there is a home or</w:t>
      </w:r>
      <w:r w:rsidR="00C314C5">
        <w:t xml:space="preserve"> on which a home will be built,</w:t>
      </w:r>
      <w:r w:rsidR="00C314C5">
        <w:rPr>
          <w:rStyle w:val="FootnoteReference"/>
        </w:rPr>
        <w:footnoteReference w:id="1"/>
      </w:r>
      <w:r>
        <w:t xml:space="preserve"> including a registered lease or sublease granted under section 19 or 19A of the </w:t>
      </w:r>
      <w:r w:rsidRPr="00C314C5">
        <w:t>Aboriginal Land Rights (Northern Territory) Act 1976</w:t>
      </w:r>
      <w:r>
        <w:t xml:space="preserve"> (</w:t>
      </w:r>
      <w:proofErr w:type="spellStart"/>
      <w:r>
        <w:t>Cth</w:t>
      </w:r>
      <w:proofErr w:type="spellEnd"/>
      <w:r>
        <w:t>) that is for a term of 15 years or more and a sublease of these leases.</w:t>
      </w:r>
    </w:p>
    <w:p w14:paraId="5EFBC89D" w14:textId="4E3A1BD8" w:rsidR="00F66CD6" w:rsidRDefault="00F66CD6" w:rsidP="007003F0">
      <w:pPr>
        <w:pStyle w:val="ListNumber"/>
      </w:pPr>
      <w:r>
        <w:lastRenderedPageBreak/>
        <w:t xml:space="preserve">The </w:t>
      </w:r>
      <w:r w:rsidR="007D73A2">
        <w:t>home owner assistance</w:t>
      </w:r>
      <w:r>
        <w:t xml:space="preserve"> schemes reduce the stamp dut</w:t>
      </w:r>
      <w:r w:rsidR="00C314C5">
        <w:t>y payable on the dutiable value</w:t>
      </w:r>
      <w:r w:rsidR="00C314C5">
        <w:rPr>
          <w:rStyle w:val="FootnoteReference"/>
        </w:rPr>
        <w:footnoteReference w:id="2"/>
      </w:r>
      <w:r>
        <w:t xml:space="preserve"> of the property acquired. Only one of the concessions can apply to a single transaction.</w:t>
      </w:r>
    </w:p>
    <w:p w14:paraId="7C4C16F5" w14:textId="77777777" w:rsidR="00F66CD6" w:rsidRDefault="00F66CD6" w:rsidP="007003F0">
      <w:pPr>
        <w:pStyle w:val="ListNumber"/>
      </w:pPr>
      <w:r>
        <w:t xml:space="preserve">For further information on what is a ‘home’, refer to Commissioner’s Guideline </w:t>
      </w:r>
      <w:hyperlink r:id="rId9" w:history="1">
        <w:r w:rsidRPr="004D4EB9">
          <w:rPr>
            <w:rStyle w:val="Hyperlink"/>
          </w:rPr>
          <w:t>CG-HI-006</w:t>
        </w:r>
      </w:hyperlink>
      <w:r>
        <w:t xml:space="preserve">: </w:t>
      </w:r>
      <w:r w:rsidRPr="004D4EB9">
        <w:t>Meaning of a ‘home’.</w:t>
      </w:r>
    </w:p>
    <w:p w14:paraId="0E19B2BD" w14:textId="77777777" w:rsidR="00F66CD6" w:rsidRDefault="00F66CD6" w:rsidP="007003F0">
      <w:pPr>
        <w:pStyle w:val="Heading2"/>
      </w:pPr>
      <w:r>
        <w:t>Territory Home Owner Discount (THOD)</w:t>
      </w:r>
    </w:p>
    <w:p w14:paraId="0AEAA859" w14:textId="77777777" w:rsidR="00F66CD6" w:rsidRDefault="00F66CD6" w:rsidP="007003F0">
      <w:pPr>
        <w:pStyle w:val="ListNumber"/>
      </w:pPr>
      <w:r>
        <w:t xml:space="preserve">The THOD was introduced on 8 February 2019 to provide eligible home buyers of new or established homes with a reduction of </w:t>
      </w:r>
      <w:r w:rsidR="00E0234E">
        <w:t xml:space="preserve">up to </w:t>
      </w:r>
      <w:r>
        <w:t>$18 601 in stamp duty otherwise payable, representing the dutiable value of a home or land valued at $430 00</w:t>
      </w:r>
      <w:r w:rsidR="00B668C6">
        <w:t>0</w:t>
      </w:r>
      <w:r>
        <w:t xml:space="preserve">.  </w:t>
      </w:r>
    </w:p>
    <w:p w14:paraId="67490DD6" w14:textId="77777777" w:rsidR="00F66CD6" w:rsidRDefault="00F66CD6" w:rsidP="007003F0">
      <w:pPr>
        <w:pStyle w:val="Heading2"/>
      </w:pPr>
      <w:r>
        <w:t>Senior, Pensioner and Carer Concession (SPCC)</w:t>
      </w:r>
    </w:p>
    <w:p w14:paraId="78A4AAB9" w14:textId="49196030" w:rsidR="00F66CD6" w:rsidRDefault="00F66CD6" w:rsidP="007003F0">
      <w:pPr>
        <w:pStyle w:val="ListNumber"/>
      </w:pPr>
      <w:r>
        <w:t xml:space="preserve">The SPCC is a </w:t>
      </w:r>
      <w:r w:rsidR="00E0234E">
        <w:t xml:space="preserve">reduction </w:t>
      </w:r>
      <w:r>
        <w:t>of up to $10 000</w:t>
      </w:r>
      <w:r w:rsidR="00E0234E">
        <w:t xml:space="preserve"> in stamp duty otherwise payable, </w:t>
      </w:r>
      <w:r>
        <w:t>represent</w:t>
      </w:r>
      <w:r w:rsidR="00E0234E">
        <w:t>ing</w:t>
      </w:r>
      <w:r>
        <w:t xml:space="preserve"> the </w:t>
      </w:r>
      <w:r w:rsidR="00E0234E">
        <w:t>dutiable value of a home o</w:t>
      </w:r>
      <w:r w:rsidR="009E15B3">
        <w:t>r land valued at $292 300</w:t>
      </w:r>
      <w:r>
        <w:t>.</w:t>
      </w:r>
    </w:p>
    <w:p w14:paraId="60366F32" w14:textId="77777777" w:rsidR="00F66CD6" w:rsidRDefault="00F66CD6" w:rsidP="007003F0">
      <w:pPr>
        <w:pStyle w:val="Heading2"/>
      </w:pPr>
      <w:r>
        <w:t>Common eligibility criteria</w:t>
      </w:r>
    </w:p>
    <w:p w14:paraId="2354B1E6" w14:textId="264B0A02" w:rsidR="00451193" w:rsidRDefault="00F66CD6" w:rsidP="007003F0">
      <w:pPr>
        <w:pStyle w:val="ListNumber"/>
      </w:pPr>
      <w:r>
        <w:t xml:space="preserve">The following criteria are common to the </w:t>
      </w:r>
      <w:r w:rsidR="007D73A2">
        <w:t>home owner assistance</w:t>
      </w:r>
      <w:r>
        <w:t xml:space="preserve"> schemes. All applicants must:</w:t>
      </w:r>
    </w:p>
    <w:p w14:paraId="03398B24" w14:textId="77777777" w:rsidR="00F66CD6" w:rsidRDefault="00F66CD6" w:rsidP="007003F0">
      <w:pPr>
        <w:pStyle w:val="ListNumber2"/>
      </w:pPr>
      <w:r>
        <w:t>be individuals − that is, a na</w:t>
      </w:r>
      <w:r w:rsidR="00C314C5">
        <w:t>tural person and not a company;</w:t>
      </w:r>
      <w:r w:rsidR="00C314C5">
        <w:rPr>
          <w:rStyle w:val="FootnoteReference"/>
        </w:rPr>
        <w:footnoteReference w:id="3"/>
      </w:r>
    </w:p>
    <w:p w14:paraId="519B9B99" w14:textId="77777777" w:rsidR="00F66CD6" w:rsidRDefault="00F66CD6" w:rsidP="007003F0">
      <w:pPr>
        <w:pStyle w:val="ListNumber2"/>
      </w:pPr>
      <w:r>
        <w:t>not have a beneficial interest in the</w:t>
      </w:r>
      <w:r w:rsidR="00C314C5">
        <w:t xml:space="preserve"> land prior to the transaction;</w:t>
      </w:r>
      <w:r w:rsidR="00C314C5">
        <w:rPr>
          <w:rStyle w:val="FootnoteReference"/>
        </w:rPr>
        <w:footnoteReference w:id="4"/>
      </w:r>
    </w:p>
    <w:p w14:paraId="59AD2D46" w14:textId="77777777" w:rsidR="00F66CD6" w:rsidRDefault="00F66CD6" w:rsidP="007003F0">
      <w:pPr>
        <w:pStyle w:val="ListNumber2"/>
      </w:pPr>
      <w:r>
        <w:t>be acquiring the whole of the beneficial interest in the land on which the home is or will be built (i.e. a partial acq</w:t>
      </w:r>
      <w:r w:rsidR="00C314C5">
        <w:t>uisition will not be eligible);</w:t>
      </w:r>
      <w:r w:rsidR="00C314C5">
        <w:rPr>
          <w:rStyle w:val="FootnoteReference"/>
        </w:rPr>
        <w:footnoteReference w:id="5"/>
      </w:r>
    </w:p>
    <w:p w14:paraId="63AECE77" w14:textId="77777777" w:rsidR="00F66CD6" w:rsidRDefault="00F66CD6" w:rsidP="007003F0">
      <w:pPr>
        <w:pStyle w:val="ListNumber2"/>
      </w:pPr>
      <w:r>
        <w:t xml:space="preserve">not be acquiring the home or land as the trustee of a trust (an exception applies for a guardian purchasing a property for a person </w:t>
      </w:r>
      <w:r w:rsidR="0043090D">
        <w:t>under a legal disability);</w:t>
      </w:r>
      <w:r w:rsidR="0043090D">
        <w:rPr>
          <w:rStyle w:val="FootnoteReference"/>
        </w:rPr>
        <w:footnoteReference w:id="6"/>
      </w:r>
    </w:p>
    <w:p w14:paraId="4433849F" w14:textId="77777777" w:rsidR="00F66CD6" w:rsidRDefault="00F66CD6" w:rsidP="007003F0">
      <w:pPr>
        <w:pStyle w:val="ListNumber2"/>
      </w:pPr>
      <w:r>
        <w:t>be entitled to possession of the home or land within 12 months of the settlement date or the longer perio</w:t>
      </w:r>
      <w:r w:rsidR="0043090D">
        <w:t>d approved by the Commissioner;</w:t>
      </w:r>
      <w:r w:rsidR="0043090D">
        <w:rPr>
          <w:rStyle w:val="FootnoteReference"/>
        </w:rPr>
        <w:footnoteReference w:id="7"/>
      </w:r>
    </w:p>
    <w:p w14:paraId="077395FE" w14:textId="77777777" w:rsidR="00F66CD6" w:rsidRDefault="0043090D" w:rsidP="007003F0">
      <w:pPr>
        <w:pStyle w:val="ListNumber2"/>
      </w:pPr>
      <w:r>
        <w:t>occupy the home</w:t>
      </w:r>
      <w:r>
        <w:rPr>
          <w:rStyle w:val="FootnoteReference"/>
        </w:rPr>
        <w:footnoteReference w:id="8"/>
      </w:r>
      <w:r w:rsidR="00F66CD6">
        <w:t xml:space="preserve"> as their principal place of residence for a continuous period of six months commencing:</w:t>
      </w:r>
    </w:p>
    <w:p w14:paraId="784DD6A9" w14:textId="77777777" w:rsidR="00451193" w:rsidRDefault="00451193" w:rsidP="007003F0">
      <w:pPr>
        <w:pStyle w:val="ListNumber3"/>
      </w:pPr>
      <w:r>
        <w:t>in the case of a purchase of a home (including off-the-plan), within 12 months after being entitled to possession of the home; or</w:t>
      </w:r>
    </w:p>
    <w:p w14:paraId="5D3103BC" w14:textId="77777777" w:rsidR="00451193" w:rsidRDefault="00451193" w:rsidP="007003F0">
      <w:pPr>
        <w:pStyle w:val="ListNumber3"/>
      </w:pPr>
      <w:r>
        <w:t>in the case of building a home, the earlier of:</w:t>
      </w:r>
    </w:p>
    <w:p w14:paraId="3C692454" w14:textId="77777777" w:rsidR="00451193" w:rsidRDefault="00451193" w:rsidP="007003F0">
      <w:pPr>
        <w:pStyle w:val="ListNumber4"/>
      </w:pPr>
      <w:r>
        <w:t>five years after be</w:t>
      </w:r>
      <w:r w:rsidRPr="00AF3C0C">
        <w:t>i</w:t>
      </w:r>
      <w:r>
        <w:t>ng entitled to possession of the land; or</w:t>
      </w:r>
    </w:p>
    <w:p w14:paraId="28A38CF9" w14:textId="77777777" w:rsidR="00F66CD6" w:rsidRDefault="00451193" w:rsidP="007003F0">
      <w:pPr>
        <w:pStyle w:val="ListNumber4"/>
      </w:pPr>
      <w:r>
        <w:t>12 months a</w:t>
      </w:r>
      <w:r w:rsidR="0043090D">
        <w:t>fter construction is completed.</w:t>
      </w:r>
      <w:r w:rsidR="0043090D">
        <w:rPr>
          <w:rStyle w:val="FootnoteReference"/>
        </w:rPr>
        <w:footnoteReference w:id="9"/>
      </w:r>
    </w:p>
    <w:p w14:paraId="2563F9DC" w14:textId="77777777" w:rsidR="00F66CD6" w:rsidRDefault="00F66CD6" w:rsidP="007003F0">
      <w:pPr>
        <w:pStyle w:val="ListNumber"/>
      </w:pPr>
      <w:r>
        <w:t xml:space="preserve">An applicant is exempt from the requirement in </w:t>
      </w:r>
      <w:r w:rsidR="009E15B3">
        <w:t>9(f)</w:t>
      </w:r>
      <w:r>
        <w:t xml:space="preserve"> if:</w:t>
      </w:r>
    </w:p>
    <w:p w14:paraId="077538C1" w14:textId="77777777" w:rsidR="00F66CD6" w:rsidRDefault="00F66CD6" w:rsidP="007003F0">
      <w:pPr>
        <w:pStyle w:val="ListNumber2"/>
      </w:pPr>
      <w:r>
        <w:lastRenderedPageBreak/>
        <w:t>the conveyance is first executed on or after 28 April 2015; and</w:t>
      </w:r>
    </w:p>
    <w:p w14:paraId="370EF0B2" w14:textId="77777777" w:rsidR="00F66CD6" w:rsidRDefault="00F66CD6" w:rsidP="007003F0">
      <w:pPr>
        <w:pStyle w:val="ListNumber2"/>
      </w:pPr>
      <w:r>
        <w:t xml:space="preserve">at least one other applicant to the conveyance complies with the requirements in </w:t>
      </w:r>
      <w:r w:rsidR="009E15B3">
        <w:t>9(f)</w:t>
      </w:r>
    </w:p>
    <w:p w14:paraId="5334B96D" w14:textId="77777777" w:rsidR="00F66CD6" w:rsidRDefault="00F66CD6" w:rsidP="007003F0">
      <w:pPr>
        <w:pStyle w:val="ListNumber"/>
      </w:pPr>
      <w:r>
        <w:t>Where there are special reasons, the Commissioner may:</w:t>
      </w:r>
    </w:p>
    <w:p w14:paraId="28BA5F7E" w14:textId="77777777" w:rsidR="00F66CD6" w:rsidRDefault="00F66CD6" w:rsidP="007003F0">
      <w:pPr>
        <w:pStyle w:val="ListNumber2"/>
      </w:pPr>
      <w:r>
        <w:t>extend the period for taking possession of the home or land;</w:t>
      </w:r>
    </w:p>
    <w:p w14:paraId="10EE36E6" w14:textId="77777777" w:rsidR="00F66CD6" w:rsidRDefault="00F66CD6" w:rsidP="007003F0">
      <w:pPr>
        <w:pStyle w:val="ListNumber2"/>
      </w:pPr>
      <w:r>
        <w:t>extend the period for commencing occupation of the home;</w:t>
      </w:r>
    </w:p>
    <w:p w14:paraId="1DBCCC08" w14:textId="77777777" w:rsidR="00F66CD6" w:rsidRDefault="00F66CD6" w:rsidP="007003F0">
      <w:pPr>
        <w:pStyle w:val="ListNumber2"/>
      </w:pPr>
      <w:r>
        <w:t>reduce the period for continuous occupation of the home; or</w:t>
      </w:r>
    </w:p>
    <w:p w14:paraId="6EEC0467" w14:textId="77777777" w:rsidR="00F66CD6" w:rsidRDefault="00F66CD6" w:rsidP="007003F0">
      <w:pPr>
        <w:pStyle w:val="ListNumber2"/>
      </w:pPr>
      <w:proofErr w:type="gramStart"/>
      <w:r>
        <w:t>exempt</w:t>
      </w:r>
      <w:proofErr w:type="gramEnd"/>
      <w:r>
        <w:t xml:space="preserve"> an applicant fr</w:t>
      </w:r>
      <w:r w:rsidR="0043090D">
        <w:t>om the occupancy requirements.</w:t>
      </w:r>
      <w:r w:rsidR="0043090D">
        <w:rPr>
          <w:rStyle w:val="FootnoteReference"/>
        </w:rPr>
        <w:footnoteReference w:id="10"/>
      </w:r>
    </w:p>
    <w:p w14:paraId="6F71D7C7" w14:textId="77777777" w:rsidR="00F66CD6" w:rsidRDefault="00F66CD6" w:rsidP="007003F0">
      <w:pPr>
        <w:pStyle w:val="ListNumber"/>
      </w:pPr>
      <w:r>
        <w:t xml:space="preserve">For further details, refer to Commissioner’s Guideline </w:t>
      </w:r>
      <w:hyperlink r:id="rId10" w:history="1">
        <w:r w:rsidRPr="0043090D">
          <w:rPr>
            <w:rStyle w:val="Hyperlink"/>
          </w:rPr>
          <w:t>CG-HI-003: Commissioner’s discretion to exempt or vary compliance with the eligibility criteria.</w:t>
        </w:r>
      </w:hyperlink>
    </w:p>
    <w:p w14:paraId="7D6FF0F0" w14:textId="77777777" w:rsidR="00F66CD6" w:rsidRDefault="00F66CD6" w:rsidP="007003F0">
      <w:pPr>
        <w:pStyle w:val="ListNumber"/>
      </w:pPr>
      <w:r>
        <w:t>For an application on a conveyance of vacant land on which a home will be built, the person(s) acquiring the land must provide the Territory Revenue Office (TRO) with supporting information to verify that a home will be built on the land. If this information cannot be provided at the time of assessment, the person(s) can apply to TRO for a refund of stamp duty when the information is available.</w:t>
      </w:r>
    </w:p>
    <w:p w14:paraId="4A7B2CEF" w14:textId="77777777" w:rsidR="00F66CD6" w:rsidRDefault="00F66CD6" w:rsidP="007003F0">
      <w:pPr>
        <w:pStyle w:val="Heading2"/>
      </w:pPr>
      <w:r>
        <w:t>Additional eligibility criteria for the THOD</w:t>
      </w:r>
    </w:p>
    <w:p w14:paraId="7277AF81" w14:textId="77777777" w:rsidR="00F66CD6" w:rsidRDefault="00F66CD6" w:rsidP="007003F0">
      <w:pPr>
        <w:pStyle w:val="ListNumber"/>
      </w:pPr>
      <w:r>
        <w:t xml:space="preserve">In addition to the common eligibility criteria described above, applicants for the </w:t>
      </w:r>
      <w:r w:rsidR="009E15B3">
        <w:t>T</w:t>
      </w:r>
      <w:r>
        <w:t>HOD must satisfy the following additional criteria:</w:t>
      </w:r>
    </w:p>
    <w:p w14:paraId="7494CA2B" w14:textId="77777777" w:rsidR="00F66CD6" w:rsidRDefault="00F66CD6" w:rsidP="007003F0">
      <w:pPr>
        <w:pStyle w:val="ListNumber2"/>
      </w:pPr>
      <w:r>
        <w:t>At least one applicant must be:</w:t>
      </w:r>
    </w:p>
    <w:p w14:paraId="0B1CB974" w14:textId="77777777" w:rsidR="00F66CD6" w:rsidRDefault="00F66CD6" w:rsidP="007003F0">
      <w:pPr>
        <w:pStyle w:val="ListNumber2"/>
      </w:pPr>
      <w:r>
        <w:t>18 years of age or more when the contract is entered into; and</w:t>
      </w:r>
    </w:p>
    <w:p w14:paraId="680344EB" w14:textId="77777777" w:rsidR="00F66CD6" w:rsidRDefault="00F66CD6" w:rsidP="007003F0">
      <w:pPr>
        <w:pStyle w:val="ListNumber2"/>
      </w:pPr>
      <w:r>
        <w:t>an Australian citizen or permanent resident at the time the application is made;</w:t>
      </w:r>
    </w:p>
    <w:p w14:paraId="6077EAE6" w14:textId="77777777" w:rsidR="00F66CD6" w:rsidRDefault="00F66CD6" w:rsidP="007003F0">
      <w:pPr>
        <w:pStyle w:val="ListNumber2"/>
      </w:pPr>
      <w:r>
        <w:t>The applicants and/or their spouse/de facto partner must not have held, in the preceding 24 months, a relevant interest in residential property in the Territory.</w:t>
      </w:r>
    </w:p>
    <w:p w14:paraId="737B593C" w14:textId="77777777" w:rsidR="00F66CD6" w:rsidRPr="009E15B3" w:rsidRDefault="00F66CD6" w:rsidP="007003F0">
      <w:pPr>
        <w:pStyle w:val="ListNumber"/>
        <w:rPr>
          <w:rStyle w:val="Hyperlink"/>
          <w:color w:val="auto"/>
        </w:rPr>
      </w:pPr>
      <w:r>
        <w:t xml:space="preserve">The Commissioner may exempt an applicant from the requirement to be 18 years of age or more if satisfied the applicant is genuinely purchasing the home for themselves. For further details, refer to Commissioner’s Guideline </w:t>
      </w:r>
      <w:hyperlink r:id="rId11" w:history="1">
        <w:r w:rsidRPr="0043090D">
          <w:rPr>
            <w:rStyle w:val="Hyperlink"/>
          </w:rPr>
          <w:t>CG-HI-003: Commissioner’s discretion to exempt or vary compliance with the eligibility criteria.</w:t>
        </w:r>
      </w:hyperlink>
    </w:p>
    <w:p w14:paraId="5E1B5146" w14:textId="77777777" w:rsidR="004E6EA1" w:rsidRDefault="004E6EA1" w:rsidP="007003F0">
      <w:pPr>
        <w:pStyle w:val="ListNumber"/>
      </w:pPr>
      <w:r>
        <w:t>An applicant and/</w:t>
      </w:r>
      <w:r w:rsidR="00F41BF7">
        <w:t>or th</w:t>
      </w:r>
      <w:r>
        <w:t xml:space="preserve">eir spouse will be </w:t>
      </w:r>
      <w:r w:rsidR="00F00E7B">
        <w:t xml:space="preserve">exempted from </w:t>
      </w:r>
      <w:r>
        <w:t>the 24 month test at 14(d) if:</w:t>
      </w:r>
    </w:p>
    <w:p w14:paraId="5909DBA5" w14:textId="77777777" w:rsidR="004E6EA1" w:rsidRDefault="004E6EA1" w:rsidP="007003F0">
      <w:pPr>
        <w:pStyle w:val="ListNumber2"/>
      </w:pPr>
      <w:r>
        <w:t xml:space="preserve">the applicant (and any new spouse they may have at the time of the conveyance) has been in a marriage or de facto relationship, which has irretrievably </w:t>
      </w:r>
      <w:r w:rsidRPr="008C1C66">
        <w:t>broken down b</w:t>
      </w:r>
      <w:r>
        <w:t>y the time the conveyance is first executed, and</w:t>
      </w:r>
    </w:p>
    <w:p w14:paraId="6A3C3463" w14:textId="77777777" w:rsidR="004E6EA1" w:rsidRDefault="004E6EA1" w:rsidP="007003F0">
      <w:pPr>
        <w:pStyle w:val="ListNumber2"/>
      </w:pPr>
      <w:r>
        <w:t xml:space="preserve">the applicant (and any new spouse they may have at the time of the conveyance) owned </w:t>
      </w:r>
      <w:r w:rsidR="00F41BF7">
        <w:t xml:space="preserve">a </w:t>
      </w:r>
      <w:r>
        <w:t xml:space="preserve">relevant interest in residential property </w:t>
      </w:r>
      <w:r w:rsidR="00A94683">
        <w:t xml:space="preserve">in the Territory </w:t>
      </w:r>
      <w:r>
        <w:t>during that relationship, and</w:t>
      </w:r>
      <w:r w:rsidR="00F00E7B">
        <w:t xml:space="preserve">, for </w:t>
      </w:r>
      <w:r w:rsidR="003B23AF">
        <w:t>each</w:t>
      </w:r>
      <w:r w:rsidR="00F00E7B">
        <w:t xml:space="preserve"> of the interests held during that relationship, one of the following applies:</w:t>
      </w:r>
    </w:p>
    <w:p w14:paraId="22B2A5F0" w14:textId="77777777" w:rsidR="00F41BF7" w:rsidRDefault="00F41BF7" w:rsidP="007003F0">
      <w:pPr>
        <w:pStyle w:val="ListNumber3"/>
      </w:pPr>
      <w:r>
        <w:t>the applicant (or applicants spouse)</w:t>
      </w:r>
      <w:r w:rsidR="00A94683">
        <w:t xml:space="preserve"> no longer has the relevant interest in the property, or</w:t>
      </w:r>
    </w:p>
    <w:p w14:paraId="3A94B836" w14:textId="77777777" w:rsidR="00A94683" w:rsidRDefault="00A94683" w:rsidP="007003F0">
      <w:pPr>
        <w:pStyle w:val="ListNumber3"/>
      </w:pPr>
      <w:r>
        <w:t>the applicant (or applicants spouse) will no longer have the relevant interest in the property as a result of</w:t>
      </w:r>
    </w:p>
    <w:p w14:paraId="766BC927" w14:textId="77777777" w:rsidR="00A94683" w:rsidRDefault="00A94683" w:rsidP="007003F0">
      <w:pPr>
        <w:pStyle w:val="ListNumber4"/>
      </w:pPr>
      <w:r>
        <w:lastRenderedPageBreak/>
        <w:t>an order or binding agreement which provides for distribution of the property between the applicant (or applicants spouse) and the other person to the former relationship, or</w:t>
      </w:r>
    </w:p>
    <w:p w14:paraId="2010DFB2" w14:textId="77777777" w:rsidR="00A94683" w:rsidRDefault="00A94683" w:rsidP="007003F0">
      <w:pPr>
        <w:pStyle w:val="ListNumber4"/>
      </w:pPr>
      <w:proofErr w:type="gramStart"/>
      <w:r>
        <w:t>the</w:t>
      </w:r>
      <w:proofErr w:type="gramEnd"/>
      <w:r>
        <w:t xml:space="preserve"> applicant (or applicants spouse) has entered into an unconditional contract for disposal of the property. </w:t>
      </w:r>
    </w:p>
    <w:p w14:paraId="42627353" w14:textId="77777777" w:rsidR="00A12644" w:rsidRDefault="00A12644" w:rsidP="007003F0">
      <w:pPr>
        <w:pStyle w:val="ListNumber"/>
      </w:pPr>
      <w:r>
        <w:t>If an exemption is granted on the basis that paragraph 16(b</w:t>
      </w:r>
      <w:proofErr w:type="gramStart"/>
      <w:r>
        <w:t>)(</w:t>
      </w:r>
      <w:proofErr w:type="gramEnd"/>
      <w:r>
        <w:t xml:space="preserve">ii) applies, and the property is not disposed of in accordance with the agreement, order or contract, the Commissioner may revoke the exemption unless special reasons exist. </w:t>
      </w:r>
    </w:p>
    <w:p w14:paraId="55EF11D1" w14:textId="77777777" w:rsidR="00A12644" w:rsidRDefault="00A12644" w:rsidP="007003F0">
      <w:pPr>
        <w:pStyle w:val="ListNumber"/>
      </w:pPr>
      <w:r>
        <w:t>This exemption does not apply if the applicant (or their new spouse at the time of the conveyance) has acquired a further relevant interest in residential property in the Territory after the breakdown of the relationship and before the conveyance.</w:t>
      </w:r>
    </w:p>
    <w:p w14:paraId="4F8B5086" w14:textId="77777777" w:rsidR="009E15B3" w:rsidRDefault="004E6EA1" w:rsidP="007003F0">
      <w:pPr>
        <w:pStyle w:val="ListNumber"/>
      </w:pPr>
      <w:r>
        <w:t xml:space="preserve">The dutiable value of the property </w:t>
      </w:r>
      <w:r w:rsidR="00E9568F">
        <w:t>must</w:t>
      </w:r>
      <w:r>
        <w:t xml:space="preserve"> not exceed $650 000.</w:t>
      </w:r>
    </w:p>
    <w:p w14:paraId="2E9CF71A" w14:textId="77777777" w:rsidR="00F66CD6" w:rsidRDefault="00F66CD6" w:rsidP="007003F0">
      <w:pPr>
        <w:pStyle w:val="Heading2"/>
      </w:pPr>
      <w:r>
        <w:t>Additional eligibility criteria for the SPCC</w:t>
      </w:r>
    </w:p>
    <w:p w14:paraId="56C072CA" w14:textId="77777777" w:rsidR="00F66CD6" w:rsidRDefault="00F66CD6" w:rsidP="007003F0">
      <w:pPr>
        <w:pStyle w:val="ListNumber"/>
      </w:pPr>
      <w:r>
        <w:t>In addition to the common eligibility criteria described above, applicants for the SPCC must satisfy the following additional criteria:</w:t>
      </w:r>
    </w:p>
    <w:p w14:paraId="3000A120" w14:textId="77777777" w:rsidR="00F66CD6" w:rsidRDefault="00F66CD6" w:rsidP="007003F0">
      <w:pPr>
        <w:pStyle w:val="ListNumber2"/>
      </w:pPr>
      <w:r>
        <w:t>At the time the contract is entered into:</w:t>
      </w:r>
    </w:p>
    <w:p w14:paraId="23321820" w14:textId="77777777" w:rsidR="00984920" w:rsidRDefault="00F66CD6" w:rsidP="007003F0">
      <w:pPr>
        <w:pStyle w:val="ListNumber3"/>
      </w:pPr>
      <w:r>
        <w:t>at least one applicant must be:</w:t>
      </w:r>
    </w:p>
    <w:p w14:paraId="53D452C0" w14:textId="77777777" w:rsidR="00F66CD6" w:rsidRDefault="00F66CD6" w:rsidP="007003F0">
      <w:pPr>
        <w:pStyle w:val="ListNumber4"/>
      </w:pPr>
      <w:r>
        <w:t>60 years of age or more; or</w:t>
      </w:r>
    </w:p>
    <w:p w14:paraId="13776266" w14:textId="77777777" w:rsidR="0043090D" w:rsidRDefault="0043090D" w:rsidP="007003F0">
      <w:pPr>
        <w:pStyle w:val="ListNumber4"/>
      </w:pPr>
      <w:r>
        <w:t>hold an NT Pensioner and Carer Concession Card or a Northern Territory Concession Scheme Card;</w:t>
      </w:r>
      <w:r>
        <w:rPr>
          <w:rStyle w:val="FootnoteReference"/>
        </w:rPr>
        <w:footnoteReference w:id="11"/>
      </w:r>
      <w:r>
        <w:t xml:space="preserve"> or</w:t>
      </w:r>
    </w:p>
    <w:p w14:paraId="6606A3F1" w14:textId="77777777" w:rsidR="0043090D" w:rsidRPr="00B1323A" w:rsidRDefault="0043090D" w:rsidP="007003F0">
      <w:pPr>
        <w:pStyle w:val="ListNumber4"/>
      </w:pPr>
      <w:r>
        <w:t xml:space="preserve">is </w:t>
      </w:r>
      <w:r w:rsidRPr="00B1323A">
        <w:t xml:space="preserve">entitled to hold a card mentioned </w:t>
      </w:r>
      <w:r w:rsidR="00785914" w:rsidRPr="00B1323A">
        <w:t>in subparagraph (2</w:t>
      </w:r>
      <w:r w:rsidRPr="00B1323A">
        <w:t>) and at the time of application for the concession is the holder of such a card; and</w:t>
      </w:r>
    </w:p>
    <w:p w14:paraId="27CC39EE" w14:textId="77777777" w:rsidR="00F66CD6" w:rsidRDefault="0043090D" w:rsidP="007003F0">
      <w:pPr>
        <w:pStyle w:val="ListNumber4"/>
      </w:pPr>
      <w:proofErr w:type="gramStart"/>
      <w:r w:rsidRPr="00B1323A">
        <w:t>that</w:t>
      </w:r>
      <w:proofErr w:type="gramEnd"/>
      <w:r w:rsidRPr="00B1323A">
        <w:t xml:space="preserve"> applicant must comply with</w:t>
      </w:r>
      <w:r>
        <w:t xml:space="preserve"> the occupancy requirements at </w:t>
      </w:r>
      <w:r w:rsidR="00AC06E0">
        <w:t>9</w:t>
      </w:r>
      <w:r>
        <w:t>(f) above.</w:t>
      </w:r>
    </w:p>
    <w:p w14:paraId="60D73015" w14:textId="77777777" w:rsidR="00F66CD6" w:rsidRDefault="00F66CD6" w:rsidP="007003F0">
      <w:pPr>
        <w:pStyle w:val="ListNumber3"/>
      </w:pPr>
      <w:r>
        <w:t>the dutiable value of the property does not exceed:</w:t>
      </w:r>
    </w:p>
    <w:p w14:paraId="3A5C808D" w14:textId="77777777" w:rsidR="00F66CD6" w:rsidRDefault="00F66CD6" w:rsidP="007003F0">
      <w:pPr>
        <w:pStyle w:val="ListNumber4"/>
      </w:pPr>
      <w:r>
        <w:t>$750 000 for land on which there is a home (including an off-the-plan purchase); or</w:t>
      </w:r>
    </w:p>
    <w:p w14:paraId="09BC82C8" w14:textId="77777777" w:rsidR="00F66CD6" w:rsidRDefault="00F66CD6" w:rsidP="007003F0">
      <w:pPr>
        <w:pStyle w:val="ListNumber4"/>
      </w:pPr>
      <w:r>
        <w:t>$385 000 for land on which a home is to be built (note: there is no limit on the subsequent cost</w:t>
      </w:r>
      <w:r w:rsidR="00785914">
        <w:t xml:space="preserve"> of construction of the home).</w:t>
      </w:r>
      <w:r w:rsidR="00785914">
        <w:rPr>
          <w:rStyle w:val="FootnoteReference"/>
        </w:rPr>
        <w:footnoteReference w:id="12"/>
      </w:r>
    </w:p>
    <w:p w14:paraId="1FF1F92B" w14:textId="77777777" w:rsidR="00F66CD6" w:rsidRDefault="00F66CD6" w:rsidP="007003F0">
      <w:pPr>
        <w:pStyle w:val="Heading1"/>
      </w:pPr>
      <w:r>
        <w:t xml:space="preserve">Procedure for applying for the </w:t>
      </w:r>
      <w:r w:rsidR="00CB247D">
        <w:t>T</w:t>
      </w:r>
      <w:r>
        <w:t>HOD</w:t>
      </w:r>
      <w:r w:rsidR="00CB247D">
        <w:t xml:space="preserve"> or</w:t>
      </w:r>
      <w:r>
        <w:t xml:space="preserve"> SPCC and supporting information</w:t>
      </w:r>
    </w:p>
    <w:p w14:paraId="20F0972D" w14:textId="27CBAEB8" w:rsidR="00F66CD6" w:rsidRDefault="00F66CD6" w:rsidP="007003F0">
      <w:pPr>
        <w:pStyle w:val="ListNumber"/>
      </w:pPr>
      <w:r>
        <w:t xml:space="preserve">Applicants for the </w:t>
      </w:r>
      <w:r w:rsidR="007D73A2">
        <w:t>home owner assistance</w:t>
      </w:r>
      <w:r>
        <w:t xml:space="preserve"> schemes must submit the appropriate application form (THOD: </w:t>
      </w:r>
      <w:hyperlink r:id="rId12" w:history="1">
        <w:r w:rsidRPr="00785914">
          <w:rPr>
            <w:rStyle w:val="Hyperlink"/>
          </w:rPr>
          <w:t>F-HI-019</w:t>
        </w:r>
      </w:hyperlink>
      <w:r>
        <w:t xml:space="preserve"> or SPCC: </w:t>
      </w:r>
      <w:hyperlink r:id="rId13" w:history="1">
        <w:r w:rsidRPr="00785914">
          <w:rPr>
            <w:rStyle w:val="Hyperlink"/>
          </w:rPr>
          <w:t>F-HI-008</w:t>
        </w:r>
      </w:hyperlink>
      <w:r>
        <w:t xml:space="preserve">) and the supporting information referred to in the Guide to the application when lodging the instrument for assessment of duty </w:t>
      </w:r>
      <w:r w:rsidR="00785914">
        <w:t>with TRO or an approved agent.</w:t>
      </w:r>
      <w:r w:rsidR="00785914">
        <w:rPr>
          <w:rStyle w:val="FootnoteReference"/>
        </w:rPr>
        <w:footnoteReference w:id="13"/>
      </w:r>
    </w:p>
    <w:p w14:paraId="48E467CC" w14:textId="77777777" w:rsidR="00F66CD6" w:rsidRDefault="00F66CD6" w:rsidP="007003F0">
      <w:pPr>
        <w:pStyle w:val="ListNumber"/>
      </w:pPr>
      <w:r>
        <w:t xml:space="preserve">For further information on lodging and paying duty on instruments, refer to Commissioner’s Guideline </w:t>
      </w:r>
      <w:hyperlink r:id="rId14" w:history="1">
        <w:r w:rsidRPr="00785914">
          <w:rPr>
            <w:rStyle w:val="Hyperlink"/>
          </w:rPr>
          <w:t>CG-SD-001: Document lodgement and payment</w:t>
        </w:r>
      </w:hyperlink>
      <w:r>
        <w:t xml:space="preserve"> periods and </w:t>
      </w:r>
      <w:hyperlink r:id="rId15" w:history="1">
        <w:r w:rsidRPr="00785914">
          <w:rPr>
            <w:rStyle w:val="Hyperlink"/>
          </w:rPr>
          <w:t>CG-SD-002: Eligible conditional agreements – extension of time to lodge instrument and pay duty.</w:t>
        </w:r>
      </w:hyperlink>
      <w:r>
        <w:t xml:space="preserve"> Refer to the SDA for the legislative basis for the THOD and SPCC.</w:t>
      </w:r>
    </w:p>
    <w:p w14:paraId="7D6EDDC3" w14:textId="77777777" w:rsidR="00F66CD6" w:rsidRDefault="00F66CD6" w:rsidP="007003F0">
      <w:pPr>
        <w:pStyle w:val="ListNumber"/>
      </w:pPr>
      <w:r>
        <w:t>If you are unsure about any aspect concerning your eligibility for the THOD or SPCC, it is important that you contact your legal advisor, conveyancer or TRO for clarification before proceeding with your application.</w:t>
      </w:r>
    </w:p>
    <w:p w14:paraId="213E8E2F" w14:textId="77777777" w:rsidR="00F66CD6" w:rsidRDefault="00F66CD6" w:rsidP="007003F0">
      <w:pPr>
        <w:pStyle w:val="ListNumber"/>
      </w:pPr>
      <w:r>
        <w:t>TRO cannot provide rulings based on personal circumstances until a transaction has been entered into and a completed application lodged with all supporting documentation, however may be able to provide guidance to assist in determining an applicant’s eligibility.</w:t>
      </w:r>
    </w:p>
    <w:p w14:paraId="77E15CCA" w14:textId="77777777" w:rsidR="00F66CD6" w:rsidRDefault="00F66CD6" w:rsidP="007003F0">
      <w:pPr>
        <w:pStyle w:val="Heading1"/>
      </w:pPr>
      <w:r>
        <w:t>Failure to comply with occupancy requirements</w:t>
      </w:r>
    </w:p>
    <w:p w14:paraId="1BB1A8AC" w14:textId="77777777" w:rsidR="00F66CD6" w:rsidRDefault="00F66CD6" w:rsidP="007003F0">
      <w:pPr>
        <w:pStyle w:val="ListNumber"/>
      </w:pPr>
      <w:r>
        <w:t>A person who has received the THOD or SPCC must notify TRO in writing within</w:t>
      </w:r>
      <w:r w:rsidR="00785914">
        <w:t xml:space="preserve"> </w:t>
      </w:r>
      <w:r>
        <w:t>30 days after it first became apparent that they would not satisfy the occupancy requirements. Failure to make the required notification is an offence with a maximum penalty of 50 penalty units (current penalty unit values are av</w:t>
      </w:r>
      <w:r w:rsidR="00C34C73">
        <w:t>ailable from the TRO website).</w:t>
      </w:r>
      <w:r w:rsidR="00C34C73">
        <w:rPr>
          <w:rStyle w:val="FootnoteReference"/>
        </w:rPr>
        <w:footnoteReference w:id="14"/>
      </w:r>
    </w:p>
    <w:p w14:paraId="09A0888F" w14:textId="77777777" w:rsidR="00F66CD6" w:rsidRDefault="00F66CD6" w:rsidP="007003F0">
      <w:pPr>
        <w:pStyle w:val="ListNumber"/>
      </w:pPr>
      <w:r>
        <w:t xml:space="preserve">In these circumstances, TRO </w:t>
      </w:r>
      <w:r w:rsidR="004279F8">
        <w:t xml:space="preserve">may be </w:t>
      </w:r>
      <w:r>
        <w:t>required to reassess the stamp duty payable as if the person were not</w:t>
      </w:r>
      <w:r w:rsidR="00C34C73">
        <w:t xml:space="preserve"> eligible for the THOD or SPCC</w:t>
      </w:r>
      <w:r w:rsidR="00C34C73">
        <w:rPr>
          <w:rStyle w:val="FootnoteReference"/>
        </w:rPr>
        <w:footnoteReference w:id="15"/>
      </w:r>
      <w:r>
        <w:t xml:space="preserve">. Accordingly, the person will need to pay the amount previously claimed, and may be liable for interest and penalty tax. Where there are special reasons not to, such as the death of an applicant or a natural disaster destroying the home, a </w:t>
      </w:r>
      <w:r w:rsidR="00C34C73">
        <w:t>reassessment will not be made.</w:t>
      </w:r>
      <w:r w:rsidR="00C34C73">
        <w:rPr>
          <w:rStyle w:val="FootnoteReference"/>
        </w:rPr>
        <w:footnoteReference w:id="16"/>
      </w:r>
    </w:p>
    <w:p w14:paraId="6EA380A8" w14:textId="77777777" w:rsidR="00F66CD6" w:rsidRDefault="00F66CD6" w:rsidP="007003F0">
      <w:pPr>
        <w:pStyle w:val="Heading1"/>
      </w:pPr>
      <w:r>
        <w:t>Commissioner’s Guidelines</w:t>
      </w:r>
    </w:p>
    <w:p w14:paraId="118B9B67" w14:textId="77777777" w:rsidR="00F66CD6" w:rsidRDefault="00F66CD6" w:rsidP="007003F0">
      <w:pPr>
        <w:pStyle w:val="ListNumber"/>
      </w:pPr>
      <w:r>
        <w:t xml:space="preserve">Commissioner’s Guideline </w:t>
      </w:r>
      <w:hyperlink r:id="rId16" w:history="1">
        <w:r w:rsidRPr="00C34C73">
          <w:rPr>
            <w:rStyle w:val="Hyperlink"/>
          </w:rPr>
          <w:t>CG-GEN-001</w:t>
        </w:r>
      </w:hyperlink>
      <w:r>
        <w:t>, which sets out information on the revenue publication system, is incorporated into and is to be read as one with this Guideline. All Circulars and Guidelines are available from the TRO website.</w:t>
      </w:r>
    </w:p>
    <w:p w14:paraId="1C45732C" w14:textId="77777777" w:rsidR="00733ACF" w:rsidRDefault="00733ACF">
      <w:pPr>
        <w:rPr>
          <w:rFonts w:eastAsiaTheme="majorEastAsia" w:cstheme="majorBidi"/>
          <w:b/>
          <w:bCs/>
          <w:kern w:val="32"/>
          <w:sz w:val="32"/>
          <w:szCs w:val="32"/>
        </w:rPr>
      </w:pPr>
      <w:r>
        <w:br w:type="page"/>
      </w:r>
    </w:p>
    <w:p w14:paraId="33D58753" w14:textId="4956A6AF" w:rsidR="00F66CD6" w:rsidRDefault="00F66CD6" w:rsidP="007003F0">
      <w:pPr>
        <w:pStyle w:val="Heading1"/>
      </w:pPr>
      <w:r>
        <w:t>Date of effect</w:t>
      </w:r>
    </w:p>
    <w:p w14:paraId="21B54AE1" w14:textId="77777777" w:rsidR="00F66CD6" w:rsidRDefault="00F66CD6" w:rsidP="007003F0">
      <w:pPr>
        <w:pStyle w:val="ListNumber"/>
      </w:pPr>
      <w:r>
        <w:t>This version of the Guideline takes effect from 7 May 2019.</w:t>
      </w:r>
    </w:p>
    <w:p w14:paraId="27C0A057" w14:textId="77777777" w:rsidR="00850339" w:rsidRDefault="00C34C73" w:rsidP="007003F0">
      <w:r>
        <w:rPr>
          <w:noProof/>
          <w:lang w:eastAsia="en-AU"/>
        </w:rPr>
        <w:drawing>
          <wp:inline distT="0" distB="0" distL="0" distR="0" wp14:anchorId="64A14C6F" wp14:editId="24801EC7">
            <wp:extent cx="1718945" cy="560705"/>
            <wp:effectExtent l="0" t="0" r="0" b="0"/>
            <wp:docPr id="1" name="Picture 1" descr="Michaels Butler'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8945" cy="560705"/>
                    </a:xfrm>
                    <a:prstGeom prst="rect">
                      <a:avLst/>
                    </a:prstGeom>
                    <a:noFill/>
                  </pic:spPr>
                </pic:pic>
              </a:graphicData>
            </a:graphic>
          </wp:inline>
        </w:drawing>
      </w:r>
    </w:p>
    <w:p w14:paraId="43065768" w14:textId="23D3EAA5" w:rsidR="00F66CD6" w:rsidRDefault="00F66CD6" w:rsidP="007003F0">
      <w:r>
        <w:t>Mick Butler</w:t>
      </w:r>
    </w:p>
    <w:p w14:paraId="6553F710" w14:textId="77777777" w:rsidR="00F66CD6" w:rsidRPr="00AF3C0C" w:rsidRDefault="00F66CD6" w:rsidP="007003F0">
      <w:pPr>
        <w:rPr>
          <w:rStyle w:val="StyleBold"/>
        </w:rPr>
      </w:pPr>
      <w:r w:rsidRPr="00AF3C0C">
        <w:rPr>
          <w:rStyle w:val="StyleBold"/>
        </w:rPr>
        <w:t>COMMISSIONER OF TERRITORY REVENUE</w:t>
      </w:r>
    </w:p>
    <w:p w14:paraId="613A0930" w14:textId="77777777" w:rsidR="00F66CD6" w:rsidRDefault="00F66CD6" w:rsidP="007003F0">
      <w:r>
        <w:t>Date of issue: 7 May 2019</w:t>
      </w:r>
    </w:p>
    <w:p w14:paraId="0A7F5141" w14:textId="77777777" w:rsidR="00B1323A" w:rsidRPr="00C34C73" w:rsidRDefault="00B1323A" w:rsidP="007003F0">
      <w:r w:rsidRPr="00C34C73">
        <w:t>For further information, contact the Territory Revenue Office</w:t>
      </w:r>
    </w:p>
    <w:p w14:paraId="515CE3C8" w14:textId="77777777" w:rsidR="00B1323A" w:rsidRDefault="00B1323A" w:rsidP="007003F0">
      <w:r w:rsidRPr="00C34C73">
        <w:t>GPO Box 154</w:t>
      </w:r>
    </w:p>
    <w:p w14:paraId="739B6032" w14:textId="77777777" w:rsidR="00B1323A" w:rsidRDefault="00B1323A" w:rsidP="007003F0">
      <w:r w:rsidRPr="00C34C73">
        <w:t>Darwin NT 0801</w:t>
      </w:r>
    </w:p>
    <w:p w14:paraId="2AC657A0" w14:textId="77777777" w:rsidR="00B1323A" w:rsidRPr="00C34C73" w:rsidRDefault="00B1323A" w:rsidP="007003F0">
      <w:r w:rsidRPr="00C34C73">
        <w:t xml:space="preserve">Email: </w:t>
      </w:r>
      <w:hyperlink r:id="rId18" w:history="1">
        <w:r w:rsidRPr="00233B15">
          <w:rPr>
            <w:rStyle w:val="Hyperlink"/>
          </w:rPr>
          <w:t>ntrevenue@nt.gov.au</w:t>
        </w:r>
      </w:hyperlink>
      <w:r>
        <w:t xml:space="preserve"> </w:t>
      </w:r>
    </w:p>
    <w:p w14:paraId="161C598A" w14:textId="77777777" w:rsidR="00B1323A" w:rsidRDefault="00B1323A" w:rsidP="007003F0">
      <w:r w:rsidRPr="00C34C73">
        <w:t>Phone: 1300 305 353</w:t>
      </w:r>
    </w:p>
    <w:p w14:paraId="58A3B063" w14:textId="77777777" w:rsidR="000B6E44" w:rsidRPr="000B6E44" w:rsidRDefault="00B1323A" w:rsidP="007003F0">
      <w:r w:rsidRPr="00C34C73">
        <w:t xml:space="preserve">Website: </w:t>
      </w:r>
      <w:hyperlink r:id="rId19" w:history="1">
        <w:r w:rsidRPr="00233B15">
          <w:rPr>
            <w:rStyle w:val="Hyperlink"/>
          </w:rPr>
          <w:t>www.revenue.nt.gov.au</w:t>
        </w:r>
      </w:hyperlink>
      <w:r>
        <w:t xml:space="preserve"> </w:t>
      </w:r>
    </w:p>
    <w:sectPr w:rsidR="000B6E44" w:rsidRPr="000B6E44" w:rsidSect="00705C9D">
      <w:headerReference w:type="even" r:id="rId20"/>
      <w:headerReference w:type="default" r:id="rId21"/>
      <w:footerReference w:type="even" r:id="rId22"/>
      <w:footerReference w:type="default" r:id="rId23"/>
      <w:headerReference w:type="first" r:id="rId24"/>
      <w:footerReference w:type="first" r:id="rId25"/>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246D5" w14:textId="77777777" w:rsidR="009443FD" w:rsidRDefault="009443FD" w:rsidP="007003F0">
      <w:r>
        <w:separator/>
      </w:r>
    </w:p>
    <w:p w14:paraId="0CC40C8F" w14:textId="77777777" w:rsidR="009443FD" w:rsidRDefault="009443FD" w:rsidP="007003F0"/>
  </w:endnote>
  <w:endnote w:type="continuationSeparator" w:id="0">
    <w:p w14:paraId="3E8BAC43" w14:textId="77777777" w:rsidR="009443FD" w:rsidRDefault="009443FD" w:rsidP="007003F0">
      <w:r>
        <w:continuationSeparator/>
      </w:r>
    </w:p>
    <w:p w14:paraId="0F5C5312" w14:textId="77777777" w:rsidR="009443FD" w:rsidRDefault="009443FD" w:rsidP="00700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70984" w14:textId="77777777" w:rsidR="00AE1ED2" w:rsidRDefault="00AE1E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14:paraId="1BBDD902" w14:textId="77777777" w:rsidTr="002A6F6A">
      <w:trPr>
        <w:cantSplit/>
        <w:trHeight w:hRule="exact" w:val="1400"/>
        <w:tblHeader/>
      </w:trPr>
      <w:tc>
        <w:tcPr>
          <w:tcW w:w="8505" w:type="dxa"/>
          <w:vAlign w:val="center"/>
        </w:tcPr>
        <w:p w14:paraId="4B01005D" w14:textId="77777777" w:rsidR="00983000" w:rsidRPr="00705C9D" w:rsidRDefault="00983000" w:rsidP="007003F0">
          <w:pPr>
            <w:pStyle w:val="NTGFooter1items"/>
            <w:rPr>
              <w:rStyle w:val="NTGFooterDepartmentNameChar"/>
            </w:rPr>
          </w:pPr>
          <w:r>
            <w:rPr>
              <w:rStyle w:val="NTGFooterDepartmentofChar"/>
            </w:rPr>
            <w:t xml:space="preserve">DEPARTMENT OF </w:t>
          </w:r>
          <w:r w:rsidR="00F66CD6">
            <w:rPr>
              <w:rStyle w:val="NTGFooterDepartmentNameChar"/>
            </w:rPr>
            <w:t>Treasury and Finance</w:t>
          </w:r>
        </w:p>
        <w:p w14:paraId="0077D266" w14:textId="77777777" w:rsidR="00983000" w:rsidRPr="007B5DA2" w:rsidRDefault="00FF2A17" w:rsidP="007003F0">
          <w:pPr>
            <w:pStyle w:val="NTGFooter1items"/>
          </w:pPr>
          <w:r>
            <w:rPr>
              <w:rStyle w:val="NTGFooter1itemsChar"/>
            </w:rPr>
            <w:t>7 May 2019</w:t>
          </w:r>
        </w:p>
      </w:tc>
      <w:tc>
        <w:tcPr>
          <w:tcW w:w="2268" w:type="dxa"/>
          <w:vAlign w:val="center"/>
        </w:tcPr>
        <w:p w14:paraId="0FCF38AC" w14:textId="77777777" w:rsidR="00983000" w:rsidRPr="00DC1F0F" w:rsidRDefault="00983000" w:rsidP="007003F0">
          <w:pPr>
            <w:pStyle w:val="NTGFooter2deptpagenum"/>
          </w:pPr>
          <w:r w:rsidRPr="0076380C">
            <w:t xml:space="preserve">Page </w:t>
          </w:r>
          <w:r w:rsidRPr="0076380C">
            <w:fldChar w:fldCharType="begin"/>
          </w:r>
          <w:r w:rsidRPr="0076380C">
            <w:instrText xml:space="preserve"> PAGE  \* Arabic  \* MERGEFORMAT </w:instrText>
          </w:r>
          <w:r w:rsidRPr="0076380C">
            <w:fldChar w:fldCharType="separate"/>
          </w:r>
          <w:r w:rsidR="00AE1ED2">
            <w:rPr>
              <w:noProof/>
            </w:rPr>
            <w:t>3</w:t>
          </w:r>
          <w:r w:rsidRPr="0076380C">
            <w:fldChar w:fldCharType="end"/>
          </w:r>
          <w:r w:rsidRPr="0076380C">
            <w:t xml:space="preserve"> of</w:t>
          </w:r>
          <w:r w:rsidRPr="00DC1F0F">
            <w:t xml:space="preserve"> </w:t>
          </w:r>
          <w:r w:rsidR="00032E3B">
            <w:rPr>
              <w:noProof/>
            </w:rPr>
            <w:fldChar w:fldCharType="begin"/>
          </w:r>
          <w:r w:rsidR="00032E3B">
            <w:rPr>
              <w:noProof/>
            </w:rPr>
            <w:instrText xml:space="preserve"> NUMPAGES  \* Arabic  \* MERGEFORMAT </w:instrText>
          </w:r>
          <w:r w:rsidR="00032E3B">
            <w:rPr>
              <w:noProof/>
            </w:rPr>
            <w:fldChar w:fldCharType="separate"/>
          </w:r>
          <w:r w:rsidR="00AE1ED2">
            <w:rPr>
              <w:noProof/>
            </w:rPr>
            <w:t>6</w:t>
          </w:r>
          <w:r w:rsidR="00032E3B">
            <w:rPr>
              <w:noProof/>
            </w:rPr>
            <w:fldChar w:fldCharType="end"/>
          </w:r>
        </w:p>
      </w:tc>
    </w:tr>
  </w:tbl>
  <w:p w14:paraId="5D3ADB62" w14:textId="77777777" w:rsidR="00983000" w:rsidRPr="00B11C67" w:rsidRDefault="00983000" w:rsidP="007003F0">
    <w:pPr>
      <w:pStyle w:val="Footer"/>
      <w:rPr>
        <w:rStyle w:val="NTGFooter2deptpagenumChar"/>
        <w:sz w:val="4"/>
        <w:szCs w:val="4"/>
      </w:rPr>
    </w:pPr>
  </w:p>
  <w:p w14:paraId="35FF22E5" w14:textId="77777777" w:rsidR="00DE597E" w:rsidRDefault="00DE597E" w:rsidP="007003F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14:paraId="367D289A" w14:textId="77777777" w:rsidTr="007D4893">
      <w:trPr>
        <w:cantSplit/>
        <w:trHeight w:hRule="exact" w:val="1400"/>
        <w:tblHeader/>
      </w:trPr>
      <w:tc>
        <w:tcPr>
          <w:tcW w:w="8505" w:type="dxa"/>
          <w:vAlign w:val="center"/>
        </w:tcPr>
        <w:p w14:paraId="15583E08" w14:textId="77777777" w:rsidR="00983000" w:rsidRPr="00705C9D" w:rsidRDefault="00983000" w:rsidP="007003F0">
          <w:pPr>
            <w:pStyle w:val="NTGFooter1items"/>
            <w:rPr>
              <w:rStyle w:val="NTGFooterDepartmentNameChar"/>
            </w:rPr>
          </w:pPr>
          <w:r>
            <w:rPr>
              <w:rStyle w:val="NTGFooterDepartmentofChar"/>
            </w:rPr>
            <w:t xml:space="preserve">DEPARTMENT OF </w:t>
          </w:r>
          <w:r w:rsidR="00C34C73">
            <w:rPr>
              <w:rStyle w:val="NTGFooterDepartmentNameChar"/>
            </w:rPr>
            <w:t>Treasury and finance</w:t>
          </w:r>
        </w:p>
        <w:p w14:paraId="755072BF" w14:textId="77777777" w:rsidR="00983000" w:rsidRPr="007B5DA2" w:rsidRDefault="00983000" w:rsidP="007003F0">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AE1ED2">
            <w:rPr>
              <w:noProof/>
            </w:rPr>
            <w:t>1</w:t>
          </w:r>
          <w:r w:rsidRPr="007B5DA2">
            <w:fldChar w:fldCharType="end"/>
          </w:r>
          <w:r w:rsidRPr="007B5DA2">
            <w:t xml:space="preserve"> of </w:t>
          </w:r>
          <w:r w:rsidR="00DB6D0A">
            <w:rPr>
              <w:noProof/>
            </w:rPr>
            <w:fldChar w:fldCharType="begin"/>
          </w:r>
          <w:r w:rsidR="00DB6D0A">
            <w:rPr>
              <w:noProof/>
            </w:rPr>
            <w:instrText xml:space="preserve"> NUMPAGES  \* Arabic  \* MERGEFORMAT </w:instrText>
          </w:r>
          <w:r w:rsidR="00DB6D0A">
            <w:rPr>
              <w:noProof/>
            </w:rPr>
            <w:fldChar w:fldCharType="separate"/>
          </w:r>
          <w:r w:rsidR="00AE1ED2">
            <w:rPr>
              <w:noProof/>
            </w:rPr>
            <w:t>6</w:t>
          </w:r>
          <w:r w:rsidR="00DB6D0A">
            <w:rPr>
              <w:noProof/>
            </w:rPr>
            <w:fldChar w:fldCharType="end"/>
          </w:r>
          <w:r w:rsidRPr="007B5DA2">
            <w:tab/>
          </w:r>
          <w:r w:rsidR="00FF2A17">
            <w:t>7 May 2019</w:t>
          </w:r>
        </w:p>
      </w:tc>
      <w:tc>
        <w:tcPr>
          <w:tcW w:w="2268" w:type="dxa"/>
          <w:vAlign w:val="center"/>
        </w:tcPr>
        <w:p w14:paraId="2A4F1248" w14:textId="77777777" w:rsidR="00983000" w:rsidRPr="001E14EB" w:rsidRDefault="00983000" w:rsidP="007003F0">
          <w:r>
            <w:rPr>
              <w:noProof/>
              <w:lang w:eastAsia="en-AU"/>
            </w:rPr>
            <w:drawing>
              <wp:inline distT="0" distB="0" distL="0" distR="0" wp14:anchorId="50DC66B5" wp14:editId="325CFB3B">
                <wp:extent cx="1346400" cy="479412"/>
                <wp:effectExtent l="0" t="0" r="6350" b="0"/>
                <wp:docPr id="13" name="Picture 1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14:paraId="7A8B6A9E" w14:textId="77777777" w:rsidR="00983000" w:rsidRPr="00543BD1" w:rsidRDefault="00983000" w:rsidP="0016153B">
    <w:pPr>
      <w:pStyle w:val="NoSpacing"/>
      <w:spacing w:after="0"/>
      <w:rPr>
        <w:sz w:val="6"/>
        <w:szCs w:val="6"/>
      </w:rPr>
    </w:pPr>
  </w:p>
  <w:p w14:paraId="518624F6" w14:textId="77777777" w:rsidR="00DE597E" w:rsidRDefault="00DE597E" w:rsidP="007003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A2A35" w14:textId="77777777" w:rsidR="009443FD" w:rsidRDefault="009443FD" w:rsidP="007003F0">
      <w:r>
        <w:separator/>
      </w:r>
    </w:p>
    <w:p w14:paraId="7A51EC92" w14:textId="77777777" w:rsidR="009443FD" w:rsidRDefault="009443FD" w:rsidP="007003F0"/>
  </w:footnote>
  <w:footnote w:type="continuationSeparator" w:id="0">
    <w:p w14:paraId="3D74082C" w14:textId="77777777" w:rsidR="009443FD" w:rsidRDefault="009443FD" w:rsidP="007003F0">
      <w:r>
        <w:continuationSeparator/>
      </w:r>
    </w:p>
    <w:p w14:paraId="276A4512" w14:textId="77777777" w:rsidR="009443FD" w:rsidRDefault="009443FD" w:rsidP="007003F0"/>
  </w:footnote>
  <w:footnote w:id="1">
    <w:p w14:paraId="341ED93B" w14:textId="77777777" w:rsidR="00C314C5" w:rsidRDefault="00C314C5" w:rsidP="007003F0">
      <w:pPr>
        <w:pStyle w:val="FootnoteText"/>
      </w:pPr>
      <w:r>
        <w:rPr>
          <w:rStyle w:val="FootnoteReference"/>
        </w:rPr>
        <w:footnoteRef/>
      </w:r>
      <w:r>
        <w:t xml:space="preserve"> </w:t>
      </w:r>
      <w:r w:rsidRPr="00C314C5">
        <w:t>See the definition of ‘conveyance’ in section 88(1) of the SDA.</w:t>
      </w:r>
    </w:p>
  </w:footnote>
  <w:footnote w:id="2">
    <w:p w14:paraId="1E807B43" w14:textId="77777777" w:rsidR="00C314C5" w:rsidRDefault="00C314C5" w:rsidP="007003F0">
      <w:pPr>
        <w:pStyle w:val="FootnoteText"/>
      </w:pPr>
      <w:r>
        <w:rPr>
          <w:rStyle w:val="FootnoteReference"/>
        </w:rPr>
        <w:footnoteRef/>
      </w:r>
      <w:r>
        <w:t xml:space="preserve"> </w:t>
      </w:r>
      <w:r w:rsidRPr="00C314C5">
        <w:t>‘Dutiable value’ is the greater of the consideration payable or the unencumbered value of the property.</w:t>
      </w:r>
    </w:p>
  </w:footnote>
  <w:footnote w:id="3">
    <w:p w14:paraId="4205701D" w14:textId="77777777" w:rsidR="00C314C5" w:rsidRDefault="00C314C5" w:rsidP="007003F0">
      <w:pPr>
        <w:pStyle w:val="FootnoteText"/>
      </w:pPr>
      <w:r>
        <w:rPr>
          <w:rStyle w:val="FootnoteReference"/>
        </w:rPr>
        <w:footnoteRef/>
      </w:r>
      <w:r>
        <w:t xml:space="preserve"> </w:t>
      </w:r>
      <w:r w:rsidRPr="00C314C5">
        <w:t xml:space="preserve">Sections </w:t>
      </w:r>
      <w:proofErr w:type="gramStart"/>
      <w:r w:rsidRPr="00C314C5">
        <w:t>89A(</w:t>
      </w:r>
      <w:proofErr w:type="gramEnd"/>
      <w:r w:rsidRPr="00C314C5">
        <w:t>1)(a) and 90(1)(a) of the SDA.</w:t>
      </w:r>
    </w:p>
  </w:footnote>
  <w:footnote w:id="4">
    <w:p w14:paraId="65AAD9E8" w14:textId="77777777" w:rsidR="00C314C5" w:rsidRDefault="00C314C5" w:rsidP="007003F0">
      <w:pPr>
        <w:pStyle w:val="FootnoteText"/>
      </w:pPr>
      <w:r>
        <w:rPr>
          <w:rStyle w:val="FootnoteReference"/>
        </w:rPr>
        <w:footnoteRef/>
      </w:r>
      <w:r>
        <w:t xml:space="preserve"> </w:t>
      </w:r>
      <w:r w:rsidRPr="00C314C5">
        <w:t xml:space="preserve">Sections </w:t>
      </w:r>
      <w:proofErr w:type="gramStart"/>
      <w:r w:rsidRPr="00C314C5">
        <w:t>89A(</w:t>
      </w:r>
      <w:proofErr w:type="gramEnd"/>
      <w:r w:rsidRPr="00C314C5">
        <w:t>1)(d) and 90(1)(c) of the SDA.</w:t>
      </w:r>
    </w:p>
  </w:footnote>
  <w:footnote w:id="5">
    <w:p w14:paraId="66767D29" w14:textId="77777777" w:rsidR="00C314C5" w:rsidRDefault="00C314C5" w:rsidP="007003F0">
      <w:pPr>
        <w:pStyle w:val="FootnoteText"/>
      </w:pPr>
      <w:r>
        <w:rPr>
          <w:rStyle w:val="FootnoteReference"/>
        </w:rPr>
        <w:footnoteRef/>
      </w:r>
      <w:r>
        <w:t xml:space="preserve"> </w:t>
      </w:r>
      <w:r w:rsidR="0043090D" w:rsidRPr="0043090D">
        <w:t xml:space="preserve">Sections </w:t>
      </w:r>
      <w:proofErr w:type="gramStart"/>
      <w:r w:rsidR="0043090D" w:rsidRPr="0043090D">
        <w:t>89A(</w:t>
      </w:r>
      <w:proofErr w:type="gramEnd"/>
      <w:r w:rsidR="0043090D" w:rsidRPr="0043090D">
        <w:t>1)(e) and 90(1)(d) of the SDA</w:t>
      </w:r>
      <w:r w:rsidR="0043090D">
        <w:t>.</w:t>
      </w:r>
    </w:p>
  </w:footnote>
  <w:footnote w:id="6">
    <w:p w14:paraId="6AAC6C9A" w14:textId="77777777" w:rsidR="0043090D" w:rsidRDefault="0043090D" w:rsidP="007003F0">
      <w:pPr>
        <w:pStyle w:val="FootnoteText"/>
      </w:pPr>
      <w:r>
        <w:rPr>
          <w:rStyle w:val="FootnoteReference"/>
        </w:rPr>
        <w:footnoteRef/>
      </w:r>
      <w:r>
        <w:t xml:space="preserve"> </w:t>
      </w:r>
      <w:r w:rsidRPr="0043090D">
        <w:t xml:space="preserve">Sections </w:t>
      </w:r>
      <w:proofErr w:type="gramStart"/>
      <w:r w:rsidRPr="0043090D">
        <w:t>89A(</w:t>
      </w:r>
      <w:proofErr w:type="gramEnd"/>
      <w:r w:rsidRPr="0043090D">
        <w:t>1)(f) and 90(1)(e) of the SDA.</w:t>
      </w:r>
    </w:p>
  </w:footnote>
  <w:footnote w:id="7">
    <w:p w14:paraId="73CF408F" w14:textId="77777777" w:rsidR="0043090D" w:rsidRDefault="0043090D" w:rsidP="007003F0">
      <w:pPr>
        <w:pStyle w:val="FootnoteText"/>
      </w:pPr>
      <w:r>
        <w:rPr>
          <w:rStyle w:val="FootnoteReference"/>
        </w:rPr>
        <w:footnoteRef/>
      </w:r>
      <w:r>
        <w:t xml:space="preserve"> </w:t>
      </w:r>
      <w:r w:rsidRPr="0043090D">
        <w:t xml:space="preserve">Sections </w:t>
      </w:r>
      <w:proofErr w:type="gramStart"/>
      <w:r w:rsidRPr="0043090D">
        <w:t>89A(</w:t>
      </w:r>
      <w:proofErr w:type="gramEnd"/>
      <w:r w:rsidRPr="0043090D">
        <w:t>1)(i) and 90(1)(g) of the SDA.</w:t>
      </w:r>
    </w:p>
  </w:footnote>
  <w:footnote w:id="8">
    <w:p w14:paraId="70ECAE60" w14:textId="77777777" w:rsidR="0043090D" w:rsidRPr="0043090D" w:rsidRDefault="0043090D" w:rsidP="007003F0">
      <w:pPr>
        <w:pStyle w:val="FootnoteText"/>
      </w:pPr>
      <w:r>
        <w:rPr>
          <w:rStyle w:val="FootnoteReference"/>
        </w:rPr>
        <w:footnoteRef/>
      </w:r>
      <w:r>
        <w:t xml:space="preserve"> </w:t>
      </w:r>
      <w:r w:rsidRPr="0043090D">
        <w:t>For further information on what is a ‘home’, refer to Commissioner’s Guideline CG-HI-006: Meaning of a ‘home’</w:t>
      </w:r>
    </w:p>
  </w:footnote>
  <w:footnote w:id="9">
    <w:p w14:paraId="42EA7F9A" w14:textId="77777777" w:rsidR="0043090D" w:rsidRDefault="0043090D" w:rsidP="007003F0">
      <w:pPr>
        <w:pStyle w:val="FootnoteText"/>
      </w:pPr>
      <w:r>
        <w:rPr>
          <w:rStyle w:val="FootnoteReference"/>
        </w:rPr>
        <w:footnoteRef/>
      </w:r>
      <w:r>
        <w:t xml:space="preserve"> </w:t>
      </w:r>
      <w:r w:rsidRPr="0043090D">
        <w:t xml:space="preserve">See the definition of ‘period for occupancy’ in section 88(1) and sections </w:t>
      </w:r>
      <w:proofErr w:type="gramStart"/>
      <w:r w:rsidRPr="0043090D">
        <w:t>89A(</w:t>
      </w:r>
      <w:proofErr w:type="gramEnd"/>
      <w:r w:rsidRPr="0043090D">
        <w:t>1)(g) and 90(1)(f) of the SDA..</w:t>
      </w:r>
    </w:p>
  </w:footnote>
  <w:footnote w:id="10">
    <w:p w14:paraId="392E11FC" w14:textId="77777777" w:rsidR="0043090D" w:rsidRPr="0043090D" w:rsidRDefault="0043090D" w:rsidP="007003F0">
      <w:pPr>
        <w:pStyle w:val="FootnoteText"/>
      </w:pPr>
      <w:r>
        <w:rPr>
          <w:rStyle w:val="FootnoteReference"/>
        </w:rPr>
        <w:footnoteRef/>
      </w:r>
      <w:r>
        <w:t xml:space="preserve"> </w:t>
      </w:r>
      <w:r w:rsidRPr="0043090D">
        <w:t xml:space="preserve">Sections </w:t>
      </w:r>
      <w:proofErr w:type="gramStart"/>
      <w:r w:rsidRPr="0043090D">
        <w:t>89A(</w:t>
      </w:r>
      <w:proofErr w:type="gramEnd"/>
      <w:r w:rsidRPr="0043090D">
        <w:t>11) and (12) and 90(8) and (9) of the SDA.</w:t>
      </w:r>
    </w:p>
  </w:footnote>
  <w:footnote w:id="11">
    <w:p w14:paraId="3774BE9F" w14:textId="77777777" w:rsidR="0043090D" w:rsidRDefault="0043090D" w:rsidP="007003F0">
      <w:pPr>
        <w:pStyle w:val="FootnoteText"/>
      </w:pPr>
      <w:r>
        <w:rPr>
          <w:rStyle w:val="FootnoteReference"/>
        </w:rPr>
        <w:footnoteRef/>
      </w:r>
      <w:r>
        <w:t xml:space="preserve"> </w:t>
      </w:r>
      <w:r w:rsidRPr="0043090D">
        <w:t xml:space="preserve">Section </w:t>
      </w:r>
      <w:proofErr w:type="gramStart"/>
      <w:r w:rsidRPr="0043090D">
        <w:t>89A(</w:t>
      </w:r>
      <w:proofErr w:type="gramEnd"/>
      <w:r w:rsidRPr="0043090D">
        <w:t>1)(b) of the SDA.</w:t>
      </w:r>
    </w:p>
  </w:footnote>
  <w:footnote w:id="12">
    <w:p w14:paraId="14C1BDF2" w14:textId="77777777" w:rsidR="00785914" w:rsidRDefault="00785914" w:rsidP="007003F0">
      <w:pPr>
        <w:pStyle w:val="FootnoteText"/>
      </w:pPr>
      <w:r>
        <w:rPr>
          <w:rStyle w:val="FootnoteReference"/>
        </w:rPr>
        <w:footnoteRef/>
      </w:r>
      <w:r>
        <w:t xml:space="preserve"> </w:t>
      </w:r>
      <w:r w:rsidRPr="00785914">
        <w:t xml:space="preserve">Section </w:t>
      </w:r>
      <w:proofErr w:type="gramStart"/>
      <w:r w:rsidRPr="00785914">
        <w:t>89A(</w:t>
      </w:r>
      <w:proofErr w:type="gramEnd"/>
      <w:r w:rsidRPr="00785914">
        <w:t>1)(h) of the SDA.</w:t>
      </w:r>
    </w:p>
  </w:footnote>
  <w:footnote w:id="13">
    <w:p w14:paraId="67A09AC5" w14:textId="77777777" w:rsidR="00785914" w:rsidRPr="00785914" w:rsidRDefault="00785914" w:rsidP="007003F0">
      <w:pPr>
        <w:pStyle w:val="FootnoteText"/>
      </w:pPr>
      <w:r>
        <w:rPr>
          <w:rStyle w:val="FootnoteReference"/>
        </w:rPr>
        <w:footnoteRef/>
      </w:r>
      <w:r>
        <w:t xml:space="preserve"> </w:t>
      </w:r>
      <w:r w:rsidRPr="00785914">
        <w:t>Some conveyancers and solicitors are authorised to assess stamp duty on certain property purchases.</w:t>
      </w:r>
    </w:p>
  </w:footnote>
  <w:footnote w:id="14">
    <w:p w14:paraId="175E57B4" w14:textId="77777777" w:rsidR="00C34C73" w:rsidRPr="00C34C73" w:rsidRDefault="00C34C73" w:rsidP="007003F0">
      <w:pPr>
        <w:pStyle w:val="FootnoteText"/>
      </w:pPr>
      <w:r>
        <w:rPr>
          <w:rStyle w:val="FootnoteReference"/>
        </w:rPr>
        <w:footnoteRef/>
      </w:r>
      <w:r>
        <w:t xml:space="preserve"> </w:t>
      </w:r>
      <w:r w:rsidRPr="00C34C73">
        <w:t xml:space="preserve">Sections </w:t>
      </w:r>
      <w:proofErr w:type="gramStart"/>
      <w:r w:rsidRPr="00C34C73">
        <w:t>89A(</w:t>
      </w:r>
      <w:proofErr w:type="gramEnd"/>
      <w:r w:rsidRPr="00C34C73">
        <w:t>3) and 90(3) of the SDA.</w:t>
      </w:r>
    </w:p>
  </w:footnote>
  <w:footnote w:id="15">
    <w:p w14:paraId="19574998" w14:textId="77777777" w:rsidR="00C34C73" w:rsidRDefault="00C34C73" w:rsidP="007003F0">
      <w:pPr>
        <w:pStyle w:val="FootnoteText"/>
      </w:pPr>
      <w:r>
        <w:rPr>
          <w:rStyle w:val="FootnoteReference"/>
        </w:rPr>
        <w:footnoteRef/>
      </w:r>
      <w:r>
        <w:t xml:space="preserve"> </w:t>
      </w:r>
      <w:r w:rsidRPr="00C34C73">
        <w:t xml:space="preserve">Sections </w:t>
      </w:r>
      <w:proofErr w:type="gramStart"/>
      <w:r w:rsidRPr="00C34C73">
        <w:t>89A(</w:t>
      </w:r>
      <w:proofErr w:type="gramEnd"/>
      <w:r w:rsidRPr="00C34C73">
        <w:t>6) and 90(4) of the SDA.</w:t>
      </w:r>
    </w:p>
  </w:footnote>
  <w:footnote w:id="16">
    <w:p w14:paraId="44AEFE59" w14:textId="77777777" w:rsidR="00C34C73" w:rsidRDefault="00C34C73" w:rsidP="007003F0">
      <w:pPr>
        <w:pStyle w:val="FootnoteText"/>
      </w:pPr>
      <w:r>
        <w:rPr>
          <w:rStyle w:val="FootnoteReference"/>
        </w:rPr>
        <w:footnoteRef/>
      </w:r>
      <w:r>
        <w:t xml:space="preserve"> </w:t>
      </w:r>
      <w:r w:rsidRPr="00C34C73">
        <w:t xml:space="preserve">Sections </w:t>
      </w:r>
      <w:proofErr w:type="gramStart"/>
      <w:r w:rsidRPr="00C34C73">
        <w:t>89A(</w:t>
      </w:r>
      <w:proofErr w:type="gramEnd"/>
      <w:r w:rsidRPr="00C34C73">
        <w:t>7) and 90(4) of the SDA.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F0995" w14:textId="77777777" w:rsidR="00AE1ED2" w:rsidRDefault="00AE1E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14:paraId="2BF21FB5" w14:textId="42367853" w:rsidR="00DE597E" w:rsidRDefault="00115EFE" w:rsidP="007003F0">
        <w:pPr>
          <w:pStyle w:val="Header"/>
        </w:pPr>
        <w:r>
          <w:t>Commissioner’s Guideline: Stamp duty home owner assistance schemes</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GoBack" w:displacedByCustomXml="next"/>
  <w:bookmarkEnd w:id="0" w:displacedByCustomXml="next"/>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14:paraId="18D94E48" w14:textId="5611F440" w:rsidR="00DE597E" w:rsidRDefault="00D8743A" w:rsidP="00B1323A">
        <w:pPr>
          <w:pStyle w:val="Title"/>
        </w:pPr>
        <w:r>
          <w:t>Commissioner</w:t>
        </w:r>
        <w:r w:rsidR="00115EFE">
          <w:t>’</w:t>
        </w:r>
        <w:r>
          <w:t xml:space="preserve">s Guideline: </w:t>
        </w:r>
        <w:r w:rsidR="000704A9">
          <w:t>Stamp duty home o</w:t>
        </w:r>
        <w:r>
          <w:t xml:space="preserve">wner </w:t>
        </w:r>
        <w:r w:rsidR="000704A9">
          <w:t>assistance s</w:t>
        </w:r>
        <w:r>
          <w:t>chemes</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4E78D274"/>
    <w:lvl w:ilvl="0">
      <w:start w:val="1"/>
      <w:numFmt w:val="decimal"/>
      <w:lvlText w:val="%1."/>
      <w:lvlJc w:val="left"/>
      <w:pPr>
        <w:tabs>
          <w:tab w:val="num" w:pos="360"/>
        </w:tabs>
        <w:ind w:left="360" w:hanging="360"/>
      </w:pPr>
    </w:lvl>
  </w:abstractNum>
  <w:abstractNum w:abstractNumId="1"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2"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BC6DBF"/>
    <w:multiLevelType w:val="hybridMultilevel"/>
    <w:tmpl w:val="FE18A59C"/>
    <w:lvl w:ilvl="0" w:tplc="6AD8497C">
      <w:start w:val="1"/>
      <w:numFmt w:val="decimal"/>
      <w:pStyle w:val="ListNumber"/>
      <w:lvlText w:val="%1."/>
      <w:lvlJc w:val="left"/>
      <w:pPr>
        <w:ind w:left="720" w:hanging="360"/>
      </w:pPr>
    </w:lvl>
    <w:lvl w:ilvl="1" w:tplc="B5C60C6C">
      <w:start w:val="1"/>
      <w:numFmt w:val="lowerLetter"/>
      <w:pStyle w:val="ListNumber2"/>
      <w:lvlText w:val="%2."/>
      <w:lvlJc w:val="left"/>
      <w:pPr>
        <w:ind w:left="1440" w:hanging="360"/>
      </w:pPr>
    </w:lvl>
    <w:lvl w:ilvl="2" w:tplc="3C48EE78">
      <w:start w:val="1"/>
      <w:numFmt w:val="lowerRoman"/>
      <w:pStyle w:val="ListNumber3"/>
      <w:lvlText w:val="%3."/>
      <w:lvlJc w:val="right"/>
      <w:pPr>
        <w:ind w:left="2160" w:hanging="180"/>
      </w:pPr>
    </w:lvl>
    <w:lvl w:ilvl="3" w:tplc="DD6649D6">
      <w:start w:val="1"/>
      <w:numFmt w:val="decimal"/>
      <w:pStyle w:val="ListNumber4"/>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B7245D0"/>
    <w:multiLevelType w:val="multilevel"/>
    <w:tmpl w:val="0C78A7AC"/>
    <w:name w:val="NTG Table Bullet List322"/>
    <w:numStyleLink w:val="Tablebulletlist"/>
  </w:abstractNum>
  <w:abstractNum w:abstractNumId="5" w15:restartNumberingAfterBreak="0">
    <w:nsid w:val="0D3A1944"/>
    <w:multiLevelType w:val="hybridMultilevel"/>
    <w:tmpl w:val="E7CE4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195B3C"/>
    <w:multiLevelType w:val="multilevel"/>
    <w:tmpl w:val="3928FD02"/>
    <w:name w:val="NTG Table Bullet List3322222"/>
    <w:numStyleLink w:val="Bulletlist"/>
  </w:abstractNum>
  <w:abstractNum w:abstractNumId="7" w15:restartNumberingAfterBreak="0">
    <w:nsid w:val="100244A1"/>
    <w:multiLevelType w:val="multilevel"/>
    <w:tmpl w:val="0C78A7AC"/>
    <w:name w:val="NTG Table Bullet List332"/>
    <w:numStyleLink w:val="Tablebulletlist"/>
  </w:abstractNum>
  <w:abstractNum w:abstractNumId="8" w15:restartNumberingAfterBreak="0">
    <w:nsid w:val="1012237B"/>
    <w:multiLevelType w:val="multilevel"/>
    <w:tmpl w:val="0C78A7AC"/>
    <w:name w:val="NTG Table Bullet List32"/>
    <w:numStyleLink w:val="Tablebulletlist"/>
  </w:abstractNum>
  <w:abstractNum w:abstractNumId="9" w15:restartNumberingAfterBreak="0">
    <w:nsid w:val="15E93577"/>
    <w:multiLevelType w:val="multilevel"/>
    <w:tmpl w:val="4E6AC8F6"/>
    <w:name w:val="NTG Table Bullet List33222222"/>
    <w:numStyleLink w:val="Numberlist"/>
  </w:abstractNum>
  <w:abstractNum w:abstractNumId="10"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5"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6" w15:restartNumberingAfterBreak="0">
    <w:nsid w:val="3BE61945"/>
    <w:multiLevelType w:val="multilevel"/>
    <w:tmpl w:val="3928FD02"/>
    <w:name w:val="NTG Table Bullet List332222222222222222"/>
    <w:numStyleLink w:val="Bulletlist"/>
  </w:abstractNum>
  <w:abstractNum w:abstractNumId="37"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0" w15:restartNumberingAfterBreak="0">
    <w:nsid w:val="49FD3A20"/>
    <w:multiLevelType w:val="multilevel"/>
    <w:tmpl w:val="3E5E177A"/>
    <w:name w:val="NTG Table Bullet List3322222222222"/>
    <w:numStyleLink w:val="Tablenumberlist"/>
  </w:abstractNum>
  <w:abstractNum w:abstractNumId="41"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2"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3"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4"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3842BC6"/>
    <w:multiLevelType w:val="multilevel"/>
    <w:tmpl w:val="0C78A7AC"/>
    <w:numStyleLink w:val="Tablebulletlist"/>
  </w:abstractNum>
  <w:abstractNum w:abstractNumId="47"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8"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9" w15:restartNumberingAfterBreak="0">
    <w:nsid w:val="56DA2CAE"/>
    <w:multiLevelType w:val="multilevel"/>
    <w:tmpl w:val="3E5E177A"/>
    <w:name w:val="NTG Table Bullet List332222222222222"/>
    <w:numStyleLink w:val="Tablenumberlist"/>
  </w:abstractNum>
  <w:abstractNum w:abstractNumId="50" w15:restartNumberingAfterBreak="0">
    <w:nsid w:val="583359D9"/>
    <w:multiLevelType w:val="multilevel"/>
    <w:tmpl w:val="3E5E177A"/>
    <w:name w:val="NTG Table Bullet List332222222"/>
    <w:numStyleLink w:val="Tablenumberlist"/>
  </w:abstractNum>
  <w:abstractNum w:abstractNumId="51"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2"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58E21323"/>
    <w:multiLevelType w:val="multilevel"/>
    <w:tmpl w:val="4E6AC8F6"/>
    <w:numStyleLink w:val="Numberlist"/>
  </w:abstractNum>
  <w:abstractNum w:abstractNumId="54" w15:restartNumberingAfterBreak="0">
    <w:nsid w:val="5B9A5FFE"/>
    <w:multiLevelType w:val="multilevel"/>
    <w:tmpl w:val="0C78A7AC"/>
    <w:name w:val="NTG Table Bullet List33222222222222"/>
    <w:numStyleLink w:val="Tablebulletlist"/>
  </w:abstractNum>
  <w:abstractNum w:abstractNumId="55" w15:restartNumberingAfterBreak="0">
    <w:nsid w:val="5D444259"/>
    <w:multiLevelType w:val="multilevel"/>
    <w:tmpl w:val="0C78A7AC"/>
    <w:name w:val="NTG Table Bullet List332222"/>
    <w:numStyleLink w:val="Tablebulletlist"/>
  </w:abstractNum>
  <w:abstractNum w:abstractNumId="56"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8"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0"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9262556"/>
    <w:multiLevelType w:val="multilevel"/>
    <w:tmpl w:val="3E5E177A"/>
    <w:name w:val="NTG Table Bullet List3322222222222222"/>
    <w:numStyleLink w:val="Tablenumberlist"/>
  </w:abstractNum>
  <w:abstractNum w:abstractNumId="62"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71162497"/>
    <w:multiLevelType w:val="hybridMultilevel"/>
    <w:tmpl w:val="C98A5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7453664D"/>
    <w:multiLevelType w:val="multilevel"/>
    <w:tmpl w:val="0C78A7AC"/>
    <w:name w:val="NTG Table Bullet List3322222222222222222"/>
    <w:numStyleLink w:val="Tablebulletlist"/>
  </w:abstractNum>
  <w:abstractNum w:abstractNumId="66" w15:restartNumberingAfterBreak="0">
    <w:nsid w:val="76141D1E"/>
    <w:multiLevelType w:val="multilevel"/>
    <w:tmpl w:val="0C78A7AC"/>
    <w:name w:val="NTG Table Bullet List332222222222"/>
    <w:numStyleLink w:val="Tablebulletlist"/>
  </w:abstractNum>
  <w:abstractNum w:abstractNumId="67" w15:restartNumberingAfterBreak="0">
    <w:nsid w:val="765A32D4"/>
    <w:multiLevelType w:val="multilevel"/>
    <w:tmpl w:val="4E6AC8F6"/>
    <w:numStyleLink w:val="Numberlist"/>
  </w:abstractNum>
  <w:abstractNum w:abstractNumId="68"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0"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69"/>
  </w:num>
  <w:num w:numId="4">
    <w:abstractNumId w:val="41"/>
  </w:num>
  <w:num w:numId="5">
    <w:abstractNumId w:val="27"/>
  </w:num>
  <w:num w:numId="6">
    <w:abstractNumId w:val="15"/>
  </w:num>
  <w:num w:numId="7">
    <w:abstractNumId w:val="46"/>
  </w:num>
  <w:num w:numId="8">
    <w:abstractNumId w:val="24"/>
  </w:num>
  <w:num w:numId="9">
    <w:abstractNumId w:val="53"/>
  </w:num>
  <w:num w:numId="10">
    <w:abstractNumId w:val="20"/>
  </w:num>
  <w:num w:numId="11">
    <w:abstractNumId w:val="58"/>
  </w:num>
  <w:num w:numId="12">
    <w:abstractNumId w:val="17"/>
  </w:num>
  <w:num w:numId="13">
    <w:abstractNumId w:val="2"/>
  </w:num>
  <w:num w:numId="14">
    <w:abstractNumId w:val="56"/>
  </w:num>
  <w:num w:numId="15">
    <w:abstractNumId w:val="26"/>
  </w:num>
  <w:num w:numId="16">
    <w:abstractNumId w:val="57"/>
  </w:num>
  <w:num w:numId="17">
    <w:abstractNumId w:val="67"/>
  </w:num>
  <w:num w:numId="18">
    <w:abstractNumId w:val="52"/>
  </w:num>
  <w:num w:numId="19">
    <w:abstractNumId w:val="44"/>
  </w:num>
  <w:num w:numId="20">
    <w:abstractNumId w:val="48"/>
  </w:num>
  <w:num w:numId="21">
    <w:abstractNumId w:val="37"/>
  </w:num>
  <w:num w:numId="22">
    <w:abstractNumId w:val="51"/>
  </w:num>
  <w:num w:numId="23">
    <w:abstractNumId w:val="43"/>
  </w:num>
  <w:num w:numId="24">
    <w:abstractNumId w:val="39"/>
  </w:num>
  <w:num w:numId="25">
    <w:abstractNumId w:val="35"/>
  </w:num>
  <w:num w:numId="26">
    <w:abstractNumId w:val="11"/>
  </w:num>
  <w:num w:numId="27">
    <w:abstractNumId w:val="68"/>
  </w:num>
  <w:num w:numId="28">
    <w:abstractNumId w:val="34"/>
  </w:num>
  <w:num w:numId="29">
    <w:abstractNumId w:val="28"/>
  </w:num>
  <w:num w:numId="30">
    <w:abstractNumId w:val="1"/>
  </w:num>
  <w:num w:numId="31">
    <w:abstractNumId w:val="38"/>
  </w:num>
  <w:num w:numId="32">
    <w:abstractNumId w:val="10"/>
  </w:num>
  <w:num w:numId="33">
    <w:abstractNumId w:val="59"/>
  </w:num>
  <w:num w:numId="34">
    <w:abstractNumId w:val="31"/>
  </w:num>
  <w:num w:numId="35">
    <w:abstractNumId w:val="45"/>
  </w:num>
  <w:num w:numId="36">
    <w:abstractNumId w:val="60"/>
  </w:num>
  <w:num w:numId="37">
    <w:abstractNumId w:val="62"/>
  </w:num>
  <w:num w:numId="38">
    <w:abstractNumId w:val="14"/>
  </w:num>
  <w:num w:numId="39">
    <w:abstractNumId w:val="25"/>
  </w:num>
  <w:num w:numId="40">
    <w:abstractNumId w:val="64"/>
  </w:num>
  <w:num w:numId="41">
    <w:abstractNumId w:val="3"/>
  </w:num>
  <w:num w:numId="42">
    <w:abstractNumId w:val="0"/>
  </w:num>
  <w:num w:numId="43">
    <w:abstractNumId w:val="3"/>
    <w:lvlOverride w:ilvl="0">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63"/>
  </w:num>
  <w:num w:numId="47">
    <w:abstractNumId w:val="3"/>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stylePaneSortMethod w:val="0000"/>
  <w:defaultTabStop w:val="284"/>
  <w:defaultTableStyle w:val="Style1-allborders"/>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3MDQ1MjAwNDMwsbRU0lEKTi0uzszPAykwrgUAHqBdrCwAAAA="/>
  </w:docVars>
  <w:rsids>
    <w:rsidRoot w:val="002C7325"/>
    <w:rsid w:val="00001DDF"/>
    <w:rsid w:val="0000322D"/>
    <w:rsid w:val="00007670"/>
    <w:rsid w:val="00010665"/>
    <w:rsid w:val="0002393A"/>
    <w:rsid w:val="00027DB8"/>
    <w:rsid w:val="00031A96"/>
    <w:rsid w:val="00032E3B"/>
    <w:rsid w:val="00040BF3"/>
    <w:rsid w:val="0004211C"/>
    <w:rsid w:val="00042D35"/>
    <w:rsid w:val="00046C59"/>
    <w:rsid w:val="00051362"/>
    <w:rsid w:val="00051F45"/>
    <w:rsid w:val="00052953"/>
    <w:rsid w:val="0005341A"/>
    <w:rsid w:val="00056DEF"/>
    <w:rsid w:val="00056EDC"/>
    <w:rsid w:val="0006635A"/>
    <w:rsid w:val="000704A9"/>
    <w:rsid w:val="000720BE"/>
    <w:rsid w:val="0007259C"/>
    <w:rsid w:val="00080202"/>
    <w:rsid w:val="00080DCD"/>
    <w:rsid w:val="00080E22"/>
    <w:rsid w:val="00082573"/>
    <w:rsid w:val="000840A3"/>
    <w:rsid w:val="00085062"/>
    <w:rsid w:val="00086A5F"/>
    <w:rsid w:val="000911EF"/>
    <w:rsid w:val="000962C5"/>
    <w:rsid w:val="000A4317"/>
    <w:rsid w:val="000A559C"/>
    <w:rsid w:val="000B2CA1"/>
    <w:rsid w:val="000B6E44"/>
    <w:rsid w:val="000D1F29"/>
    <w:rsid w:val="000D633D"/>
    <w:rsid w:val="000E342B"/>
    <w:rsid w:val="000E5DD2"/>
    <w:rsid w:val="000F2958"/>
    <w:rsid w:val="000F3850"/>
    <w:rsid w:val="00104E7F"/>
    <w:rsid w:val="001070BF"/>
    <w:rsid w:val="001137EC"/>
    <w:rsid w:val="001152F5"/>
    <w:rsid w:val="00115EFE"/>
    <w:rsid w:val="00117743"/>
    <w:rsid w:val="00117F5B"/>
    <w:rsid w:val="00132658"/>
    <w:rsid w:val="00144321"/>
    <w:rsid w:val="00150DC0"/>
    <w:rsid w:val="00156CD4"/>
    <w:rsid w:val="0016153B"/>
    <w:rsid w:val="00164A3E"/>
    <w:rsid w:val="00166FF6"/>
    <w:rsid w:val="00171758"/>
    <w:rsid w:val="0017432B"/>
    <w:rsid w:val="00176123"/>
    <w:rsid w:val="00181620"/>
    <w:rsid w:val="001957AD"/>
    <w:rsid w:val="001A2B7F"/>
    <w:rsid w:val="001A3AFD"/>
    <w:rsid w:val="001A496C"/>
    <w:rsid w:val="001A576A"/>
    <w:rsid w:val="001A70CE"/>
    <w:rsid w:val="001B2B6C"/>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716CD"/>
    <w:rsid w:val="00274D4B"/>
    <w:rsid w:val="002806F5"/>
    <w:rsid w:val="00281577"/>
    <w:rsid w:val="002926BC"/>
    <w:rsid w:val="00293A72"/>
    <w:rsid w:val="002A0160"/>
    <w:rsid w:val="002A30C3"/>
    <w:rsid w:val="002A6F6A"/>
    <w:rsid w:val="002A7712"/>
    <w:rsid w:val="002B38F7"/>
    <w:rsid w:val="002B5591"/>
    <w:rsid w:val="002B6AA4"/>
    <w:rsid w:val="002C1FE9"/>
    <w:rsid w:val="002C7325"/>
    <w:rsid w:val="002D3A57"/>
    <w:rsid w:val="002D7D05"/>
    <w:rsid w:val="002E20C8"/>
    <w:rsid w:val="002E4290"/>
    <w:rsid w:val="002E66A6"/>
    <w:rsid w:val="002F0DB1"/>
    <w:rsid w:val="002F2885"/>
    <w:rsid w:val="002F45A1"/>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90CE3"/>
    <w:rsid w:val="00394876"/>
    <w:rsid w:val="00394AAF"/>
    <w:rsid w:val="00394CE5"/>
    <w:rsid w:val="003A6341"/>
    <w:rsid w:val="003B23AF"/>
    <w:rsid w:val="003B67FD"/>
    <w:rsid w:val="003B6A61"/>
    <w:rsid w:val="003D0F63"/>
    <w:rsid w:val="003D42C0"/>
    <w:rsid w:val="003D5B29"/>
    <w:rsid w:val="003D7818"/>
    <w:rsid w:val="003E2445"/>
    <w:rsid w:val="003E3BB2"/>
    <w:rsid w:val="003F5B58"/>
    <w:rsid w:val="0040222A"/>
    <w:rsid w:val="004047BC"/>
    <w:rsid w:val="004100F7"/>
    <w:rsid w:val="00411053"/>
    <w:rsid w:val="00414CB3"/>
    <w:rsid w:val="0041563D"/>
    <w:rsid w:val="00423C86"/>
    <w:rsid w:val="00426E25"/>
    <w:rsid w:val="004279F8"/>
    <w:rsid w:val="00427D9C"/>
    <w:rsid w:val="00427E7E"/>
    <w:rsid w:val="0043090D"/>
    <w:rsid w:val="00432909"/>
    <w:rsid w:val="00443B6E"/>
    <w:rsid w:val="00451193"/>
    <w:rsid w:val="0045420A"/>
    <w:rsid w:val="004554D4"/>
    <w:rsid w:val="00461744"/>
    <w:rsid w:val="00465AC1"/>
    <w:rsid w:val="00466185"/>
    <w:rsid w:val="00466303"/>
    <w:rsid w:val="004668A7"/>
    <w:rsid w:val="00466D96"/>
    <w:rsid w:val="00467747"/>
    <w:rsid w:val="00470017"/>
    <w:rsid w:val="00473C98"/>
    <w:rsid w:val="00474965"/>
    <w:rsid w:val="00482DF8"/>
    <w:rsid w:val="004864DE"/>
    <w:rsid w:val="00494BE5"/>
    <w:rsid w:val="004A0EBA"/>
    <w:rsid w:val="004A2538"/>
    <w:rsid w:val="004B0C15"/>
    <w:rsid w:val="004B35EA"/>
    <w:rsid w:val="004B69E4"/>
    <w:rsid w:val="004C6C39"/>
    <w:rsid w:val="004C7316"/>
    <w:rsid w:val="004D075F"/>
    <w:rsid w:val="004D1B76"/>
    <w:rsid w:val="004D344E"/>
    <w:rsid w:val="004D4EB9"/>
    <w:rsid w:val="004E019E"/>
    <w:rsid w:val="004E06EC"/>
    <w:rsid w:val="004E0A3F"/>
    <w:rsid w:val="004E2CB7"/>
    <w:rsid w:val="004E6EA1"/>
    <w:rsid w:val="004F016A"/>
    <w:rsid w:val="00500F94"/>
    <w:rsid w:val="00502103"/>
    <w:rsid w:val="00502FB3"/>
    <w:rsid w:val="00503DE9"/>
    <w:rsid w:val="0050530C"/>
    <w:rsid w:val="00505DEA"/>
    <w:rsid w:val="00507782"/>
    <w:rsid w:val="00512A04"/>
    <w:rsid w:val="00520499"/>
    <w:rsid w:val="005249F5"/>
    <w:rsid w:val="005260F7"/>
    <w:rsid w:val="00543BD1"/>
    <w:rsid w:val="00556113"/>
    <w:rsid w:val="00564C12"/>
    <w:rsid w:val="005654B8"/>
    <w:rsid w:val="00565D51"/>
    <w:rsid w:val="005762CC"/>
    <w:rsid w:val="00582D3D"/>
    <w:rsid w:val="00595386"/>
    <w:rsid w:val="00597234"/>
    <w:rsid w:val="005A4AC0"/>
    <w:rsid w:val="005A5FDF"/>
    <w:rsid w:val="005B0FB7"/>
    <w:rsid w:val="005B122A"/>
    <w:rsid w:val="005B1FCB"/>
    <w:rsid w:val="005B5AC2"/>
    <w:rsid w:val="005C2833"/>
    <w:rsid w:val="005E144D"/>
    <w:rsid w:val="005E1500"/>
    <w:rsid w:val="005E3A43"/>
    <w:rsid w:val="005F0B17"/>
    <w:rsid w:val="005F77C7"/>
    <w:rsid w:val="00620675"/>
    <w:rsid w:val="00622910"/>
    <w:rsid w:val="006254B6"/>
    <w:rsid w:val="00627FC8"/>
    <w:rsid w:val="0063710A"/>
    <w:rsid w:val="006433C3"/>
    <w:rsid w:val="00643F36"/>
    <w:rsid w:val="00650F5B"/>
    <w:rsid w:val="006670D7"/>
    <w:rsid w:val="006719EA"/>
    <w:rsid w:val="00671F13"/>
    <w:rsid w:val="0067400A"/>
    <w:rsid w:val="006847AD"/>
    <w:rsid w:val="0069114B"/>
    <w:rsid w:val="006A270F"/>
    <w:rsid w:val="006A4E91"/>
    <w:rsid w:val="006A756A"/>
    <w:rsid w:val="006C2F90"/>
    <w:rsid w:val="006D18C7"/>
    <w:rsid w:val="006D4A01"/>
    <w:rsid w:val="006D66F7"/>
    <w:rsid w:val="006E2CFD"/>
    <w:rsid w:val="007003F0"/>
    <w:rsid w:val="00701DD7"/>
    <w:rsid w:val="00705C9D"/>
    <w:rsid w:val="00705F13"/>
    <w:rsid w:val="00714F1D"/>
    <w:rsid w:val="00715225"/>
    <w:rsid w:val="00720CC6"/>
    <w:rsid w:val="00722DDB"/>
    <w:rsid w:val="00724728"/>
    <w:rsid w:val="00724F98"/>
    <w:rsid w:val="00730B9B"/>
    <w:rsid w:val="0073182E"/>
    <w:rsid w:val="007332FF"/>
    <w:rsid w:val="00733ACF"/>
    <w:rsid w:val="007408F5"/>
    <w:rsid w:val="00741EAE"/>
    <w:rsid w:val="00755248"/>
    <w:rsid w:val="0076190B"/>
    <w:rsid w:val="0076355D"/>
    <w:rsid w:val="0076380C"/>
    <w:rsid w:val="00763A2D"/>
    <w:rsid w:val="007676A4"/>
    <w:rsid w:val="00777795"/>
    <w:rsid w:val="00783A57"/>
    <w:rsid w:val="00784C92"/>
    <w:rsid w:val="00785914"/>
    <w:rsid w:val="007859CD"/>
    <w:rsid w:val="007907E4"/>
    <w:rsid w:val="00796461"/>
    <w:rsid w:val="007A6A4F"/>
    <w:rsid w:val="007B03F5"/>
    <w:rsid w:val="007B5C09"/>
    <w:rsid w:val="007B5DA2"/>
    <w:rsid w:val="007C0966"/>
    <w:rsid w:val="007C19E7"/>
    <w:rsid w:val="007C5CFD"/>
    <w:rsid w:val="007C6D9F"/>
    <w:rsid w:val="007D4893"/>
    <w:rsid w:val="007D73A2"/>
    <w:rsid w:val="007E70CF"/>
    <w:rsid w:val="007E74A4"/>
    <w:rsid w:val="007F263F"/>
    <w:rsid w:val="007F2A30"/>
    <w:rsid w:val="008015A8"/>
    <w:rsid w:val="0080766E"/>
    <w:rsid w:val="00811169"/>
    <w:rsid w:val="00815297"/>
    <w:rsid w:val="008170DB"/>
    <w:rsid w:val="00817BA1"/>
    <w:rsid w:val="00823022"/>
    <w:rsid w:val="00824ED6"/>
    <w:rsid w:val="0082634E"/>
    <w:rsid w:val="008313C4"/>
    <w:rsid w:val="00835434"/>
    <w:rsid w:val="008358C0"/>
    <w:rsid w:val="00842838"/>
    <w:rsid w:val="00850339"/>
    <w:rsid w:val="00854EC1"/>
    <w:rsid w:val="0085797F"/>
    <w:rsid w:val="00861DC3"/>
    <w:rsid w:val="00867019"/>
    <w:rsid w:val="008735A9"/>
    <w:rsid w:val="00877BC5"/>
    <w:rsid w:val="00877D20"/>
    <w:rsid w:val="0088195E"/>
    <w:rsid w:val="00881C48"/>
    <w:rsid w:val="00885B80"/>
    <w:rsid w:val="00885C30"/>
    <w:rsid w:val="00885E9B"/>
    <w:rsid w:val="00893C96"/>
    <w:rsid w:val="0089500A"/>
    <w:rsid w:val="00897C94"/>
    <w:rsid w:val="008A7C12"/>
    <w:rsid w:val="008B03CE"/>
    <w:rsid w:val="008B529E"/>
    <w:rsid w:val="008C17FB"/>
    <w:rsid w:val="008D1B00"/>
    <w:rsid w:val="008D57B8"/>
    <w:rsid w:val="008E03FC"/>
    <w:rsid w:val="008E1162"/>
    <w:rsid w:val="008E510B"/>
    <w:rsid w:val="008F3FF4"/>
    <w:rsid w:val="008F601D"/>
    <w:rsid w:val="00902B13"/>
    <w:rsid w:val="00911941"/>
    <w:rsid w:val="0092024D"/>
    <w:rsid w:val="00925F0F"/>
    <w:rsid w:val="00932F6B"/>
    <w:rsid w:val="00940568"/>
    <w:rsid w:val="009443FD"/>
    <w:rsid w:val="009468BC"/>
    <w:rsid w:val="009616DF"/>
    <w:rsid w:val="0096542F"/>
    <w:rsid w:val="00967FA7"/>
    <w:rsid w:val="00971645"/>
    <w:rsid w:val="00977919"/>
    <w:rsid w:val="00983000"/>
    <w:rsid w:val="00984920"/>
    <w:rsid w:val="009870FA"/>
    <w:rsid w:val="009921C3"/>
    <w:rsid w:val="0099551D"/>
    <w:rsid w:val="009A5897"/>
    <w:rsid w:val="009A5F24"/>
    <w:rsid w:val="009B0B3E"/>
    <w:rsid w:val="009B1913"/>
    <w:rsid w:val="009B6657"/>
    <w:rsid w:val="009D0EB5"/>
    <w:rsid w:val="009D14F9"/>
    <w:rsid w:val="009D2B74"/>
    <w:rsid w:val="009D63FF"/>
    <w:rsid w:val="009E15B3"/>
    <w:rsid w:val="009E175D"/>
    <w:rsid w:val="009E3CC2"/>
    <w:rsid w:val="009F06BD"/>
    <w:rsid w:val="009F2A4D"/>
    <w:rsid w:val="00A00828"/>
    <w:rsid w:val="00A03290"/>
    <w:rsid w:val="00A0387E"/>
    <w:rsid w:val="00A07490"/>
    <w:rsid w:val="00A10655"/>
    <w:rsid w:val="00A12644"/>
    <w:rsid w:val="00A12B64"/>
    <w:rsid w:val="00A22C38"/>
    <w:rsid w:val="00A25193"/>
    <w:rsid w:val="00A26E80"/>
    <w:rsid w:val="00A31AE8"/>
    <w:rsid w:val="00A3739D"/>
    <w:rsid w:val="00A37DDA"/>
    <w:rsid w:val="00A45005"/>
    <w:rsid w:val="00A64F10"/>
    <w:rsid w:val="00A72DEB"/>
    <w:rsid w:val="00A76790"/>
    <w:rsid w:val="00A925EC"/>
    <w:rsid w:val="00A929AA"/>
    <w:rsid w:val="00A92B6B"/>
    <w:rsid w:val="00A94683"/>
    <w:rsid w:val="00AA541E"/>
    <w:rsid w:val="00AC06E0"/>
    <w:rsid w:val="00AD0DA4"/>
    <w:rsid w:val="00AD4169"/>
    <w:rsid w:val="00AE1ED2"/>
    <w:rsid w:val="00AE25C6"/>
    <w:rsid w:val="00AE306C"/>
    <w:rsid w:val="00AF28C1"/>
    <w:rsid w:val="00AF3C0C"/>
    <w:rsid w:val="00B02EF1"/>
    <w:rsid w:val="00B07C97"/>
    <w:rsid w:val="00B11C67"/>
    <w:rsid w:val="00B1323A"/>
    <w:rsid w:val="00B15754"/>
    <w:rsid w:val="00B2046E"/>
    <w:rsid w:val="00B20E8B"/>
    <w:rsid w:val="00B257E1"/>
    <w:rsid w:val="00B2599A"/>
    <w:rsid w:val="00B27AC4"/>
    <w:rsid w:val="00B343CC"/>
    <w:rsid w:val="00B5084A"/>
    <w:rsid w:val="00B606A1"/>
    <w:rsid w:val="00B6118D"/>
    <w:rsid w:val="00B614F7"/>
    <w:rsid w:val="00B61B26"/>
    <w:rsid w:val="00B65E6B"/>
    <w:rsid w:val="00B668C6"/>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F17E9"/>
    <w:rsid w:val="00BF2ABB"/>
    <w:rsid w:val="00BF5099"/>
    <w:rsid w:val="00C0772C"/>
    <w:rsid w:val="00C10F10"/>
    <w:rsid w:val="00C15D4D"/>
    <w:rsid w:val="00C175DC"/>
    <w:rsid w:val="00C30171"/>
    <w:rsid w:val="00C309D8"/>
    <w:rsid w:val="00C314C5"/>
    <w:rsid w:val="00C34C73"/>
    <w:rsid w:val="00C43519"/>
    <w:rsid w:val="00C51537"/>
    <w:rsid w:val="00C52BC3"/>
    <w:rsid w:val="00C61AFA"/>
    <w:rsid w:val="00C61D64"/>
    <w:rsid w:val="00C62099"/>
    <w:rsid w:val="00C64EA3"/>
    <w:rsid w:val="00C72867"/>
    <w:rsid w:val="00C75E81"/>
    <w:rsid w:val="00C86609"/>
    <w:rsid w:val="00C92B4C"/>
    <w:rsid w:val="00C93DE2"/>
    <w:rsid w:val="00C954F6"/>
    <w:rsid w:val="00CA6BC5"/>
    <w:rsid w:val="00CB247D"/>
    <w:rsid w:val="00CC61CD"/>
    <w:rsid w:val="00CC737B"/>
    <w:rsid w:val="00CD5011"/>
    <w:rsid w:val="00CE640F"/>
    <w:rsid w:val="00CE76BC"/>
    <w:rsid w:val="00CF540E"/>
    <w:rsid w:val="00D02F07"/>
    <w:rsid w:val="00D0409D"/>
    <w:rsid w:val="00D27EBE"/>
    <w:rsid w:val="00D36A49"/>
    <w:rsid w:val="00D517C6"/>
    <w:rsid w:val="00D71D84"/>
    <w:rsid w:val="00D72464"/>
    <w:rsid w:val="00D768EB"/>
    <w:rsid w:val="00D81E17"/>
    <w:rsid w:val="00D82D1E"/>
    <w:rsid w:val="00D832D9"/>
    <w:rsid w:val="00D8743A"/>
    <w:rsid w:val="00D90F00"/>
    <w:rsid w:val="00D975C0"/>
    <w:rsid w:val="00DA5285"/>
    <w:rsid w:val="00DB191D"/>
    <w:rsid w:val="00DB4F91"/>
    <w:rsid w:val="00DB6D0A"/>
    <w:rsid w:val="00DC06BE"/>
    <w:rsid w:val="00DC1F0F"/>
    <w:rsid w:val="00DC3117"/>
    <w:rsid w:val="00DC5DD9"/>
    <w:rsid w:val="00DC6D2D"/>
    <w:rsid w:val="00DD4E59"/>
    <w:rsid w:val="00DE33B5"/>
    <w:rsid w:val="00DE597E"/>
    <w:rsid w:val="00DE5E18"/>
    <w:rsid w:val="00DF0487"/>
    <w:rsid w:val="00DF5EA4"/>
    <w:rsid w:val="00E0234E"/>
    <w:rsid w:val="00E02681"/>
    <w:rsid w:val="00E02792"/>
    <w:rsid w:val="00E034D8"/>
    <w:rsid w:val="00E04CC0"/>
    <w:rsid w:val="00E137B5"/>
    <w:rsid w:val="00E15816"/>
    <w:rsid w:val="00E160D5"/>
    <w:rsid w:val="00E239FF"/>
    <w:rsid w:val="00E27D7B"/>
    <w:rsid w:val="00E30556"/>
    <w:rsid w:val="00E30981"/>
    <w:rsid w:val="00E33136"/>
    <w:rsid w:val="00E34D7C"/>
    <w:rsid w:val="00E3723D"/>
    <w:rsid w:val="00E44C89"/>
    <w:rsid w:val="00E61BA2"/>
    <w:rsid w:val="00E63864"/>
    <w:rsid w:val="00E6403F"/>
    <w:rsid w:val="00E770C4"/>
    <w:rsid w:val="00E84C5A"/>
    <w:rsid w:val="00E861DB"/>
    <w:rsid w:val="00E93406"/>
    <w:rsid w:val="00E9568F"/>
    <w:rsid w:val="00E956C5"/>
    <w:rsid w:val="00E95C39"/>
    <w:rsid w:val="00EA2C39"/>
    <w:rsid w:val="00EA60EC"/>
    <w:rsid w:val="00EB0A3C"/>
    <w:rsid w:val="00EB0A96"/>
    <w:rsid w:val="00EB77F9"/>
    <w:rsid w:val="00EC5769"/>
    <w:rsid w:val="00EC7D00"/>
    <w:rsid w:val="00ED0304"/>
    <w:rsid w:val="00ED1CDB"/>
    <w:rsid w:val="00EE38FA"/>
    <w:rsid w:val="00EE3E2C"/>
    <w:rsid w:val="00EE5D23"/>
    <w:rsid w:val="00EE750D"/>
    <w:rsid w:val="00EF3CA4"/>
    <w:rsid w:val="00EF7859"/>
    <w:rsid w:val="00F00E7B"/>
    <w:rsid w:val="00F014DA"/>
    <w:rsid w:val="00F02591"/>
    <w:rsid w:val="00F41BF7"/>
    <w:rsid w:val="00F5696E"/>
    <w:rsid w:val="00F60EFF"/>
    <w:rsid w:val="00F66CD6"/>
    <w:rsid w:val="00F67D2D"/>
    <w:rsid w:val="00F858F2"/>
    <w:rsid w:val="00F860CC"/>
    <w:rsid w:val="00F94398"/>
    <w:rsid w:val="00FA1D50"/>
    <w:rsid w:val="00FA4A3F"/>
    <w:rsid w:val="00FB2B56"/>
    <w:rsid w:val="00FB55D5"/>
    <w:rsid w:val="00FC12BF"/>
    <w:rsid w:val="00FC2C60"/>
    <w:rsid w:val="00FD3E6F"/>
    <w:rsid w:val="00FD51B9"/>
    <w:rsid w:val="00FD5849"/>
    <w:rsid w:val="00FE2A39"/>
    <w:rsid w:val="00FF2A17"/>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700643"/>
  <w15:docId w15:val="{3C4D0539-7AC0-44B5-9518-3681F4800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3F0"/>
  </w:style>
  <w:style w:type="paragraph" w:styleId="Heading1">
    <w:name w:val="heading 1"/>
    <w:basedOn w:val="Normal"/>
    <w:next w:val="Normal"/>
    <w:link w:val="Heading1Char"/>
    <w:uiPriority w:val="1"/>
    <w:qFormat/>
    <w:rsid w:val="001A576A"/>
    <w:pPr>
      <w:keepNext/>
      <w:keepLines/>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1A576A"/>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1A576A"/>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1A576A"/>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1070BF"/>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1070BF"/>
    <w:rPr>
      <w:b/>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rsid w:val="001070BF"/>
    <w:rPr>
      <w:rFonts w:cs="Arial"/>
      <w:sz w:val="20"/>
      <w:szCs w:val="16"/>
    </w:rPr>
  </w:style>
  <w:style w:type="character" w:customStyle="1" w:styleId="NTGFooterDepartmentofChar">
    <w:name w:val="NTG Footer Department of Char"/>
    <w:basedOn w:val="DefaultParagraphFont"/>
    <w:link w:val="NTGFooterDepartmentof"/>
    <w:uiPriority w:val="9"/>
    <w:rsid w:val="001070BF"/>
    <w:rPr>
      <w:rFonts w:cs="Arial"/>
      <w:caps/>
      <w:szCs w:val="16"/>
    </w:rPr>
  </w:style>
  <w:style w:type="character" w:customStyle="1" w:styleId="NTGFooterDepartmentNameChar">
    <w:name w:val="NTG Footer Department Name Char"/>
    <w:basedOn w:val="NTGFooterDepartmentofChar"/>
    <w:link w:val="NTGFooterDepartmentName"/>
    <w:uiPriority w:val="9"/>
    <w:rsid w:val="001070BF"/>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9"/>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rsid w:val="0076380C"/>
    <w:pPr>
      <w:tabs>
        <w:tab w:val="right" w:pos="9639"/>
      </w:tabs>
      <w:spacing w:after="0"/>
      <w:jc w:val="right"/>
    </w:pPr>
    <w:rPr>
      <w:sz w:val="20"/>
    </w:rPr>
  </w:style>
  <w:style w:type="character" w:customStyle="1" w:styleId="NTGFooter2deptpagenumChar">
    <w:name w:val="NTG Footer 2 dept &amp; page num Char"/>
    <w:basedOn w:val="DefaultParagraphFont"/>
    <w:link w:val="NTGFooter2deptpagenum"/>
    <w:uiPriority w:val="9"/>
    <w:rsid w:val="0076380C"/>
    <w:rPr>
      <w:sz w:val="20"/>
    </w:rPr>
  </w:style>
  <w:style w:type="character" w:customStyle="1" w:styleId="NTGFooter2DateVersionChar">
    <w:name w:val="NTG Footer 2 Date &amp; Version Char"/>
    <w:basedOn w:val="NTGFooter2deptpagenumChar"/>
    <w:link w:val="NTGFooter2DateVersion"/>
    <w:uiPriority w:val="9"/>
    <w:rsid w:val="0076380C"/>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rsid w:val="00C0772C"/>
    <w:pPr>
      <w:numPr>
        <w:numId w:val="41"/>
      </w:numPr>
      <w:spacing w:after="120"/>
    </w:pPr>
  </w:style>
  <w:style w:type="paragraph" w:styleId="ListNumber2">
    <w:name w:val="List Number 2"/>
    <w:aliases w:val="Number list level 2"/>
    <w:basedOn w:val="ListNumber"/>
    <w:uiPriority w:val="5"/>
    <w:rsid w:val="001070BF"/>
    <w:pPr>
      <w:numPr>
        <w:ilvl w:val="1"/>
      </w:numPr>
    </w:pPr>
  </w:style>
  <w:style w:type="paragraph" w:styleId="ListNumber3">
    <w:name w:val="List Number 3"/>
    <w:aliases w:val="Number list level 3"/>
    <w:basedOn w:val="ListNumber2"/>
    <w:uiPriority w:val="5"/>
    <w:rsid w:val="001070BF"/>
    <w:pPr>
      <w:numPr>
        <w:ilvl w:val="2"/>
      </w:numPr>
    </w:pPr>
  </w:style>
  <w:style w:type="paragraph" w:styleId="ListNumber4">
    <w:name w:val="List Number 4"/>
    <w:aliases w:val="Number list level 4"/>
    <w:basedOn w:val="ListNumber3"/>
    <w:uiPriority w:val="5"/>
    <w:rsid w:val="00B1323A"/>
    <w:pPr>
      <w:numPr>
        <w:ilvl w:val="3"/>
      </w:numPr>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rsid w:val="00176123"/>
    <w:pPr>
      <w:numPr>
        <w:numId w:val="8"/>
      </w:numPr>
      <w:spacing w:after="120"/>
      <w:ind w:left="0" w:firstLine="0"/>
    </w:pPr>
  </w:style>
  <w:style w:type="paragraph" w:styleId="ListBullet2">
    <w:name w:val="List Bullet 2"/>
    <w:aliases w:val="Bullet list level 2"/>
    <w:basedOn w:val="Normal"/>
    <w:uiPriority w:val="4"/>
    <w:rsid w:val="006847AD"/>
    <w:pPr>
      <w:numPr>
        <w:ilvl w:val="1"/>
        <w:numId w:val="8"/>
      </w:numPr>
      <w:spacing w:after="120"/>
    </w:pPr>
  </w:style>
  <w:style w:type="paragraph" w:styleId="ListBullet3">
    <w:name w:val="List Bullet 3"/>
    <w:aliases w:val="Bullet list level 3"/>
    <w:basedOn w:val="Normal"/>
    <w:uiPriority w:val="4"/>
    <w:rsid w:val="006847AD"/>
    <w:pPr>
      <w:numPr>
        <w:ilvl w:val="2"/>
        <w:numId w:val="8"/>
      </w:numPr>
      <w:spacing w:after="120"/>
    </w:pPr>
  </w:style>
  <w:style w:type="paragraph" w:styleId="ListBullet4">
    <w:name w:val="List Bullet 4"/>
    <w:aliases w:val="Bullet list level 4"/>
    <w:basedOn w:val="Normal"/>
    <w:uiPriority w:val="4"/>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FA4A3F"/>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customStyle="1" w:styleId="Tabletext-centred">
    <w:name w:val="Table text - centred"/>
    <w:qFormat/>
    <w:rsid w:val="000B6E44"/>
    <w:pPr>
      <w:spacing w:after="20"/>
      <w:jc w:val="center"/>
    </w:pPr>
  </w:style>
  <w:style w:type="paragraph" w:customStyle="1" w:styleId="Tabletext-leftaligned">
    <w:name w:val="Table text - left aligned"/>
    <w:qFormat/>
    <w:rsid w:val="0088195E"/>
    <w:pPr>
      <w:spacing w:after="20"/>
    </w:pPr>
  </w:style>
  <w:style w:type="table" w:styleId="PlainTable1">
    <w:name w:val="Plain Table 1"/>
    <w:basedOn w:val="TableNormal"/>
    <w:uiPriority w:val="41"/>
    <w:rsid w:val="000B6E44"/>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B6E44"/>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B6E44"/>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B6E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B6E44"/>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B6E44"/>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B6E44"/>
    <w:pPr>
      <w:spacing w:after="0"/>
    </w:pPr>
    <w:tblPr>
      <w:tblStyleRowBandSize w:val="1"/>
      <w:tblStyleColBandSize w:val="1"/>
      <w:tblBorders>
        <w:top w:val="single" w:sz="4" w:space="0" w:color="B8C9DB" w:themeColor="accent1" w:themeTint="66"/>
        <w:left w:val="single" w:sz="4" w:space="0" w:color="B8C9DB" w:themeColor="accent1" w:themeTint="66"/>
        <w:bottom w:val="single" w:sz="4" w:space="0" w:color="B8C9DB" w:themeColor="accent1" w:themeTint="66"/>
        <w:right w:val="single" w:sz="4" w:space="0" w:color="B8C9DB" w:themeColor="accent1" w:themeTint="66"/>
        <w:insideH w:val="single" w:sz="4" w:space="0" w:color="B8C9DB" w:themeColor="accent1" w:themeTint="66"/>
        <w:insideV w:val="single" w:sz="4" w:space="0" w:color="B8C9DB" w:themeColor="accent1" w:themeTint="66"/>
      </w:tblBorders>
    </w:tblPr>
    <w:tblStylePr w:type="firstRow">
      <w:rPr>
        <w:b/>
        <w:bCs/>
      </w:rPr>
      <w:tblPr/>
      <w:tcPr>
        <w:tcBorders>
          <w:bottom w:val="single" w:sz="12" w:space="0" w:color="94AFC9" w:themeColor="accent1" w:themeTint="99"/>
        </w:tcBorders>
      </w:tcPr>
    </w:tblStylePr>
    <w:tblStylePr w:type="lastRow">
      <w:rPr>
        <w:b/>
        <w:bCs/>
      </w:rPr>
      <w:tblPr/>
      <w:tcPr>
        <w:tcBorders>
          <w:top w:val="double" w:sz="2" w:space="0" w:color="94AFC9"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B6E44"/>
    <w:pPr>
      <w:spacing w:after="0"/>
    </w:pPr>
    <w:tblPr>
      <w:tblStyleRowBandSize w:val="1"/>
      <w:tblStyleColBandSize w:val="1"/>
      <w:tblBorders>
        <w:top w:val="single" w:sz="4" w:space="0" w:color="CDCFB1" w:themeColor="accent2" w:themeTint="66"/>
        <w:left w:val="single" w:sz="4" w:space="0" w:color="CDCFB1" w:themeColor="accent2" w:themeTint="66"/>
        <w:bottom w:val="single" w:sz="4" w:space="0" w:color="CDCFB1" w:themeColor="accent2" w:themeTint="66"/>
        <w:right w:val="single" w:sz="4" w:space="0" w:color="CDCFB1" w:themeColor="accent2" w:themeTint="66"/>
        <w:insideH w:val="single" w:sz="4" w:space="0" w:color="CDCFB1" w:themeColor="accent2" w:themeTint="66"/>
        <w:insideV w:val="single" w:sz="4" w:space="0" w:color="CDCFB1" w:themeColor="accent2" w:themeTint="66"/>
      </w:tblBorders>
    </w:tblPr>
    <w:tblStylePr w:type="firstRow">
      <w:rPr>
        <w:b/>
        <w:bCs/>
      </w:rPr>
      <w:tblPr/>
      <w:tcPr>
        <w:tcBorders>
          <w:bottom w:val="single" w:sz="12" w:space="0" w:color="B4B68A" w:themeColor="accent2" w:themeTint="99"/>
        </w:tcBorders>
      </w:tcPr>
    </w:tblStylePr>
    <w:tblStylePr w:type="lastRow">
      <w:rPr>
        <w:b/>
        <w:bCs/>
      </w:rPr>
      <w:tblPr/>
      <w:tcPr>
        <w:tcBorders>
          <w:top w:val="double" w:sz="2" w:space="0" w:color="B4B68A" w:themeColor="accent2"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B6E44"/>
    <w:pPr>
      <w:spacing w:after="0"/>
    </w:pPr>
    <w:tblPr>
      <w:tblStyleRowBandSize w:val="1"/>
      <w:tblStyleColBandSize w:val="1"/>
      <w:tblBorders>
        <w:top w:val="single" w:sz="4" w:space="0" w:color="E9C696" w:themeColor="accent5" w:themeTint="66"/>
        <w:left w:val="single" w:sz="4" w:space="0" w:color="E9C696" w:themeColor="accent5" w:themeTint="66"/>
        <w:bottom w:val="single" w:sz="4" w:space="0" w:color="E9C696" w:themeColor="accent5" w:themeTint="66"/>
        <w:right w:val="single" w:sz="4" w:space="0" w:color="E9C696" w:themeColor="accent5" w:themeTint="66"/>
        <w:insideH w:val="single" w:sz="4" w:space="0" w:color="E9C696" w:themeColor="accent5" w:themeTint="66"/>
        <w:insideV w:val="single" w:sz="4" w:space="0" w:color="E9C696" w:themeColor="accent5" w:themeTint="66"/>
      </w:tblBorders>
    </w:tblPr>
    <w:tblStylePr w:type="firstRow">
      <w:rPr>
        <w:b/>
        <w:bCs/>
      </w:rPr>
      <w:tblPr/>
      <w:tcPr>
        <w:tcBorders>
          <w:bottom w:val="single" w:sz="12" w:space="0" w:color="DFA961" w:themeColor="accent5" w:themeTint="99"/>
        </w:tcBorders>
      </w:tcPr>
    </w:tblStylePr>
    <w:tblStylePr w:type="lastRow">
      <w:rPr>
        <w:b/>
        <w:bCs/>
      </w:rPr>
      <w:tblPr/>
      <w:tcPr>
        <w:tcBorders>
          <w:top w:val="double" w:sz="2" w:space="0" w:color="DFA961" w:themeColor="accent5" w:themeTint="99"/>
        </w:tcBorders>
      </w:tcPr>
    </w:tblStylePr>
    <w:tblStylePr w:type="firstCol">
      <w:rPr>
        <w:b/>
        <w:bCs/>
      </w:rPr>
    </w:tblStylePr>
    <w:tblStylePr w:type="lastCol">
      <w:rPr>
        <w:b/>
        <w:bCs/>
      </w:rPr>
    </w:tblStylePr>
  </w:style>
  <w:style w:type="table" w:customStyle="1" w:styleId="Style1-allborders">
    <w:name w:val="Style1 - all borders"/>
    <w:basedOn w:val="TableNormal"/>
    <w:uiPriority w:val="99"/>
    <w:rsid w:val="008F601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character" w:customStyle="1" w:styleId="StyleBold">
    <w:name w:val="Style Bold"/>
    <w:rsid w:val="0088195E"/>
    <w:rPr>
      <w:b/>
      <w:bCs/>
    </w:rPr>
  </w:style>
  <w:style w:type="table" w:customStyle="1" w:styleId="Style2-topandbottomborders">
    <w:name w:val="Style2 - top and bottom borders"/>
    <w:basedOn w:val="TableNormal"/>
    <w:uiPriority w:val="99"/>
    <w:rsid w:val="008F601D"/>
    <w:pPr>
      <w:spacing w:after="0"/>
    </w:pPr>
    <w:tblPr>
      <w:tblBorders>
        <w:top w:val="single" w:sz="4" w:space="0" w:color="auto"/>
        <w:bottom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paragraph" w:styleId="FootnoteText">
    <w:name w:val="footnote text"/>
    <w:basedOn w:val="Normal"/>
    <w:link w:val="FootnoteTextChar"/>
    <w:uiPriority w:val="99"/>
    <w:rsid w:val="00465AC1"/>
    <w:pPr>
      <w:spacing w:after="0"/>
    </w:pPr>
    <w:rPr>
      <w:sz w:val="18"/>
      <w:szCs w:val="20"/>
    </w:rPr>
  </w:style>
  <w:style w:type="character" w:customStyle="1" w:styleId="FootnoteTextChar">
    <w:name w:val="Footnote Text Char"/>
    <w:basedOn w:val="DefaultParagraphFont"/>
    <w:link w:val="FootnoteText"/>
    <w:uiPriority w:val="99"/>
    <w:rsid w:val="0017432B"/>
    <w:rPr>
      <w:sz w:val="18"/>
      <w:szCs w:val="20"/>
    </w:rPr>
  </w:style>
  <w:style w:type="character" w:styleId="FootnoteReference">
    <w:name w:val="footnote reference"/>
    <w:basedOn w:val="DefaultParagraphFont"/>
    <w:uiPriority w:val="99"/>
    <w:rsid w:val="00465AC1"/>
    <w:rPr>
      <w:vertAlign w:val="superscript"/>
    </w:rPr>
  </w:style>
  <w:style w:type="character" w:styleId="BookTitle">
    <w:name w:val="Book Title"/>
    <w:basedOn w:val="DefaultParagraphFont"/>
    <w:uiPriority w:val="33"/>
    <w:semiHidden/>
    <w:rsid w:val="0017432B"/>
    <w:rPr>
      <w:b/>
      <w:bCs/>
      <w:i/>
      <w:iCs/>
      <w:spacing w:val="5"/>
    </w:rPr>
  </w:style>
  <w:style w:type="paragraph" w:styleId="BalloonText">
    <w:name w:val="Balloon Text"/>
    <w:basedOn w:val="Normal"/>
    <w:link w:val="BalloonTextChar"/>
    <w:uiPriority w:val="99"/>
    <w:semiHidden/>
    <w:unhideWhenUsed/>
    <w:rsid w:val="009E15B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B3"/>
    <w:rPr>
      <w:rFonts w:ascii="Segoe UI" w:hAnsi="Segoe UI" w:cs="Segoe UI"/>
      <w:sz w:val="18"/>
      <w:szCs w:val="18"/>
    </w:rPr>
  </w:style>
  <w:style w:type="character" w:styleId="CommentReference">
    <w:name w:val="annotation reference"/>
    <w:basedOn w:val="DefaultParagraphFont"/>
    <w:uiPriority w:val="99"/>
    <w:semiHidden/>
    <w:unhideWhenUsed/>
    <w:rsid w:val="007D73A2"/>
    <w:rPr>
      <w:sz w:val="16"/>
      <w:szCs w:val="16"/>
    </w:rPr>
  </w:style>
  <w:style w:type="paragraph" w:styleId="CommentText">
    <w:name w:val="annotation text"/>
    <w:basedOn w:val="Normal"/>
    <w:link w:val="CommentTextChar"/>
    <w:uiPriority w:val="99"/>
    <w:semiHidden/>
    <w:unhideWhenUsed/>
    <w:rsid w:val="007D73A2"/>
    <w:rPr>
      <w:sz w:val="20"/>
      <w:szCs w:val="20"/>
    </w:rPr>
  </w:style>
  <w:style w:type="character" w:customStyle="1" w:styleId="CommentTextChar">
    <w:name w:val="Comment Text Char"/>
    <w:basedOn w:val="DefaultParagraphFont"/>
    <w:link w:val="CommentText"/>
    <w:uiPriority w:val="99"/>
    <w:semiHidden/>
    <w:rsid w:val="007D73A2"/>
    <w:rPr>
      <w:sz w:val="20"/>
      <w:szCs w:val="20"/>
    </w:rPr>
  </w:style>
  <w:style w:type="paragraph" w:styleId="CommentSubject">
    <w:name w:val="annotation subject"/>
    <w:basedOn w:val="CommentText"/>
    <w:next w:val="CommentText"/>
    <w:link w:val="CommentSubjectChar"/>
    <w:uiPriority w:val="99"/>
    <w:semiHidden/>
    <w:unhideWhenUsed/>
    <w:rsid w:val="007D73A2"/>
    <w:rPr>
      <w:b/>
      <w:bCs/>
    </w:rPr>
  </w:style>
  <w:style w:type="character" w:customStyle="1" w:styleId="CommentSubjectChar">
    <w:name w:val="Comment Subject Char"/>
    <w:basedOn w:val="CommentTextChar"/>
    <w:link w:val="CommentSubject"/>
    <w:uiPriority w:val="99"/>
    <w:semiHidden/>
    <w:rsid w:val="007D73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sury.nt.gov.au/dtf/revenue/publications" TargetMode="External"/><Relationship Id="rId13" Type="http://schemas.openxmlformats.org/officeDocument/2006/relationships/hyperlink" Target="https://treasury.nt.gov.au/dtf/revenue/publications" TargetMode="External"/><Relationship Id="rId18" Type="http://schemas.openxmlformats.org/officeDocument/2006/relationships/hyperlink" Target="mailto:ntrevenue@nt.gov.a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treasury.nt.gov.au/dtf/revenue/publications" TargetMode="External"/><Relationship Id="rId17" Type="http://schemas.openxmlformats.org/officeDocument/2006/relationships/image" Target="media/image1.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treasury.nt.gov.au/dtf/revenue/publication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nt.gov.au/dtf/revenue/publications"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treasury.nt.gov.au/dtf/revenue/publications" TargetMode="External"/><Relationship Id="rId23" Type="http://schemas.openxmlformats.org/officeDocument/2006/relationships/footer" Target="footer2.xml"/><Relationship Id="rId10" Type="http://schemas.openxmlformats.org/officeDocument/2006/relationships/hyperlink" Target="https://treasury.nt.gov.au/dtf/revenue/publications" TargetMode="External"/><Relationship Id="rId19" Type="http://schemas.openxmlformats.org/officeDocument/2006/relationships/hyperlink" Target="http://www.revenue.nt.gov.au" TargetMode="External"/><Relationship Id="rId4" Type="http://schemas.openxmlformats.org/officeDocument/2006/relationships/settings" Target="settings.xml"/><Relationship Id="rId9" Type="http://schemas.openxmlformats.org/officeDocument/2006/relationships/hyperlink" Target="https://treasury.nt.gov.au/dtf/revenue/publications" TargetMode="External"/><Relationship Id="rId14" Type="http://schemas.openxmlformats.org/officeDocument/2006/relationships/hyperlink" Target="https://treasury.nt.gov.au/dtf/revenue/publications"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BC5915"/>
      </a:dk2>
      <a:lt2>
        <a:srgbClr val="FFFFFF"/>
      </a:lt2>
      <a:accent1>
        <a:srgbClr val="527AA1"/>
      </a:accent1>
      <a:accent2>
        <a:srgbClr val="77794B"/>
      </a:accent2>
      <a:accent3>
        <a:srgbClr val="6E7C00"/>
      </a:accent3>
      <a:accent4>
        <a:srgbClr val="8C4799"/>
      </a:accent4>
      <a:accent5>
        <a:srgbClr val="A26B21"/>
      </a:accent5>
      <a:accent6>
        <a:srgbClr val="BD47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B5FF3-C5F2-4B2E-88E9-0B646E503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1907</Words>
  <Characters>9250</Characters>
  <Application>Microsoft Office Word</Application>
  <DocSecurity>0</DocSecurity>
  <Lines>237</Lines>
  <Paragraphs>185</Paragraphs>
  <ScaleCrop>false</ScaleCrop>
  <HeadingPairs>
    <vt:vector size="2" baseType="variant">
      <vt:variant>
        <vt:lpstr>Title</vt:lpstr>
      </vt:variant>
      <vt:variant>
        <vt:i4>1</vt:i4>
      </vt:variant>
    </vt:vector>
  </HeadingPairs>
  <TitlesOfParts>
    <vt:vector size="1" baseType="lpstr">
      <vt:lpstr>Commissioner’s Guideline: Stamp duty home owner assistance schemes</vt:lpstr>
    </vt:vector>
  </TitlesOfParts>
  <Company>Northern Territory Government</Company>
  <LinksUpToDate>false</LinksUpToDate>
  <CharactersWithSpaces>10972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Commissioner’s Guideline: Stamp duty home owner assistance schemes</dc:title>
  <dc:creator>Northern Territory Government</dc:creator>
  <cp:lastModifiedBy>Barbara Beamsley</cp:lastModifiedBy>
  <cp:revision>16</cp:revision>
  <cp:lastPrinted>2016-02-04T04:37:00Z</cp:lastPrinted>
  <dcterms:created xsi:type="dcterms:W3CDTF">2019-05-10T01:46:00Z</dcterms:created>
  <dcterms:modified xsi:type="dcterms:W3CDTF">2019-05-24T02:29:00Z</dcterms:modified>
</cp:coreProperties>
</file>