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3974" w14:textId="77777777" w:rsidR="00886C9D" w:rsidRPr="00886C9D" w:rsidRDefault="006F62C2" w:rsidP="00886C9D">
      <w:pPr>
        <w:pStyle w:val="Title"/>
      </w:pPr>
      <w:r>
        <w:t>Payroll tax guide</w:t>
      </w:r>
    </w:p>
    <w:p w14:paraId="311EF1E1" w14:textId="77777777" w:rsidR="00BD0F38" w:rsidRPr="00E77ACA" w:rsidRDefault="006F62C2" w:rsidP="00E77ACA">
      <w:pPr>
        <w:pStyle w:val="Subtitle0"/>
        <w:sectPr w:rsidR="00BD0F38" w:rsidRPr="00E77ACA" w:rsidSect="00F43908">
          <w:headerReference w:type="even" r:id="rId8"/>
          <w:headerReference w:type="default" r:id="rId9"/>
          <w:footerReference w:type="even" r:id="rId10"/>
          <w:footerReference w:type="default" r:id="rId11"/>
          <w:headerReference w:type="first" r:id="rId12"/>
          <w:footerReference w:type="first" r:id="rId13"/>
          <w:pgSz w:w="11906" w:h="16838" w:code="9"/>
          <w:pgMar w:top="243" w:right="794" w:bottom="794" w:left="794" w:header="794" w:footer="794" w:gutter="0"/>
          <w:cols w:space="708"/>
          <w:titlePg/>
          <w:docGrid w:linePitch="360"/>
        </w:sectPr>
      </w:pPr>
      <w:r>
        <w:t>For Northern Territory employers and businesses</w:t>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0B321D4F" w14:textId="77777777" w:rsidR="00964B22" w:rsidRPr="00422874" w:rsidRDefault="00964B22" w:rsidP="00F479D5">
          <w:pPr>
            <w:pStyle w:val="TOCHeading"/>
            <w:tabs>
              <w:tab w:val="left" w:pos="8601"/>
            </w:tabs>
            <w:rPr>
              <w:lang w:eastAsia="ja-JP"/>
            </w:rPr>
          </w:pPr>
          <w:r w:rsidRPr="00422874">
            <w:t>Contents</w:t>
          </w:r>
        </w:p>
        <w:p w14:paraId="1C9B07A3" w14:textId="77777777" w:rsidR="00B01FCE" w:rsidRDefault="00C302B2">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"1-2" \h \z \u </w:instrText>
          </w:r>
          <w:r>
            <w:rPr>
              <w:rFonts w:eastAsiaTheme="minorEastAsia" w:cs="Arial"/>
              <w:lang w:eastAsia="en-AU"/>
            </w:rPr>
            <w:fldChar w:fldCharType="separate"/>
          </w:r>
          <w:hyperlink w:anchor="_Toc108789557" w:history="1">
            <w:r w:rsidR="00B01FCE" w:rsidRPr="00C154E9">
              <w:rPr>
                <w:rStyle w:val="Hyperlink"/>
                <w:noProof/>
                <w:lang w:eastAsia="en-AU"/>
              </w:rPr>
              <w:t>Introduction</w:t>
            </w:r>
            <w:r w:rsidR="00B01FCE">
              <w:rPr>
                <w:noProof/>
                <w:webHidden/>
              </w:rPr>
              <w:tab/>
            </w:r>
            <w:r w:rsidR="00B01FCE">
              <w:rPr>
                <w:noProof/>
                <w:webHidden/>
              </w:rPr>
              <w:fldChar w:fldCharType="begin"/>
            </w:r>
            <w:r w:rsidR="00B01FCE">
              <w:rPr>
                <w:noProof/>
                <w:webHidden/>
              </w:rPr>
              <w:instrText xml:space="preserve"> PAGEREF _Toc108789557 \h </w:instrText>
            </w:r>
            <w:r w:rsidR="00B01FCE">
              <w:rPr>
                <w:noProof/>
                <w:webHidden/>
              </w:rPr>
            </w:r>
            <w:r w:rsidR="00B01FCE">
              <w:rPr>
                <w:noProof/>
                <w:webHidden/>
              </w:rPr>
              <w:fldChar w:fldCharType="separate"/>
            </w:r>
            <w:r w:rsidR="00B01FCE">
              <w:rPr>
                <w:noProof/>
                <w:webHidden/>
              </w:rPr>
              <w:t>4</w:t>
            </w:r>
            <w:r w:rsidR="00B01FCE">
              <w:rPr>
                <w:noProof/>
                <w:webHidden/>
              </w:rPr>
              <w:fldChar w:fldCharType="end"/>
            </w:r>
          </w:hyperlink>
        </w:p>
        <w:p w14:paraId="0280CAF1" w14:textId="77777777" w:rsidR="00B01FCE" w:rsidRDefault="00000000">
          <w:pPr>
            <w:pStyle w:val="TOC2"/>
            <w:rPr>
              <w:rFonts w:asciiTheme="minorHAnsi" w:eastAsiaTheme="minorEastAsia" w:hAnsiTheme="minorHAnsi" w:cstheme="minorBidi"/>
              <w:noProof/>
              <w:lang w:eastAsia="en-AU"/>
            </w:rPr>
          </w:pPr>
          <w:hyperlink w:anchor="_Toc108789558" w:history="1">
            <w:r w:rsidR="00B01FCE" w:rsidRPr="00C154E9">
              <w:rPr>
                <w:rStyle w:val="Hyperlink"/>
                <w:noProof/>
              </w:rPr>
              <w:t>Disclaimer</w:t>
            </w:r>
            <w:r w:rsidR="00B01FCE">
              <w:rPr>
                <w:noProof/>
                <w:webHidden/>
              </w:rPr>
              <w:tab/>
            </w:r>
            <w:r w:rsidR="00B01FCE">
              <w:rPr>
                <w:noProof/>
                <w:webHidden/>
              </w:rPr>
              <w:fldChar w:fldCharType="begin"/>
            </w:r>
            <w:r w:rsidR="00B01FCE">
              <w:rPr>
                <w:noProof/>
                <w:webHidden/>
              </w:rPr>
              <w:instrText xml:space="preserve"> PAGEREF _Toc108789558 \h </w:instrText>
            </w:r>
            <w:r w:rsidR="00B01FCE">
              <w:rPr>
                <w:noProof/>
                <w:webHidden/>
              </w:rPr>
            </w:r>
            <w:r w:rsidR="00B01FCE">
              <w:rPr>
                <w:noProof/>
                <w:webHidden/>
              </w:rPr>
              <w:fldChar w:fldCharType="separate"/>
            </w:r>
            <w:r w:rsidR="00B01FCE">
              <w:rPr>
                <w:noProof/>
                <w:webHidden/>
              </w:rPr>
              <w:t>4</w:t>
            </w:r>
            <w:r w:rsidR="00B01FCE">
              <w:rPr>
                <w:noProof/>
                <w:webHidden/>
              </w:rPr>
              <w:fldChar w:fldCharType="end"/>
            </w:r>
          </w:hyperlink>
        </w:p>
        <w:p w14:paraId="21F6210C" w14:textId="77777777" w:rsidR="00B01FCE" w:rsidRDefault="00000000">
          <w:pPr>
            <w:pStyle w:val="TOC2"/>
            <w:rPr>
              <w:rFonts w:asciiTheme="minorHAnsi" w:eastAsiaTheme="minorEastAsia" w:hAnsiTheme="minorHAnsi" w:cstheme="minorBidi"/>
              <w:noProof/>
              <w:lang w:eastAsia="en-AU"/>
            </w:rPr>
          </w:pPr>
          <w:hyperlink w:anchor="_Toc108789559" w:history="1">
            <w:r w:rsidR="00B01FCE" w:rsidRPr="00C154E9">
              <w:rPr>
                <w:rStyle w:val="Hyperlink"/>
                <w:noProof/>
              </w:rPr>
              <w:t>Abbreviations</w:t>
            </w:r>
            <w:r w:rsidR="00B01FCE">
              <w:rPr>
                <w:noProof/>
                <w:webHidden/>
              </w:rPr>
              <w:tab/>
            </w:r>
            <w:r w:rsidR="00B01FCE">
              <w:rPr>
                <w:noProof/>
                <w:webHidden/>
              </w:rPr>
              <w:fldChar w:fldCharType="begin"/>
            </w:r>
            <w:r w:rsidR="00B01FCE">
              <w:rPr>
                <w:noProof/>
                <w:webHidden/>
              </w:rPr>
              <w:instrText xml:space="preserve"> PAGEREF _Toc108789559 \h </w:instrText>
            </w:r>
            <w:r w:rsidR="00B01FCE">
              <w:rPr>
                <w:noProof/>
                <w:webHidden/>
              </w:rPr>
            </w:r>
            <w:r w:rsidR="00B01FCE">
              <w:rPr>
                <w:noProof/>
                <w:webHidden/>
              </w:rPr>
              <w:fldChar w:fldCharType="separate"/>
            </w:r>
            <w:r w:rsidR="00B01FCE">
              <w:rPr>
                <w:noProof/>
                <w:webHidden/>
              </w:rPr>
              <w:t>5</w:t>
            </w:r>
            <w:r w:rsidR="00B01FCE">
              <w:rPr>
                <w:noProof/>
                <w:webHidden/>
              </w:rPr>
              <w:fldChar w:fldCharType="end"/>
            </w:r>
          </w:hyperlink>
        </w:p>
        <w:p w14:paraId="7A5E8441" w14:textId="77777777" w:rsidR="00B01FCE" w:rsidRDefault="00000000">
          <w:pPr>
            <w:pStyle w:val="TOC1"/>
            <w:rPr>
              <w:rFonts w:asciiTheme="minorHAnsi" w:eastAsiaTheme="minorEastAsia" w:hAnsiTheme="minorHAnsi" w:cstheme="minorBidi"/>
              <w:b w:val="0"/>
              <w:noProof/>
              <w:lang w:eastAsia="en-AU"/>
            </w:rPr>
          </w:pPr>
          <w:hyperlink w:anchor="_Toc108789560" w:history="1">
            <w:r w:rsidR="00B01FCE" w:rsidRPr="00C154E9">
              <w:rPr>
                <w:rStyle w:val="Hyperlink"/>
                <w:noProof/>
                <w:lang w:eastAsia="en-AU"/>
              </w:rPr>
              <w:t xml:space="preserve">Making it </w:t>
            </w:r>
            <w:r w:rsidR="00B01FCE" w:rsidRPr="00C154E9">
              <w:rPr>
                <w:rStyle w:val="Hyperlink"/>
                <w:noProof/>
              </w:rPr>
              <w:t>easier</w:t>
            </w:r>
            <w:r w:rsidR="00B01FCE" w:rsidRPr="00C154E9">
              <w:rPr>
                <w:rStyle w:val="Hyperlink"/>
                <w:noProof/>
                <w:lang w:eastAsia="en-AU"/>
              </w:rPr>
              <w:t xml:space="preserve"> for businesses and taxpayers</w:t>
            </w:r>
            <w:r w:rsidR="00B01FCE">
              <w:rPr>
                <w:noProof/>
                <w:webHidden/>
              </w:rPr>
              <w:tab/>
            </w:r>
            <w:r w:rsidR="00B01FCE">
              <w:rPr>
                <w:noProof/>
                <w:webHidden/>
              </w:rPr>
              <w:fldChar w:fldCharType="begin"/>
            </w:r>
            <w:r w:rsidR="00B01FCE">
              <w:rPr>
                <w:noProof/>
                <w:webHidden/>
              </w:rPr>
              <w:instrText xml:space="preserve"> PAGEREF _Toc108789560 \h </w:instrText>
            </w:r>
            <w:r w:rsidR="00B01FCE">
              <w:rPr>
                <w:noProof/>
                <w:webHidden/>
              </w:rPr>
            </w:r>
            <w:r w:rsidR="00B01FCE">
              <w:rPr>
                <w:noProof/>
                <w:webHidden/>
              </w:rPr>
              <w:fldChar w:fldCharType="separate"/>
            </w:r>
            <w:r w:rsidR="00B01FCE">
              <w:rPr>
                <w:noProof/>
                <w:webHidden/>
              </w:rPr>
              <w:t>6</w:t>
            </w:r>
            <w:r w:rsidR="00B01FCE">
              <w:rPr>
                <w:noProof/>
                <w:webHidden/>
              </w:rPr>
              <w:fldChar w:fldCharType="end"/>
            </w:r>
          </w:hyperlink>
        </w:p>
        <w:p w14:paraId="1704999E" w14:textId="77777777" w:rsidR="00B01FCE" w:rsidRDefault="00000000">
          <w:pPr>
            <w:pStyle w:val="TOC1"/>
            <w:rPr>
              <w:rFonts w:asciiTheme="minorHAnsi" w:eastAsiaTheme="minorEastAsia" w:hAnsiTheme="minorHAnsi" w:cstheme="minorBidi"/>
              <w:b w:val="0"/>
              <w:noProof/>
              <w:lang w:eastAsia="en-AU"/>
            </w:rPr>
          </w:pPr>
          <w:hyperlink w:anchor="_Toc108789561" w:history="1">
            <w:r w:rsidR="00B01FCE" w:rsidRPr="00C154E9">
              <w:rPr>
                <w:rStyle w:val="Hyperlink"/>
                <w:noProof/>
                <w:lang w:eastAsia="en-AU"/>
              </w:rPr>
              <w:t>What is payroll tax?</w:t>
            </w:r>
            <w:r w:rsidR="00B01FCE">
              <w:rPr>
                <w:noProof/>
                <w:webHidden/>
              </w:rPr>
              <w:tab/>
            </w:r>
            <w:r w:rsidR="00B01FCE">
              <w:rPr>
                <w:noProof/>
                <w:webHidden/>
              </w:rPr>
              <w:fldChar w:fldCharType="begin"/>
            </w:r>
            <w:r w:rsidR="00B01FCE">
              <w:rPr>
                <w:noProof/>
                <w:webHidden/>
              </w:rPr>
              <w:instrText xml:space="preserve"> PAGEREF _Toc108789561 \h </w:instrText>
            </w:r>
            <w:r w:rsidR="00B01FCE">
              <w:rPr>
                <w:noProof/>
                <w:webHidden/>
              </w:rPr>
            </w:r>
            <w:r w:rsidR="00B01FCE">
              <w:rPr>
                <w:noProof/>
                <w:webHidden/>
              </w:rPr>
              <w:fldChar w:fldCharType="separate"/>
            </w:r>
            <w:r w:rsidR="00B01FCE">
              <w:rPr>
                <w:noProof/>
                <w:webHidden/>
              </w:rPr>
              <w:t>7</w:t>
            </w:r>
            <w:r w:rsidR="00B01FCE">
              <w:rPr>
                <w:noProof/>
                <w:webHidden/>
              </w:rPr>
              <w:fldChar w:fldCharType="end"/>
            </w:r>
          </w:hyperlink>
        </w:p>
        <w:p w14:paraId="2685FA5F" w14:textId="77777777" w:rsidR="00B01FCE" w:rsidRDefault="00000000">
          <w:pPr>
            <w:pStyle w:val="TOC2"/>
            <w:rPr>
              <w:rFonts w:asciiTheme="minorHAnsi" w:eastAsiaTheme="minorEastAsia" w:hAnsiTheme="minorHAnsi" w:cstheme="minorBidi"/>
              <w:noProof/>
              <w:lang w:eastAsia="en-AU"/>
            </w:rPr>
          </w:pPr>
          <w:hyperlink w:anchor="_Toc108789562" w:history="1">
            <w:r w:rsidR="00B01FCE" w:rsidRPr="00C154E9">
              <w:rPr>
                <w:rStyle w:val="Hyperlink"/>
                <w:noProof/>
              </w:rPr>
              <w:t>What is meant by wages?</w:t>
            </w:r>
            <w:r w:rsidR="00B01FCE">
              <w:rPr>
                <w:noProof/>
                <w:webHidden/>
              </w:rPr>
              <w:tab/>
            </w:r>
            <w:r w:rsidR="00B01FCE">
              <w:rPr>
                <w:noProof/>
                <w:webHidden/>
              </w:rPr>
              <w:fldChar w:fldCharType="begin"/>
            </w:r>
            <w:r w:rsidR="00B01FCE">
              <w:rPr>
                <w:noProof/>
                <w:webHidden/>
              </w:rPr>
              <w:instrText xml:space="preserve"> PAGEREF _Toc108789562 \h </w:instrText>
            </w:r>
            <w:r w:rsidR="00B01FCE">
              <w:rPr>
                <w:noProof/>
                <w:webHidden/>
              </w:rPr>
            </w:r>
            <w:r w:rsidR="00B01FCE">
              <w:rPr>
                <w:noProof/>
                <w:webHidden/>
              </w:rPr>
              <w:fldChar w:fldCharType="separate"/>
            </w:r>
            <w:r w:rsidR="00B01FCE">
              <w:rPr>
                <w:noProof/>
                <w:webHidden/>
              </w:rPr>
              <w:t>8</w:t>
            </w:r>
            <w:r w:rsidR="00B01FCE">
              <w:rPr>
                <w:noProof/>
                <w:webHidden/>
              </w:rPr>
              <w:fldChar w:fldCharType="end"/>
            </w:r>
          </w:hyperlink>
        </w:p>
        <w:p w14:paraId="7CE2DC49" w14:textId="77777777" w:rsidR="00B01FCE" w:rsidRDefault="00000000">
          <w:pPr>
            <w:pStyle w:val="TOC2"/>
            <w:rPr>
              <w:rFonts w:asciiTheme="minorHAnsi" w:eastAsiaTheme="minorEastAsia" w:hAnsiTheme="minorHAnsi" w:cstheme="minorBidi"/>
              <w:noProof/>
              <w:lang w:eastAsia="en-AU"/>
            </w:rPr>
          </w:pPr>
          <w:hyperlink w:anchor="_Toc108789563" w:history="1">
            <w:r w:rsidR="00B01FCE" w:rsidRPr="00C154E9">
              <w:rPr>
                <w:rStyle w:val="Hyperlink"/>
                <w:noProof/>
              </w:rPr>
              <w:t>Common errors made in payroll tax returns</w:t>
            </w:r>
            <w:r w:rsidR="00B01FCE">
              <w:rPr>
                <w:noProof/>
                <w:webHidden/>
              </w:rPr>
              <w:tab/>
            </w:r>
            <w:r w:rsidR="00B01FCE">
              <w:rPr>
                <w:noProof/>
                <w:webHidden/>
              </w:rPr>
              <w:fldChar w:fldCharType="begin"/>
            </w:r>
            <w:r w:rsidR="00B01FCE">
              <w:rPr>
                <w:noProof/>
                <w:webHidden/>
              </w:rPr>
              <w:instrText xml:space="preserve"> PAGEREF _Toc108789563 \h </w:instrText>
            </w:r>
            <w:r w:rsidR="00B01FCE">
              <w:rPr>
                <w:noProof/>
                <w:webHidden/>
              </w:rPr>
            </w:r>
            <w:r w:rsidR="00B01FCE">
              <w:rPr>
                <w:noProof/>
                <w:webHidden/>
              </w:rPr>
              <w:fldChar w:fldCharType="separate"/>
            </w:r>
            <w:r w:rsidR="00B01FCE">
              <w:rPr>
                <w:noProof/>
                <w:webHidden/>
              </w:rPr>
              <w:t>12</w:t>
            </w:r>
            <w:r w:rsidR="00B01FCE">
              <w:rPr>
                <w:noProof/>
                <w:webHidden/>
              </w:rPr>
              <w:fldChar w:fldCharType="end"/>
            </w:r>
          </w:hyperlink>
        </w:p>
        <w:p w14:paraId="2629CB31" w14:textId="77777777" w:rsidR="00B01FCE" w:rsidRDefault="00000000">
          <w:pPr>
            <w:pStyle w:val="TOC2"/>
            <w:rPr>
              <w:rFonts w:asciiTheme="minorHAnsi" w:eastAsiaTheme="minorEastAsia" w:hAnsiTheme="minorHAnsi" w:cstheme="minorBidi"/>
              <w:noProof/>
              <w:lang w:eastAsia="en-AU"/>
            </w:rPr>
          </w:pPr>
          <w:hyperlink w:anchor="_Toc108789564" w:history="1">
            <w:r w:rsidR="00B01FCE" w:rsidRPr="00C154E9">
              <w:rPr>
                <w:rStyle w:val="Hyperlink"/>
                <w:noProof/>
              </w:rPr>
              <w:t>How do you know if your business should be registered as an employer for payroll tax?</w:t>
            </w:r>
            <w:r w:rsidR="00B01FCE">
              <w:rPr>
                <w:noProof/>
                <w:webHidden/>
              </w:rPr>
              <w:tab/>
            </w:r>
            <w:r w:rsidR="00B01FCE">
              <w:rPr>
                <w:noProof/>
                <w:webHidden/>
              </w:rPr>
              <w:fldChar w:fldCharType="begin"/>
            </w:r>
            <w:r w:rsidR="00B01FCE">
              <w:rPr>
                <w:noProof/>
                <w:webHidden/>
              </w:rPr>
              <w:instrText xml:space="preserve"> PAGEREF _Toc108789564 \h </w:instrText>
            </w:r>
            <w:r w:rsidR="00B01FCE">
              <w:rPr>
                <w:noProof/>
                <w:webHidden/>
              </w:rPr>
            </w:r>
            <w:r w:rsidR="00B01FCE">
              <w:rPr>
                <w:noProof/>
                <w:webHidden/>
              </w:rPr>
              <w:fldChar w:fldCharType="separate"/>
            </w:r>
            <w:r w:rsidR="00B01FCE">
              <w:rPr>
                <w:noProof/>
                <w:webHidden/>
              </w:rPr>
              <w:t>14</w:t>
            </w:r>
            <w:r w:rsidR="00B01FCE">
              <w:rPr>
                <w:noProof/>
                <w:webHidden/>
              </w:rPr>
              <w:fldChar w:fldCharType="end"/>
            </w:r>
          </w:hyperlink>
        </w:p>
        <w:p w14:paraId="2C64D538" w14:textId="77777777" w:rsidR="00B01FCE" w:rsidRDefault="00000000">
          <w:pPr>
            <w:pStyle w:val="TOC2"/>
            <w:rPr>
              <w:rFonts w:asciiTheme="minorHAnsi" w:eastAsiaTheme="minorEastAsia" w:hAnsiTheme="minorHAnsi" w:cstheme="minorBidi"/>
              <w:noProof/>
              <w:lang w:eastAsia="en-AU"/>
            </w:rPr>
          </w:pPr>
          <w:hyperlink w:anchor="_Toc108789565" w:history="1">
            <w:r w:rsidR="00B01FCE" w:rsidRPr="00C154E9">
              <w:rPr>
                <w:rStyle w:val="Hyperlink"/>
                <w:noProof/>
              </w:rPr>
              <w:t>When does a business need to register and start paying payroll tax?</w:t>
            </w:r>
            <w:r w:rsidR="00B01FCE">
              <w:rPr>
                <w:noProof/>
                <w:webHidden/>
              </w:rPr>
              <w:tab/>
            </w:r>
            <w:r w:rsidR="00B01FCE">
              <w:rPr>
                <w:noProof/>
                <w:webHidden/>
              </w:rPr>
              <w:fldChar w:fldCharType="begin"/>
            </w:r>
            <w:r w:rsidR="00B01FCE">
              <w:rPr>
                <w:noProof/>
                <w:webHidden/>
              </w:rPr>
              <w:instrText xml:space="preserve"> PAGEREF _Toc108789565 \h </w:instrText>
            </w:r>
            <w:r w:rsidR="00B01FCE">
              <w:rPr>
                <w:noProof/>
                <w:webHidden/>
              </w:rPr>
            </w:r>
            <w:r w:rsidR="00B01FCE">
              <w:rPr>
                <w:noProof/>
                <w:webHidden/>
              </w:rPr>
              <w:fldChar w:fldCharType="separate"/>
            </w:r>
            <w:r w:rsidR="00B01FCE">
              <w:rPr>
                <w:noProof/>
                <w:webHidden/>
              </w:rPr>
              <w:t>15</w:t>
            </w:r>
            <w:r w:rsidR="00B01FCE">
              <w:rPr>
                <w:noProof/>
                <w:webHidden/>
              </w:rPr>
              <w:fldChar w:fldCharType="end"/>
            </w:r>
          </w:hyperlink>
        </w:p>
        <w:p w14:paraId="33548496" w14:textId="77777777" w:rsidR="00B01FCE" w:rsidRDefault="00000000">
          <w:pPr>
            <w:pStyle w:val="TOC2"/>
            <w:rPr>
              <w:rFonts w:asciiTheme="minorHAnsi" w:eastAsiaTheme="minorEastAsia" w:hAnsiTheme="minorHAnsi" w:cstheme="minorBidi"/>
              <w:noProof/>
              <w:lang w:eastAsia="en-AU"/>
            </w:rPr>
          </w:pPr>
          <w:hyperlink w:anchor="_Toc108789566" w:history="1">
            <w:r w:rsidR="00B01FCE" w:rsidRPr="00C154E9">
              <w:rPr>
                <w:rStyle w:val="Hyperlink"/>
                <w:noProof/>
              </w:rPr>
              <w:t>Exempt employers</w:t>
            </w:r>
            <w:r w:rsidR="00B01FCE">
              <w:rPr>
                <w:noProof/>
                <w:webHidden/>
              </w:rPr>
              <w:tab/>
            </w:r>
            <w:r w:rsidR="00B01FCE">
              <w:rPr>
                <w:noProof/>
                <w:webHidden/>
              </w:rPr>
              <w:fldChar w:fldCharType="begin"/>
            </w:r>
            <w:r w:rsidR="00B01FCE">
              <w:rPr>
                <w:noProof/>
                <w:webHidden/>
              </w:rPr>
              <w:instrText xml:space="preserve"> PAGEREF _Toc108789566 \h </w:instrText>
            </w:r>
            <w:r w:rsidR="00B01FCE">
              <w:rPr>
                <w:noProof/>
                <w:webHidden/>
              </w:rPr>
            </w:r>
            <w:r w:rsidR="00B01FCE">
              <w:rPr>
                <w:noProof/>
                <w:webHidden/>
              </w:rPr>
              <w:fldChar w:fldCharType="separate"/>
            </w:r>
            <w:r w:rsidR="00B01FCE">
              <w:rPr>
                <w:noProof/>
                <w:webHidden/>
              </w:rPr>
              <w:t>16</w:t>
            </w:r>
            <w:r w:rsidR="00B01FCE">
              <w:rPr>
                <w:noProof/>
                <w:webHidden/>
              </w:rPr>
              <w:fldChar w:fldCharType="end"/>
            </w:r>
          </w:hyperlink>
        </w:p>
        <w:p w14:paraId="4C6F2DA8" w14:textId="77777777" w:rsidR="00B01FCE" w:rsidRDefault="00000000">
          <w:pPr>
            <w:pStyle w:val="TOC2"/>
            <w:rPr>
              <w:rFonts w:asciiTheme="minorHAnsi" w:eastAsiaTheme="minorEastAsia" w:hAnsiTheme="minorHAnsi" w:cstheme="minorBidi"/>
              <w:noProof/>
              <w:lang w:eastAsia="en-AU"/>
            </w:rPr>
          </w:pPr>
          <w:hyperlink w:anchor="_Toc108789567" w:history="1">
            <w:r w:rsidR="00B01FCE" w:rsidRPr="00C154E9">
              <w:rPr>
                <w:rStyle w:val="Hyperlink"/>
                <w:noProof/>
              </w:rPr>
              <w:t>Which state ‘owns’ payroll tax when employees work in more than one state or territory?</w:t>
            </w:r>
            <w:r w:rsidR="00B01FCE">
              <w:rPr>
                <w:noProof/>
                <w:webHidden/>
              </w:rPr>
              <w:tab/>
            </w:r>
            <w:r w:rsidR="00B01FCE">
              <w:rPr>
                <w:noProof/>
                <w:webHidden/>
              </w:rPr>
              <w:fldChar w:fldCharType="begin"/>
            </w:r>
            <w:r w:rsidR="00B01FCE">
              <w:rPr>
                <w:noProof/>
                <w:webHidden/>
              </w:rPr>
              <w:instrText xml:space="preserve"> PAGEREF _Toc108789567 \h </w:instrText>
            </w:r>
            <w:r w:rsidR="00B01FCE">
              <w:rPr>
                <w:noProof/>
                <w:webHidden/>
              </w:rPr>
            </w:r>
            <w:r w:rsidR="00B01FCE">
              <w:rPr>
                <w:noProof/>
                <w:webHidden/>
              </w:rPr>
              <w:fldChar w:fldCharType="separate"/>
            </w:r>
            <w:r w:rsidR="00B01FCE">
              <w:rPr>
                <w:noProof/>
                <w:webHidden/>
              </w:rPr>
              <w:t>17</w:t>
            </w:r>
            <w:r w:rsidR="00B01FCE">
              <w:rPr>
                <w:noProof/>
                <w:webHidden/>
              </w:rPr>
              <w:fldChar w:fldCharType="end"/>
            </w:r>
          </w:hyperlink>
        </w:p>
        <w:p w14:paraId="60376497" w14:textId="77777777" w:rsidR="00B01FCE" w:rsidRDefault="00000000">
          <w:pPr>
            <w:pStyle w:val="TOC2"/>
            <w:rPr>
              <w:rFonts w:asciiTheme="minorHAnsi" w:eastAsiaTheme="minorEastAsia" w:hAnsiTheme="minorHAnsi" w:cstheme="minorBidi"/>
              <w:noProof/>
              <w:lang w:eastAsia="en-AU"/>
            </w:rPr>
          </w:pPr>
          <w:hyperlink w:anchor="_Toc108789568" w:history="1">
            <w:r w:rsidR="00B01FCE" w:rsidRPr="00C154E9">
              <w:rPr>
                <w:rStyle w:val="Hyperlink"/>
                <w:noProof/>
              </w:rPr>
              <w:t>Other types of taxable wages</w:t>
            </w:r>
            <w:r w:rsidR="00B01FCE">
              <w:rPr>
                <w:noProof/>
                <w:webHidden/>
              </w:rPr>
              <w:tab/>
            </w:r>
            <w:r w:rsidR="00B01FCE">
              <w:rPr>
                <w:noProof/>
                <w:webHidden/>
              </w:rPr>
              <w:fldChar w:fldCharType="begin"/>
            </w:r>
            <w:r w:rsidR="00B01FCE">
              <w:rPr>
                <w:noProof/>
                <w:webHidden/>
              </w:rPr>
              <w:instrText xml:space="preserve"> PAGEREF _Toc108789568 \h </w:instrText>
            </w:r>
            <w:r w:rsidR="00B01FCE">
              <w:rPr>
                <w:noProof/>
                <w:webHidden/>
              </w:rPr>
            </w:r>
            <w:r w:rsidR="00B01FCE">
              <w:rPr>
                <w:noProof/>
                <w:webHidden/>
              </w:rPr>
              <w:fldChar w:fldCharType="separate"/>
            </w:r>
            <w:r w:rsidR="00B01FCE">
              <w:rPr>
                <w:noProof/>
                <w:webHidden/>
              </w:rPr>
              <w:t>23</w:t>
            </w:r>
            <w:r w:rsidR="00B01FCE">
              <w:rPr>
                <w:noProof/>
                <w:webHidden/>
              </w:rPr>
              <w:fldChar w:fldCharType="end"/>
            </w:r>
          </w:hyperlink>
        </w:p>
        <w:p w14:paraId="481AD789" w14:textId="77777777" w:rsidR="00B01FCE" w:rsidRDefault="00000000">
          <w:pPr>
            <w:pStyle w:val="TOC1"/>
            <w:rPr>
              <w:rFonts w:asciiTheme="minorHAnsi" w:eastAsiaTheme="minorEastAsia" w:hAnsiTheme="minorHAnsi" w:cstheme="minorBidi"/>
              <w:b w:val="0"/>
              <w:noProof/>
              <w:lang w:eastAsia="en-AU"/>
            </w:rPr>
          </w:pPr>
          <w:hyperlink w:anchor="_Toc108789569" w:history="1">
            <w:r w:rsidR="00B01FCE" w:rsidRPr="00C154E9">
              <w:rPr>
                <w:rStyle w:val="Hyperlink"/>
                <w:noProof/>
                <w:lang w:eastAsia="en-AU"/>
              </w:rPr>
              <w:t xml:space="preserve">Fringe </w:t>
            </w:r>
            <w:r w:rsidR="00B01FCE" w:rsidRPr="00C154E9">
              <w:rPr>
                <w:rStyle w:val="Hyperlink"/>
                <w:noProof/>
              </w:rPr>
              <w:t>benefits</w:t>
            </w:r>
            <w:r w:rsidR="00B01FCE">
              <w:rPr>
                <w:noProof/>
                <w:webHidden/>
              </w:rPr>
              <w:tab/>
            </w:r>
            <w:r w:rsidR="00B01FCE">
              <w:rPr>
                <w:noProof/>
                <w:webHidden/>
              </w:rPr>
              <w:fldChar w:fldCharType="begin"/>
            </w:r>
            <w:r w:rsidR="00B01FCE">
              <w:rPr>
                <w:noProof/>
                <w:webHidden/>
              </w:rPr>
              <w:instrText xml:space="preserve"> PAGEREF _Toc108789569 \h </w:instrText>
            </w:r>
            <w:r w:rsidR="00B01FCE">
              <w:rPr>
                <w:noProof/>
                <w:webHidden/>
              </w:rPr>
            </w:r>
            <w:r w:rsidR="00B01FCE">
              <w:rPr>
                <w:noProof/>
                <w:webHidden/>
              </w:rPr>
              <w:fldChar w:fldCharType="separate"/>
            </w:r>
            <w:r w:rsidR="00B01FCE">
              <w:rPr>
                <w:noProof/>
                <w:webHidden/>
              </w:rPr>
              <w:t>28</w:t>
            </w:r>
            <w:r w:rsidR="00B01FCE">
              <w:rPr>
                <w:noProof/>
                <w:webHidden/>
              </w:rPr>
              <w:fldChar w:fldCharType="end"/>
            </w:r>
          </w:hyperlink>
        </w:p>
        <w:p w14:paraId="48CB8513" w14:textId="77777777" w:rsidR="00B01FCE" w:rsidRDefault="00000000">
          <w:pPr>
            <w:pStyle w:val="TOC2"/>
            <w:rPr>
              <w:rFonts w:asciiTheme="minorHAnsi" w:eastAsiaTheme="minorEastAsia" w:hAnsiTheme="minorHAnsi" w:cstheme="minorBidi"/>
              <w:noProof/>
              <w:lang w:eastAsia="en-AU"/>
            </w:rPr>
          </w:pPr>
          <w:hyperlink w:anchor="_Toc108789570" w:history="1">
            <w:r w:rsidR="00B01FCE" w:rsidRPr="00C154E9">
              <w:rPr>
                <w:rStyle w:val="Hyperlink"/>
                <w:noProof/>
              </w:rPr>
              <w:t>Introduction</w:t>
            </w:r>
            <w:r w:rsidR="00B01FCE">
              <w:rPr>
                <w:noProof/>
                <w:webHidden/>
              </w:rPr>
              <w:tab/>
            </w:r>
            <w:r w:rsidR="00B01FCE">
              <w:rPr>
                <w:noProof/>
                <w:webHidden/>
              </w:rPr>
              <w:fldChar w:fldCharType="begin"/>
            </w:r>
            <w:r w:rsidR="00B01FCE">
              <w:rPr>
                <w:noProof/>
                <w:webHidden/>
              </w:rPr>
              <w:instrText xml:space="preserve"> PAGEREF _Toc108789570 \h </w:instrText>
            </w:r>
            <w:r w:rsidR="00B01FCE">
              <w:rPr>
                <w:noProof/>
                <w:webHidden/>
              </w:rPr>
            </w:r>
            <w:r w:rsidR="00B01FCE">
              <w:rPr>
                <w:noProof/>
                <w:webHidden/>
              </w:rPr>
              <w:fldChar w:fldCharType="separate"/>
            </w:r>
            <w:r w:rsidR="00B01FCE">
              <w:rPr>
                <w:noProof/>
                <w:webHidden/>
              </w:rPr>
              <w:t>28</w:t>
            </w:r>
            <w:r w:rsidR="00B01FCE">
              <w:rPr>
                <w:noProof/>
                <w:webHidden/>
              </w:rPr>
              <w:fldChar w:fldCharType="end"/>
            </w:r>
          </w:hyperlink>
        </w:p>
        <w:p w14:paraId="42BD0FBB" w14:textId="77777777" w:rsidR="00B01FCE" w:rsidRDefault="00000000">
          <w:pPr>
            <w:pStyle w:val="TOC2"/>
            <w:rPr>
              <w:rFonts w:asciiTheme="minorHAnsi" w:eastAsiaTheme="minorEastAsia" w:hAnsiTheme="minorHAnsi" w:cstheme="minorBidi"/>
              <w:noProof/>
              <w:lang w:eastAsia="en-AU"/>
            </w:rPr>
          </w:pPr>
          <w:hyperlink w:anchor="_Toc108789571" w:history="1">
            <w:r w:rsidR="00B01FCE" w:rsidRPr="00C154E9">
              <w:rPr>
                <w:rStyle w:val="Hyperlink"/>
                <w:noProof/>
              </w:rPr>
              <w:t>Why are fringe benefits grossed-up?</w:t>
            </w:r>
            <w:r w:rsidR="00B01FCE">
              <w:rPr>
                <w:noProof/>
                <w:webHidden/>
              </w:rPr>
              <w:tab/>
            </w:r>
            <w:r w:rsidR="00B01FCE">
              <w:rPr>
                <w:noProof/>
                <w:webHidden/>
              </w:rPr>
              <w:fldChar w:fldCharType="begin"/>
            </w:r>
            <w:r w:rsidR="00B01FCE">
              <w:rPr>
                <w:noProof/>
                <w:webHidden/>
              </w:rPr>
              <w:instrText xml:space="preserve"> PAGEREF _Toc108789571 \h </w:instrText>
            </w:r>
            <w:r w:rsidR="00B01FCE">
              <w:rPr>
                <w:noProof/>
                <w:webHidden/>
              </w:rPr>
            </w:r>
            <w:r w:rsidR="00B01FCE">
              <w:rPr>
                <w:noProof/>
                <w:webHidden/>
              </w:rPr>
              <w:fldChar w:fldCharType="separate"/>
            </w:r>
            <w:r w:rsidR="00B01FCE">
              <w:rPr>
                <w:noProof/>
                <w:webHidden/>
              </w:rPr>
              <w:t>29</w:t>
            </w:r>
            <w:r w:rsidR="00B01FCE">
              <w:rPr>
                <w:noProof/>
                <w:webHidden/>
              </w:rPr>
              <w:fldChar w:fldCharType="end"/>
            </w:r>
          </w:hyperlink>
        </w:p>
        <w:p w14:paraId="6A114D00" w14:textId="77777777" w:rsidR="00B01FCE" w:rsidRDefault="00000000">
          <w:pPr>
            <w:pStyle w:val="TOC2"/>
            <w:rPr>
              <w:rFonts w:asciiTheme="minorHAnsi" w:eastAsiaTheme="minorEastAsia" w:hAnsiTheme="minorHAnsi" w:cstheme="minorBidi"/>
              <w:noProof/>
              <w:lang w:eastAsia="en-AU"/>
            </w:rPr>
          </w:pPr>
          <w:hyperlink w:anchor="_Toc108789572" w:history="1">
            <w:r w:rsidR="00B01FCE" w:rsidRPr="00C154E9">
              <w:rPr>
                <w:rStyle w:val="Hyperlink"/>
                <w:noProof/>
              </w:rPr>
              <w:t>Common types of fringe benefits</w:t>
            </w:r>
            <w:r w:rsidR="00B01FCE">
              <w:rPr>
                <w:noProof/>
                <w:webHidden/>
              </w:rPr>
              <w:tab/>
            </w:r>
            <w:r w:rsidR="00B01FCE">
              <w:rPr>
                <w:noProof/>
                <w:webHidden/>
              </w:rPr>
              <w:fldChar w:fldCharType="begin"/>
            </w:r>
            <w:r w:rsidR="00B01FCE">
              <w:rPr>
                <w:noProof/>
                <w:webHidden/>
              </w:rPr>
              <w:instrText xml:space="preserve"> PAGEREF _Toc108789572 \h </w:instrText>
            </w:r>
            <w:r w:rsidR="00B01FCE">
              <w:rPr>
                <w:noProof/>
                <w:webHidden/>
              </w:rPr>
            </w:r>
            <w:r w:rsidR="00B01FCE">
              <w:rPr>
                <w:noProof/>
                <w:webHidden/>
              </w:rPr>
              <w:fldChar w:fldCharType="separate"/>
            </w:r>
            <w:r w:rsidR="00B01FCE">
              <w:rPr>
                <w:noProof/>
                <w:webHidden/>
              </w:rPr>
              <w:t>29</w:t>
            </w:r>
            <w:r w:rsidR="00B01FCE">
              <w:rPr>
                <w:noProof/>
                <w:webHidden/>
              </w:rPr>
              <w:fldChar w:fldCharType="end"/>
            </w:r>
          </w:hyperlink>
        </w:p>
        <w:p w14:paraId="34C3F190" w14:textId="77777777" w:rsidR="00B01FCE" w:rsidRDefault="00000000">
          <w:pPr>
            <w:pStyle w:val="TOC2"/>
            <w:rPr>
              <w:rFonts w:asciiTheme="minorHAnsi" w:eastAsiaTheme="minorEastAsia" w:hAnsiTheme="minorHAnsi" w:cstheme="minorBidi"/>
              <w:noProof/>
              <w:lang w:eastAsia="en-AU"/>
            </w:rPr>
          </w:pPr>
          <w:hyperlink w:anchor="_Toc108789573" w:history="1">
            <w:r w:rsidR="00B01FCE" w:rsidRPr="00C154E9">
              <w:rPr>
                <w:rStyle w:val="Hyperlink"/>
                <w:noProof/>
              </w:rPr>
              <w:t>Sole trader contractors and fringe benefits</w:t>
            </w:r>
            <w:r w:rsidR="00B01FCE">
              <w:rPr>
                <w:noProof/>
                <w:webHidden/>
              </w:rPr>
              <w:tab/>
            </w:r>
            <w:r w:rsidR="00B01FCE">
              <w:rPr>
                <w:noProof/>
                <w:webHidden/>
              </w:rPr>
              <w:fldChar w:fldCharType="begin"/>
            </w:r>
            <w:r w:rsidR="00B01FCE">
              <w:rPr>
                <w:noProof/>
                <w:webHidden/>
              </w:rPr>
              <w:instrText xml:space="preserve"> PAGEREF _Toc108789573 \h </w:instrText>
            </w:r>
            <w:r w:rsidR="00B01FCE">
              <w:rPr>
                <w:noProof/>
                <w:webHidden/>
              </w:rPr>
            </w:r>
            <w:r w:rsidR="00B01FCE">
              <w:rPr>
                <w:noProof/>
                <w:webHidden/>
              </w:rPr>
              <w:fldChar w:fldCharType="separate"/>
            </w:r>
            <w:r w:rsidR="00B01FCE">
              <w:rPr>
                <w:noProof/>
                <w:webHidden/>
              </w:rPr>
              <w:t>30</w:t>
            </w:r>
            <w:r w:rsidR="00B01FCE">
              <w:rPr>
                <w:noProof/>
                <w:webHidden/>
              </w:rPr>
              <w:fldChar w:fldCharType="end"/>
            </w:r>
          </w:hyperlink>
        </w:p>
        <w:p w14:paraId="5C16DEC1" w14:textId="77777777" w:rsidR="00B01FCE" w:rsidRDefault="00000000">
          <w:pPr>
            <w:pStyle w:val="TOC2"/>
            <w:rPr>
              <w:rFonts w:asciiTheme="minorHAnsi" w:eastAsiaTheme="minorEastAsia" w:hAnsiTheme="minorHAnsi" w:cstheme="minorBidi"/>
              <w:noProof/>
              <w:lang w:eastAsia="en-AU"/>
            </w:rPr>
          </w:pPr>
          <w:hyperlink w:anchor="_Toc108789574" w:history="1">
            <w:r w:rsidR="00B01FCE" w:rsidRPr="00C154E9">
              <w:rPr>
                <w:rStyle w:val="Hyperlink"/>
                <w:noProof/>
              </w:rPr>
              <w:t>Calculating fringe benefit value</w:t>
            </w:r>
            <w:r w:rsidR="00B01FCE">
              <w:rPr>
                <w:noProof/>
                <w:webHidden/>
              </w:rPr>
              <w:tab/>
            </w:r>
            <w:r w:rsidR="00B01FCE">
              <w:rPr>
                <w:noProof/>
                <w:webHidden/>
              </w:rPr>
              <w:fldChar w:fldCharType="begin"/>
            </w:r>
            <w:r w:rsidR="00B01FCE">
              <w:rPr>
                <w:noProof/>
                <w:webHidden/>
              </w:rPr>
              <w:instrText xml:space="preserve"> PAGEREF _Toc108789574 \h </w:instrText>
            </w:r>
            <w:r w:rsidR="00B01FCE">
              <w:rPr>
                <w:noProof/>
                <w:webHidden/>
              </w:rPr>
            </w:r>
            <w:r w:rsidR="00B01FCE">
              <w:rPr>
                <w:noProof/>
                <w:webHidden/>
              </w:rPr>
              <w:fldChar w:fldCharType="separate"/>
            </w:r>
            <w:r w:rsidR="00B01FCE">
              <w:rPr>
                <w:noProof/>
                <w:webHidden/>
              </w:rPr>
              <w:t>31</w:t>
            </w:r>
            <w:r w:rsidR="00B01FCE">
              <w:rPr>
                <w:noProof/>
                <w:webHidden/>
              </w:rPr>
              <w:fldChar w:fldCharType="end"/>
            </w:r>
          </w:hyperlink>
        </w:p>
        <w:p w14:paraId="746C69DA" w14:textId="77777777" w:rsidR="00B01FCE" w:rsidRDefault="00000000">
          <w:pPr>
            <w:pStyle w:val="TOC1"/>
            <w:rPr>
              <w:rFonts w:asciiTheme="minorHAnsi" w:eastAsiaTheme="minorEastAsia" w:hAnsiTheme="minorHAnsi" w:cstheme="minorBidi"/>
              <w:b w:val="0"/>
              <w:noProof/>
              <w:lang w:eastAsia="en-AU"/>
            </w:rPr>
          </w:pPr>
          <w:hyperlink w:anchor="_Toc108789575" w:history="1">
            <w:r w:rsidR="00B01FCE" w:rsidRPr="00C154E9">
              <w:rPr>
                <w:rStyle w:val="Hyperlink"/>
                <w:noProof/>
                <w:lang w:eastAsia="en-AU"/>
              </w:rPr>
              <w:t xml:space="preserve">Shares and </w:t>
            </w:r>
            <w:r w:rsidR="00B01FCE" w:rsidRPr="00C154E9">
              <w:rPr>
                <w:rStyle w:val="Hyperlink"/>
                <w:noProof/>
              </w:rPr>
              <w:t>options</w:t>
            </w:r>
            <w:r w:rsidR="00B01FCE">
              <w:rPr>
                <w:noProof/>
                <w:webHidden/>
              </w:rPr>
              <w:tab/>
            </w:r>
            <w:r w:rsidR="00B01FCE">
              <w:rPr>
                <w:noProof/>
                <w:webHidden/>
              </w:rPr>
              <w:fldChar w:fldCharType="begin"/>
            </w:r>
            <w:r w:rsidR="00B01FCE">
              <w:rPr>
                <w:noProof/>
                <w:webHidden/>
              </w:rPr>
              <w:instrText xml:space="preserve"> PAGEREF _Toc108789575 \h </w:instrText>
            </w:r>
            <w:r w:rsidR="00B01FCE">
              <w:rPr>
                <w:noProof/>
                <w:webHidden/>
              </w:rPr>
            </w:r>
            <w:r w:rsidR="00B01FCE">
              <w:rPr>
                <w:noProof/>
                <w:webHidden/>
              </w:rPr>
              <w:fldChar w:fldCharType="separate"/>
            </w:r>
            <w:r w:rsidR="00B01FCE">
              <w:rPr>
                <w:noProof/>
                <w:webHidden/>
              </w:rPr>
              <w:t>33</w:t>
            </w:r>
            <w:r w:rsidR="00B01FCE">
              <w:rPr>
                <w:noProof/>
                <w:webHidden/>
              </w:rPr>
              <w:fldChar w:fldCharType="end"/>
            </w:r>
          </w:hyperlink>
        </w:p>
        <w:p w14:paraId="7E25C4EE" w14:textId="77777777" w:rsidR="00B01FCE" w:rsidRDefault="00000000">
          <w:pPr>
            <w:pStyle w:val="TOC2"/>
            <w:rPr>
              <w:rFonts w:asciiTheme="minorHAnsi" w:eastAsiaTheme="minorEastAsia" w:hAnsiTheme="minorHAnsi" w:cstheme="minorBidi"/>
              <w:noProof/>
              <w:lang w:eastAsia="en-AU"/>
            </w:rPr>
          </w:pPr>
          <w:hyperlink w:anchor="_Toc108789576" w:history="1">
            <w:r w:rsidR="00B01FCE" w:rsidRPr="00C154E9">
              <w:rPr>
                <w:rStyle w:val="Hyperlink"/>
                <w:noProof/>
              </w:rPr>
              <w:t>Principles</w:t>
            </w:r>
            <w:r w:rsidR="00B01FCE">
              <w:rPr>
                <w:noProof/>
                <w:webHidden/>
              </w:rPr>
              <w:tab/>
            </w:r>
            <w:r w:rsidR="00B01FCE">
              <w:rPr>
                <w:noProof/>
                <w:webHidden/>
              </w:rPr>
              <w:fldChar w:fldCharType="begin"/>
            </w:r>
            <w:r w:rsidR="00B01FCE">
              <w:rPr>
                <w:noProof/>
                <w:webHidden/>
              </w:rPr>
              <w:instrText xml:space="preserve"> PAGEREF _Toc108789576 \h </w:instrText>
            </w:r>
            <w:r w:rsidR="00B01FCE">
              <w:rPr>
                <w:noProof/>
                <w:webHidden/>
              </w:rPr>
            </w:r>
            <w:r w:rsidR="00B01FCE">
              <w:rPr>
                <w:noProof/>
                <w:webHidden/>
              </w:rPr>
              <w:fldChar w:fldCharType="separate"/>
            </w:r>
            <w:r w:rsidR="00B01FCE">
              <w:rPr>
                <w:noProof/>
                <w:webHidden/>
              </w:rPr>
              <w:t>33</w:t>
            </w:r>
            <w:r w:rsidR="00B01FCE">
              <w:rPr>
                <w:noProof/>
                <w:webHidden/>
              </w:rPr>
              <w:fldChar w:fldCharType="end"/>
            </w:r>
          </w:hyperlink>
        </w:p>
        <w:p w14:paraId="0A00DEAB" w14:textId="77777777" w:rsidR="00B01FCE" w:rsidRDefault="00000000">
          <w:pPr>
            <w:pStyle w:val="TOC2"/>
            <w:rPr>
              <w:rFonts w:asciiTheme="minorHAnsi" w:eastAsiaTheme="minorEastAsia" w:hAnsiTheme="minorHAnsi" w:cstheme="minorBidi"/>
              <w:noProof/>
              <w:lang w:eastAsia="en-AU"/>
            </w:rPr>
          </w:pPr>
          <w:hyperlink w:anchor="_Toc108789577" w:history="1">
            <w:r w:rsidR="00B01FCE" w:rsidRPr="00C154E9">
              <w:rPr>
                <w:rStyle w:val="Hyperlink"/>
                <w:noProof/>
              </w:rPr>
              <w:t>Election – date share or option is granted or vested</w:t>
            </w:r>
            <w:r w:rsidR="00B01FCE">
              <w:rPr>
                <w:noProof/>
                <w:webHidden/>
              </w:rPr>
              <w:tab/>
            </w:r>
            <w:r w:rsidR="00B01FCE">
              <w:rPr>
                <w:noProof/>
                <w:webHidden/>
              </w:rPr>
              <w:fldChar w:fldCharType="begin"/>
            </w:r>
            <w:r w:rsidR="00B01FCE">
              <w:rPr>
                <w:noProof/>
                <w:webHidden/>
              </w:rPr>
              <w:instrText xml:space="preserve"> PAGEREF _Toc108789577 \h </w:instrText>
            </w:r>
            <w:r w:rsidR="00B01FCE">
              <w:rPr>
                <w:noProof/>
                <w:webHidden/>
              </w:rPr>
            </w:r>
            <w:r w:rsidR="00B01FCE">
              <w:rPr>
                <w:noProof/>
                <w:webHidden/>
              </w:rPr>
              <w:fldChar w:fldCharType="separate"/>
            </w:r>
            <w:r w:rsidR="00B01FCE">
              <w:rPr>
                <w:noProof/>
                <w:webHidden/>
              </w:rPr>
              <w:t>33</w:t>
            </w:r>
            <w:r w:rsidR="00B01FCE">
              <w:rPr>
                <w:noProof/>
                <w:webHidden/>
              </w:rPr>
              <w:fldChar w:fldCharType="end"/>
            </w:r>
          </w:hyperlink>
        </w:p>
        <w:p w14:paraId="5E6AF181" w14:textId="77777777" w:rsidR="00B01FCE" w:rsidRDefault="00000000">
          <w:pPr>
            <w:pStyle w:val="TOC2"/>
            <w:rPr>
              <w:rFonts w:asciiTheme="minorHAnsi" w:eastAsiaTheme="minorEastAsia" w:hAnsiTheme="minorHAnsi" w:cstheme="minorBidi"/>
              <w:noProof/>
              <w:lang w:eastAsia="en-AU"/>
            </w:rPr>
          </w:pPr>
          <w:hyperlink w:anchor="_Toc108789578" w:history="1">
            <w:r w:rsidR="00B01FCE" w:rsidRPr="00C154E9">
              <w:rPr>
                <w:rStyle w:val="Hyperlink"/>
                <w:noProof/>
              </w:rPr>
              <w:t>Taxable value of a share or option</w:t>
            </w:r>
            <w:r w:rsidR="00B01FCE">
              <w:rPr>
                <w:noProof/>
                <w:webHidden/>
              </w:rPr>
              <w:tab/>
            </w:r>
            <w:r w:rsidR="00B01FCE">
              <w:rPr>
                <w:noProof/>
                <w:webHidden/>
              </w:rPr>
              <w:fldChar w:fldCharType="begin"/>
            </w:r>
            <w:r w:rsidR="00B01FCE">
              <w:rPr>
                <w:noProof/>
                <w:webHidden/>
              </w:rPr>
              <w:instrText xml:space="preserve"> PAGEREF _Toc108789578 \h </w:instrText>
            </w:r>
            <w:r w:rsidR="00B01FCE">
              <w:rPr>
                <w:noProof/>
                <w:webHidden/>
              </w:rPr>
            </w:r>
            <w:r w:rsidR="00B01FCE">
              <w:rPr>
                <w:noProof/>
                <w:webHidden/>
              </w:rPr>
              <w:fldChar w:fldCharType="separate"/>
            </w:r>
            <w:r w:rsidR="00B01FCE">
              <w:rPr>
                <w:noProof/>
                <w:webHidden/>
              </w:rPr>
              <w:t>34</w:t>
            </w:r>
            <w:r w:rsidR="00B01FCE">
              <w:rPr>
                <w:noProof/>
                <w:webHidden/>
              </w:rPr>
              <w:fldChar w:fldCharType="end"/>
            </w:r>
          </w:hyperlink>
        </w:p>
        <w:p w14:paraId="47BFC239" w14:textId="77777777" w:rsidR="00B01FCE" w:rsidRDefault="00000000">
          <w:pPr>
            <w:pStyle w:val="TOC1"/>
            <w:rPr>
              <w:rFonts w:asciiTheme="minorHAnsi" w:eastAsiaTheme="minorEastAsia" w:hAnsiTheme="minorHAnsi" w:cstheme="minorBidi"/>
              <w:b w:val="0"/>
              <w:noProof/>
              <w:lang w:eastAsia="en-AU"/>
            </w:rPr>
          </w:pPr>
          <w:hyperlink w:anchor="_Toc108789579" w:history="1">
            <w:r w:rsidR="00B01FCE" w:rsidRPr="00C154E9">
              <w:rPr>
                <w:rStyle w:val="Hyperlink"/>
                <w:noProof/>
                <w:lang w:eastAsia="en-AU"/>
              </w:rPr>
              <w:t>Contractors, subcontractors, consultants and payroll tax</w:t>
            </w:r>
            <w:r w:rsidR="00B01FCE">
              <w:rPr>
                <w:noProof/>
                <w:webHidden/>
              </w:rPr>
              <w:tab/>
            </w:r>
            <w:r w:rsidR="00B01FCE">
              <w:rPr>
                <w:noProof/>
                <w:webHidden/>
              </w:rPr>
              <w:fldChar w:fldCharType="begin"/>
            </w:r>
            <w:r w:rsidR="00B01FCE">
              <w:rPr>
                <w:noProof/>
                <w:webHidden/>
              </w:rPr>
              <w:instrText xml:space="preserve"> PAGEREF _Toc108789579 \h </w:instrText>
            </w:r>
            <w:r w:rsidR="00B01FCE">
              <w:rPr>
                <w:noProof/>
                <w:webHidden/>
              </w:rPr>
            </w:r>
            <w:r w:rsidR="00B01FCE">
              <w:rPr>
                <w:noProof/>
                <w:webHidden/>
              </w:rPr>
              <w:fldChar w:fldCharType="separate"/>
            </w:r>
            <w:r w:rsidR="00B01FCE">
              <w:rPr>
                <w:noProof/>
                <w:webHidden/>
              </w:rPr>
              <w:t>36</w:t>
            </w:r>
            <w:r w:rsidR="00B01FCE">
              <w:rPr>
                <w:noProof/>
                <w:webHidden/>
              </w:rPr>
              <w:fldChar w:fldCharType="end"/>
            </w:r>
          </w:hyperlink>
        </w:p>
        <w:p w14:paraId="228ACED0" w14:textId="77777777" w:rsidR="00B01FCE" w:rsidRDefault="00000000">
          <w:pPr>
            <w:pStyle w:val="TOC2"/>
            <w:rPr>
              <w:rFonts w:asciiTheme="minorHAnsi" w:eastAsiaTheme="minorEastAsia" w:hAnsiTheme="minorHAnsi" w:cstheme="minorBidi"/>
              <w:noProof/>
              <w:lang w:eastAsia="en-AU"/>
            </w:rPr>
          </w:pPr>
          <w:hyperlink w:anchor="_Toc108789580" w:history="1">
            <w:r w:rsidR="00B01FCE" w:rsidRPr="00C154E9">
              <w:rPr>
                <w:rStyle w:val="Hyperlink"/>
                <w:noProof/>
              </w:rPr>
              <w:t>What is a relevant contract?</w:t>
            </w:r>
            <w:r w:rsidR="00B01FCE">
              <w:rPr>
                <w:noProof/>
                <w:webHidden/>
              </w:rPr>
              <w:tab/>
            </w:r>
            <w:r w:rsidR="00B01FCE">
              <w:rPr>
                <w:noProof/>
                <w:webHidden/>
              </w:rPr>
              <w:fldChar w:fldCharType="begin"/>
            </w:r>
            <w:r w:rsidR="00B01FCE">
              <w:rPr>
                <w:noProof/>
                <w:webHidden/>
              </w:rPr>
              <w:instrText xml:space="preserve"> PAGEREF _Toc108789580 \h </w:instrText>
            </w:r>
            <w:r w:rsidR="00B01FCE">
              <w:rPr>
                <w:noProof/>
                <w:webHidden/>
              </w:rPr>
            </w:r>
            <w:r w:rsidR="00B01FCE">
              <w:rPr>
                <w:noProof/>
                <w:webHidden/>
              </w:rPr>
              <w:fldChar w:fldCharType="separate"/>
            </w:r>
            <w:r w:rsidR="00B01FCE">
              <w:rPr>
                <w:noProof/>
                <w:webHidden/>
              </w:rPr>
              <w:t>36</w:t>
            </w:r>
            <w:r w:rsidR="00B01FCE">
              <w:rPr>
                <w:noProof/>
                <w:webHidden/>
              </w:rPr>
              <w:fldChar w:fldCharType="end"/>
            </w:r>
          </w:hyperlink>
        </w:p>
        <w:p w14:paraId="422CCDB1" w14:textId="77777777" w:rsidR="00B01FCE" w:rsidRDefault="00000000">
          <w:pPr>
            <w:pStyle w:val="TOC2"/>
            <w:rPr>
              <w:rFonts w:asciiTheme="minorHAnsi" w:eastAsiaTheme="minorEastAsia" w:hAnsiTheme="minorHAnsi" w:cstheme="minorBidi"/>
              <w:noProof/>
              <w:lang w:eastAsia="en-AU"/>
            </w:rPr>
          </w:pPr>
          <w:hyperlink w:anchor="_Toc108789581" w:history="1">
            <w:r w:rsidR="00B01FCE" w:rsidRPr="00C154E9">
              <w:rPr>
                <w:rStyle w:val="Hyperlink"/>
                <w:noProof/>
              </w:rPr>
              <w:t>Calculating the taxable wage value for a contractor</w:t>
            </w:r>
            <w:r w:rsidR="00B01FCE">
              <w:rPr>
                <w:noProof/>
                <w:webHidden/>
              </w:rPr>
              <w:tab/>
            </w:r>
            <w:r w:rsidR="00B01FCE">
              <w:rPr>
                <w:noProof/>
                <w:webHidden/>
              </w:rPr>
              <w:fldChar w:fldCharType="begin"/>
            </w:r>
            <w:r w:rsidR="00B01FCE">
              <w:rPr>
                <w:noProof/>
                <w:webHidden/>
              </w:rPr>
              <w:instrText xml:space="preserve"> PAGEREF _Toc108789581 \h </w:instrText>
            </w:r>
            <w:r w:rsidR="00B01FCE">
              <w:rPr>
                <w:noProof/>
                <w:webHidden/>
              </w:rPr>
            </w:r>
            <w:r w:rsidR="00B01FCE">
              <w:rPr>
                <w:noProof/>
                <w:webHidden/>
              </w:rPr>
              <w:fldChar w:fldCharType="separate"/>
            </w:r>
            <w:r w:rsidR="00B01FCE">
              <w:rPr>
                <w:noProof/>
                <w:webHidden/>
              </w:rPr>
              <w:t>37</w:t>
            </w:r>
            <w:r w:rsidR="00B01FCE">
              <w:rPr>
                <w:noProof/>
                <w:webHidden/>
              </w:rPr>
              <w:fldChar w:fldCharType="end"/>
            </w:r>
          </w:hyperlink>
        </w:p>
        <w:p w14:paraId="4BDBC7C2" w14:textId="77777777" w:rsidR="00B01FCE" w:rsidRDefault="00000000">
          <w:pPr>
            <w:pStyle w:val="TOC2"/>
            <w:rPr>
              <w:rFonts w:asciiTheme="minorHAnsi" w:eastAsiaTheme="minorEastAsia" w:hAnsiTheme="minorHAnsi" w:cstheme="minorBidi"/>
              <w:noProof/>
              <w:lang w:eastAsia="en-AU"/>
            </w:rPr>
          </w:pPr>
          <w:hyperlink w:anchor="_Toc108789582" w:history="1">
            <w:r w:rsidR="00B01FCE" w:rsidRPr="00C154E9">
              <w:rPr>
                <w:rStyle w:val="Hyperlink"/>
                <w:noProof/>
              </w:rPr>
              <w:t>Which payments under relevant contracts are taxable, and which are excluded?</w:t>
            </w:r>
            <w:r w:rsidR="00B01FCE">
              <w:rPr>
                <w:noProof/>
                <w:webHidden/>
              </w:rPr>
              <w:tab/>
            </w:r>
            <w:r w:rsidR="00B01FCE">
              <w:rPr>
                <w:noProof/>
                <w:webHidden/>
              </w:rPr>
              <w:fldChar w:fldCharType="begin"/>
            </w:r>
            <w:r w:rsidR="00B01FCE">
              <w:rPr>
                <w:noProof/>
                <w:webHidden/>
              </w:rPr>
              <w:instrText xml:space="preserve"> PAGEREF _Toc108789582 \h </w:instrText>
            </w:r>
            <w:r w:rsidR="00B01FCE">
              <w:rPr>
                <w:noProof/>
                <w:webHidden/>
              </w:rPr>
            </w:r>
            <w:r w:rsidR="00B01FCE">
              <w:rPr>
                <w:noProof/>
                <w:webHidden/>
              </w:rPr>
              <w:fldChar w:fldCharType="separate"/>
            </w:r>
            <w:r w:rsidR="00B01FCE">
              <w:rPr>
                <w:noProof/>
                <w:webHidden/>
              </w:rPr>
              <w:t>38</w:t>
            </w:r>
            <w:r w:rsidR="00B01FCE">
              <w:rPr>
                <w:noProof/>
                <w:webHidden/>
              </w:rPr>
              <w:fldChar w:fldCharType="end"/>
            </w:r>
          </w:hyperlink>
        </w:p>
        <w:p w14:paraId="498B29C1" w14:textId="77777777" w:rsidR="00B01FCE" w:rsidRDefault="00000000">
          <w:pPr>
            <w:pStyle w:val="TOC2"/>
            <w:rPr>
              <w:rFonts w:asciiTheme="minorHAnsi" w:eastAsiaTheme="minorEastAsia" w:hAnsiTheme="minorHAnsi" w:cstheme="minorBidi"/>
              <w:noProof/>
              <w:lang w:eastAsia="en-AU"/>
            </w:rPr>
          </w:pPr>
          <w:hyperlink w:anchor="_Toc108789583" w:history="1">
            <w:r w:rsidR="00B01FCE" w:rsidRPr="00C154E9">
              <w:rPr>
                <w:rStyle w:val="Hyperlink"/>
                <w:noProof/>
              </w:rPr>
              <w:t>Monthly and annual payroll tax returns and contractor payments</w:t>
            </w:r>
            <w:r w:rsidR="00B01FCE">
              <w:rPr>
                <w:noProof/>
                <w:webHidden/>
              </w:rPr>
              <w:tab/>
            </w:r>
            <w:r w:rsidR="00B01FCE">
              <w:rPr>
                <w:noProof/>
                <w:webHidden/>
              </w:rPr>
              <w:fldChar w:fldCharType="begin"/>
            </w:r>
            <w:r w:rsidR="00B01FCE">
              <w:rPr>
                <w:noProof/>
                <w:webHidden/>
              </w:rPr>
              <w:instrText xml:space="preserve"> PAGEREF _Toc108789583 \h </w:instrText>
            </w:r>
            <w:r w:rsidR="00B01FCE">
              <w:rPr>
                <w:noProof/>
                <w:webHidden/>
              </w:rPr>
            </w:r>
            <w:r w:rsidR="00B01FCE">
              <w:rPr>
                <w:noProof/>
                <w:webHidden/>
              </w:rPr>
              <w:fldChar w:fldCharType="separate"/>
            </w:r>
            <w:r w:rsidR="00B01FCE">
              <w:rPr>
                <w:noProof/>
                <w:webHidden/>
              </w:rPr>
              <w:t>42</w:t>
            </w:r>
            <w:r w:rsidR="00B01FCE">
              <w:rPr>
                <w:noProof/>
                <w:webHidden/>
              </w:rPr>
              <w:fldChar w:fldCharType="end"/>
            </w:r>
          </w:hyperlink>
        </w:p>
        <w:p w14:paraId="7ACDA781" w14:textId="77777777" w:rsidR="00B01FCE" w:rsidRDefault="00000000">
          <w:pPr>
            <w:pStyle w:val="TOC2"/>
            <w:rPr>
              <w:rFonts w:asciiTheme="minorHAnsi" w:eastAsiaTheme="minorEastAsia" w:hAnsiTheme="minorHAnsi" w:cstheme="minorBidi"/>
              <w:noProof/>
              <w:lang w:eastAsia="en-AU"/>
            </w:rPr>
          </w:pPr>
          <w:hyperlink w:anchor="_Toc108789584" w:history="1">
            <w:r w:rsidR="00B01FCE" w:rsidRPr="00C154E9">
              <w:rPr>
                <w:rStyle w:val="Hyperlink"/>
                <w:noProof/>
              </w:rPr>
              <w:t>Myths about contractors</w:t>
            </w:r>
            <w:r w:rsidR="00B01FCE">
              <w:rPr>
                <w:noProof/>
                <w:webHidden/>
              </w:rPr>
              <w:tab/>
            </w:r>
            <w:r w:rsidR="00B01FCE">
              <w:rPr>
                <w:noProof/>
                <w:webHidden/>
              </w:rPr>
              <w:fldChar w:fldCharType="begin"/>
            </w:r>
            <w:r w:rsidR="00B01FCE">
              <w:rPr>
                <w:noProof/>
                <w:webHidden/>
              </w:rPr>
              <w:instrText xml:space="preserve"> PAGEREF _Toc108789584 \h </w:instrText>
            </w:r>
            <w:r w:rsidR="00B01FCE">
              <w:rPr>
                <w:noProof/>
                <w:webHidden/>
              </w:rPr>
            </w:r>
            <w:r w:rsidR="00B01FCE">
              <w:rPr>
                <w:noProof/>
                <w:webHidden/>
              </w:rPr>
              <w:fldChar w:fldCharType="separate"/>
            </w:r>
            <w:r w:rsidR="00B01FCE">
              <w:rPr>
                <w:noProof/>
                <w:webHidden/>
              </w:rPr>
              <w:t>43</w:t>
            </w:r>
            <w:r w:rsidR="00B01FCE">
              <w:rPr>
                <w:noProof/>
                <w:webHidden/>
              </w:rPr>
              <w:fldChar w:fldCharType="end"/>
            </w:r>
          </w:hyperlink>
        </w:p>
        <w:p w14:paraId="3E9FEA43" w14:textId="77777777" w:rsidR="00B01FCE" w:rsidRDefault="00000000">
          <w:pPr>
            <w:pStyle w:val="TOC2"/>
            <w:rPr>
              <w:rFonts w:asciiTheme="minorHAnsi" w:eastAsiaTheme="minorEastAsia" w:hAnsiTheme="minorHAnsi" w:cstheme="minorBidi"/>
              <w:noProof/>
              <w:lang w:eastAsia="en-AU"/>
            </w:rPr>
          </w:pPr>
          <w:hyperlink w:anchor="_Toc108789585" w:history="1">
            <w:r w:rsidR="00B01FCE" w:rsidRPr="00C154E9">
              <w:rPr>
                <w:rStyle w:val="Hyperlink"/>
                <w:noProof/>
              </w:rPr>
              <w:t>Further information</w:t>
            </w:r>
            <w:r w:rsidR="00B01FCE">
              <w:rPr>
                <w:noProof/>
                <w:webHidden/>
              </w:rPr>
              <w:tab/>
            </w:r>
            <w:r w:rsidR="00B01FCE">
              <w:rPr>
                <w:noProof/>
                <w:webHidden/>
              </w:rPr>
              <w:fldChar w:fldCharType="begin"/>
            </w:r>
            <w:r w:rsidR="00B01FCE">
              <w:rPr>
                <w:noProof/>
                <w:webHidden/>
              </w:rPr>
              <w:instrText xml:space="preserve"> PAGEREF _Toc108789585 \h </w:instrText>
            </w:r>
            <w:r w:rsidR="00B01FCE">
              <w:rPr>
                <w:noProof/>
                <w:webHidden/>
              </w:rPr>
            </w:r>
            <w:r w:rsidR="00B01FCE">
              <w:rPr>
                <w:noProof/>
                <w:webHidden/>
              </w:rPr>
              <w:fldChar w:fldCharType="separate"/>
            </w:r>
            <w:r w:rsidR="00B01FCE">
              <w:rPr>
                <w:noProof/>
                <w:webHidden/>
              </w:rPr>
              <w:t>45</w:t>
            </w:r>
            <w:r w:rsidR="00B01FCE">
              <w:rPr>
                <w:noProof/>
                <w:webHidden/>
              </w:rPr>
              <w:fldChar w:fldCharType="end"/>
            </w:r>
          </w:hyperlink>
        </w:p>
        <w:p w14:paraId="17EAE37C" w14:textId="77777777" w:rsidR="00B01FCE" w:rsidRDefault="00000000">
          <w:pPr>
            <w:pStyle w:val="TOC1"/>
            <w:rPr>
              <w:rFonts w:asciiTheme="minorHAnsi" w:eastAsiaTheme="minorEastAsia" w:hAnsiTheme="minorHAnsi" w:cstheme="minorBidi"/>
              <w:b w:val="0"/>
              <w:noProof/>
              <w:lang w:eastAsia="en-AU"/>
            </w:rPr>
          </w:pPr>
          <w:hyperlink w:anchor="_Toc108789586" w:history="1">
            <w:r w:rsidR="00B01FCE" w:rsidRPr="00C154E9">
              <w:rPr>
                <w:rStyle w:val="Hyperlink"/>
                <w:noProof/>
                <w:lang w:eastAsia="en-AU"/>
              </w:rPr>
              <w:t>Calculating your payroll tax</w:t>
            </w:r>
            <w:r w:rsidR="00B01FCE">
              <w:rPr>
                <w:noProof/>
                <w:webHidden/>
              </w:rPr>
              <w:tab/>
            </w:r>
            <w:r w:rsidR="00B01FCE">
              <w:rPr>
                <w:noProof/>
                <w:webHidden/>
              </w:rPr>
              <w:fldChar w:fldCharType="begin"/>
            </w:r>
            <w:r w:rsidR="00B01FCE">
              <w:rPr>
                <w:noProof/>
                <w:webHidden/>
              </w:rPr>
              <w:instrText xml:space="preserve"> PAGEREF _Toc108789586 \h </w:instrText>
            </w:r>
            <w:r w:rsidR="00B01FCE">
              <w:rPr>
                <w:noProof/>
                <w:webHidden/>
              </w:rPr>
            </w:r>
            <w:r w:rsidR="00B01FCE">
              <w:rPr>
                <w:noProof/>
                <w:webHidden/>
              </w:rPr>
              <w:fldChar w:fldCharType="separate"/>
            </w:r>
            <w:r w:rsidR="00B01FCE">
              <w:rPr>
                <w:noProof/>
                <w:webHidden/>
              </w:rPr>
              <w:t>46</w:t>
            </w:r>
            <w:r w:rsidR="00B01FCE">
              <w:rPr>
                <w:noProof/>
                <w:webHidden/>
              </w:rPr>
              <w:fldChar w:fldCharType="end"/>
            </w:r>
          </w:hyperlink>
        </w:p>
        <w:p w14:paraId="2925C90A" w14:textId="77777777" w:rsidR="00B01FCE" w:rsidRDefault="00000000">
          <w:pPr>
            <w:pStyle w:val="TOC2"/>
            <w:rPr>
              <w:rFonts w:asciiTheme="minorHAnsi" w:eastAsiaTheme="minorEastAsia" w:hAnsiTheme="minorHAnsi" w:cstheme="minorBidi"/>
              <w:noProof/>
              <w:lang w:eastAsia="en-AU"/>
            </w:rPr>
          </w:pPr>
          <w:hyperlink w:anchor="_Toc108789587" w:history="1">
            <w:r w:rsidR="00B01FCE" w:rsidRPr="00C154E9">
              <w:rPr>
                <w:rStyle w:val="Hyperlink"/>
                <w:noProof/>
              </w:rPr>
              <w:t>Introduction</w:t>
            </w:r>
            <w:r w:rsidR="00B01FCE">
              <w:rPr>
                <w:noProof/>
                <w:webHidden/>
              </w:rPr>
              <w:tab/>
            </w:r>
            <w:r w:rsidR="00B01FCE">
              <w:rPr>
                <w:noProof/>
                <w:webHidden/>
              </w:rPr>
              <w:fldChar w:fldCharType="begin"/>
            </w:r>
            <w:r w:rsidR="00B01FCE">
              <w:rPr>
                <w:noProof/>
                <w:webHidden/>
              </w:rPr>
              <w:instrText xml:space="preserve"> PAGEREF _Toc108789587 \h </w:instrText>
            </w:r>
            <w:r w:rsidR="00B01FCE">
              <w:rPr>
                <w:noProof/>
                <w:webHidden/>
              </w:rPr>
            </w:r>
            <w:r w:rsidR="00B01FCE">
              <w:rPr>
                <w:noProof/>
                <w:webHidden/>
              </w:rPr>
              <w:fldChar w:fldCharType="separate"/>
            </w:r>
            <w:r w:rsidR="00B01FCE">
              <w:rPr>
                <w:noProof/>
                <w:webHidden/>
              </w:rPr>
              <w:t>46</w:t>
            </w:r>
            <w:r w:rsidR="00B01FCE">
              <w:rPr>
                <w:noProof/>
                <w:webHidden/>
              </w:rPr>
              <w:fldChar w:fldCharType="end"/>
            </w:r>
          </w:hyperlink>
        </w:p>
        <w:p w14:paraId="299E58EE" w14:textId="77777777" w:rsidR="00B01FCE" w:rsidRDefault="00000000">
          <w:pPr>
            <w:pStyle w:val="TOC2"/>
            <w:rPr>
              <w:rFonts w:asciiTheme="minorHAnsi" w:eastAsiaTheme="minorEastAsia" w:hAnsiTheme="minorHAnsi" w:cstheme="minorBidi"/>
              <w:noProof/>
              <w:lang w:eastAsia="en-AU"/>
            </w:rPr>
          </w:pPr>
          <w:hyperlink w:anchor="_Toc108789588" w:history="1">
            <w:r w:rsidR="00B01FCE" w:rsidRPr="00C154E9">
              <w:rPr>
                <w:rStyle w:val="Hyperlink"/>
                <w:noProof/>
              </w:rPr>
              <w:t>Information you will need before lodging your monthly return</w:t>
            </w:r>
            <w:r w:rsidR="00B01FCE">
              <w:rPr>
                <w:noProof/>
                <w:webHidden/>
              </w:rPr>
              <w:tab/>
            </w:r>
            <w:r w:rsidR="00B01FCE">
              <w:rPr>
                <w:noProof/>
                <w:webHidden/>
              </w:rPr>
              <w:fldChar w:fldCharType="begin"/>
            </w:r>
            <w:r w:rsidR="00B01FCE">
              <w:rPr>
                <w:noProof/>
                <w:webHidden/>
              </w:rPr>
              <w:instrText xml:space="preserve"> PAGEREF _Toc108789588 \h </w:instrText>
            </w:r>
            <w:r w:rsidR="00B01FCE">
              <w:rPr>
                <w:noProof/>
                <w:webHidden/>
              </w:rPr>
            </w:r>
            <w:r w:rsidR="00B01FCE">
              <w:rPr>
                <w:noProof/>
                <w:webHidden/>
              </w:rPr>
              <w:fldChar w:fldCharType="separate"/>
            </w:r>
            <w:r w:rsidR="00B01FCE">
              <w:rPr>
                <w:noProof/>
                <w:webHidden/>
              </w:rPr>
              <w:t>46</w:t>
            </w:r>
            <w:r w:rsidR="00B01FCE">
              <w:rPr>
                <w:noProof/>
                <w:webHidden/>
              </w:rPr>
              <w:fldChar w:fldCharType="end"/>
            </w:r>
          </w:hyperlink>
        </w:p>
        <w:p w14:paraId="3AC66333" w14:textId="77777777" w:rsidR="00B01FCE" w:rsidRDefault="00000000">
          <w:pPr>
            <w:pStyle w:val="TOC2"/>
            <w:rPr>
              <w:rFonts w:asciiTheme="minorHAnsi" w:eastAsiaTheme="minorEastAsia" w:hAnsiTheme="minorHAnsi" w:cstheme="minorBidi"/>
              <w:noProof/>
              <w:lang w:eastAsia="en-AU"/>
            </w:rPr>
          </w:pPr>
          <w:hyperlink w:anchor="_Toc108789589" w:history="1">
            <w:r w:rsidR="00B01FCE" w:rsidRPr="00C154E9">
              <w:rPr>
                <w:rStyle w:val="Hyperlink"/>
                <w:noProof/>
              </w:rPr>
              <w:t>Examples of payroll tax calculations</w:t>
            </w:r>
            <w:r w:rsidR="00B01FCE">
              <w:rPr>
                <w:noProof/>
                <w:webHidden/>
              </w:rPr>
              <w:tab/>
            </w:r>
            <w:r w:rsidR="00B01FCE">
              <w:rPr>
                <w:noProof/>
                <w:webHidden/>
              </w:rPr>
              <w:fldChar w:fldCharType="begin"/>
            </w:r>
            <w:r w:rsidR="00B01FCE">
              <w:rPr>
                <w:noProof/>
                <w:webHidden/>
              </w:rPr>
              <w:instrText xml:space="preserve"> PAGEREF _Toc108789589 \h </w:instrText>
            </w:r>
            <w:r w:rsidR="00B01FCE">
              <w:rPr>
                <w:noProof/>
                <w:webHidden/>
              </w:rPr>
            </w:r>
            <w:r w:rsidR="00B01FCE">
              <w:rPr>
                <w:noProof/>
                <w:webHidden/>
              </w:rPr>
              <w:fldChar w:fldCharType="separate"/>
            </w:r>
            <w:r w:rsidR="00B01FCE">
              <w:rPr>
                <w:noProof/>
                <w:webHidden/>
              </w:rPr>
              <w:t>48</w:t>
            </w:r>
            <w:r w:rsidR="00B01FCE">
              <w:rPr>
                <w:noProof/>
                <w:webHidden/>
              </w:rPr>
              <w:fldChar w:fldCharType="end"/>
            </w:r>
          </w:hyperlink>
        </w:p>
        <w:p w14:paraId="67D872F7" w14:textId="77777777" w:rsidR="00B01FCE" w:rsidRDefault="00000000">
          <w:pPr>
            <w:pStyle w:val="TOC2"/>
            <w:rPr>
              <w:rFonts w:asciiTheme="minorHAnsi" w:eastAsiaTheme="minorEastAsia" w:hAnsiTheme="minorHAnsi" w:cstheme="minorBidi"/>
              <w:noProof/>
              <w:lang w:eastAsia="en-AU"/>
            </w:rPr>
          </w:pPr>
          <w:hyperlink w:anchor="_Toc108789590" w:history="1">
            <w:r w:rsidR="00B01FCE" w:rsidRPr="00C154E9">
              <w:rPr>
                <w:rStyle w:val="Hyperlink"/>
                <w:noProof/>
              </w:rPr>
              <w:t>Lodging and paying your payroll tax returns</w:t>
            </w:r>
            <w:r w:rsidR="00B01FCE">
              <w:rPr>
                <w:noProof/>
                <w:webHidden/>
              </w:rPr>
              <w:tab/>
            </w:r>
            <w:r w:rsidR="00B01FCE">
              <w:rPr>
                <w:noProof/>
                <w:webHidden/>
              </w:rPr>
              <w:fldChar w:fldCharType="begin"/>
            </w:r>
            <w:r w:rsidR="00B01FCE">
              <w:rPr>
                <w:noProof/>
                <w:webHidden/>
              </w:rPr>
              <w:instrText xml:space="preserve"> PAGEREF _Toc108789590 \h </w:instrText>
            </w:r>
            <w:r w:rsidR="00B01FCE">
              <w:rPr>
                <w:noProof/>
                <w:webHidden/>
              </w:rPr>
            </w:r>
            <w:r w:rsidR="00B01FCE">
              <w:rPr>
                <w:noProof/>
                <w:webHidden/>
              </w:rPr>
              <w:fldChar w:fldCharType="separate"/>
            </w:r>
            <w:r w:rsidR="00B01FCE">
              <w:rPr>
                <w:noProof/>
                <w:webHidden/>
              </w:rPr>
              <w:t>51</w:t>
            </w:r>
            <w:r w:rsidR="00B01FCE">
              <w:rPr>
                <w:noProof/>
                <w:webHidden/>
              </w:rPr>
              <w:fldChar w:fldCharType="end"/>
            </w:r>
          </w:hyperlink>
        </w:p>
        <w:p w14:paraId="75BF6CF5" w14:textId="77777777" w:rsidR="00B01FCE" w:rsidRDefault="00000000">
          <w:pPr>
            <w:pStyle w:val="TOC2"/>
            <w:rPr>
              <w:rFonts w:asciiTheme="minorHAnsi" w:eastAsiaTheme="minorEastAsia" w:hAnsiTheme="minorHAnsi" w:cstheme="minorBidi"/>
              <w:noProof/>
              <w:lang w:eastAsia="en-AU"/>
            </w:rPr>
          </w:pPr>
          <w:hyperlink w:anchor="_Toc108789591" w:history="1">
            <w:r w:rsidR="00B01FCE" w:rsidRPr="00C154E9">
              <w:rPr>
                <w:rStyle w:val="Hyperlink"/>
                <w:noProof/>
              </w:rPr>
              <w:t>Cancellation of payroll tax registration</w:t>
            </w:r>
            <w:r w:rsidR="00B01FCE">
              <w:rPr>
                <w:noProof/>
                <w:webHidden/>
              </w:rPr>
              <w:tab/>
            </w:r>
            <w:r w:rsidR="00B01FCE">
              <w:rPr>
                <w:noProof/>
                <w:webHidden/>
              </w:rPr>
              <w:fldChar w:fldCharType="begin"/>
            </w:r>
            <w:r w:rsidR="00B01FCE">
              <w:rPr>
                <w:noProof/>
                <w:webHidden/>
              </w:rPr>
              <w:instrText xml:space="preserve"> PAGEREF _Toc108789591 \h </w:instrText>
            </w:r>
            <w:r w:rsidR="00B01FCE">
              <w:rPr>
                <w:noProof/>
                <w:webHidden/>
              </w:rPr>
            </w:r>
            <w:r w:rsidR="00B01FCE">
              <w:rPr>
                <w:noProof/>
                <w:webHidden/>
              </w:rPr>
              <w:fldChar w:fldCharType="separate"/>
            </w:r>
            <w:r w:rsidR="00B01FCE">
              <w:rPr>
                <w:noProof/>
                <w:webHidden/>
              </w:rPr>
              <w:t>52</w:t>
            </w:r>
            <w:r w:rsidR="00B01FCE">
              <w:rPr>
                <w:noProof/>
                <w:webHidden/>
              </w:rPr>
              <w:fldChar w:fldCharType="end"/>
            </w:r>
          </w:hyperlink>
        </w:p>
        <w:p w14:paraId="4BC3DD2D" w14:textId="77777777" w:rsidR="00B01FCE" w:rsidRDefault="00B01FCE">
          <w:pPr>
            <w:rPr>
              <w:rStyle w:val="Hyperlink"/>
              <w:b/>
              <w:noProof/>
            </w:rPr>
          </w:pPr>
          <w:r>
            <w:rPr>
              <w:rStyle w:val="Hyperlink"/>
              <w:noProof/>
            </w:rPr>
            <w:br w:type="page"/>
          </w:r>
        </w:p>
        <w:p w14:paraId="3408F006" w14:textId="77777777" w:rsidR="00B01FCE" w:rsidRDefault="00000000">
          <w:pPr>
            <w:pStyle w:val="TOC1"/>
            <w:rPr>
              <w:rFonts w:asciiTheme="minorHAnsi" w:eastAsiaTheme="minorEastAsia" w:hAnsiTheme="minorHAnsi" w:cstheme="minorBidi"/>
              <w:b w:val="0"/>
              <w:noProof/>
              <w:lang w:eastAsia="en-AU"/>
            </w:rPr>
          </w:pPr>
          <w:hyperlink w:anchor="_Toc108789592" w:history="1">
            <w:r w:rsidR="00B01FCE" w:rsidRPr="00C154E9">
              <w:rPr>
                <w:rStyle w:val="Hyperlink"/>
                <w:noProof/>
                <w:lang w:eastAsia="en-AU"/>
              </w:rPr>
              <w:t>Grouping and payroll tax</w:t>
            </w:r>
            <w:r w:rsidR="00B01FCE">
              <w:rPr>
                <w:noProof/>
                <w:webHidden/>
              </w:rPr>
              <w:tab/>
            </w:r>
            <w:r w:rsidR="00B01FCE">
              <w:rPr>
                <w:noProof/>
                <w:webHidden/>
              </w:rPr>
              <w:fldChar w:fldCharType="begin"/>
            </w:r>
            <w:r w:rsidR="00B01FCE">
              <w:rPr>
                <w:noProof/>
                <w:webHidden/>
              </w:rPr>
              <w:instrText xml:space="preserve"> PAGEREF _Toc108789592 \h </w:instrText>
            </w:r>
            <w:r w:rsidR="00B01FCE">
              <w:rPr>
                <w:noProof/>
                <w:webHidden/>
              </w:rPr>
            </w:r>
            <w:r w:rsidR="00B01FCE">
              <w:rPr>
                <w:noProof/>
                <w:webHidden/>
              </w:rPr>
              <w:fldChar w:fldCharType="separate"/>
            </w:r>
            <w:r w:rsidR="00B01FCE">
              <w:rPr>
                <w:noProof/>
                <w:webHidden/>
              </w:rPr>
              <w:t>54</w:t>
            </w:r>
            <w:r w:rsidR="00B01FCE">
              <w:rPr>
                <w:noProof/>
                <w:webHidden/>
              </w:rPr>
              <w:fldChar w:fldCharType="end"/>
            </w:r>
          </w:hyperlink>
        </w:p>
        <w:p w14:paraId="55ECE680" w14:textId="77777777" w:rsidR="00B01FCE" w:rsidRDefault="00000000">
          <w:pPr>
            <w:pStyle w:val="TOC2"/>
            <w:rPr>
              <w:rFonts w:asciiTheme="minorHAnsi" w:eastAsiaTheme="minorEastAsia" w:hAnsiTheme="minorHAnsi" w:cstheme="minorBidi"/>
              <w:noProof/>
              <w:lang w:eastAsia="en-AU"/>
            </w:rPr>
          </w:pPr>
          <w:hyperlink w:anchor="_Toc108789593" w:history="1">
            <w:r w:rsidR="00B01FCE" w:rsidRPr="00C154E9">
              <w:rPr>
                <w:rStyle w:val="Hyperlink"/>
                <w:noProof/>
              </w:rPr>
              <w:t>What is grouping?</w:t>
            </w:r>
            <w:r w:rsidR="00B01FCE">
              <w:rPr>
                <w:noProof/>
                <w:webHidden/>
              </w:rPr>
              <w:tab/>
            </w:r>
            <w:r w:rsidR="00B01FCE">
              <w:rPr>
                <w:noProof/>
                <w:webHidden/>
              </w:rPr>
              <w:fldChar w:fldCharType="begin"/>
            </w:r>
            <w:r w:rsidR="00B01FCE">
              <w:rPr>
                <w:noProof/>
                <w:webHidden/>
              </w:rPr>
              <w:instrText xml:space="preserve"> PAGEREF _Toc108789593 \h </w:instrText>
            </w:r>
            <w:r w:rsidR="00B01FCE">
              <w:rPr>
                <w:noProof/>
                <w:webHidden/>
              </w:rPr>
            </w:r>
            <w:r w:rsidR="00B01FCE">
              <w:rPr>
                <w:noProof/>
                <w:webHidden/>
              </w:rPr>
              <w:fldChar w:fldCharType="separate"/>
            </w:r>
            <w:r w:rsidR="00B01FCE">
              <w:rPr>
                <w:noProof/>
                <w:webHidden/>
              </w:rPr>
              <w:t>54</w:t>
            </w:r>
            <w:r w:rsidR="00B01FCE">
              <w:rPr>
                <w:noProof/>
                <w:webHidden/>
              </w:rPr>
              <w:fldChar w:fldCharType="end"/>
            </w:r>
          </w:hyperlink>
        </w:p>
        <w:p w14:paraId="7C53B1E9" w14:textId="77777777" w:rsidR="00B01FCE" w:rsidRDefault="00000000">
          <w:pPr>
            <w:pStyle w:val="TOC2"/>
            <w:rPr>
              <w:rFonts w:asciiTheme="minorHAnsi" w:eastAsiaTheme="minorEastAsia" w:hAnsiTheme="minorHAnsi" w:cstheme="minorBidi"/>
              <w:noProof/>
              <w:lang w:eastAsia="en-AU"/>
            </w:rPr>
          </w:pPr>
          <w:hyperlink w:anchor="_Toc108789594" w:history="1">
            <w:r w:rsidR="00B01FCE" w:rsidRPr="00C154E9">
              <w:rPr>
                <w:rStyle w:val="Hyperlink"/>
                <w:noProof/>
              </w:rPr>
              <w:t>Who has a controlling interest in various business structures?</w:t>
            </w:r>
            <w:r w:rsidR="00B01FCE">
              <w:rPr>
                <w:noProof/>
                <w:webHidden/>
              </w:rPr>
              <w:tab/>
            </w:r>
            <w:r w:rsidR="00B01FCE">
              <w:rPr>
                <w:noProof/>
                <w:webHidden/>
              </w:rPr>
              <w:fldChar w:fldCharType="begin"/>
            </w:r>
            <w:r w:rsidR="00B01FCE">
              <w:rPr>
                <w:noProof/>
                <w:webHidden/>
              </w:rPr>
              <w:instrText xml:space="preserve"> PAGEREF _Toc108789594 \h </w:instrText>
            </w:r>
            <w:r w:rsidR="00B01FCE">
              <w:rPr>
                <w:noProof/>
                <w:webHidden/>
              </w:rPr>
            </w:r>
            <w:r w:rsidR="00B01FCE">
              <w:rPr>
                <w:noProof/>
                <w:webHidden/>
              </w:rPr>
              <w:fldChar w:fldCharType="separate"/>
            </w:r>
            <w:r w:rsidR="00B01FCE">
              <w:rPr>
                <w:noProof/>
                <w:webHidden/>
              </w:rPr>
              <w:t>59</w:t>
            </w:r>
            <w:r w:rsidR="00B01FCE">
              <w:rPr>
                <w:noProof/>
                <w:webHidden/>
              </w:rPr>
              <w:fldChar w:fldCharType="end"/>
            </w:r>
          </w:hyperlink>
        </w:p>
        <w:p w14:paraId="31DD29B0" w14:textId="77777777" w:rsidR="00B01FCE" w:rsidRDefault="00000000">
          <w:pPr>
            <w:pStyle w:val="TOC2"/>
            <w:rPr>
              <w:rFonts w:asciiTheme="minorHAnsi" w:eastAsiaTheme="minorEastAsia" w:hAnsiTheme="minorHAnsi" w:cstheme="minorBidi"/>
              <w:noProof/>
              <w:lang w:eastAsia="en-AU"/>
            </w:rPr>
          </w:pPr>
          <w:hyperlink w:anchor="_Toc108789595" w:history="1">
            <w:r w:rsidR="00B01FCE" w:rsidRPr="00C154E9">
              <w:rPr>
                <w:rStyle w:val="Hyperlink"/>
                <w:noProof/>
              </w:rPr>
              <w:t>Business structures and controlling interests</w:t>
            </w:r>
            <w:r w:rsidR="00B01FCE">
              <w:rPr>
                <w:noProof/>
                <w:webHidden/>
              </w:rPr>
              <w:tab/>
            </w:r>
            <w:r w:rsidR="00B01FCE">
              <w:rPr>
                <w:noProof/>
                <w:webHidden/>
              </w:rPr>
              <w:fldChar w:fldCharType="begin"/>
            </w:r>
            <w:r w:rsidR="00B01FCE">
              <w:rPr>
                <w:noProof/>
                <w:webHidden/>
              </w:rPr>
              <w:instrText xml:space="preserve"> PAGEREF _Toc108789595 \h </w:instrText>
            </w:r>
            <w:r w:rsidR="00B01FCE">
              <w:rPr>
                <w:noProof/>
                <w:webHidden/>
              </w:rPr>
            </w:r>
            <w:r w:rsidR="00B01FCE">
              <w:rPr>
                <w:noProof/>
                <w:webHidden/>
              </w:rPr>
              <w:fldChar w:fldCharType="separate"/>
            </w:r>
            <w:r w:rsidR="00B01FCE">
              <w:rPr>
                <w:noProof/>
                <w:webHidden/>
              </w:rPr>
              <w:t>60</w:t>
            </w:r>
            <w:r w:rsidR="00B01FCE">
              <w:rPr>
                <w:noProof/>
                <w:webHidden/>
              </w:rPr>
              <w:fldChar w:fldCharType="end"/>
            </w:r>
          </w:hyperlink>
        </w:p>
        <w:p w14:paraId="0C950A1A" w14:textId="77777777" w:rsidR="00B01FCE" w:rsidRDefault="00000000">
          <w:pPr>
            <w:pStyle w:val="TOC2"/>
            <w:rPr>
              <w:rFonts w:asciiTheme="minorHAnsi" w:eastAsiaTheme="minorEastAsia" w:hAnsiTheme="minorHAnsi" w:cstheme="minorBidi"/>
              <w:noProof/>
              <w:lang w:eastAsia="en-AU"/>
            </w:rPr>
          </w:pPr>
          <w:hyperlink w:anchor="_Toc108789596" w:history="1">
            <w:r w:rsidR="00B01FCE" w:rsidRPr="00C154E9">
              <w:rPr>
                <w:rStyle w:val="Hyperlink"/>
                <w:noProof/>
              </w:rPr>
              <w:t>Tracing provisions – direct, indirect and aggregation of interests in companies</w:t>
            </w:r>
            <w:r w:rsidR="00B01FCE">
              <w:rPr>
                <w:noProof/>
                <w:webHidden/>
              </w:rPr>
              <w:tab/>
            </w:r>
            <w:r w:rsidR="00B01FCE">
              <w:rPr>
                <w:noProof/>
                <w:webHidden/>
              </w:rPr>
              <w:fldChar w:fldCharType="begin"/>
            </w:r>
            <w:r w:rsidR="00B01FCE">
              <w:rPr>
                <w:noProof/>
                <w:webHidden/>
              </w:rPr>
              <w:instrText xml:space="preserve"> PAGEREF _Toc108789596 \h </w:instrText>
            </w:r>
            <w:r w:rsidR="00B01FCE">
              <w:rPr>
                <w:noProof/>
                <w:webHidden/>
              </w:rPr>
            </w:r>
            <w:r w:rsidR="00B01FCE">
              <w:rPr>
                <w:noProof/>
                <w:webHidden/>
              </w:rPr>
              <w:fldChar w:fldCharType="separate"/>
            </w:r>
            <w:r w:rsidR="00B01FCE">
              <w:rPr>
                <w:noProof/>
                <w:webHidden/>
              </w:rPr>
              <w:t>65</w:t>
            </w:r>
            <w:r w:rsidR="00B01FCE">
              <w:rPr>
                <w:noProof/>
                <w:webHidden/>
              </w:rPr>
              <w:fldChar w:fldCharType="end"/>
            </w:r>
          </w:hyperlink>
        </w:p>
        <w:p w14:paraId="4CB12DA9" w14:textId="77777777" w:rsidR="00B01FCE" w:rsidRDefault="00000000">
          <w:pPr>
            <w:pStyle w:val="TOC2"/>
            <w:rPr>
              <w:rFonts w:asciiTheme="minorHAnsi" w:eastAsiaTheme="minorEastAsia" w:hAnsiTheme="minorHAnsi" w:cstheme="minorBidi"/>
              <w:noProof/>
              <w:lang w:eastAsia="en-AU"/>
            </w:rPr>
          </w:pPr>
          <w:hyperlink w:anchor="_Toc108789597" w:history="1">
            <w:r w:rsidR="00B01FCE" w:rsidRPr="00C154E9">
              <w:rPr>
                <w:rStyle w:val="Hyperlink"/>
                <w:noProof/>
              </w:rPr>
              <w:t>Exclusion from a group</w:t>
            </w:r>
            <w:r w:rsidR="00B01FCE">
              <w:rPr>
                <w:noProof/>
                <w:webHidden/>
              </w:rPr>
              <w:tab/>
            </w:r>
            <w:r w:rsidR="00B01FCE">
              <w:rPr>
                <w:noProof/>
                <w:webHidden/>
              </w:rPr>
              <w:fldChar w:fldCharType="begin"/>
            </w:r>
            <w:r w:rsidR="00B01FCE">
              <w:rPr>
                <w:noProof/>
                <w:webHidden/>
              </w:rPr>
              <w:instrText xml:space="preserve"> PAGEREF _Toc108789597 \h </w:instrText>
            </w:r>
            <w:r w:rsidR="00B01FCE">
              <w:rPr>
                <w:noProof/>
                <w:webHidden/>
              </w:rPr>
            </w:r>
            <w:r w:rsidR="00B01FCE">
              <w:rPr>
                <w:noProof/>
                <w:webHidden/>
              </w:rPr>
              <w:fldChar w:fldCharType="separate"/>
            </w:r>
            <w:r w:rsidR="00B01FCE">
              <w:rPr>
                <w:noProof/>
                <w:webHidden/>
              </w:rPr>
              <w:t>68</w:t>
            </w:r>
            <w:r w:rsidR="00B01FCE">
              <w:rPr>
                <w:noProof/>
                <w:webHidden/>
              </w:rPr>
              <w:fldChar w:fldCharType="end"/>
            </w:r>
          </w:hyperlink>
        </w:p>
        <w:p w14:paraId="4431784C" w14:textId="77777777" w:rsidR="00B01FCE" w:rsidRDefault="00000000">
          <w:pPr>
            <w:pStyle w:val="TOC1"/>
            <w:rPr>
              <w:rFonts w:asciiTheme="minorHAnsi" w:eastAsiaTheme="minorEastAsia" w:hAnsiTheme="minorHAnsi" w:cstheme="minorBidi"/>
              <w:b w:val="0"/>
              <w:noProof/>
              <w:lang w:eastAsia="en-AU"/>
            </w:rPr>
          </w:pPr>
          <w:hyperlink w:anchor="_Toc108789598" w:history="1">
            <w:r w:rsidR="00B01FCE" w:rsidRPr="00C154E9">
              <w:rPr>
                <w:rStyle w:val="Hyperlink"/>
                <w:noProof/>
                <w:lang w:eastAsia="en-AU"/>
              </w:rPr>
              <w:t>Administration of p</w:t>
            </w:r>
            <w:r w:rsidR="00B01FCE" w:rsidRPr="00C154E9">
              <w:rPr>
                <w:rStyle w:val="Hyperlink"/>
                <w:noProof/>
              </w:rPr>
              <w:t>ayroll</w:t>
            </w:r>
            <w:r w:rsidR="00B01FCE" w:rsidRPr="00C154E9">
              <w:rPr>
                <w:rStyle w:val="Hyperlink"/>
                <w:noProof/>
                <w:lang w:eastAsia="en-AU"/>
              </w:rPr>
              <w:t xml:space="preserve"> tax</w:t>
            </w:r>
            <w:r w:rsidR="00B01FCE">
              <w:rPr>
                <w:noProof/>
                <w:webHidden/>
              </w:rPr>
              <w:tab/>
            </w:r>
            <w:r w:rsidR="00B01FCE">
              <w:rPr>
                <w:noProof/>
                <w:webHidden/>
              </w:rPr>
              <w:fldChar w:fldCharType="begin"/>
            </w:r>
            <w:r w:rsidR="00B01FCE">
              <w:rPr>
                <w:noProof/>
                <w:webHidden/>
              </w:rPr>
              <w:instrText xml:space="preserve"> PAGEREF _Toc108789598 \h </w:instrText>
            </w:r>
            <w:r w:rsidR="00B01FCE">
              <w:rPr>
                <w:noProof/>
                <w:webHidden/>
              </w:rPr>
            </w:r>
            <w:r w:rsidR="00B01FCE">
              <w:rPr>
                <w:noProof/>
                <w:webHidden/>
              </w:rPr>
              <w:fldChar w:fldCharType="separate"/>
            </w:r>
            <w:r w:rsidR="00B01FCE">
              <w:rPr>
                <w:noProof/>
                <w:webHidden/>
              </w:rPr>
              <w:t>70</w:t>
            </w:r>
            <w:r w:rsidR="00B01FCE">
              <w:rPr>
                <w:noProof/>
                <w:webHidden/>
              </w:rPr>
              <w:fldChar w:fldCharType="end"/>
            </w:r>
          </w:hyperlink>
        </w:p>
        <w:p w14:paraId="38E0D586" w14:textId="77777777" w:rsidR="00B01FCE" w:rsidRDefault="00000000">
          <w:pPr>
            <w:pStyle w:val="TOC2"/>
            <w:rPr>
              <w:rFonts w:asciiTheme="minorHAnsi" w:eastAsiaTheme="minorEastAsia" w:hAnsiTheme="minorHAnsi" w:cstheme="minorBidi"/>
              <w:noProof/>
              <w:lang w:eastAsia="en-AU"/>
            </w:rPr>
          </w:pPr>
          <w:hyperlink w:anchor="_Toc108789599" w:history="1">
            <w:r w:rsidR="00B01FCE" w:rsidRPr="00C154E9">
              <w:rPr>
                <w:rStyle w:val="Hyperlink"/>
                <w:noProof/>
              </w:rPr>
              <w:t>Record keeping</w:t>
            </w:r>
            <w:r w:rsidR="00B01FCE">
              <w:rPr>
                <w:noProof/>
                <w:webHidden/>
              </w:rPr>
              <w:tab/>
            </w:r>
            <w:r w:rsidR="00B01FCE">
              <w:rPr>
                <w:noProof/>
                <w:webHidden/>
              </w:rPr>
              <w:fldChar w:fldCharType="begin"/>
            </w:r>
            <w:r w:rsidR="00B01FCE">
              <w:rPr>
                <w:noProof/>
                <w:webHidden/>
              </w:rPr>
              <w:instrText xml:space="preserve"> PAGEREF _Toc108789599 \h </w:instrText>
            </w:r>
            <w:r w:rsidR="00B01FCE">
              <w:rPr>
                <w:noProof/>
                <w:webHidden/>
              </w:rPr>
            </w:r>
            <w:r w:rsidR="00B01FCE">
              <w:rPr>
                <w:noProof/>
                <w:webHidden/>
              </w:rPr>
              <w:fldChar w:fldCharType="separate"/>
            </w:r>
            <w:r w:rsidR="00B01FCE">
              <w:rPr>
                <w:noProof/>
                <w:webHidden/>
              </w:rPr>
              <w:t>70</w:t>
            </w:r>
            <w:r w:rsidR="00B01FCE">
              <w:rPr>
                <w:noProof/>
                <w:webHidden/>
              </w:rPr>
              <w:fldChar w:fldCharType="end"/>
            </w:r>
          </w:hyperlink>
        </w:p>
        <w:p w14:paraId="246C4E52" w14:textId="77777777" w:rsidR="00B01FCE" w:rsidRDefault="00000000">
          <w:pPr>
            <w:pStyle w:val="TOC2"/>
            <w:rPr>
              <w:rFonts w:asciiTheme="minorHAnsi" w:eastAsiaTheme="minorEastAsia" w:hAnsiTheme="minorHAnsi" w:cstheme="minorBidi"/>
              <w:noProof/>
              <w:lang w:eastAsia="en-AU"/>
            </w:rPr>
          </w:pPr>
          <w:hyperlink w:anchor="_Toc108789600" w:history="1">
            <w:r w:rsidR="00B01FCE" w:rsidRPr="00C154E9">
              <w:rPr>
                <w:rStyle w:val="Hyperlink"/>
                <w:noProof/>
              </w:rPr>
              <w:t>Interest and penalty tax</w:t>
            </w:r>
            <w:r w:rsidR="00B01FCE">
              <w:rPr>
                <w:noProof/>
                <w:webHidden/>
              </w:rPr>
              <w:tab/>
            </w:r>
            <w:r w:rsidR="00B01FCE">
              <w:rPr>
                <w:noProof/>
                <w:webHidden/>
              </w:rPr>
              <w:fldChar w:fldCharType="begin"/>
            </w:r>
            <w:r w:rsidR="00B01FCE">
              <w:rPr>
                <w:noProof/>
                <w:webHidden/>
              </w:rPr>
              <w:instrText xml:space="preserve"> PAGEREF _Toc108789600 \h </w:instrText>
            </w:r>
            <w:r w:rsidR="00B01FCE">
              <w:rPr>
                <w:noProof/>
                <w:webHidden/>
              </w:rPr>
            </w:r>
            <w:r w:rsidR="00B01FCE">
              <w:rPr>
                <w:noProof/>
                <w:webHidden/>
              </w:rPr>
              <w:fldChar w:fldCharType="separate"/>
            </w:r>
            <w:r w:rsidR="00B01FCE">
              <w:rPr>
                <w:noProof/>
                <w:webHidden/>
              </w:rPr>
              <w:t>71</w:t>
            </w:r>
            <w:r w:rsidR="00B01FCE">
              <w:rPr>
                <w:noProof/>
                <w:webHidden/>
              </w:rPr>
              <w:fldChar w:fldCharType="end"/>
            </w:r>
          </w:hyperlink>
        </w:p>
        <w:p w14:paraId="6A05750E" w14:textId="77777777" w:rsidR="00B01FCE" w:rsidRDefault="00000000">
          <w:pPr>
            <w:pStyle w:val="TOC2"/>
            <w:rPr>
              <w:rFonts w:asciiTheme="minorHAnsi" w:eastAsiaTheme="minorEastAsia" w:hAnsiTheme="minorHAnsi" w:cstheme="minorBidi"/>
              <w:noProof/>
              <w:lang w:eastAsia="en-AU"/>
            </w:rPr>
          </w:pPr>
          <w:hyperlink w:anchor="_Toc108789601" w:history="1">
            <w:r w:rsidR="00B01FCE" w:rsidRPr="00C154E9">
              <w:rPr>
                <w:rStyle w:val="Hyperlink"/>
                <w:noProof/>
              </w:rPr>
              <w:t>Investigations, assessments and reassessments</w:t>
            </w:r>
            <w:r w:rsidR="00B01FCE">
              <w:rPr>
                <w:noProof/>
                <w:webHidden/>
              </w:rPr>
              <w:tab/>
            </w:r>
            <w:r w:rsidR="00B01FCE">
              <w:rPr>
                <w:noProof/>
                <w:webHidden/>
              </w:rPr>
              <w:fldChar w:fldCharType="begin"/>
            </w:r>
            <w:r w:rsidR="00B01FCE">
              <w:rPr>
                <w:noProof/>
                <w:webHidden/>
              </w:rPr>
              <w:instrText xml:space="preserve"> PAGEREF _Toc108789601 \h </w:instrText>
            </w:r>
            <w:r w:rsidR="00B01FCE">
              <w:rPr>
                <w:noProof/>
                <w:webHidden/>
              </w:rPr>
            </w:r>
            <w:r w:rsidR="00B01FCE">
              <w:rPr>
                <w:noProof/>
                <w:webHidden/>
              </w:rPr>
              <w:fldChar w:fldCharType="separate"/>
            </w:r>
            <w:r w:rsidR="00B01FCE">
              <w:rPr>
                <w:noProof/>
                <w:webHidden/>
              </w:rPr>
              <w:t>72</w:t>
            </w:r>
            <w:r w:rsidR="00B01FCE">
              <w:rPr>
                <w:noProof/>
                <w:webHidden/>
              </w:rPr>
              <w:fldChar w:fldCharType="end"/>
            </w:r>
          </w:hyperlink>
        </w:p>
        <w:p w14:paraId="6E688F0C" w14:textId="77777777" w:rsidR="00B01FCE" w:rsidRDefault="00000000">
          <w:pPr>
            <w:pStyle w:val="TOC2"/>
            <w:rPr>
              <w:rFonts w:asciiTheme="minorHAnsi" w:eastAsiaTheme="minorEastAsia" w:hAnsiTheme="minorHAnsi" w:cstheme="minorBidi"/>
              <w:noProof/>
              <w:lang w:eastAsia="en-AU"/>
            </w:rPr>
          </w:pPr>
          <w:hyperlink w:anchor="_Toc108789602" w:history="1">
            <w:r w:rsidR="00B01FCE" w:rsidRPr="00C154E9">
              <w:rPr>
                <w:rStyle w:val="Hyperlink"/>
                <w:noProof/>
              </w:rPr>
              <w:t>Objections and appeals</w:t>
            </w:r>
            <w:r w:rsidR="00B01FCE">
              <w:rPr>
                <w:noProof/>
                <w:webHidden/>
              </w:rPr>
              <w:tab/>
            </w:r>
            <w:r w:rsidR="00B01FCE">
              <w:rPr>
                <w:noProof/>
                <w:webHidden/>
              </w:rPr>
              <w:fldChar w:fldCharType="begin"/>
            </w:r>
            <w:r w:rsidR="00B01FCE">
              <w:rPr>
                <w:noProof/>
                <w:webHidden/>
              </w:rPr>
              <w:instrText xml:space="preserve"> PAGEREF _Toc108789602 \h </w:instrText>
            </w:r>
            <w:r w:rsidR="00B01FCE">
              <w:rPr>
                <w:noProof/>
                <w:webHidden/>
              </w:rPr>
            </w:r>
            <w:r w:rsidR="00B01FCE">
              <w:rPr>
                <w:noProof/>
                <w:webHidden/>
              </w:rPr>
              <w:fldChar w:fldCharType="separate"/>
            </w:r>
            <w:r w:rsidR="00B01FCE">
              <w:rPr>
                <w:noProof/>
                <w:webHidden/>
              </w:rPr>
              <w:t>73</w:t>
            </w:r>
            <w:r w:rsidR="00B01FCE">
              <w:rPr>
                <w:noProof/>
                <w:webHidden/>
              </w:rPr>
              <w:fldChar w:fldCharType="end"/>
            </w:r>
          </w:hyperlink>
        </w:p>
        <w:p w14:paraId="3C44ADF4" w14:textId="77777777" w:rsidR="00B01FCE" w:rsidRDefault="00000000">
          <w:pPr>
            <w:pStyle w:val="TOC2"/>
            <w:rPr>
              <w:rFonts w:asciiTheme="minorHAnsi" w:eastAsiaTheme="minorEastAsia" w:hAnsiTheme="minorHAnsi" w:cstheme="minorBidi"/>
              <w:noProof/>
              <w:lang w:eastAsia="en-AU"/>
            </w:rPr>
          </w:pPr>
          <w:hyperlink w:anchor="_Toc108789603" w:history="1">
            <w:r w:rsidR="00B01FCE" w:rsidRPr="00C154E9">
              <w:rPr>
                <w:rStyle w:val="Hyperlink"/>
                <w:noProof/>
              </w:rPr>
              <w:t>Instalment arrangements</w:t>
            </w:r>
            <w:r w:rsidR="00B01FCE">
              <w:rPr>
                <w:noProof/>
                <w:webHidden/>
              </w:rPr>
              <w:tab/>
            </w:r>
            <w:r w:rsidR="00B01FCE">
              <w:rPr>
                <w:noProof/>
                <w:webHidden/>
              </w:rPr>
              <w:fldChar w:fldCharType="begin"/>
            </w:r>
            <w:r w:rsidR="00B01FCE">
              <w:rPr>
                <w:noProof/>
                <w:webHidden/>
              </w:rPr>
              <w:instrText xml:space="preserve"> PAGEREF _Toc108789603 \h </w:instrText>
            </w:r>
            <w:r w:rsidR="00B01FCE">
              <w:rPr>
                <w:noProof/>
                <w:webHidden/>
              </w:rPr>
            </w:r>
            <w:r w:rsidR="00B01FCE">
              <w:rPr>
                <w:noProof/>
                <w:webHidden/>
              </w:rPr>
              <w:fldChar w:fldCharType="separate"/>
            </w:r>
            <w:r w:rsidR="00B01FCE">
              <w:rPr>
                <w:noProof/>
                <w:webHidden/>
              </w:rPr>
              <w:t>74</w:t>
            </w:r>
            <w:r w:rsidR="00B01FCE">
              <w:rPr>
                <w:noProof/>
                <w:webHidden/>
              </w:rPr>
              <w:fldChar w:fldCharType="end"/>
            </w:r>
          </w:hyperlink>
        </w:p>
        <w:p w14:paraId="31D24761" w14:textId="77777777" w:rsidR="00B01FCE" w:rsidRDefault="00000000">
          <w:pPr>
            <w:pStyle w:val="TOC1"/>
            <w:rPr>
              <w:rFonts w:asciiTheme="minorHAnsi" w:eastAsiaTheme="minorEastAsia" w:hAnsiTheme="minorHAnsi" w:cstheme="minorBidi"/>
              <w:b w:val="0"/>
              <w:noProof/>
              <w:lang w:eastAsia="en-AU"/>
            </w:rPr>
          </w:pPr>
          <w:hyperlink w:anchor="_Toc108789604" w:history="1">
            <w:r w:rsidR="00B01FCE" w:rsidRPr="00C154E9">
              <w:rPr>
                <w:rStyle w:val="Hyperlink"/>
                <w:noProof/>
              </w:rPr>
              <w:t>Alphabetical list of wage types – when are they taxable?</w:t>
            </w:r>
            <w:r w:rsidR="00B01FCE">
              <w:rPr>
                <w:noProof/>
                <w:webHidden/>
              </w:rPr>
              <w:tab/>
            </w:r>
            <w:r w:rsidR="00B01FCE">
              <w:rPr>
                <w:noProof/>
                <w:webHidden/>
              </w:rPr>
              <w:fldChar w:fldCharType="begin"/>
            </w:r>
            <w:r w:rsidR="00B01FCE">
              <w:rPr>
                <w:noProof/>
                <w:webHidden/>
              </w:rPr>
              <w:instrText xml:space="preserve"> PAGEREF _Toc108789604 \h </w:instrText>
            </w:r>
            <w:r w:rsidR="00B01FCE">
              <w:rPr>
                <w:noProof/>
                <w:webHidden/>
              </w:rPr>
            </w:r>
            <w:r w:rsidR="00B01FCE">
              <w:rPr>
                <w:noProof/>
                <w:webHidden/>
              </w:rPr>
              <w:fldChar w:fldCharType="separate"/>
            </w:r>
            <w:r w:rsidR="00B01FCE">
              <w:rPr>
                <w:noProof/>
                <w:webHidden/>
              </w:rPr>
              <w:t>75</w:t>
            </w:r>
            <w:r w:rsidR="00B01FCE">
              <w:rPr>
                <w:noProof/>
                <w:webHidden/>
              </w:rPr>
              <w:fldChar w:fldCharType="end"/>
            </w:r>
          </w:hyperlink>
        </w:p>
        <w:p w14:paraId="6B0910A1" w14:textId="77777777" w:rsidR="00B01FCE" w:rsidRDefault="00000000">
          <w:pPr>
            <w:pStyle w:val="TOC1"/>
            <w:rPr>
              <w:rFonts w:asciiTheme="minorHAnsi" w:eastAsiaTheme="minorEastAsia" w:hAnsiTheme="minorHAnsi" w:cstheme="minorBidi"/>
              <w:b w:val="0"/>
              <w:noProof/>
              <w:lang w:eastAsia="en-AU"/>
            </w:rPr>
          </w:pPr>
          <w:hyperlink w:anchor="_Toc108789605" w:history="1">
            <w:r w:rsidR="00B01FCE" w:rsidRPr="00C154E9">
              <w:rPr>
                <w:rStyle w:val="Hyperlink"/>
                <w:noProof/>
                <w:lang w:eastAsia="en-AU"/>
              </w:rPr>
              <w:t>Appendix 1: Payroll tax nexus rules</w:t>
            </w:r>
            <w:r w:rsidR="00B01FCE">
              <w:rPr>
                <w:noProof/>
                <w:webHidden/>
              </w:rPr>
              <w:tab/>
            </w:r>
            <w:r w:rsidR="00B01FCE">
              <w:rPr>
                <w:noProof/>
                <w:webHidden/>
              </w:rPr>
              <w:fldChar w:fldCharType="begin"/>
            </w:r>
            <w:r w:rsidR="00B01FCE">
              <w:rPr>
                <w:noProof/>
                <w:webHidden/>
              </w:rPr>
              <w:instrText xml:space="preserve"> PAGEREF _Toc108789605 \h </w:instrText>
            </w:r>
            <w:r w:rsidR="00B01FCE">
              <w:rPr>
                <w:noProof/>
                <w:webHidden/>
              </w:rPr>
            </w:r>
            <w:r w:rsidR="00B01FCE">
              <w:rPr>
                <w:noProof/>
                <w:webHidden/>
              </w:rPr>
              <w:fldChar w:fldCharType="separate"/>
            </w:r>
            <w:r w:rsidR="00B01FCE">
              <w:rPr>
                <w:noProof/>
                <w:webHidden/>
              </w:rPr>
              <w:t>81</w:t>
            </w:r>
            <w:r w:rsidR="00B01FCE">
              <w:rPr>
                <w:noProof/>
                <w:webHidden/>
              </w:rPr>
              <w:fldChar w:fldCharType="end"/>
            </w:r>
          </w:hyperlink>
        </w:p>
        <w:p w14:paraId="55CFD9C3" w14:textId="77777777" w:rsidR="00B01FCE" w:rsidRDefault="00000000">
          <w:pPr>
            <w:pStyle w:val="TOC1"/>
            <w:rPr>
              <w:rFonts w:asciiTheme="minorHAnsi" w:eastAsiaTheme="minorEastAsia" w:hAnsiTheme="minorHAnsi" w:cstheme="minorBidi"/>
              <w:b w:val="0"/>
              <w:noProof/>
              <w:lang w:eastAsia="en-AU"/>
            </w:rPr>
          </w:pPr>
          <w:hyperlink w:anchor="_Toc108789606" w:history="1">
            <w:r w:rsidR="00B01FCE" w:rsidRPr="00C154E9">
              <w:rPr>
                <w:rStyle w:val="Hyperlink"/>
                <w:noProof/>
                <w:lang w:eastAsia="en-AU"/>
              </w:rPr>
              <w:t>Appendix 2: Exempt rates – motor vehicle and accommodation allowance</w:t>
            </w:r>
            <w:r w:rsidR="00B01FCE">
              <w:rPr>
                <w:noProof/>
                <w:webHidden/>
              </w:rPr>
              <w:tab/>
            </w:r>
            <w:r w:rsidR="00B01FCE">
              <w:rPr>
                <w:noProof/>
                <w:webHidden/>
              </w:rPr>
              <w:fldChar w:fldCharType="begin"/>
            </w:r>
            <w:r w:rsidR="00B01FCE">
              <w:rPr>
                <w:noProof/>
                <w:webHidden/>
              </w:rPr>
              <w:instrText xml:space="preserve"> PAGEREF _Toc108789606 \h </w:instrText>
            </w:r>
            <w:r w:rsidR="00B01FCE">
              <w:rPr>
                <w:noProof/>
                <w:webHidden/>
              </w:rPr>
            </w:r>
            <w:r w:rsidR="00B01FCE">
              <w:rPr>
                <w:noProof/>
                <w:webHidden/>
              </w:rPr>
              <w:fldChar w:fldCharType="separate"/>
            </w:r>
            <w:r w:rsidR="00B01FCE">
              <w:rPr>
                <w:noProof/>
                <w:webHidden/>
              </w:rPr>
              <w:t>82</w:t>
            </w:r>
            <w:r w:rsidR="00B01FCE">
              <w:rPr>
                <w:noProof/>
                <w:webHidden/>
              </w:rPr>
              <w:fldChar w:fldCharType="end"/>
            </w:r>
          </w:hyperlink>
        </w:p>
        <w:p w14:paraId="21E1EFA0" w14:textId="77777777" w:rsidR="00B01FCE" w:rsidRDefault="00000000">
          <w:pPr>
            <w:pStyle w:val="TOC1"/>
            <w:rPr>
              <w:rFonts w:asciiTheme="minorHAnsi" w:eastAsiaTheme="minorEastAsia" w:hAnsiTheme="minorHAnsi" w:cstheme="minorBidi"/>
              <w:b w:val="0"/>
              <w:noProof/>
              <w:lang w:eastAsia="en-AU"/>
            </w:rPr>
          </w:pPr>
          <w:hyperlink w:anchor="_Toc108789607" w:history="1">
            <w:r w:rsidR="00B01FCE" w:rsidRPr="00C154E9">
              <w:rPr>
                <w:rStyle w:val="Hyperlink"/>
                <w:noProof/>
                <w:lang w:eastAsia="en-AU"/>
              </w:rPr>
              <w:t>Appendix 3: Fringe benefits</w:t>
            </w:r>
            <w:r w:rsidR="00B01FCE">
              <w:rPr>
                <w:noProof/>
                <w:webHidden/>
              </w:rPr>
              <w:tab/>
            </w:r>
            <w:r w:rsidR="00B01FCE">
              <w:rPr>
                <w:noProof/>
                <w:webHidden/>
              </w:rPr>
              <w:fldChar w:fldCharType="begin"/>
            </w:r>
            <w:r w:rsidR="00B01FCE">
              <w:rPr>
                <w:noProof/>
                <w:webHidden/>
              </w:rPr>
              <w:instrText xml:space="preserve"> PAGEREF _Toc108789607 \h </w:instrText>
            </w:r>
            <w:r w:rsidR="00B01FCE">
              <w:rPr>
                <w:noProof/>
                <w:webHidden/>
              </w:rPr>
            </w:r>
            <w:r w:rsidR="00B01FCE">
              <w:rPr>
                <w:noProof/>
                <w:webHidden/>
              </w:rPr>
              <w:fldChar w:fldCharType="separate"/>
            </w:r>
            <w:r w:rsidR="00B01FCE">
              <w:rPr>
                <w:noProof/>
                <w:webHidden/>
              </w:rPr>
              <w:t>83</w:t>
            </w:r>
            <w:r w:rsidR="00B01FCE">
              <w:rPr>
                <w:noProof/>
                <w:webHidden/>
              </w:rPr>
              <w:fldChar w:fldCharType="end"/>
            </w:r>
          </w:hyperlink>
        </w:p>
        <w:p w14:paraId="73B2822C" w14:textId="77777777" w:rsidR="00B01FCE" w:rsidRDefault="00000000">
          <w:pPr>
            <w:pStyle w:val="TOC1"/>
            <w:rPr>
              <w:rFonts w:asciiTheme="minorHAnsi" w:eastAsiaTheme="minorEastAsia" w:hAnsiTheme="minorHAnsi" w:cstheme="minorBidi"/>
              <w:b w:val="0"/>
              <w:noProof/>
              <w:lang w:eastAsia="en-AU"/>
            </w:rPr>
          </w:pPr>
          <w:hyperlink w:anchor="_Toc108789608" w:history="1">
            <w:r w:rsidR="00B01FCE" w:rsidRPr="00C154E9">
              <w:rPr>
                <w:rStyle w:val="Hyperlink"/>
                <w:noProof/>
              </w:rPr>
              <w:t>Appendix 4: Relevant contract analysis schedule</w:t>
            </w:r>
            <w:r w:rsidR="00B01FCE">
              <w:rPr>
                <w:noProof/>
                <w:webHidden/>
              </w:rPr>
              <w:tab/>
            </w:r>
            <w:r w:rsidR="00B01FCE">
              <w:rPr>
                <w:noProof/>
                <w:webHidden/>
              </w:rPr>
              <w:fldChar w:fldCharType="begin"/>
            </w:r>
            <w:r w:rsidR="00B01FCE">
              <w:rPr>
                <w:noProof/>
                <w:webHidden/>
              </w:rPr>
              <w:instrText xml:space="preserve"> PAGEREF _Toc108789608 \h </w:instrText>
            </w:r>
            <w:r w:rsidR="00B01FCE">
              <w:rPr>
                <w:noProof/>
                <w:webHidden/>
              </w:rPr>
            </w:r>
            <w:r w:rsidR="00B01FCE">
              <w:rPr>
                <w:noProof/>
                <w:webHidden/>
              </w:rPr>
              <w:fldChar w:fldCharType="separate"/>
            </w:r>
            <w:r w:rsidR="00B01FCE">
              <w:rPr>
                <w:noProof/>
                <w:webHidden/>
              </w:rPr>
              <w:t>83</w:t>
            </w:r>
            <w:r w:rsidR="00B01FCE">
              <w:rPr>
                <w:noProof/>
                <w:webHidden/>
              </w:rPr>
              <w:fldChar w:fldCharType="end"/>
            </w:r>
          </w:hyperlink>
        </w:p>
        <w:p w14:paraId="2238C2E7" w14:textId="77777777" w:rsidR="00B01FCE" w:rsidRDefault="00000000">
          <w:pPr>
            <w:pStyle w:val="TOC1"/>
            <w:rPr>
              <w:rFonts w:asciiTheme="minorHAnsi" w:eastAsiaTheme="minorEastAsia" w:hAnsiTheme="minorHAnsi" w:cstheme="minorBidi"/>
              <w:b w:val="0"/>
              <w:noProof/>
              <w:lang w:eastAsia="en-AU"/>
            </w:rPr>
          </w:pPr>
          <w:hyperlink w:anchor="_Toc108789609" w:history="1">
            <w:r w:rsidR="00B01FCE" w:rsidRPr="00C154E9">
              <w:rPr>
                <w:rStyle w:val="Hyperlink"/>
                <w:noProof/>
                <w:lang w:eastAsia="en-AU"/>
              </w:rPr>
              <w:t>Appendix 5: Tax-free entitlements (annual deductions), payroll tax rates and interest rates</w:t>
            </w:r>
            <w:r w:rsidR="00B01FCE">
              <w:rPr>
                <w:noProof/>
                <w:webHidden/>
              </w:rPr>
              <w:tab/>
            </w:r>
            <w:r w:rsidR="00B01FCE">
              <w:rPr>
                <w:noProof/>
                <w:webHidden/>
              </w:rPr>
              <w:fldChar w:fldCharType="begin"/>
            </w:r>
            <w:r w:rsidR="00B01FCE">
              <w:rPr>
                <w:noProof/>
                <w:webHidden/>
              </w:rPr>
              <w:instrText xml:space="preserve"> PAGEREF _Toc108789609 \h </w:instrText>
            </w:r>
            <w:r w:rsidR="00B01FCE">
              <w:rPr>
                <w:noProof/>
                <w:webHidden/>
              </w:rPr>
            </w:r>
            <w:r w:rsidR="00B01FCE">
              <w:rPr>
                <w:noProof/>
                <w:webHidden/>
              </w:rPr>
              <w:fldChar w:fldCharType="separate"/>
            </w:r>
            <w:r w:rsidR="00B01FCE">
              <w:rPr>
                <w:noProof/>
                <w:webHidden/>
              </w:rPr>
              <w:t>84</w:t>
            </w:r>
            <w:r w:rsidR="00B01FCE">
              <w:rPr>
                <w:noProof/>
                <w:webHidden/>
              </w:rPr>
              <w:fldChar w:fldCharType="end"/>
            </w:r>
          </w:hyperlink>
        </w:p>
        <w:p w14:paraId="7699E790" w14:textId="77777777" w:rsidR="004E7885" w:rsidRPr="004E7885" w:rsidRDefault="00C302B2" w:rsidP="004E7885">
          <w:pPr>
            <w:rPr>
              <w:rFonts w:eastAsiaTheme="minorEastAsia" w:cs="Arial"/>
              <w:b/>
              <w:lang w:eastAsia="en-AU"/>
            </w:rPr>
          </w:pPr>
          <w:r>
            <w:rPr>
              <w:rFonts w:eastAsiaTheme="minorEastAsia" w:cs="Arial"/>
              <w:lang w:eastAsia="en-AU"/>
            </w:rPr>
            <w:fldChar w:fldCharType="end"/>
          </w:r>
        </w:p>
      </w:sdtContent>
    </w:sdt>
    <w:p w14:paraId="095582BE" w14:textId="77777777" w:rsidR="00964B22" w:rsidRPr="004E7885" w:rsidRDefault="00964B22" w:rsidP="004E7885">
      <w:pPr>
        <w:sectPr w:rsidR="00964B22" w:rsidRPr="004E7885" w:rsidSect="00F43908">
          <w:headerReference w:type="default" r:id="rId14"/>
          <w:footerReference w:type="default" r:id="rId15"/>
          <w:headerReference w:type="first" r:id="rId16"/>
          <w:footerReference w:type="first" r:id="rId17"/>
          <w:pgSz w:w="11906" w:h="16838" w:code="9"/>
          <w:pgMar w:top="794" w:right="794" w:bottom="794" w:left="794" w:header="794" w:footer="794" w:gutter="0"/>
          <w:cols w:space="708"/>
          <w:titlePg/>
          <w:docGrid w:linePitch="360"/>
        </w:sectPr>
      </w:pPr>
    </w:p>
    <w:p w14:paraId="30855737" w14:textId="77777777" w:rsidR="00375B9D" w:rsidRPr="00375B9D" w:rsidRDefault="00375B9D" w:rsidP="00F4299A">
      <w:pPr>
        <w:pStyle w:val="Heading1"/>
        <w:rPr>
          <w:noProof/>
          <w:lang w:eastAsia="en-AU"/>
        </w:rPr>
      </w:pPr>
      <w:bookmarkStart w:id="0" w:name="_Toc467842730"/>
      <w:bookmarkStart w:id="1" w:name="_Toc108789557"/>
      <w:r w:rsidRPr="00375B9D">
        <w:rPr>
          <w:noProof/>
          <w:lang w:eastAsia="en-AU"/>
        </w:rPr>
        <w:lastRenderedPageBreak/>
        <w:t>Introduction</w:t>
      </w:r>
      <w:bookmarkEnd w:id="0"/>
      <w:bookmarkEnd w:id="1"/>
    </w:p>
    <w:p w14:paraId="066FA88F" w14:textId="77777777" w:rsidR="00375B9D" w:rsidRPr="00375B9D" w:rsidRDefault="00375B9D" w:rsidP="00375B9D">
      <w:pPr>
        <w:rPr>
          <w:noProof/>
          <w:lang w:eastAsia="en-AU"/>
        </w:rPr>
      </w:pPr>
      <w:r w:rsidRPr="00375B9D">
        <w:rPr>
          <w:noProof/>
          <w:lang w:eastAsia="en-AU"/>
        </w:rPr>
        <w:t>This guide is a plain English source of payroll tax information for Northern Territory (NT) employers and businesses based upon legislation, rulings and guidelines in force as at 1 July 20</w:t>
      </w:r>
      <w:r w:rsidR="00016B66">
        <w:rPr>
          <w:noProof/>
          <w:lang w:eastAsia="en-AU"/>
        </w:rPr>
        <w:t>22</w:t>
      </w:r>
      <w:r w:rsidRPr="00375B9D">
        <w:rPr>
          <w:noProof/>
          <w:lang w:eastAsia="en-AU"/>
        </w:rPr>
        <w:t>.</w:t>
      </w:r>
    </w:p>
    <w:p w14:paraId="04A225AF" w14:textId="77777777" w:rsidR="00375B9D" w:rsidRPr="00375B9D" w:rsidRDefault="00375B9D" w:rsidP="00375B9D">
      <w:pPr>
        <w:rPr>
          <w:noProof/>
          <w:lang w:eastAsia="en-AU"/>
        </w:rPr>
      </w:pPr>
      <w:r w:rsidRPr="00375B9D">
        <w:rPr>
          <w:noProof/>
          <w:lang w:eastAsia="en-AU"/>
        </w:rPr>
        <w:t>While designed for everyday working use, it should not be considered as a replacement for legislation and official guidelines, rulings and circulars issued by the Commissioner of Territory Revenue. There are references and electronic links throughout the document to relevant publications.</w:t>
      </w:r>
    </w:p>
    <w:p w14:paraId="5B8C52BC" w14:textId="77777777" w:rsidR="00375B9D" w:rsidRPr="00375B9D" w:rsidRDefault="00375B9D" w:rsidP="00375B9D">
      <w:pPr>
        <w:rPr>
          <w:noProof/>
          <w:lang w:eastAsia="en-AU"/>
        </w:rPr>
      </w:pPr>
      <w:r w:rsidRPr="00375B9D">
        <w:rPr>
          <w:noProof/>
          <w:lang w:eastAsia="en-AU"/>
        </w:rPr>
        <w:t>This publication is designed to give the reader detailed guidance on identifying and implementing the components of an employer’s payroll tax returns. For those readers seeking a general overview of payroll tax, without policy and operational detail, the sections entitled ‘</w:t>
      </w:r>
      <w:hyperlink w:anchor="WhatIsPayrollTax" w:history="1">
        <w:r w:rsidRPr="00375B9D">
          <w:rPr>
            <w:rStyle w:val="Hyperlink"/>
            <w:noProof/>
            <w:lang w:eastAsia="en-AU"/>
          </w:rPr>
          <w:t xml:space="preserve">What is </w:t>
        </w:r>
        <w:r w:rsidR="00040599" w:rsidRPr="00375B9D">
          <w:rPr>
            <w:rStyle w:val="Hyperlink"/>
            <w:noProof/>
            <w:lang w:eastAsia="en-AU"/>
          </w:rPr>
          <w:t>payroll ta</w:t>
        </w:r>
        <w:r w:rsidRPr="00375B9D">
          <w:rPr>
            <w:rStyle w:val="Hyperlink"/>
            <w:noProof/>
            <w:lang w:eastAsia="en-AU"/>
          </w:rPr>
          <w:t>x?</w:t>
        </w:r>
      </w:hyperlink>
      <w:r w:rsidRPr="00375B9D">
        <w:rPr>
          <w:noProof/>
          <w:lang w:eastAsia="en-AU"/>
        </w:rPr>
        <w:t>’, ‘</w:t>
      </w:r>
      <w:hyperlink w:anchor="ShouldBusinessbeRegisteredforPRT" w:history="1">
        <w:r w:rsidR="00A314E5">
          <w:rPr>
            <w:rStyle w:val="Hyperlink"/>
            <w:noProof/>
            <w:lang w:eastAsia="en-AU"/>
          </w:rPr>
          <w:t>H</w:t>
        </w:r>
        <w:r w:rsidR="00040599" w:rsidRPr="00375B9D">
          <w:rPr>
            <w:rStyle w:val="Hyperlink"/>
            <w:noProof/>
            <w:lang w:eastAsia="en-AU"/>
          </w:rPr>
          <w:t>ow do you know if your business should be registered as an employer for payroll ta</w:t>
        </w:r>
        <w:r w:rsidRPr="00375B9D">
          <w:rPr>
            <w:rStyle w:val="Hyperlink"/>
            <w:noProof/>
            <w:lang w:eastAsia="en-AU"/>
          </w:rPr>
          <w:t>x?</w:t>
        </w:r>
      </w:hyperlink>
      <w:r w:rsidRPr="00375B9D">
        <w:rPr>
          <w:noProof/>
          <w:lang w:eastAsia="en-AU"/>
        </w:rPr>
        <w:t>’ and ‘</w:t>
      </w:r>
      <w:hyperlink w:anchor="WhatIsMeantByWages" w:history="1">
        <w:r w:rsidRPr="00375B9D">
          <w:rPr>
            <w:rStyle w:val="Hyperlink"/>
            <w:noProof/>
            <w:lang w:eastAsia="en-AU"/>
          </w:rPr>
          <w:t xml:space="preserve">What is </w:t>
        </w:r>
        <w:r w:rsidR="00040599" w:rsidRPr="00375B9D">
          <w:rPr>
            <w:rStyle w:val="Hyperlink"/>
            <w:noProof/>
            <w:lang w:eastAsia="en-AU"/>
          </w:rPr>
          <w:t>meant by wages</w:t>
        </w:r>
        <w:r w:rsidRPr="00375B9D">
          <w:rPr>
            <w:rStyle w:val="Hyperlink"/>
            <w:noProof/>
            <w:lang w:eastAsia="en-AU"/>
          </w:rPr>
          <w:t>?</w:t>
        </w:r>
      </w:hyperlink>
      <w:r w:rsidRPr="00375B9D">
        <w:rPr>
          <w:noProof/>
          <w:lang w:eastAsia="en-AU"/>
        </w:rPr>
        <w:t xml:space="preserve">’ should be reviewed. </w:t>
      </w:r>
    </w:p>
    <w:p w14:paraId="314EDDED" w14:textId="77777777" w:rsidR="00375B9D" w:rsidRPr="00375B9D" w:rsidRDefault="00375B9D" w:rsidP="00375B9D">
      <w:pPr>
        <w:rPr>
          <w:noProof/>
          <w:lang w:eastAsia="en-AU"/>
        </w:rPr>
      </w:pPr>
      <w:r w:rsidRPr="00375B9D">
        <w:rPr>
          <w:noProof/>
          <w:lang w:eastAsia="en-AU"/>
        </w:rPr>
        <w:t xml:space="preserve">If any uncertainty exists with a particular aspect of the information provided, please seek advice from your professional representative or contact the Territory Revenue Office by telephone on 1300 305 353 or by email at </w:t>
      </w:r>
      <w:hyperlink r:id="rId18" w:tooltip="email address" w:history="1">
        <w:r w:rsidRPr="00375B9D">
          <w:rPr>
            <w:rStyle w:val="Hyperlink"/>
            <w:noProof/>
            <w:lang w:eastAsia="en-AU"/>
          </w:rPr>
          <w:t>ntrevenue@nt.gov.au</w:t>
        </w:r>
      </w:hyperlink>
      <w:r w:rsidRPr="00375B9D">
        <w:rPr>
          <w:noProof/>
          <w:lang w:eastAsia="en-AU"/>
        </w:rPr>
        <w:t>.</w:t>
      </w:r>
    </w:p>
    <w:p w14:paraId="39A48897" w14:textId="77777777" w:rsidR="00375B9D" w:rsidRPr="00375B9D" w:rsidRDefault="00375B9D" w:rsidP="00375B9D">
      <w:pPr>
        <w:rPr>
          <w:noProof/>
          <w:lang w:eastAsia="en-AU"/>
        </w:rPr>
      </w:pPr>
      <w:r w:rsidRPr="00375B9D">
        <w:rPr>
          <w:noProof/>
          <w:lang w:eastAsia="en-AU"/>
        </w:rPr>
        <w:t>These contacts can also be used to report any aspect of the guide that users believe could be improved.</w:t>
      </w:r>
    </w:p>
    <w:p w14:paraId="7818EB3C" w14:textId="77777777" w:rsidR="00375B9D" w:rsidRPr="00375B9D" w:rsidRDefault="00375B9D" w:rsidP="00375B9D">
      <w:pPr>
        <w:rPr>
          <w:noProof/>
          <w:lang w:eastAsia="en-AU"/>
        </w:rPr>
      </w:pPr>
      <w:r w:rsidRPr="00375B9D">
        <w:rPr>
          <w:noProof/>
          <w:lang w:eastAsia="en-AU"/>
        </w:rPr>
        <w:t xml:space="preserve">The main laws applicable to payroll tax in the NT are the </w:t>
      </w:r>
      <w:r w:rsidRPr="00375B9D">
        <w:rPr>
          <w:i/>
          <w:noProof/>
          <w:lang w:eastAsia="en-AU"/>
        </w:rPr>
        <w:t>Payroll Tax Act</w:t>
      </w:r>
      <w:r w:rsidR="00016B66">
        <w:rPr>
          <w:i/>
          <w:noProof/>
          <w:lang w:eastAsia="en-AU"/>
        </w:rPr>
        <w:t xml:space="preserve"> 2009</w:t>
      </w:r>
      <w:r w:rsidRPr="00375B9D">
        <w:rPr>
          <w:noProof/>
          <w:lang w:eastAsia="en-AU"/>
        </w:rPr>
        <w:t xml:space="preserve"> (PRTA) and the </w:t>
      </w:r>
      <w:r w:rsidRPr="00375B9D">
        <w:rPr>
          <w:i/>
          <w:noProof/>
          <w:lang w:eastAsia="en-AU"/>
        </w:rPr>
        <w:t>Taxation Administration Act</w:t>
      </w:r>
      <w:r w:rsidR="00016B66">
        <w:rPr>
          <w:i/>
          <w:noProof/>
          <w:lang w:eastAsia="en-AU"/>
        </w:rPr>
        <w:t xml:space="preserve"> 2007</w:t>
      </w:r>
      <w:r w:rsidRPr="00375B9D">
        <w:rPr>
          <w:i/>
          <w:noProof/>
          <w:lang w:eastAsia="en-AU"/>
        </w:rPr>
        <w:t xml:space="preserve"> </w:t>
      </w:r>
      <w:r w:rsidRPr="00375B9D">
        <w:rPr>
          <w:noProof/>
          <w:lang w:eastAsia="en-AU"/>
        </w:rPr>
        <w:t xml:space="preserve">(TAA). </w:t>
      </w:r>
    </w:p>
    <w:p w14:paraId="6F054997" w14:textId="77777777" w:rsidR="00375B9D" w:rsidRPr="00375B9D" w:rsidRDefault="00375B9D" w:rsidP="00375B9D">
      <w:pPr>
        <w:rPr>
          <w:noProof/>
          <w:lang w:eastAsia="en-AU"/>
        </w:rPr>
      </w:pPr>
    </w:p>
    <w:p w14:paraId="38E51C2B" w14:textId="77777777" w:rsidR="00375B9D" w:rsidRPr="00375B9D" w:rsidRDefault="00375B9D" w:rsidP="00A7303B">
      <w:pPr>
        <w:pStyle w:val="Heading2"/>
      </w:pPr>
      <w:bookmarkStart w:id="2" w:name="_Toc467842731"/>
      <w:bookmarkStart w:id="3" w:name="_Toc108789558"/>
      <w:r w:rsidRPr="00375B9D">
        <w:t>Disclaimer</w:t>
      </w:r>
      <w:bookmarkEnd w:id="2"/>
      <w:bookmarkEnd w:id="3"/>
    </w:p>
    <w:p w14:paraId="48767044" w14:textId="77777777" w:rsidR="00375B9D" w:rsidRPr="00375B9D" w:rsidRDefault="00375B9D" w:rsidP="00375B9D">
      <w:pPr>
        <w:rPr>
          <w:noProof/>
          <w:lang w:eastAsia="en-AU"/>
        </w:rPr>
      </w:pPr>
      <w:r w:rsidRPr="00375B9D">
        <w:rPr>
          <w:noProof/>
          <w:lang w:eastAsia="en-AU"/>
        </w:rPr>
        <w:t>While the information within this document has been prepared in good faith by the Territory Revenue Office, and all reasonable efforts have been made to ensure the document is accurate and comprehensive, this guide does not constitute a formal ruling.</w:t>
      </w:r>
    </w:p>
    <w:p w14:paraId="02BDC7F5" w14:textId="77777777" w:rsidR="0027093B" w:rsidRDefault="0027093B">
      <w:pPr>
        <w:rPr>
          <w:noProof/>
          <w:lang w:eastAsia="en-AU"/>
        </w:rPr>
      </w:pPr>
      <w:r>
        <w:rPr>
          <w:noProof/>
          <w:lang w:eastAsia="en-AU"/>
        </w:rPr>
        <w:br w:type="page"/>
      </w:r>
    </w:p>
    <w:p w14:paraId="45ACC105" w14:textId="77777777" w:rsidR="0027093B" w:rsidRDefault="0027093B" w:rsidP="00A7303B">
      <w:pPr>
        <w:pStyle w:val="Heading2"/>
      </w:pPr>
      <w:bookmarkStart w:id="4" w:name="_Toc108789559"/>
      <w:r>
        <w:lastRenderedPageBreak/>
        <w:t>Abbreviations</w:t>
      </w:r>
      <w:bookmarkEnd w:id="4"/>
    </w:p>
    <w:tbl>
      <w:tblPr>
        <w:tblStyle w:val="TableGridLight"/>
        <w:tblW w:w="0" w:type="auto"/>
        <w:tblCellMar>
          <w:top w:w="57" w:type="dxa"/>
        </w:tblCellMar>
        <w:tblLook w:val="04A0" w:firstRow="1" w:lastRow="0" w:firstColumn="1" w:lastColumn="0" w:noHBand="0" w:noVBand="1"/>
        <w:tblCaption w:val="Abbreviations"/>
        <w:tblDescription w:val="list"/>
      </w:tblPr>
      <w:tblGrid>
        <w:gridCol w:w="1838"/>
        <w:gridCol w:w="8470"/>
      </w:tblGrid>
      <w:tr w:rsidR="00302B89" w14:paraId="78109686" w14:textId="77777777" w:rsidTr="00937629">
        <w:trPr>
          <w:trHeight w:val="340"/>
          <w:tblHeader/>
        </w:trPr>
        <w:tc>
          <w:tcPr>
            <w:tcW w:w="1838" w:type="dxa"/>
          </w:tcPr>
          <w:p w14:paraId="0F75AD72" w14:textId="77777777" w:rsidR="00302B89" w:rsidRPr="0090201F" w:rsidRDefault="00302B89" w:rsidP="00887C20">
            <w:r w:rsidRPr="0090201F">
              <w:t>AAR</w:t>
            </w:r>
          </w:p>
        </w:tc>
        <w:tc>
          <w:tcPr>
            <w:tcW w:w="8470" w:type="dxa"/>
          </w:tcPr>
          <w:p w14:paraId="308BA39D" w14:textId="77777777" w:rsidR="00302B89" w:rsidRPr="0090201F" w:rsidRDefault="00040599" w:rsidP="00887C20">
            <w:r>
              <w:t>a</w:t>
            </w:r>
            <w:r w:rsidR="00302B89" w:rsidRPr="0090201F">
              <w:t>nnual adjustment return</w:t>
            </w:r>
          </w:p>
        </w:tc>
      </w:tr>
      <w:tr w:rsidR="00302B89" w14:paraId="17698F54" w14:textId="77777777" w:rsidTr="001475AA">
        <w:trPr>
          <w:trHeight w:val="340"/>
        </w:trPr>
        <w:tc>
          <w:tcPr>
            <w:tcW w:w="1838" w:type="dxa"/>
          </w:tcPr>
          <w:p w14:paraId="2F6B8060" w14:textId="77777777" w:rsidR="00302B89" w:rsidRPr="0090201F" w:rsidRDefault="00302B89" w:rsidP="00887C20">
            <w:r w:rsidRPr="0090201F">
              <w:t>ABN</w:t>
            </w:r>
          </w:p>
        </w:tc>
        <w:tc>
          <w:tcPr>
            <w:tcW w:w="8470" w:type="dxa"/>
          </w:tcPr>
          <w:p w14:paraId="4A28B9B7" w14:textId="77777777" w:rsidR="00302B89" w:rsidRPr="0090201F" w:rsidRDefault="00302B89" w:rsidP="00887C20">
            <w:r w:rsidRPr="0090201F">
              <w:t>Australian Business Number</w:t>
            </w:r>
          </w:p>
        </w:tc>
      </w:tr>
      <w:tr w:rsidR="00302B89" w14:paraId="20C25A58" w14:textId="77777777" w:rsidTr="001475AA">
        <w:trPr>
          <w:trHeight w:val="340"/>
        </w:trPr>
        <w:tc>
          <w:tcPr>
            <w:tcW w:w="1838" w:type="dxa"/>
          </w:tcPr>
          <w:p w14:paraId="47AC47EE" w14:textId="77777777" w:rsidR="00302B89" w:rsidRPr="0090201F" w:rsidRDefault="00302B89" w:rsidP="00887C20">
            <w:r w:rsidRPr="0090201F">
              <w:t>ADA</w:t>
            </w:r>
          </w:p>
        </w:tc>
        <w:tc>
          <w:tcPr>
            <w:tcW w:w="8470" w:type="dxa"/>
          </w:tcPr>
          <w:p w14:paraId="37505B11" w14:textId="77777777" w:rsidR="00302B89" w:rsidRPr="0090201F" w:rsidRDefault="00040599" w:rsidP="00887C20">
            <w:r>
              <w:t>a</w:t>
            </w:r>
            <w:r w:rsidR="00302B89" w:rsidRPr="0090201F">
              <w:t>nnual deductible amount (taxpayer’s annual tax-free entitlement)</w:t>
            </w:r>
          </w:p>
        </w:tc>
      </w:tr>
      <w:tr w:rsidR="00302B89" w14:paraId="71911C7E" w14:textId="77777777" w:rsidTr="001475AA">
        <w:trPr>
          <w:trHeight w:val="340"/>
        </w:trPr>
        <w:tc>
          <w:tcPr>
            <w:tcW w:w="1838" w:type="dxa"/>
          </w:tcPr>
          <w:p w14:paraId="5B109A2A" w14:textId="77777777" w:rsidR="00302B89" w:rsidRPr="0090201F" w:rsidRDefault="00302B89" w:rsidP="00887C20">
            <w:r w:rsidRPr="0090201F">
              <w:t xml:space="preserve">ATO </w:t>
            </w:r>
          </w:p>
        </w:tc>
        <w:tc>
          <w:tcPr>
            <w:tcW w:w="8470" w:type="dxa"/>
          </w:tcPr>
          <w:p w14:paraId="26F71FF1" w14:textId="77777777" w:rsidR="00302B89" w:rsidRPr="0090201F" w:rsidRDefault="00302B89" w:rsidP="00887C20">
            <w:r w:rsidRPr="0090201F">
              <w:t>Australian Taxation Office</w:t>
            </w:r>
          </w:p>
        </w:tc>
      </w:tr>
      <w:tr w:rsidR="00302B89" w14:paraId="301F5E85" w14:textId="77777777" w:rsidTr="001475AA">
        <w:trPr>
          <w:trHeight w:val="340"/>
        </w:trPr>
        <w:tc>
          <w:tcPr>
            <w:tcW w:w="1838" w:type="dxa"/>
          </w:tcPr>
          <w:p w14:paraId="66FEF399" w14:textId="77777777" w:rsidR="00302B89" w:rsidRPr="0090201F" w:rsidRDefault="00302B89" w:rsidP="00887C20">
            <w:r w:rsidRPr="0090201F">
              <w:t>BAS</w:t>
            </w:r>
          </w:p>
        </w:tc>
        <w:tc>
          <w:tcPr>
            <w:tcW w:w="8470" w:type="dxa"/>
          </w:tcPr>
          <w:p w14:paraId="5DD42F17" w14:textId="77777777" w:rsidR="00302B89" w:rsidRPr="0090201F" w:rsidRDefault="00040599" w:rsidP="00887C20">
            <w:r w:rsidRPr="0090201F">
              <w:t xml:space="preserve">business </w:t>
            </w:r>
            <w:r w:rsidR="00302B89" w:rsidRPr="0090201F">
              <w:t>activity statement</w:t>
            </w:r>
          </w:p>
        </w:tc>
      </w:tr>
      <w:tr w:rsidR="00302B89" w14:paraId="79B055C0" w14:textId="77777777" w:rsidTr="001475AA">
        <w:trPr>
          <w:trHeight w:val="340"/>
        </w:trPr>
        <w:tc>
          <w:tcPr>
            <w:tcW w:w="1838" w:type="dxa"/>
          </w:tcPr>
          <w:p w14:paraId="3E79F400" w14:textId="77777777" w:rsidR="00302B89" w:rsidRPr="0090201F" w:rsidRDefault="00302B89" w:rsidP="00887C20">
            <w:r w:rsidRPr="0090201F">
              <w:t>Commissioner</w:t>
            </w:r>
          </w:p>
        </w:tc>
        <w:tc>
          <w:tcPr>
            <w:tcW w:w="8470" w:type="dxa"/>
          </w:tcPr>
          <w:p w14:paraId="67927C1D" w14:textId="77777777" w:rsidR="00302B89" w:rsidRPr="0090201F" w:rsidRDefault="00302B89" w:rsidP="00887C20">
            <w:r w:rsidRPr="0090201F">
              <w:t>Commissioner of Territory Revenue</w:t>
            </w:r>
          </w:p>
        </w:tc>
      </w:tr>
      <w:tr w:rsidR="00302B89" w14:paraId="5580F28E" w14:textId="77777777" w:rsidTr="001475AA">
        <w:trPr>
          <w:trHeight w:val="340"/>
        </w:trPr>
        <w:tc>
          <w:tcPr>
            <w:tcW w:w="1838" w:type="dxa"/>
          </w:tcPr>
          <w:p w14:paraId="7CD69232" w14:textId="77777777" w:rsidR="00302B89" w:rsidRPr="0090201F" w:rsidRDefault="00302B89" w:rsidP="00887C20">
            <w:r w:rsidRPr="0090201F">
              <w:t xml:space="preserve">DGE </w:t>
            </w:r>
          </w:p>
        </w:tc>
        <w:tc>
          <w:tcPr>
            <w:tcW w:w="8470" w:type="dxa"/>
          </w:tcPr>
          <w:p w14:paraId="4EB37449" w14:textId="77777777" w:rsidR="00302B89" w:rsidRPr="0090201F" w:rsidRDefault="00040599" w:rsidP="00887C20">
            <w:r w:rsidRPr="0090201F">
              <w:t xml:space="preserve">designated </w:t>
            </w:r>
            <w:r w:rsidR="00302B89" w:rsidRPr="0090201F">
              <w:t>group employer</w:t>
            </w:r>
          </w:p>
        </w:tc>
      </w:tr>
      <w:tr w:rsidR="00302B89" w14:paraId="3A6F4EC1" w14:textId="77777777" w:rsidTr="001475AA">
        <w:trPr>
          <w:trHeight w:val="340"/>
        </w:trPr>
        <w:tc>
          <w:tcPr>
            <w:tcW w:w="1838" w:type="dxa"/>
          </w:tcPr>
          <w:p w14:paraId="4EE609DA" w14:textId="77777777" w:rsidR="00302B89" w:rsidRPr="0090201F" w:rsidRDefault="00302B89" w:rsidP="00887C20">
            <w:r w:rsidRPr="0090201F">
              <w:t>EFT</w:t>
            </w:r>
          </w:p>
        </w:tc>
        <w:tc>
          <w:tcPr>
            <w:tcW w:w="8470" w:type="dxa"/>
          </w:tcPr>
          <w:p w14:paraId="6A14C8FC" w14:textId="77777777" w:rsidR="00302B89" w:rsidRPr="0090201F" w:rsidRDefault="00040599" w:rsidP="00887C20">
            <w:r w:rsidRPr="0090201F">
              <w:t>electronic funds transfer</w:t>
            </w:r>
          </w:p>
        </w:tc>
      </w:tr>
      <w:tr w:rsidR="00302B89" w14:paraId="596B17E1" w14:textId="77777777" w:rsidTr="001475AA">
        <w:trPr>
          <w:trHeight w:val="340"/>
        </w:trPr>
        <w:tc>
          <w:tcPr>
            <w:tcW w:w="1838" w:type="dxa"/>
          </w:tcPr>
          <w:p w14:paraId="5B2D0878" w14:textId="77777777" w:rsidR="00302B89" w:rsidRPr="0090201F" w:rsidRDefault="00302B89" w:rsidP="00887C20">
            <w:r w:rsidRPr="0090201F">
              <w:t>ESS</w:t>
            </w:r>
          </w:p>
        </w:tc>
        <w:tc>
          <w:tcPr>
            <w:tcW w:w="8470" w:type="dxa"/>
          </w:tcPr>
          <w:p w14:paraId="69AAD2EF" w14:textId="77777777" w:rsidR="00302B89" w:rsidRPr="0090201F" w:rsidRDefault="00040599" w:rsidP="00887C20">
            <w:r w:rsidRPr="0090201F">
              <w:t>employee share scheme</w:t>
            </w:r>
          </w:p>
        </w:tc>
      </w:tr>
      <w:tr w:rsidR="00302B89" w14:paraId="52A2124B" w14:textId="77777777" w:rsidTr="001475AA">
        <w:trPr>
          <w:trHeight w:val="340"/>
        </w:trPr>
        <w:tc>
          <w:tcPr>
            <w:tcW w:w="1838" w:type="dxa"/>
          </w:tcPr>
          <w:p w14:paraId="7C7FF2A5" w14:textId="77777777" w:rsidR="00302B89" w:rsidRPr="0090201F" w:rsidRDefault="00302B89" w:rsidP="00887C20">
            <w:r w:rsidRPr="0090201F">
              <w:t xml:space="preserve">FBT </w:t>
            </w:r>
          </w:p>
        </w:tc>
        <w:tc>
          <w:tcPr>
            <w:tcW w:w="8470" w:type="dxa"/>
          </w:tcPr>
          <w:p w14:paraId="538C90F6" w14:textId="77777777" w:rsidR="00302B89" w:rsidRPr="0090201F" w:rsidRDefault="00040599" w:rsidP="00887C20">
            <w:r w:rsidRPr="0090201F">
              <w:t>fringe benefits tax</w:t>
            </w:r>
          </w:p>
        </w:tc>
      </w:tr>
      <w:tr w:rsidR="00302B89" w14:paraId="5DC625A5" w14:textId="77777777" w:rsidTr="001475AA">
        <w:trPr>
          <w:trHeight w:val="340"/>
        </w:trPr>
        <w:tc>
          <w:tcPr>
            <w:tcW w:w="1838" w:type="dxa"/>
          </w:tcPr>
          <w:p w14:paraId="2EA4BAC9" w14:textId="77777777" w:rsidR="00302B89" w:rsidRPr="0090201F" w:rsidRDefault="00302B89" w:rsidP="00887C20">
            <w:r w:rsidRPr="0090201F">
              <w:t xml:space="preserve">FBTAA </w:t>
            </w:r>
          </w:p>
        </w:tc>
        <w:tc>
          <w:tcPr>
            <w:tcW w:w="8470" w:type="dxa"/>
          </w:tcPr>
          <w:p w14:paraId="009E8E4F" w14:textId="77777777" w:rsidR="00302B89" w:rsidRPr="0090201F" w:rsidRDefault="00302B89" w:rsidP="00887C20">
            <w:r w:rsidRPr="00DA1A72">
              <w:rPr>
                <w:i/>
              </w:rPr>
              <w:t>Fringe Benefits Tax Assessment Act 1986</w:t>
            </w:r>
            <w:r w:rsidRPr="0090201F">
              <w:t xml:space="preserve"> (Commonwealth)</w:t>
            </w:r>
          </w:p>
        </w:tc>
      </w:tr>
      <w:tr w:rsidR="00302B89" w14:paraId="07C0AF7F" w14:textId="77777777" w:rsidTr="001475AA">
        <w:trPr>
          <w:trHeight w:val="340"/>
        </w:trPr>
        <w:tc>
          <w:tcPr>
            <w:tcW w:w="1838" w:type="dxa"/>
          </w:tcPr>
          <w:p w14:paraId="159F0695" w14:textId="77777777" w:rsidR="00302B89" w:rsidRPr="0090201F" w:rsidRDefault="00302B89" w:rsidP="00887C20">
            <w:r w:rsidRPr="0090201F">
              <w:t>FIFO</w:t>
            </w:r>
          </w:p>
        </w:tc>
        <w:tc>
          <w:tcPr>
            <w:tcW w:w="8470" w:type="dxa"/>
          </w:tcPr>
          <w:p w14:paraId="10CC46B1" w14:textId="77777777" w:rsidR="00302B89" w:rsidRPr="0090201F" w:rsidRDefault="00040599" w:rsidP="00887C20">
            <w:r w:rsidRPr="0090201F">
              <w:t>fly</w:t>
            </w:r>
            <w:r w:rsidR="00302B89" w:rsidRPr="0090201F">
              <w:t>-in, fly-out</w:t>
            </w:r>
          </w:p>
        </w:tc>
      </w:tr>
      <w:tr w:rsidR="00302B89" w14:paraId="70BD3F5F" w14:textId="77777777" w:rsidTr="001475AA">
        <w:trPr>
          <w:trHeight w:val="340"/>
        </w:trPr>
        <w:tc>
          <w:tcPr>
            <w:tcW w:w="1838" w:type="dxa"/>
          </w:tcPr>
          <w:p w14:paraId="061961A6" w14:textId="77777777" w:rsidR="00302B89" w:rsidRPr="0090201F" w:rsidRDefault="00302B89" w:rsidP="00887C20">
            <w:r w:rsidRPr="0090201F">
              <w:t>GST</w:t>
            </w:r>
          </w:p>
        </w:tc>
        <w:tc>
          <w:tcPr>
            <w:tcW w:w="8470" w:type="dxa"/>
          </w:tcPr>
          <w:p w14:paraId="16C3CDDC" w14:textId="77777777" w:rsidR="00302B89" w:rsidRPr="0090201F" w:rsidRDefault="00040599" w:rsidP="00887C20">
            <w:r w:rsidRPr="0090201F">
              <w:t xml:space="preserve">goods </w:t>
            </w:r>
            <w:r w:rsidR="00302B89" w:rsidRPr="0090201F">
              <w:t>and services tax</w:t>
            </w:r>
          </w:p>
        </w:tc>
      </w:tr>
      <w:tr w:rsidR="00A314E5" w14:paraId="39B72A55" w14:textId="77777777" w:rsidTr="00A314E5">
        <w:trPr>
          <w:trHeight w:val="340"/>
        </w:trPr>
        <w:tc>
          <w:tcPr>
            <w:tcW w:w="1838" w:type="dxa"/>
          </w:tcPr>
          <w:p w14:paraId="2735002C" w14:textId="77777777" w:rsidR="00A314E5" w:rsidRPr="0090201F" w:rsidRDefault="00A314E5" w:rsidP="00A314E5">
            <w:r w:rsidRPr="0090201F">
              <w:t>INTRA</w:t>
            </w:r>
          </w:p>
        </w:tc>
        <w:tc>
          <w:tcPr>
            <w:tcW w:w="8470" w:type="dxa"/>
          </w:tcPr>
          <w:p w14:paraId="375457C0" w14:textId="77777777" w:rsidR="00A314E5" w:rsidRPr="0090201F" w:rsidRDefault="00A314E5" w:rsidP="00A314E5">
            <w:r w:rsidRPr="0090201F">
              <w:t>TRO’s on-line integrated revenue application</w:t>
            </w:r>
          </w:p>
        </w:tc>
      </w:tr>
      <w:tr w:rsidR="00302B89" w14:paraId="2F4C5C8D" w14:textId="77777777" w:rsidTr="001475AA">
        <w:trPr>
          <w:trHeight w:val="340"/>
        </w:trPr>
        <w:tc>
          <w:tcPr>
            <w:tcW w:w="1838" w:type="dxa"/>
          </w:tcPr>
          <w:p w14:paraId="42DFC097" w14:textId="77777777" w:rsidR="00302B89" w:rsidRPr="0090201F" w:rsidRDefault="00302B89" w:rsidP="00887C20">
            <w:r w:rsidRPr="0090201F">
              <w:t xml:space="preserve">ITAA </w:t>
            </w:r>
          </w:p>
        </w:tc>
        <w:tc>
          <w:tcPr>
            <w:tcW w:w="8470" w:type="dxa"/>
          </w:tcPr>
          <w:p w14:paraId="1CEC4629" w14:textId="77777777" w:rsidR="00302B89" w:rsidRPr="0090201F" w:rsidRDefault="00302B89" w:rsidP="00887C20">
            <w:r w:rsidRPr="00DA1A72">
              <w:rPr>
                <w:i/>
              </w:rPr>
              <w:t>Income Tax Assessment Act 1997</w:t>
            </w:r>
            <w:r w:rsidRPr="0090201F">
              <w:t xml:space="preserve"> (Commonwealth)</w:t>
            </w:r>
          </w:p>
        </w:tc>
      </w:tr>
      <w:tr w:rsidR="00302B89" w14:paraId="1E2E8F7A" w14:textId="77777777" w:rsidTr="001475AA">
        <w:trPr>
          <w:trHeight w:val="340"/>
        </w:trPr>
        <w:tc>
          <w:tcPr>
            <w:tcW w:w="1838" w:type="dxa"/>
          </w:tcPr>
          <w:p w14:paraId="1F8755E8" w14:textId="77777777" w:rsidR="00302B89" w:rsidRPr="0090201F" w:rsidRDefault="00302B89" w:rsidP="00800F85">
            <w:r w:rsidRPr="0090201F">
              <w:t>LAF</w:t>
            </w:r>
            <w:r w:rsidR="00800F85">
              <w:t>H</w:t>
            </w:r>
            <w:r w:rsidRPr="0090201F">
              <w:t>A</w:t>
            </w:r>
          </w:p>
        </w:tc>
        <w:tc>
          <w:tcPr>
            <w:tcW w:w="8470" w:type="dxa"/>
          </w:tcPr>
          <w:p w14:paraId="25F7601A" w14:textId="77777777" w:rsidR="00302B89" w:rsidRPr="0090201F" w:rsidRDefault="00040599" w:rsidP="00887C20">
            <w:r w:rsidRPr="0090201F">
              <w:t>living away from home allowance</w:t>
            </w:r>
          </w:p>
        </w:tc>
      </w:tr>
      <w:tr w:rsidR="00302B89" w14:paraId="56CC4564" w14:textId="77777777" w:rsidTr="001475AA">
        <w:trPr>
          <w:trHeight w:val="340"/>
        </w:trPr>
        <w:tc>
          <w:tcPr>
            <w:tcW w:w="1838" w:type="dxa"/>
          </w:tcPr>
          <w:p w14:paraId="7B43007A" w14:textId="77777777" w:rsidR="00302B89" w:rsidRPr="0090201F" w:rsidRDefault="00302B89" w:rsidP="00887C20">
            <w:r w:rsidRPr="0090201F">
              <w:t>MDA</w:t>
            </w:r>
          </w:p>
        </w:tc>
        <w:tc>
          <w:tcPr>
            <w:tcW w:w="8470" w:type="dxa"/>
          </w:tcPr>
          <w:p w14:paraId="54763B42" w14:textId="77777777" w:rsidR="00302B89" w:rsidRPr="0090201F" w:rsidRDefault="00040599" w:rsidP="00887C20">
            <w:r w:rsidRPr="0090201F">
              <w:t>monthly deductible amount (taxpayer’s monthly tax-free entitlement)</w:t>
            </w:r>
          </w:p>
        </w:tc>
      </w:tr>
      <w:tr w:rsidR="00302B89" w14:paraId="01372645" w14:textId="77777777" w:rsidTr="001475AA">
        <w:trPr>
          <w:trHeight w:val="340"/>
        </w:trPr>
        <w:tc>
          <w:tcPr>
            <w:tcW w:w="1838" w:type="dxa"/>
          </w:tcPr>
          <w:p w14:paraId="758EF52D" w14:textId="77777777" w:rsidR="00302B89" w:rsidRPr="0090201F" w:rsidRDefault="00302B89" w:rsidP="00887C20">
            <w:r w:rsidRPr="0090201F">
              <w:t>NT</w:t>
            </w:r>
          </w:p>
        </w:tc>
        <w:tc>
          <w:tcPr>
            <w:tcW w:w="8470" w:type="dxa"/>
          </w:tcPr>
          <w:p w14:paraId="0860B61D" w14:textId="77777777" w:rsidR="00302B89" w:rsidRPr="0090201F" w:rsidRDefault="00302B89" w:rsidP="00887C20">
            <w:r w:rsidRPr="0090201F">
              <w:t xml:space="preserve">Northern Territory </w:t>
            </w:r>
          </w:p>
        </w:tc>
      </w:tr>
      <w:tr w:rsidR="00302B89" w14:paraId="14A4C6FD" w14:textId="77777777" w:rsidTr="001475AA">
        <w:trPr>
          <w:trHeight w:val="340"/>
        </w:trPr>
        <w:tc>
          <w:tcPr>
            <w:tcW w:w="1838" w:type="dxa"/>
          </w:tcPr>
          <w:p w14:paraId="3BC3CD3B" w14:textId="77777777" w:rsidR="00302B89" w:rsidRPr="0090201F" w:rsidRDefault="00302B89" w:rsidP="00887C20">
            <w:r w:rsidRPr="0090201F">
              <w:t xml:space="preserve">PRTA </w:t>
            </w:r>
          </w:p>
        </w:tc>
        <w:tc>
          <w:tcPr>
            <w:tcW w:w="8470" w:type="dxa"/>
          </w:tcPr>
          <w:p w14:paraId="61A511B2" w14:textId="77777777" w:rsidR="00302B89" w:rsidRPr="0090201F" w:rsidRDefault="00302B89" w:rsidP="00887C20">
            <w:r w:rsidRPr="00DA1A72">
              <w:rPr>
                <w:i/>
              </w:rPr>
              <w:t>Payroll Tax Act</w:t>
            </w:r>
            <w:r w:rsidR="00016B66">
              <w:rPr>
                <w:i/>
              </w:rPr>
              <w:t xml:space="preserve"> 2009</w:t>
            </w:r>
            <w:r w:rsidRPr="0090201F">
              <w:t xml:space="preserve"> (NT)</w:t>
            </w:r>
          </w:p>
        </w:tc>
      </w:tr>
      <w:tr w:rsidR="00302B89" w14:paraId="4275F9D7" w14:textId="77777777" w:rsidTr="001475AA">
        <w:trPr>
          <w:trHeight w:val="340"/>
        </w:trPr>
        <w:tc>
          <w:tcPr>
            <w:tcW w:w="1838" w:type="dxa"/>
          </w:tcPr>
          <w:p w14:paraId="10728BEA" w14:textId="77777777" w:rsidR="00302B89" w:rsidRPr="0090201F" w:rsidRDefault="00302B89" w:rsidP="00887C20">
            <w:r w:rsidRPr="0090201F">
              <w:t>SA</w:t>
            </w:r>
          </w:p>
        </w:tc>
        <w:tc>
          <w:tcPr>
            <w:tcW w:w="8470" w:type="dxa"/>
          </w:tcPr>
          <w:p w14:paraId="156E45BC" w14:textId="77777777" w:rsidR="00302B89" w:rsidRPr="0090201F" w:rsidRDefault="00302B89" w:rsidP="00887C20">
            <w:r w:rsidRPr="0090201F">
              <w:t>South Australia</w:t>
            </w:r>
          </w:p>
        </w:tc>
      </w:tr>
      <w:tr w:rsidR="00302B89" w14:paraId="10D98801" w14:textId="77777777" w:rsidTr="001475AA">
        <w:trPr>
          <w:trHeight w:val="340"/>
        </w:trPr>
        <w:tc>
          <w:tcPr>
            <w:tcW w:w="1838" w:type="dxa"/>
          </w:tcPr>
          <w:p w14:paraId="42FE7DF4" w14:textId="77777777" w:rsidR="00302B89" w:rsidRPr="0090201F" w:rsidRDefault="00040599" w:rsidP="00887C20">
            <w:r w:rsidRPr="0090201F">
              <w:t>states</w:t>
            </w:r>
          </w:p>
        </w:tc>
        <w:tc>
          <w:tcPr>
            <w:tcW w:w="8470" w:type="dxa"/>
          </w:tcPr>
          <w:p w14:paraId="3832D31B" w14:textId="77777777" w:rsidR="00302B89" w:rsidRPr="0090201F" w:rsidRDefault="00302B89" w:rsidP="00887C20">
            <w:r w:rsidRPr="0090201F">
              <w:t>Includes the Australian Capital Territory and the Northern Territory</w:t>
            </w:r>
          </w:p>
        </w:tc>
      </w:tr>
      <w:tr w:rsidR="00302B89" w14:paraId="08A53E46" w14:textId="77777777" w:rsidTr="001475AA">
        <w:trPr>
          <w:trHeight w:val="340"/>
        </w:trPr>
        <w:tc>
          <w:tcPr>
            <w:tcW w:w="1838" w:type="dxa"/>
          </w:tcPr>
          <w:p w14:paraId="04435600" w14:textId="77777777" w:rsidR="00302B89" w:rsidRPr="0090201F" w:rsidRDefault="00302B89" w:rsidP="00887C20">
            <w:r w:rsidRPr="0090201F">
              <w:t>TA</w:t>
            </w:r>
          </w:p>
        </w:tc>
        <w:tc>
          <w:tcPr>
            <w:tcW w:w="8470" w:type="dxa"/>
          </w:tcPr>
          <w:p w14:paraId="2646E3FE" w14:textId="77777777" w:rsidR="00302B89" w:rsidRPr="0090201F" w:rsidRDefault="00040599" w:rsidP="00887C20">
            <w:r w:rsidRPr="0090201F">
              <w:t xml:space="preserve">travel </w:t>
            </w:r>
            <w:r w:rsidR="00302B89" w:rsidRPr="0090201F">
              <w:t>allowance</w:t>
            </w:r>
          </w:p>
        </w:tc>
      </w:tr>
      <w:tr w:rsidR="00302B89" w14:paraId="1E901AE2" w14:textId="77777777" w:rsidTr="001475AA">
        <w:trPr>
          <w:trHeight w:val="340"/>
        </w:trPr>
        <w:tc>
          <w:tcPr>
            <w:tcW w:w="1838" w:type="dxa"/>
          </w:tcPr>
          <w:p w14:paraId="4652C358" w14:textId="77777777" w:rsidR="00302B89" w:rsidRPr="0090201F" w:rsidRDefault="00302B89" w:rsidP="00887C20">
            <w:r w:rsidRPr="0090201F">
              <w:t xml:space="preserve">TAA </w:t>
            </w:r>
          </w:p>
        </w:tc>
        <w:tc>
          <w:tcPr>
            <w:tcW w:w="8470" w:type="dxa"/>
          </w:tcPr>
          <w:p w14:paraId="701CDE7B" w14:textId="77777777" w:rsidR="00302B89" w:rsidRPr="0090201F" w:rsidRDefault="00302B89" w:rsidP="00887C20">
            <w:r w:rsidRPr="00DA1A72">
              <w:rPr>
                <w:i/>
              </w:rPr>
              <w:t>Taxation Administration Act</w:t>
            </w:r>
            <w:r w:rsidR="00016B66">
              <w:rPr>
                <w:i/>
              </w:rPr>
              <w:t xml:space="preserve"> 2007</w:t>
            </w:r>
            <w:r w:rsidRPr="0090201F">
              <w:t xml:space="preserve"> (NT)</w:t>
            </w:r>
          </w:p>
        </w:tc>
      </w:tr>
      <w:tr w:rsidR="00302B89" w14:paraId="50877625" w14:textId="77777777" w:rsidTr="001475AA">
        <w:trPr>
          <w:trHeight w:val="340"/>
        </w:trPr>
        <w:tc>
          <w:tcPr>
            <w:tcW w:w="1838" w:type="dxa"/>
          </w:tcPr>
          <w:p w14:paraId="19640FDE" w14:textId="77777777" w:rsidR="00302B89" w:rsidRPr="0090201F" w:rsidRDefault="00302B89" w:rsidP="00887C20">
            <w:r w:rsidRPr="0090201F">
              <w:t>TPAR</w:t>
            </w:r>
          </w:p>
        </w:tc>
        <w:tc>
          <w:tcPr>
            <w:tcW w:w="8470" w:type="dxa"/>
          </w:tcPr>
          <w:p w14:paraId="2EC1813B" w14:textId="77777777" w:rsidR="00302B89" w:rsidRPr="0090201F" w:rsidRDefault="00302B89" w:rsidP="00887C20">
            <w:r w:rsidRPr="0090201F">
              <w:t>Taxable Payments Annual Report</w:t>
            </w:r>
          </w:p>
        </w:tc>
      </w:tr>
      <w:tr w:rsidR="00302B89" w14:paraId="35AED1C1" w14:textId="77777777" w:rsidTr="001475AA">
        <w:trPr>
          <w:trHeight w:val="340"/>
        </w:trPr>
        <w:tc>
          <w:tcPr>
            <w:tcW w:w="1838" w:type="dxa"/>
          </w:tcPr>
          <w:p w14:paraId="77CC4EBE" w14:textId="77777777" w:rsidR="00302B89" w:rsidRPr="0090201F" w:rsidRDefault="00302B89" w:rsidP="00887C20">
            <w:r w:rsidRPr="0090201F">
              <w:t xml:space="preserve">TRO </w:t>
            </w:r>
          </w:p>
        </w:tc>
        <w:tc>
          <w:tcPr>
            <w:tcW w:w="8470" w:type="dxa"/>
          </w:tcPr>
          <w:p w14:paraId="73F5BF0A" w14:textId="77777777" w:rsidR="00302B89" w:rsidRDefault="00302B89" w:rsidP="00887C20">
            <w:r w:rsidRPr="0090201F">
              <w:t>Territory Revenue Office</w:t>
            </w:r>
          </w:p>
        </w:tc>
      </w:tr>
    </w:tbl>
    <w:p w14:paraId="0EB19AFB" w14:textId="77777777" w:rsidR="00016B66" w:rsidRDefault="00016B66" w:rsidP="00302B89">
      <w:pPr>
        <w:pStyle w:val="Heading1"/>
        <w:rPr>
          <w:noProof/>
          <w:lang w:eastAsia="en-AU"/>
        </w:rPr>
      </w:pPr>
    </w:p>
    <w:p w14:paraId="4E9335B2" w14:textId="77777777" w:rsidR="00016B66" w:rsidRDefault="00016B66" w:rsidP="00016B66">
      <w:pPr>
        <w:rPr>
          <w:rFonts w:asciiTheme="majorHAnsi" w:eastAsiaTheme="majorEastAsia" w:hAnsiTheme="majorHAnsi" w:cstheme="majorBidi"/>
          <w:noProof/>
          <w:color w:val="1F1F5F" w:themeColor="text1"/>
          <w:kern w:val="32"/>
          <w:sz w:val="36"/>
          <w:szCs w:val="32"/>
          <w:lang w:eastAsia="en-AU"/>
        </w:rPr>
      </w:pPr>
      <w:r>
        <w:rPr>
          <w:noProof/>
          <w:lang w:eastAsia="en-AU"/>
        </w:rPr>
        <w:br w:type="page"/>
      </w:r>
    </w:p>
    <w:p w14:paraId="007FD572" w14:textId="77777777" w:rsidR="00375B9D" w:rsidRPr="00375B9D" w:rsidRDefault="00375B9D" w:rsidP="00302B89">
      <w:pPr>
        <w:pStyle w:val="Heading1"/>
        <w:rPr>
          <w:noProof/>
          <w:lang w:eastAsia="en-AU"/>
        </w:rPr>
      </w:pPr>
      <w:bookmarkStart w:id="5" w:name="_Toc108789560"/>
      <w:r w:rsidRPr="00375B9D">
        <w:rPr>
          <w:noProof/>
          <w:lang w:eastAsia="en-AU"/>
        </w:rPr>
        <w:lastRenderedPageBreak/>
        <w:t xml:space="preserve">Making it </w:t>
      </w:r>
      <w:r w:rsidR="003D3E27" w:rsidRPr="00F4299A">
        <w:t>easier</w:t>
      </w:r>
      <w:r w:rsidRPr="00375B9D">
        <w:rPr>
          <w:noProof/>
          <w:lang w:eastAsia="en-AU"/>
        </w:rPr>
        <w:t xml:space="preserve"> for </w:t>
      </w:r>
      <w:r w:rsidR="000A37EB">
        <w:rPr>
          <w:noProof/>
          <w:lang w:eastAsia="en-AU"/>
        </w:rPr>
        <w:t>b</w:t>
      </w:r>
      <w:r w:rsidRPr="00375B9D">
        <w:rPr>
          <w:noProof/>
          <w:lang w:eastAsia="en-AU"/>
        </w:rPr>
        <w:t xml:space="preserve">usinesses and </w:t>
      </w:r>
      <w:r w:rsidR="000A37EB">
        <w:rPr>
          <w:noProof/>
          <w:lang w:eastAsia="en-AU"/>
        </w:rPr>
        <w:t>t</w:t>
      </w:r>
      <w:r w:rsidRPr="00375B9D">
        <w:rPr>
          <w:noProof/>
          <w:lang w:eastAsia="en-AU"/>
        </w:rPr>
        <w:t>axpayers</w:t>
      </w:r>
      <w:bookmarkEnd w:id="5"/>
    </w:p>
    <w:p w14:paraId="432C197B" w14:textId="77777777" w:rsidR="00375B9D" w:rsidRPr="00375B9D" w:rsidRDefault="00375B9D" w:rsidP="00375B9D">
      <w:pPr>
        <w:rPr>
          <w:noProof/>
          <w:lang w:eastAsia="en-AU"/>
        </w:rPr>
      </w:pPr>
      <w:r w:rsidRPr="00375B9D">
        <w:rPr>
          <w:noProof/>
          <w:lang w:eastAsia="en-AU"/>
        </w:rPr>
        <w:t>The Territory Revenue Office (TRO) is committed to making it easier for businesses and taxpayers to understand and accurately calculate and pay their payroll tax obligations, regardless of whether they have a Territory-only or multi-state operation.</w:t>
      </w:r>
    </w:p>
    <w:p w14:paraId="0DDA5DD4" w14:textId="77777777" w:rsidR="00375B9D" w:rsidRPr="00375B9D" w:rsidRDefault="00375B9D" w:rsidP="00375B9D">
      <w:pPr>
        <w:rPr>
          <w:noProof/>
          <w:lang w:eastAsia="en-AU"/>
        </w:rPr>
      </w:pPr>
      <w:r w:rsidRPr="00375B9D">
        <w:rPr>
          <w:noProof/>
          <w:lang w:eastAsia="en-AU"/>
        </w:rPr>
        <w:t>To achieve this, TRO has:</w:t>
      </w:r>
    </w:p>
    <w:p w14:paraId="0D4E3A4D" w14:textId="77777777" w:rsidR="00375B9D" w:rsidRPr="00375B9D" w:rsidRDefault="00375B9D" w:rsidP="00AE756D">
      <w:pPr>
        <w:pStyle w:val="DTFBulletlist"/>
      </w:pPr>
      <w:r w:rsidRPr="00375B9D">
        <w:t>provided this plain English language guide designed for an audience of people associated with accounting, payroll and taxation functions in businesses</w:t>
      </w:r>
    </w:p>
    <w:p w14:paraId="0D1F5CDD" w14:textId="77777777" w:rsidR="00375B9D" w:rsidRPr="00375B9D" w:rsidRDefault="00375B9D" w:rsidP="00AE756D">
      <w:pPr>
        <w:pStyle w:val="DTFBulletlist"/>
      </w:pPr>
      <w:r w:rsidRPr="00375B9D">
        <w:t>along with other states, participated in the payroll tax harmonisation program, to ensure taxable wages are treated consistently in each state</w:t>
      </w:r>
    </w:p>
    <w:p w14:paraId="073A494E" w14:textId="77777777" w:rsidR="00375B9D" w:rsidRPr="00375B9D" w:rsidRDefault="00375B9D" w:rsidP="00AE756D">
      <w:pPr>
        <w:pStyle w:val="DTFBulletlist"/>
      </w:pPr>
      <w:r w:rsidRPr="00375B9D">
        <w:t>developed a single on-line contact point for all payroll tax-related information, guidelines, forms, guides and legislation</w:t>
      </w:r>
    </w:p>
    <w:p w14:paraId="621ADF98" w14:textId="77777777" w:rsidR="00375B9D" w:rsidRDefault="00375B9D" w:rsidP="00AE756D">
      <w:pPr>
        <w:pStyle w:val="DTFBulletlist"/>
      </w:pPr>
      <w:r w:rsidRPr="00375B9D">
        <w:t>provided access to the Integrated Revenue Application (INTRA) on-line returns facility, which automatically calculates a taxpayer’s tax-free entitlement, net taxable wages, and payroll tax liability from wages information loaded by the taxpayer from its accounting and tax records.</w:t>
      </w:r>
    </w:p>
    <w:tbl>
      <w:tblPr>
        <w:tblStyle w:val="DTFpayrolltaxguidestyle1"/>
        <w:tblW w:w="10206" w:type="dxa"/>
        <w:tblLook w:val="04A0" w:firstRow="1" w:lastRow="0" w:firstColumn="1" w:lastColumn="0" w:noHBand="0" w:noVBand="1"/>
        <w:tblDescription w:val="Links to Further Information"/>
      </w:tblPr>
      <w:tblGrid>
        <w:gridCol w:w="10206"/>
      </w:tblGrid>
      <w:tr w:rsidR="00375B9D" w:rsidRPr="00375B9D" w14:paraId="545BBEB9" w14:textId="77777777" w:rsidTr="00937629">
        <w:trPr>
          <w:trHeight w:val="907"/>
          <w:tblHeader/>
        </w:trPr>
        <w:tc>
          <w:tcPr>
            <w:tcW w:w="10206" w:type="dxa"/>
          </w:tcPr>
          <w:p w14:paraId="3C00B524" w14:textId="77777777" w:rsidR="00375B9D" w:rsidRPr="00F43908" w:rsidRDefault="00375B9D" w:rsidP="00375B9D">
            <w:pPr>
              <w:spacing w:after="200"/>
              <w:rPr>
                <w:b/>
                <w:noProof/>
                <w:color w:val="1F1F5F" w:themeColor="text1"/>
                <w:lang w:eastAsia="en-AU"/>
              </w:rPr>
            </w:pPr>
            <w:r w:rsidRPr="00F43908">
              <w:rPr>
                <w:b/>
                <w:noProof/>
                <w:color w:val="1F1F5F" w:themeColor="text1"/>
                <w:lang w:eastAsia="en-AU"/>
              </w:rPr>
              <w:t xml:space="preserve">Links to </w:t>
            </w:r>
            <w:r w:rsidR="00B971B0">
              <w:rPr>
                <w:b/>
                <w:noProof/>
                <w:color w:val="1F1F5F" w:themeColor="text1"/>
                <w:lang w:eastAsia="en-AU"/>
              </w:rPr>
              <w:t>f</w:t>
            </w:r>
            <w:r w:rsidRPr="00F43908">
              <w:rPr>
                <w:b/>
                <w:noProof/>
                <w:color w:val="1F1F5F" w:themeColor="text1"/>
                <w:lang w:eastAsia="en-AU"/>
              </w:rPr>
              <w:t xml:space="preserve">urther </w:t>
            </w:r>
            <w:r w:rsidR="00B971B0">
              <w:rPr>
                <w:b/>
                <w:noProof/>
                <w:color w:val="1F1F5F" w:themeColor="text1"/>
                <w:lang w:eastAsia="en-AU"/>
              </w:rPr>
              <w:t>i</w:t>
            </w:r>
            <w:r w:rsidRPr="00F43908">
              <w:rPr>
                <w:b/>
                <w:noProof/>
                <w:color w:val="1F1F5F" w:themeColor="text1"/>
                <w:lang w:eastAsia="en-AU"/>
              </w:rPr>
              <w:t>nformation</w:t>
            </w:r>
          </w:p>
          <w:p w14:paraId="023207A4" w14:textId="77777777" w:rsidR="00375B9D" w:rsidRPr="00375B9D" w:rsidRDefault="00375B9D" w:rsidP="00375B9D">
            <w:pPr>
              <w:spacing w:after="200"/>
              <w:rPr>
                <w:noProof/>
                <w:lang w:eastAsia="en-AU"/>
              </w:rPr>
            </w:pPr>
            <w:r w:rsidRPr="00375B9D">
              <w:rPr>
                <w:noProof/>
                <w:lang w:eastAsia="en-AU"/>
              </w:rPr>
              <w:t xml:space="preserve">References are made throughout this guide to various Revenue Circulars, Payroll Tax Rulings, Commissioner’s Guidelines, Information Bulletins and forms. These can be accessed from the TRO website at </w:t>
            </w:r>
            <w:hyperlink r:id="rId19" w:history="1">
              <w:r w:rsidRPr="00375B9D">
                <w:rPr>
                  <w:rStyle w:val="Hyperlink"/>
                  <w:noProof/>
                  <w:lang w:eastAsia="en-AU"/>
                </w:rPr>
                <w:t>www.revenue.nt.gov.au</w:t>
              </w:r>
            </w:hyperlink>
            <w:r w:rsidRPr="00375B9D">
              <w:rPr>
                <w:noProof/>
                <w:lang w:eastAsia="en-AU"/>
              </w:rPr>
              <w:t>.</w:t>
            </w:r>
          </w:p>
        </w:tc>
      </w:tr>
    </w:tbl>
    <w:p w14:paraId="5EB09620" w14:textId="77777777" w:rsidR="00375B9D" w:rsidRPr="00375B9D" w:rsidRDefault="00375B9D" w:rsidP="00375B9D">
      <w:pPr>
        <w:rPr>
          <w:noProof/>
          <w:lang w:eastAsia="en-AU"/>
        </w:rPr>
      </w:pPr>
    </w:p>
    <w:tbl>
      <w:tblPr>
        <w:tblStyle w:val="DTFpayrolltaxguidestyle1"/>
        <w:tblW w:w="10206" w:type="dxa"/>
        <w:tblLook w:val="04A0" w:firstRow="1" w:lastRow="0" w:firstColumn="1" w:lastColumn="0" w:noHBand="0" w:noVBand="1"/>
        <w:tblDescription w:val="IMPORTANT DISCLOSURE"/>
      </w:tblPr>
      <w:tblGrid>
        <w:gridCol w:w="10206"/>
      </w:tblGrid>
      <w:tr w:rsidR="00375B9D" w:rsidRPr="00375B9D" w14:paraId="730E823F" w14:textId="77777777" w:rsidTr="00937629">
        <w:trPr>
          <w:trHeight w:val="4416"/>
          <w:tblHeader/>
        </w:trPr>
        <w:tc>
          <w:tcPr>
            <w:tcW w:w="10206" w:type="dxa"/>
          </w:tcPr>
          <w:p w14:paraId="377C2F14" w14:textId="77777777" w:rsidR="00375B9D" w:rsidRPr="00F43908" w:rsidRDefault="00375B9D" w:rsidP="00375B9D">
            <w:pPr>
              <w:spacing w:after="200"/>
              <w:rPr>
                <w:b/>
                <w:noProof/>
                <w:color w:val="1F1F5F" w:themeColor="text1"/>
                <w:lang w:eastAsia="en-AU"/>
              </w:rPr>
            </w:pPr>
            <w:r w:rsidRPr="00F43908">
              <w:rPr>
                <w:b/>
                <w:noProof/>
                <w:color w:val="1F1F5F" w:themeColor="text1"/>
                <w:lang w:eastAsia="en-AU"/>
              </w:rPr>
              <w:t>IMPORTANT DISCLOSURE</w:t>
            </w:r>
          </w:p>
          <w:p w14:paraId="3226E9DC" w14:textId="77777777" w:rsidR="00375B9D" w:rsidRPr="00F43908" w:rsidRDefault="00375B9D" w:rsidP="00375B9D">
            <w:pPr>
              <w:spacing w:after="200"/>
              <w:rPr>
                <w:b/>
                <w:noProof/>
                <w:lang w:eastAsia="en-AU"/>
              </w:rPr>
            </w:pPr>
            <w:r w:rsidRPr="00F43908">
              <w:rPr>
                <w:b/>
                <w:noProof/>
                <w:lang w:eastAsia="en-AU"/>
              </w:rPr>
              <w:t>Sharing of taxpayer, business and employer information with states and Commonwealth</w:t>
            </w:r>
          </w:p>
          <w:p w14:paraId="19E65D5D" w14:textId="77777777" w:rsidR="00375B9D" w:rsidRPr="00375B9D" w:rsidRDefault="00375B9D" w:rsidP="00375B9D">
            <w:pPr>
              <w:spacing w:after="200"/>
              <w:rPr>
                <w:noProof/>
                <w:lang w:eastAsia="en-AU"/>
              </w:rPr>
            </w:pPr>
            <w:r w:rsidRPr="00375B9D">
              <w:rPr>
                <w:noProof/>
                <w:lang w:eastAsia="en-AU"/>
              </w:rPr>
              <w:t>Under agreements between the Commonwealth and states, TRO has access to a wide range of Commonwealth and state information regarding individuals and businesses where this information is relevant to payroll tax.</w:t>
            </w:r>
          </w:p>
          <w:p w14:paraId="3598745B" w14:textId="77777777" w:rsidR="00375B9D" w:rsidRPr="00375B9D" w:rsidRDefault="00375B9D" w:rsidP="00375B9D">
            <w:pPr>
              <w:spacing w:after="200"/>
              <w:rPr>
                <w:noProof/>
                <w:lang w:eastAsia="en-AU"/>
              </w:rPr>
            </w:pPr>
            <w:r w:rsidRPr="00375B9D">
              <w:rPr>
                <w:noProof/>
                <w:lang w:eastAsia="en-AU"/>
              </w:rPr>
              <w:t>This information includes income tax and fringe benefits tax returns, business activity statements, real estate holdings, and various NT Government databases.</w:t>
            </w:r>
          </w:p>
          <w:p w14:paraId="34B48A0C" w14:textId="77777777" w:rsidR="00375B9D" w:rsidRPr="00375B9D" w:rsidRDefault="00375B9D" w:rsidP="00375B9D">
            <w:pPr>
              <w:spacing w:after="200"/>
              <w:rPr>
                <w:noProof/>
                <w:lang w:eastAsia="en-AU"/>
              </w:rPr>
            </w:pPr>
            <w:r w:rsidRPr="00375B9D">
              <w:rPr>
                <w:noProof/>
                <w:lang w:eastAsia="en-AU"/>
              </w:rPr>
              <w:t xml:space="preserve">This information is regularly reviewed, using specific data-matching programs in order to identify any taxpayers that may be inadvertently or otherwise under-declaring (or over-declaring) wages, benefits and other payments subject to payroll tax. </w:t>
            </w:r>
          </w:p>
          <w:p w14:paraId="0D20B0AD" w14:textId="77777777" w:rsidR="00375B9D" w:rsidRPr="00375B9D" w:rsidRDefault="00375B9D" w:rsidP="00375B9D">
            <w:pPr>
              <w:spacing w:after="200"/>
              <w:rPr>
                <w:noProof/>
                <w:lang w:eastAsia="en-AU"/>
              </w:rPr>
            </w:pPr>
            <w:r w:rsidRPr="00375B9D">
              <w:rPr>
                <w:noProof/>
                <w:lang w:eastAsia="en-AU"/>
              </w:rPr>
              <w:t>This information forms the basis of the majority of TRO’s compliance investigations.</w:t>
            </w:r>
          </w:p>
          <w:p w14:paraId="3A2686CF" w14:textId="77777777" w:rsidR="00375B9D" w:rsidRPr="00375B9D" w:rsidRDefault="00375B9D" w:rsidP="00375B9D">
            <w:pPr>
              <w:spacing w:after="200"/>
              <w:rPr>
                <w:noProof/>
                <w:lang w:eastAsia="en-AU"/>
              </w:rPr>
            </w:pPr>
            <w:r w:rsidRPr="00375B9D">
              <w:rPr>
                <w:noProof/>
                <w:lang w:eastAsia="en-AU"/>
              </w:rPr>
              <w:t>In addition, TRO has access to other publicly available information such as business name, Australian Business Number (ABN) and GST registrations, and company directorships and shareholdings.</w:t>
            </w:r>
          </w:p>
        </w:tc>
      </w:tr>
    </w:tbl>
    <w:p w14:paraId="0EA79CEE" w14:textId="77777777" w:rsidR="00375B9D" w:rsidRPr="00375B9D" w:rsidRDefault="00375B9D" w:rsidP="00375B9D">
      <w:pPr>
        <w:rPr>
          <w:noProof/>
          <w:lang w:eastAsia="en-AU"/>
        </w:rPr>
      </w:pPr>
    </w:p>
    <w:p w14:paraId="4F3C1B9F" w14:textId="77777777" w:rsidR="00375B9D" w:rsidRPr="00375B9D" w:rsidRDefault="00375B9D" w:rsidP="001A0F26">
      <w:pPr>
        <w:pStyle w:val="Heading1"/>
        <w:rPr>
          <w:noProof/>
          <w:lang w:eastAsia="en-AU"/>
        </w:rPr>
      </w:pPr>
      <w:bookmarkStart w:id="6" w:name="_What_is_Payroll"/>
      <w:bookmarkEnd w:id="6"/>
      <w:r w:rsidRPr="00375B9D">
        <w:rPr>
          <w:noProof/>
          <w:lang w:eastAsia="en-AU"/>
        </w:rPr>
        <w:br w:type="page"/>
      </w:r>
      <w:bookmarkStart w:id="7" w:name="WhatIsPayrollTax"/>
      <w:bookmarkStart w:id="8" w:name="_Toc108789561"/>
      <w:r w:rsidRPr="00375B9D">
        <w:rPr>
          <w:noProof/>
          <w:lang w:eastAsia="en-AU"/>
        </w:rPr>
        <w:lastRenderedPageBreak/>
        <w:t xml:space="preserve">What is </w:t>
      </w:r>
      <w:r w:rsidR="008F7957">
        <w:rPr>
          <w:noProof/>
          <w:lang w:eastAsia="en-AU"/>
        </w:rPr>
        <w:t>p</w:t>
      </w:r>
      <w:r w:rsidRPr="00375B9D">
        <w:rPr>
          <w:noProof/>
          <w:lang w:eastAsia="en-AU"/>
        </w:rPr>
        <w:t xml:space="preserve">ayroll </w:t>
      </w:r>
      <w:r w:rsidR="008F7957">
        <w:rPr>
          <w:noProof/>
          <w:lang w:eastAsia="en-AU"/>
        </w:rPr>
        <w:t>t</w:t>
      </w:r>
      <w:r w:rsidRPr="00375B9D">
        <w:rPr>
          <w:noProof/>
          <w:lang w:eastAsia="en-AU"/>
        </w:rPr>
        <w:t>ax?</w:t>
      </w:r>
      <w:bookmarkEnd w:id="7"/>
      <w:bookmarkEnd w:id="8"/>
    </w:p>
    <w:p w14:paraId="4FFC6F56" w14:textId="77777777" w:rsidR="00375B9D" w:rsidRPr="00375B9D" w:rsidRDefault="00375B9D" w:rsidP="00AE756D">
      <w:pPr>
        <w:pStyle w:val="DTFBulletlist"/>
      </w:pPr>
      <w:r w:rsidRPr="00375B9D">
        <w:t xml:space="preserve">Payroll tax is a state and territory tax, payable by employers (not employees). </w:t>
      </w:r>
    </w:p>
    <w:p w14:paraId="22482883" w14:textId="77777777" w:rsidR="00375B9D" w:rsidRPr="00375B9D" w:rsidRDefault="00375B9D" w:rsidP="00AE756D">
      <w:pPr>
        <w:pStyle w:val="DTFBulletlist"/>
      </w:pPr>
      <w:r w:rsidRPr="00375B9D">
        <w:t xml:space="preserve">Payroll tax is calculated on the value of </w:t>
      </w:r>
      <w:r w:rsidRPr="00B7739B">
        <w:rPr>
          <w:b/>
        </w:rPr>
        <w:t>wages</w:t>
      </w:r>
      <w:r w:rsidRPr="00375B9D">
        <w:t xml:space="preserve"> paid by an employer.</w:t>
      </w:r>
    </w:p>
    <w:p w14:paraId="4546DD24" w14:textId="77777777" w:rsidR="00375B9D" w:rsidRPr="00375B9D" w:rsidRDefault="00375B9D" w:rsidP="00AE756D">
      <w:pPr>
        <w:pStyle w:val="DTFBulletlist"/>
      </w:pPr>
      <w:r w:rsidRPr="00B7739B">
        <w:rPr>
          <w:b/>
        </w:rPr>
        <w:t>Wages</w:t>
      </w:r>
      <w:r w:rsidRPr="00375B9D">
        <w:t xml:space="preserve"> include a wide range of payments and benefits for employees and directors, and in many cases, contractors and consultants – see details later in this guide (see </w:t>
      </w:r>
      <w:hyperlink w:anchor="WhatIsMeantByWages" w:history="1">
        <w:r w:rsidRPr="00375B9D">
          <w:rPr>
            <w:rStyle w:val="Hyperlink"/>
          </w:rPr>
          <w:t xml:space="preserve">What is </w:t>
        </w:r>
        <w:r w:rsidR="0050784D" w:rsidRPr="00375B9D">
          <w:rPr>
            <w:rStyle w:val="Hyperlink"/>
          </w:rPr>
          <w:t>meant by wages</w:t>
        </w:r>
        <w:r w:rsidRPr="00375B9D">
          <w:rPr>
            <w:rStyle w:val="Hyperlink"/>
          </w:rPr>
          <w:t>?</w:t>
        </w:r>
      </w:hyperlink>
      <w:r w:rsidRPr="00375B9D">
        <w:t>).</w:t>
      </w:r>
    </w:p>
    <w:p w14:paraId="4A9E86B8" w14:textId="77777777" w:rsidR="00375B9D" w:rsidRPr="00375B9D" w:rsidRDefault="00375B9D" w:rsidP="00AE756D">
      <w:pPr>
        <w:pStyle w:val="DTFBulletlist"/>
      </w:pPr>
      <w:r w:rsidRPr="00375B9D">
        <w:t>Each state and territory government has its own agency or division to administer 'own</w:t>
      </w:r>
      <w:r w:rsidR="0050784D">
        <w:t>-</w:t>
      </w:r>
      <w:r w:rsidRPr="00375B9D">
        <w:t xml:space="preserve">source revenue', including payroll tax (usually called the ‘State Revenue Office’). In the NT it is </w:t>
      </w:r>
      <w:r w:rsidRPr="00B7739B">
        <w:rPr>
          <w:b/>
        </w:rPr>
        <w:t>TRO</w:t>
      </w:r>
      <w:r w:rsidRPr="00375B9D">
        <w:t>, which is a division of the Department of Treasury and Finance.</w:t>
      </w:r>
    </w:p>
    <w:p w14:paraId="3EA3161D" w14:textId="77777777" w:rsidR="00375B9D" w:rsidRPr="00B7739B" w:rsidRDefault="00375B9D" w:rsidP="00AE756D">
      <w:pPr>
        <w:pStyle w:val="DTFBulletlist"/>
        <w:rPr>
          <w:b/>
        </w:rPr>
      </w:pPr>
      <w:r w:rsidRPr="00375B9D">
        <w:t xml:space="preserve">In the NT, payroll tax is payable monthly by any business that pays </w:t>
      </w:r>
      <w:r w:rsidRPr="00B7739B">
        <w:rPr>
          <w:b/>
        </w:rPr>
        <w:t>wages</w:t>
      </w:r>
      <w:r w:rsidRPr="00375B9D">
        <w:t xml:space="preserve"> (of any amount) in the NT, where its Australian wages (</w:t>
      </w:r>
      <w:r w:rsidRPr="00B7739B">
        <w:rPr>
          <w:b/>
        </w:rPr>
        <w:t xml:space="preserve">comprising wages paid by </w:t>
      </w:r>
      <w:r w:rsidRPr="00375B9D">
        <w:t xml:space="preserve">it, and </w:t>
      </w:r>
      <w:r w:rsidRPr="00B7739B">
        <w:rPr>
          <w:b/>
        </w:rPr>
        <w:t>grouped businesses</w:t>
      </w:r>
      <w:r w:rsidRPr="00375B9D">
        <w:t>,</w:t>
      </w:r>
      <w:r w:rsidRPr="00B7739B">
        <w:rPr>
          <w:b/>
        </w:rPr>
        <w:t xml:space="preserve"> anywhere in Australia, including the NT</w:t>
      </w:r>
      <w:r w:rsidRPr="00375B9D">
        <w:t>) is above the tax-free entitlement (threshold) of $1</w:t>
      </w:r>
      <w:r w:rsidR="00C65823">
        <w:t>,500,000</w:t>
      </w:r>
      <w:r w:rsidRPr="00375B9D">
        <w:t xml:space="preserve"> per year or $125</w:t>
      </w:r>
      <w:r w:rsidR="00C65823">
        <w:t>,000</w:t>
      </w:r>
      <w:r w:rsidRPr="00375B9D">
        <w:t xml:space="preserve"> per month (see also </w:t>
      </w:r>
      <w:hyperlink w:anchor="GroupingandPayrollTax" w:history="1">
        <w:r w:rsidRPr="00375B9D">
          <w:rPr>
            <w:rStyle w:val="Hyperlink"/>
          </w:rPr>
          <w:t xml:space="preserve">Grouping and </w:t>
        </w:r>
        <w:r w:rsidR="0050784D" w:rsidRPr="00375B9D">
          <w:rPr>
            <w:rStyle w:val="Hyperlink"/>
          </w:rPr>
          <w:t>payroll ta</w:t>
        </w:r>
        <w:r w:rsidRPr="00375B9D">
          <w:rPr>
            <w:rStyle w:val="Hyperlink"/>
          </w:rPr>
          <w:t>x</w:t>
        </w:r>
      </w:hyperlink>
      <w:r w:rsidRPr="00375B9D">
        <w:t>).</w:t>
      </w:r>
    </w:p>
    <w:p w14:paraId="11942523" w14:textId="77777777" w:rsidR="00375B9D" w:rsidRPr="00375B9D" w:rsidRDefault="00375B9D" w:rsidP="00AE756D">
      <w:pPr>
        <w:pStyle w:val="DTFBulletlist"/>
      </w:pPr>
      <w:r w:rsidRPr="00375B9D">
        <w:t>An employer makes separate monthly payroll tax returns and payments to each state or territory in which taxable wages (in excess of that state or territory’s tax-free threshold) have been paid.</w:t>
      </w:r>
    </w:p>
    <w:p w14:paraId="7B6177F1" w14:textId="77777777" w:rsidR="00375B9D" w:rsidRPr="00375B9D" w:rsidRDefault="00375B9D" w:rsidP="00AE756D">
      <w:pPr>
        <w:pStyle w:val="DTFBulletlist"/>
      </w:pPr>
      <w:r w:rsidRPr="00375B9D">
        <w:t>Payroll tax rates and tax-free thresholds vary between states and territories.</w:t>
      </w:r>
    </w:p>
    <w:p w14:paraId="65435CA6" w14:textId="77777777" w:rsidR="00375B9D" w:rsidRPr="00375B9D" w:rsidRDefault="00375B9D" w:rsidP="00AE756D">
      <w:pPr>
        <w:pStyle w:val="DTFBulletlist"/>
      </w:pPr>
      <w:r w:rsidRPr="00375B9D">
        <w:t>The tax-free threshold in each state or territory is calculated taking into account wages paid in that state and all other states, by both the employer and any business with which it is grouped.</w:t>
      </w:r>
    </w:p>
    <w:p w14:paraId="64462F22" w14:textId="77777777" w:rsidR="00375B9D" w:rsidRPr="00375B9D" w:rsidRDefault="00375B9D" w:rsidP="00AE756D">
      <w:pPr>
        <w:pStyle w:val="DTFBulletlist"/>
      </w:pPr>
      <w:r w:rsidRPr="00375B9D">
        <w:t>When the taxpayer is part of a group, one of the group members is nominated as the designated group employer (DGE). The DGE claims all of the tax-free entitlement and other group members pay payroll tax on their total NT wages.</w:t>
      </w:r>
    </w:p>
    <w:p w14:paraId="738B1B97" w14:textId="77777777" w:rsidR="00375B9D" w:rsidRPr="00375B9D" w:rsidRDefault="00375B9D" w:rsidP="00375B9D">
      <w:pPr>
        <w:rPr>
          <w:noProof/>
          <w:lang w:eastAsia="en-AU"/>
        </w:rPr>
      </w:pPr>
      <w:r w:rsidRPr="00375B9D">
        <w:rPr>
          <w:noProof/>
          <w:lang w:eastAsia="en-AU"/>
        </w:rPr>
        <w:t>The following payments are exempt from payroll tax:</w:t>
      </w:r>
    </w:p>
    <w:p w14:paraId="3AAE73CE" w14:textId="77777777" w:rsidR="00375B9D" w:rsidRPr="00375B9D" w:rsidRDefault="00375B9D" w:rsidP="00AE756D">
      <w:pPr>
        <w:pStyle w:val="DTFBulletlist"/>
      </w:pPr>
      <w:r w:rsidRPr="00375B9D">
        <w:t>workers’ compensation payments</w:t>
      </w:r>
    </w:p>
    <w:p w14:paraId="519D7ABB" w14:textId="77777777" w:rsidR="00375B9D" w:rsidRPr="00375B9D" w:rsidRDefault="00375B9D" w:rsidP="00AE756D">
      <w:pPr>
        <w:pStyle w:val="DTFBulletlist"/>
      </w:pPr>
      <w:r w:rsidRPr="00375B9D">
        <w:t>parental or adoption leave</w:t>
      </w:r>
    </w:p>
    <w:p w14:paraId="217A2A0F" w14:textId="77777777" w:rsidR="00375B9D" w:rsidRPr="00375B9D" w:rsidRDefault="00375B9D" w:rsidP="00AE756D">
      <w:pPr>
        <w:pStyle w:val="DTFBulletlist"/>
      </w:pPr>
      <w:r w:rsidRPr="00375B9D">
        <w:t>payments for defence force reserves leave</w:t>
      </w:r>
    </w:p>
    <w:p w14:paraId="66AC37EC" w14:textId="77777777" w:rsidR="00375B9D" w:rsidRPr="00375B9D" w:rsidRDefault="00375B9D" w:rsidP="00AE756D">
      <w:pPr>
        <w:pStyle w:val="DTFBulletlist"/>
      </w:pPr>
      <w:r w:rsidRPr="00375B9D">
        <w:t xml:space="preserve">income tax exempt bona fide redundancy payments </w:t>
      </w:r>
    </w:p>
    <w:p w14:paraId="77EA3498" w14:textId="77777777" w:rsidR="00375B9D" w:rsidRPr="00375B9D" w:rsidRDefault="00375B9D" w:rsidP="00AE756D">
      <w:pPr>
        <w:pStyle w:val="DTFBulletlist"/>
      </w:pPr>
      <w:r w:rsidRPr="00375B9D">
        <w:t>wages paid to employees who have worked overseas continuously for your business for more than six months</w:t>
      </w:r>
    </w:p>
    <w:p w14:paraId="6EF09F94" w14:textId="77777777" w:rsidR="00375B9D" w:rsidRPr="00375B9D" w:rsidRDefault="00375B9D" w:rsidP="00AE756D">
      <w:pPr>
        <w:pStyle w:val="DTFBulletlist"/>
      </w:pPr>
      <w:r w:rsidRPr="00375B9D">
        <w:t xml:space="preserve">wages paid to some Territory residents (see </w:t>
      </w:r>
      <w:hyperlink r:id="rId20" w:history="1">
        <w:r w:rsidRPr="00375B9D">
          <w:rPr>
            <w:rStyle w:val="Hyperlink"/>
          </w:rPr>
          <w:t>CG-PRT-008: Hiring resident</w:t>
        </w:r>
        <w:r w:rsidR="00A314E5">
          <w:rPr>
            <w:rStyle w:val="Hyperlink"/>
          </w:rPr>
          <w:t xml:space="preserve"> employee</w:t>
        </w:r>
        <w:r w:rsidRPr="00375B9D">
          <w:rPr>
            <w:rStyle w:val="Hyperlink"/>
          </w:rPr>
          <w:t>s</w:t>
        </w:r>
      </w:hyperlink>
      <w:r w:rsidRPr="00375B9D">
        <w:t xml:space="preserve">). </w:t>
      </w:r>
    </w:p>
    <w:p w14:paraId="2026F46B" w14:textId="77777777" w:rsidR="00375B9D" w:rsidRPr="00375B9D" w:rsidRDefault="00375B9D" w:rsidP="00375B9D">
      <w:pPr>
        <w:rPr>
          <w:noProof/>
          <w:lang w:eastAsia="en-AU"/>
        </w:rPr>
      </w:pPr>
    </w:p>
    <w:p w14:paraId="117B65E5" w14:textId="77777777" w:rsidR="00375B9D" w:rsidRPr="00375B9D" w:rsidRDefault="00375B9D" w:rsidP="00375B9D">
      <w:pPr>
        <w:rPr>
          <w:noProof/>
          <w:lang w:eastAsia="en-AU"/>
        </w:rPr>
      </w:pPr>
      <w:r w:rsidRPr="00375B9D">
        <w:rPr>
          <w:noProof/>
          <w:lang w:eastAsia="en-AU"/>
        </w:rPr>
        <w:br w:type="page"/>
      </w:r>
    </w:p>
    <w:p w14:paraId="4600BE6F" w14:textId="77777777" w:rsidR="00375B9D" w:rsidRPr="00375B9D" w:rsidRDefault="00375B9D" w:rsidP="00375B9D">
      <w:pPr>
        <w:rPr>
          <w:noProof/>
          <w:lang w:eastAsia="en-AU"/>
        </w:rPr>
      </w:pPr>
      <w:r w:rsidRPr="00375B9D">
        <w:rPr>
          <w:noProof/>
          <w:lang w:eastAsia="en-AU"/>
        </w:rPr>
        <w:lastRenderedPageBreak/>
        <w:t>The following terminology is frequently used in relation to wages and payroll tax:</w:t>
      </w:r>
    </w:p>
    <w:p w14:paraId="259683AA" w14:textId="77777777" w:rsidR="00375B9D" w:rsidRPr="00375B9D" w:rsidRDefault="00375B9D" w:rsidP="00AE756D">
      <w:pPr>
        <w:pStyle w:val="DTFBulletlist"/>
      </w:pPr>
      <w:r w:rsidRPr="00BC69BB">
        <w:rPr>
          <w:b/>
        </w:rPr>
        <w:t>Australian wages</w:t>
      </w:r>
      <w:r w:rsidRPr="00375B9D">
        <w:t xml:space="preserve"> is the total of NT wages plus all interstate wages paid by the employer and group members. </w:t>
      </w:r>
    </w:p>
    <w:p w14:paraId="1A45D459" w14:textId="77777777" w:rsidR="00375B9D" w:rsidRPr="00375B9D" w:rsidRDefault="00375B9D" w:rsidP="00AE756D">
      <w:pPr>
        <w:pStyle w:val="DTFBulletlist"/>
      </w:pPr>
      <w:r w:rsidRPr="00BC69BB">
        <w:rPr>
          <w:b/>
        </w:rPr>
        <w:t>NT wages</w:t>
      </w:r>
      <w:r w:rsidRPr="00375B9D">
        <w:t xml:space="preserve"> are the wages liable to tax in the NT under the PRTA. </w:t>
      </w:r>
    </w:p>
    <w:p w14:paraId="03F007AB" w14:textId="77777777" w:rsidR="00375B9D" w:rsidRPr="00375B9D" w:rsidRDefault="00341FD7" w:rsidP="00AE756D">
      <w:pPr>
        <w:pStyle w:val="DTFBulletlist"/>
      </w:pPr>
      <w:r w:rsidRPr="00BC69BB">
        <w:rPr>
          <w:b/>
        </w:rPr>
        <w:t xml:space="preserve">interstate </w:t>
      </w:r>
      <w:r w:rsidR="00375B9D" w:rsidRPr="00BC69BB">
        <w:rPr>
          <w:b/>
        </w:rPr>
        <w:t>wages</w:t>
      </w:r>
      <w:r w:rsidR="00375B9D" w:rsidRPr="00375B9D">
        <w:t xml:space="preserve"> are the wages liable to tax in another state under that state’s payroll tax legislation. </w:t>
      </w:r>
    </w:p>
    <w:tbl>
      <w:tblPr>
        <w:tblStyle w:val="DTFpayrolltaxguidestyle1"/>
        <w:tblW w:w="0" w:type="auto"/>
        <w:tblLook w:val="04A0" w:firstRow="1" w:lastRow="0" w:firstColumn="1" w:lastColumn="0" w:noHBand="0" w:noVBand="1"/>
        <w:tblDescription w:val="Important: Payroll tax is a self-assessed tax. That is, it is the responsibility of an employer to recognise, calculate, lodge a return and pay payroll tax due by the 21st day of the month immediately following the month in which the liability arose."/>
      </w:tblPr>
      <w:tblGrid>
        <w:gridCol w:w="10308"/>
      </w:tblGrid>
      <w:tr w:rsidR="00375B9D" w:rsidRPr="00375B9D" w14:paraId="7BD28803" w14:textId="77777777" w:rsidTr="00937629">
        <w:trPr>
          <w:trHeight w:val="1570"/>
          <w:tblHeader/>
        </w:trPr>
        <w:tc>
          <w:tcPr>
            <w:tcW w:w="10318" w:type="dxa"/>
          </w:tcPr>
          <w:p w14:paraId="2A62DA7A" w14:textId="77777777" w:rsidR="00375B9D" w:rsidRPr="00375B9D" w:rsidRDefault="00375B9D" w:rsidP="00375B9D">
            <w:pPr>
              <w:spacing w:after="200"/>
              <w:rPr>
                <w:noProof/>
                <w:lang w:eastAsia="en-AU"/>
              </w:rPr>
            </w:pPr>
            <w:r w:rsidRPr="00375B9D">
              <w:rPr>
                <w:b/>
                <w:noProof/>
                <w:lang w:eastAsia="en-AU"/>
              </w:rPr>
              <w:t>Important</w:t>
            </w:r>
            <w:r w:rsidRPr="00375B9D">
              <w:rPr>
                <w:noProof/>
                <w:lang w:eastAsia="en-AU"/>
              </w:rPr>
              <w:t>: Payroll tax is a self-assessed tax. That is, it is the responsibility of an employer to recognise, calculate, lodge a return and pay payroll tax due by the 21</w:t>
            </w:r>
            <w:r w:rsidRPr="00375B9D">
              <w:rPr>
                <w:noProof/>
                <w:vertAlign w:val="superscript"/>
                <w:lang w:eastAsia="en-AU"/>
              </w:rPr>
              <w:t>st</w:t>
            </w:r>
            <w:r w:rsidRPr="00375B9D">
              <w:rPr>
                <w:noProof/>
                <w:lang w:eastAsia="en-AU"/>
              </w:rPr>
              <w:t xml:space="preserve"> day of the month immediately following the month in which the liability arose.</w:t>
            </w:r>
          </w:p>
          <w:p w14:paraId="2D644C5E" w14:textId="77777777" w:rsidR="00375B9D" w:rsidRPr="00375B9D" w:rsidRDefault="00375B9D" w:rsidP="00375B9D">
            <w:pPr>
              <w:spacing w:after="200"/>
              <w:rPr>
                <w:noProof/>
                <w:lang w:eastAsia="en-AU"/>
              </w:rPr>
            </w:pPr>
            <w:r w:rsidRPr="00375B9D">
              <w:rPr>
                <w:noProof/>
                <w:lang w:eastAsia="en-AU"/>
              </w:rPr>
              <w:t>A taxpayer is not entitled to wait until TRO calculates and ‘invoices’ the taxpayer – the responsibility is in the hands of the employer.</w:t>
            </w:r>
          </w:p>
        </w:tc>
      </w:tr>
    </w:tbl>
    <w:p w14:paraId="56B8E16F" w14:textId="77777777" w:rsidR="00AB10A5" w:rsidRDefault="00AB10A5" w:rsidP="00AB10A5">
      <w:pPr>
        <w:rPr>
          <w:noProof/>
          <w:lang w:eastAsia="en-AU"/>
        </w:rPr>
      </w:pPr>
      <w:bookmarkStart w:id="9" w:name="_Ref43463931"/>
    </w:p>
    <w:p w14:paraId="0DAD5364" w14:textId="77777777" w:rsidR="007069AC" w:rsidRPr="00375B9D" w:rsidRDefault="007069AC" w:rsidP="00A7303B">
      <w:pPr>
        <w:pStyle w:val="Heading2"/>
      </w:pPr>
      <w:bookmarkStart w:id="10" w:name="_What_is_meant"/>
      <w:bookmarkStart w:id="11" w:name="_Toc108789562"/>
      <w:bookmarkStart w:id="12" w:name="WhatIsMeantByWages"/>
      <w:bookmarkEnd w:id="10"/>
      <w:r w:rsidRPr="00375B9D">
        <w:t>W</w:t>
      </w:r>
      <w:r>
        <w:t xml:space="preserve">hat is meant by </w:t>
      </w:r>
      <w:r w:rsidR="00EF4404">
        <w:t>wages</w:t>
      </w:r>
      <w:r>
        <w:t>?</w:t>
      </w:r>
      <w:bookmarkEnd w:id="9"/>
      <w:bookmarkEnd w:id="11"/>
    </w:p>
    <w:bookmarkEnd w:id="12"/>
    <w:p w14:paraId="4D64E4AA" w14:textId="77777777" w:rsidR="00375B9D" w:rsidRPr="00375B9D" w:rsidRDefault="00375B9D" w:rsidP="00375B9D">
      <w:pPr>
        <w:rPr>
          <w:noProof/>
          <w:lang w:eastAsia="en-AU"/>
        </w:rPr>
      </w:pPr>
      <w:r w:rsidRPr="00375B9D">
        <w:rPr>
          <w:b/>
          <w:noProof/>
          <w:lang w:eastAsia="en-AU"/>
        </w:rPr>
        <w:t>Wages</w:t>
      </w:r>
      <w:r w:rsidRPr="00375B9D">
        <w:rPr>
          <w:noProof/>
          <w:lang w:eastAsia="en-AU"/>
        </w:rPr>
        <w:t>, for payroll tax purposes, are cash or non-cash payments and benefits made or provided to employees, directors, and in some cases, to contractors. It also includes payments and benefits for family members of employees and directors.</w:t>
      </w:r>
    </w:p>
    <w:p w14:paraId="32A53695" w14:textId="77777777" w:rsidR="00375B9D" w:rsidRPr="00375B9D" w:rsidRDefault="00375B9D" w:rsidP="00375B9D">
      <w:pPr>
        <w:rPr>
          <w:noProof/>
          <w:lang w:eastAsia="en-AU"/>
        </w:rPr>
      </w:pPr>
      <w:r w:rsidRPr="00375B9D">
        <w:rPr>
          <w:b/>
          <w:noProof/>
          <w:lang w:eastAsia="en-AU"/>
        </w:rPr>
        <w:t xml:space="preserve">Wages </w:t>
      </w:r>
      <w:r w:rsidRPr="00375B9D">
        <w:rPr>
          <w:noProof/>
          <w:lang w:eastAsia="en-AU"/>
        </w:rPr>
        <w:t xml:space="preserve">are </w:t>
      </w:r>
      <w:r w:rsidRPr="00375B9D">
        <w:rPr>
          <w:b/>
          <w:noProof/>
          <w:lang w:eastAsia="en-AU"/>
        </w:rPr>
        <w:t>not</w:t>
      </w:r>
      <w:r w:rsidRPr="00375B9D">
        <w:rPr>
          <w:noProof/>
          <w:lang w:eastAsia="en-AU"/>
        </w:rPr>
        <w:t xml:space="preserve"> simply the gross or take-home value of staff pay. </w:t>
      </w:r>
    </w:p>
    <w:p w14:paraId="072BD064" w14:textId="77777777" w:rsidR="00375B9D" w:rsidRPr="00375B9D" w:rsidRDefault="00375B9D" w:rsidP="00375B9D">
      <w:pPr>
        <w:rPr>
          <w:noProof/>
          <w:lang w:eastAsia="en-AU"/>
        </w:rPr>
      </w:pPr>
      <w:r w:rsidRPr="00375B9D">
        <w:rPr>
          <w:noProof/>
          <w:lang w:eastAsia="en-AU"/>
        </w:rPr>
        <w:t>This broad definition of wages is designed to ensure the integrity of the taxation system is maintained by including in the definition all (with some very specific exceptions) payments and benefits provided to a person, in cash or in kind, for their personal labour or advice provided to a business, whether as a director, employee or contractor.</w:t>
      </w:r>
    </w:p>
    <w:p w14:paraId="36E65323" w14:textId="77777777" w:rsidR="00375B9D" w:rsidRPr="00375B9D" w:rsidRDefault="00375B9D" w:rsidP="00F4299A">
      <w:pPr>
        <w:pStyle w:val="Heading3"/>
        <w:rPr>
          <w:noProof/>
          <w:lang w:eastAsia="en-AU"/>
        </w:rPr>
      </w:pPr>
      <w:r w:rsidRPr="00375B9D">
        <w:rPr>
          <w:noProof/>
          <w:lang w:eastAsia="en-AU"/>
        </w:rPr>
        <w:t xml:space="preserve">What </w:t>
      </w:r>
      <w:r w:rsidR="00861ED9">
        <w:rPr>
          <w:noProof/>
          <w:lang w:eastAsia="en-AU"/>
        </w:rPr>
        <w:t>w</w:t>
      </w:r>
      <w:r w:rsidR="00861ED9" w:rsidRPr="00375B9D">
        <w:rPr>
          <w:noProof/>
          <w:lang w:eastAsia="en-AU"/>
        </w:rPr>
        <w:t xml:space="preserve">ages </w:t>
      </w:r>
      <w:r w:rsidR="00861ED9">
        <w:rPr>
          <w:noProof/>
          <w:lang w:eastAsia="en-AU"/>
        </w:rPr>
        <w:t>i</w:t>
      </w:r>
      <w:r w:rsidR="00861ED9" w:rsidRPr="00375B9D">
        <w:rPr>
          <w:noProof/>
          <w:lang w:eastAsia="en-AU"/>
        </w:rPr>
        <w:t>ncludes</w:t>
      </w:r>
    </w:p>
    <w:p w14:paraId="3D103224" w14:textId="77777777" w:rsidR="00375B9D" w:rsidRPr="00375B9D" w:rsidRDefault="00375B9D" w:rsidP="00BC69BB">
      <w:pPr>
        <w:rPr>
          <w:noProof/>
          <w:lang w:eastAsia="en-AU"/>
        </w:rPr>
      </w:pPr>
      <w:r w:rsidRPr="00BC69BB">
        <w:rPr>
          <w:b/>
          <w:noProof/>
          <w:lang w:eastAsia="en-AU"/>
        </w:rPr>
        <w:t xml:space="preserve">Wages </w:t>
      </w:r>
      <w:r w:rsidRPr="00375B9D">
        <w:rPr>
          <w:noProof/>
          <w:lang w:eastAsia="en-AU"/>
        </w:rPr>
        <w:t>includes:</w:t>
      </w:r>
    </w:p>
    <w:p w14:paraId="31607369" w14:textId="77777777" w:rsidR="00375B9D" w:rsidRPr="00375B9D" w:rsidRDefault="00375B9D" w:rsidP="00AE756D">
      <w:pPr>
        <w:pStyle w:val="DTFBulletlist"/>
      </w:pPr>
      <w:r w:rsidRPr="00375B9D">
        <w:t>wages and salaries paid to full-time, part-time and casual employees, including overtime, shift allowances, penalties, loadings, termination and redundancy payments, and all leave payments (other than parental or defence force leave)</w:t>
      </w:r>
    </w:p>
    <w:p w14:paraId="5C383EF0" w14:textId="77777777" w:rsidR="00375B9D" w:rsidRPr="00375B9D" w:rsidRDefault="00375B9D" w:rsidP="00AE756D">
      <w:pPr>
        <w:pStyle w:val="DTFBulletlist"/>
      </w:pPr>
      <w:r w:rsidRPr="00375B9D">
        <w:t>commissions, bonuses, allowances and similar payments</w:t>
      </w:r>
    </w:p>
    <w:p w14:paraId="74D35513" w14:textId="77777777" w:rsidR="00375B9D" w:rsidRPr="00375B9D" w:rsidRDefault="00375B9D" w:rsidP="00AE756D">
      <w:pPr>
        <w:pStyle w:val="DTFBulletlist"/>
      </w:pPr>
      <w:r w:rsidRPr="00375B9D">
        <w:t>payments made to directors and their associates (family members) (whether in the form of fees, salaries or fringe benefits – such as a privately used or home-garaged passenger vehicle)</w:t>
      </w:r>
    </w:p>
    <w:p w14:paraId="6A73BC93" w14:textId="77777777" w:rsidR="00375B9D" w:rsidRPr="00375B9D" w:rsidRDefault="00375B9D" w:rsidP="00AE756D">
      <w:pPr>
        <w:pStyle w:val="DTFBulletlist"/>
      </w:pPr>
      <w:r w:rsidRPr="00375B9D">
        <w:t>superannuation contributions your business is required to make to a superannuation fund for employees and directors</w:t>
      </w:r>
    </w:p>
    <w:p w14:paraId="75164B36" w14:textId="77777777" w:rsidR="00375B9D" w:rsidRPr="00375B9D" w:rsidRDefault="00375B9D" w:rsidP="00AE756D">
      <w:pPr>
        <w:pStyle w:val="DTFBulletlist"/>
      </w:pPr>
      <w:r w:rsidRPr="00375B9D">
        <w:t>any superannuation your business contributes above the minimum rate required by law (</w:t>
      </w:r>
      <w:r w:rsidR="00A73CE7">
        <w:t>9.5%</w:t>
      </w:r>
      <w:r w:rsidRPr="00375B9D">
        <w:t xml:space="preserve"> </w:t>
      </w:r>
      <w:r w:rsidR="00A73CE7">
        <w:t>until</w:t>
      </w:r>
      <w:r w:rsidRPr="00375B9D">
        <w:t xml:space="preserve"> </w:t>
      </w:r>
      <w:r w:rsidR="00A314E5">
        <w:t>30 June</w:t>
      </w:r>
      <w:r w:rsidRPr="00375B9D">
        <w:t xml:space="preserve"> 2021</w:t>
      </w:r>
      <w:r w:rsidR="00A73CE7">
        <w:t>, 10% from 1 July 2021 and 10.5% from 1 July 2022</w:t>
      </w:r>
      <w:r w:rsidRPr="00375B9D">
        <w:t>)</w:t>
      </w:r>
    </w:p>
    <w:p w14:paraId="73504176" w14:textId="77777777" w:rsidR="00375B9D" w:rsidRPr="00375B9D" w:rsidRDefault="00375B9D" w:rsidP="00AE756D">
      <w:pPr>
        <w:pStyle w:val="DTFBulletlist"/>
      </w:pPr>
      <w:r w:rsidRPr="00375B9D">
        <w:t>additional superannuation contributions made via salary sacrifice by individual employees</w:t>
      </w:r>
    </w:p>
    <w:p w14:paraId="68EC4CF7" w14:textId="77777777" w:rsidR="00375B9D" w:rsidRPr="00375B9D" w:rsidRDefault="00375B9D" w:rsidP="00AE756D">
      <w:pPr>
        <w:pStyle w:val="DTFBulletlist"/>
      </w:pPr>
      <w:r w:rsidRPr="00375B9D">
        <w:lastRenderedPageBreak/>
        <w:t>fringe benefits (grossed-up value) whether provided to an employee, director or another party (such as a company vehicle used for private purposes by an employee’s spouse)</w:t>
      </w:r>
    </w:p>
    <w:p w14:paraId="4C519EBC" w14:textId="77777777" w:rsidR="00375B9D" w:rsidRPr="00375B9D" w:rsidRDefault="00375B9D" w:rsidP="00AE756D">
      <w:pPr>
        <w:pStyle w:val="DTFBulletlist"/>
      </w:pPr>
      <w:r w:rsidRPr="00375B9D">
        <w:t>shares granted and options for shares granted to employees or their associates</w:t>
      </w:r>
    </w:p>
    <w:p w14:paraId="72436790" w14:textId="77777777" w:rsidR="00375B9D" w:rsidRPr="00375B9D" w:rsidRDefault="00375B9D" w:rsidP="00AE756D">
      <w:pPr>
        <w:pStyle w:val="DTFBulletlist"/>
      </w:pPr>
      <w:r w:rsidRPr="00375B9D">
        <w:t>indirect wages – payments made for work performed by employees but paid to a third party (such as spouse, family trust, family partnership or family company). This would include payments made in cash or in kind.</w:t>
      </w:r>
    </w:p>
    <w:p w14:paraId="1EE8F447" w14:textId="77777777" w:rsidR="00375B9D" w:rsidRPr="00375B9D" w:rsidRDefault="00375B9D" w:rsidP="00555C27">
      <w:pPr>
        <w:pStyle w:val="Heading3"/>
        <w:rPr>
          <w:noProof/>
          <w:lang w:eastAsia="en-AU"/>
        </w:rPr>
      </w:pPr>
      <w:r w:rsidRPr="00375B9D">
        <w:rPr>
          <w:noProof/>
          <w:lang w:eastAsia="en-AU"/>
        </w:rPr>
        <w:t xml:space="preserve">Payments to </w:t>
      </w:r>
      <w:r w:rsidR="00286B86">
        <w:rPr>
          <w:noProof/>
          <w:lang w:eastAsia="en-AU"/>
        </w:rPr>
        <w:t>c</w:t>
      </w:r>
      <w:r w:rsidR="00286B86" w:rsidRPr="00375B9D">
        <w:rPr>
          <w:noProof/>
          <w:lang w:eastAsia="en-AU"/>
        </w:rPr>
        <w:t xml:space="preserve">ontractors </w:t>
      </w:r>
      <w:r w:rsidRPr="00375B9D">
        <w:rPr>
          <w:noProof/>
          <w:lang w:eastAsia="en-AU"/>
        </w:rPr>
        <w:t xml:space="preserve">may also be </w:t>
      </w:r>
      <w:r w:rsidR="00286B86">
        <w:rPr>
          <w:noProof/>
          <w:lang w:eastAsia="en-AU"/>
        </w:rPr>
        <w:t>t</w:t>
      </w:r>
      <w:r w:rsidR="00286B86" w:rsidRPr="00375B9D">
        <w:rPr>
          <w:noProof/>
          <w:lang w:eastAsia="en-AU"/>
        </w:rPr>
        <w:t xml:space="preserve">axable </w:t>
      </w:r>
      <w:r w:rsidR="00286B86">
        <w:rPr>
          <w:noProof/>
          <w:lang w:eastAsia="en-AU"/>
        </w:rPr>
        <w:t>w</w:t>
      </w:r>
      <w:r w:rsidR="00286B86" w:rsidRPr="00375B9D">
        <w:rPr>
          <w:noProof/>
          <w:lang w:eastAsia="en-AU"/>
        </w:rPr>
        <w:t>ages</w:t>
      </w:r>
    </w:p>
    <w:p w14:paraId="69F01019" w14:textId="77777777" w:rsidR="00375B9D" w:rsidRPr="00375B9D" w:rsidRDefault="00375B9D" w:rsidP="00375B9D">
      <w:pPr>
        <w:rPr>
          <w:noProof/>
          <w:lang w:eastAsia="en-AU"/>
        </w:rPr>
      </w:pPr>
      <w:r w:rsidRPr="00375B9D">
        <w:rPr>
          <w:noProof/>
          <w:lang w:eastAsia="en-AU"/>
        </w:rPr>
        <w:t xml:space="preserve">In </w:t>
      </w:r>
      <w:r w:rsidR="00A73CE7">
        <w:rPr>
          <w:noProof/>
          <w:lang w:eastAsia="en-AU"/>
        </w:rPr>
        <w:t>some</w:t>
      </w:r>
      <w:r w:rsidRPr="00375B9D">
        <w:rPr>
          <w:noProof/>
          <w:lang w:eastAsia="en-AU"/>
        </w:rPr>
        <w:t xml:space="preserve"> cases, payments you make to contractors, consultants, advisors and similar classifications may be taxable wages. This includes situations where:</w:t>
      </w:r>
    </w:p>
    <w:p w14:paraId="39A673C9" w14:textId="77777777" w:rsidR="00375B9D" w:rsidRPr="00375B9D" w:rsidRDefault="00375B9D" w:rsidP="00AE756D">
      <w:pPr>
        <w:pStyle w:val="DTFBulletlist"/>
      </w:pPr>
      <w:r w:rsidRPr="00375B9D">
        <w:t xml:space="preserve">the contractor provides your business with services required as a normal part of your business’s operation for the majority of the year (for example, carpentry services in a home building business) </w:t>
      </w:r>
    </w:p>
    <w:p w14:paraId="41B4C4A7" w14:textId="77777777" w:rsidR="00375B9D" w:rsidRPr="00375B9D" w:rsidRDefault="00375B9D" w:rsidP="00AE756D">
      <w:pPr>
        <w:pStyle w:val="DTFBulletlist"/>
      </w:pPr>
      <w:r w:rsidRPr="00375B9D">
        <w:t xml:space="preserve">the contractor has no employees or subcontractors of its own </w:t>
      </w:r>
    </w:p>
    <w:p w14:paraId="4EE92451" w14:textId="77777777" w:rsidR="00375B9D" w:rsidRPr="00375B9D" w:rsidRDefault="00375B9D" w:rsidP="00AE756D">
      <w:pPr>
        <w:pStyle w:val="DTFBulletlist"/>
      </w:pPr>
      <w:r w:rsidRPr="00375B9D">
        <w:t xml:space="preserve">the contractor is paid via a tax invoice </w:t>
      </w:r>
    </w:p>
    <w:p w14:paraId="6123159C" w14:textId="77777777" w:rsidR="00375B9D" w:rsidRPr="00375B9D" w:rsidRDefault="00375B9D" w:rsidP="00AE756D">
      <w:pPr>
        <w:pStyle w:val="DTFBulletlist"/>
      </w:pPr>
      <w:r w:rsidRPr="00375B9D">
        <w:t xml:space="preserve">the contractor invoices you for more than 90 days’ work in the financial year </w:t>
      </w:r>
    </w:p>
    <w:p w14:paraId="1A00E7E0" w14:textId="77777777" w:rsidR="00375B9D" w:rsidRPr="00375B9D" w:rsidRDefault="00375B9D" w:rsidP="00AE756D">
      <w:pPr>
        <w:pStyle w:val="DTFBulletlist"/>
      </w:pPr>
      <w:r w:rsidRPr="00375B9D">
        <w:t>in those calendar months that the contractor works for you, he or she averages more than 10 days’ work (a day is any part of a day, whether one hour or 10 hours)</w:t>
      </w:r>
    </w:p>
    <w:p w14:paraId="2FCC4CED" w14:textId="77777777" w:rsidR="00375B9D" w:rsidRDefault="00375B9D" w:rsidP="00AE756D">
      <w:pPr>
        <w:pStyle w:val="DTFBulletlist"/>
      </w:pPr>
      <w:r w:rsidRPr="00375B9D">
        <w:t>the labour component of the contractor’s services exceeds 50</w:t>
      </w:r>
      <w:r w:rsidR="00A73CE7">
        <w:t>%</w:t>
      </w:r>
      <w:r w:rsidRPr="00375B9D">
        <w:t xml:space="preserve"> of the value of the contract.</w:t>
      </w:r>
    </w:p>
    <w:p w14:paraId="4BAFDDB0" w14:textId="77777777" w:rsidR="00375B9D" w:rsidRPr="00375B9D" w:rsidRDefault="00375B9D" w:rsidP="00375B9D">
      <w:pPr>
        <w:rPr>
          <w:noProof/>
          <w:lang w:eastAsia="en-AU"/>
        </w:rPr>
      </w:pPr>
      <w:r w:rsidRPr="00375B9D">
        <w:rPr>
          <w:b/>
          <w:noProof/>
          <w:lang w:eastAsia="en-AU"/>
        </w:rPr>
        <w:t>It does not matter</w:t>
      </w:r>
      <w:r w:rsidRPr="00375B9D">
        <w:rPr>
          <w:noProof/>
          <w:lang w:eastAsia="en-AU"/>
        </w:rPr>
        <w:t xml:space="preserve"> whether the contractor is a sole trader, partnership, trust or family company.</w:t>
      </w:r>
    </w:p>
    <w:p w14:paraId="34D88E9E" w14:textId="77777777" w:rsidR="00375B9D" w:rsidRPr="00375B9D" w:rsidRDefault="00375B9D" w:rsidP="00375B9D">
      <w:pPr>
        <w:rPr>
          <w:noProof/>
          <w:lang w:eastAsia="en-AU"/>
        </w:rPr>
      </w:pPr>
      <w:r w:rsidRPr="00375B9D">
        <w:rPr>
          <w:b/>
          <w:noProof/>
          <w:lang w:eastAsia="en-AU"/>
        </w:rPr>
        <w:t>It does not matter</w:t>
      </w:r>
      <w:r w:rsidRPr="00375B9D">
        <w:rPr>
          <w:noProof/>
          <w:lang w:eastAsia="en-AU"/>
        </w:rPr>
        <w:t xml:space="preserve"> whether the contractor provides his or her own tools and work vehicle.</w:t>
      </w:r>
    </w:p>
    <w:p w14:paraId="72E40987" w14:textId="77777777" w:rsidR="00375B9D" w:rsidRPr="00375B9D" w:rsidRDefault="00375B9D" w:rsidP="00375B9D">
      <w:pPr>
        <w:rPr>
          <w:noProof/>
          <w:lang w:eastAsia="en-AU"/>
        </w:rPr>
      </w:pPr>
      <w:r w:rsidRPr="00375B9D">
        <w:rPr>
          <w:b/>
          <w:noProof/>
          <w:lang w:eastAsia="en-AU"/>
        </w:rPr>
        <w:t>It does not matter</w:t>
      </w:r>
      <w:r w:rsidRPr="00375B9D">
        <w:rPr>
          <w:noProof/>
          <w:lang w:eastAsia="en-AU"/>
        </w:rPr>
        <w:t xml:space="preserve"> whether the contractor works under a time-based rate, piece rate or under a fixed-price contract.</w:t>
      </w:r>
    </w:p>
    <w:p w14:paraId="314E80D9" w14:textId="77777777" w:rsidR="00375B9D" w:rsidRPr="00375B9D" w:rsidRDefault="00375B9D" w:rsidP="00375B9D">
      <w:pPr>
        <w:rPr>
          <w:noProof/>
          <w:lang w:eastAsia="en-AU"/>
        </w:rPr>
      </w:pPr>
      <w:r w:rsidRPr="00375B9D">
        <w:rPr>
          <w:b/>
          <w:noProof/>
          <w:lang w:eastAsia="en-AU"/>
        </w:rPr>
        <w:t>It does not matter</w:t>
      </w:r>
      <w:r w:rsidRPr="00375B9D">
        <w:rPr>
          <w:noProof/>
          <w:lang w:eastAsia="en-AU"/>
        </w:rPr>
        <w:t xml:space="preserve"> whether the contractor has signed an agreement with your business in which he or she states that no employment relationship exists and denies any rights associated with being an employee (such as superannuation and paid leave).</w:t>
      </w:r>
    </w:p>
    <w:tbl>
      <w:tblPr>
        <w:tblStyle w:val="DTFpayrolltaxguidestyle1"/>
        <w:tblW w:w="0" w:type="auto"/>
        <w:tblLook w:val="04A0" w:firstRow="1" w:lastRow="0" w:firstColumn="1" w:lastColumn="0" w:noHBand="0" w:noVBand="1"/>
        <w:tblDescription w:val="For more detailed information on payments to contractors go to:&#10;Contractors&#10;Subcontractors&#10;Consultants and Payroll Tax.&#10;"/>
      </w:tblPr>
      <w:tblGrid>
        <w:gridCol w:w="10308"/>
      </w:tblGrid>
      <w:tr w:rsidR="00375B9D" w:rsidRPr="00375B9D" w14:paraId="5D5CF055" w14:textId="77777777" w:rsidTr="00937629">
        <w:trPr>
          <w:trHeight w:val="696"/>
          <w:tblHeader/>
        </w:trPr>
        <w:tc>
          <w:tcPr>
            <w:tcW w:w="10318" w:type="dxa"/>
          </w:tcPr>
          <w:p w14:paraId="2BB1C19A" w14:textId="77777777" w:rsidR="00375B9D" w:rsidRPr="00375B9D" w:rsidRDefault="00375B9D" w:rsidP="00375B9D">
            <w:pPr>
              <w:spacing w:after="200"/>
              <w:rPr>
                <w:noProof/>
                <w:lang w:eastAsia="en-AU"/>
              </w:rPr>
            </w:pPr>
            <w:r w:rsidRPr="00375B9D">
              <w:rPr>
                <w:noProof/>
                <w:lang w:eastAsia="en-AU"/>
              </w:rPr>
              <w:t xml:space="preserve">For more detailed information on payments to contractors see </w:t>
            </w:r>
            <w:hyperlink w:anchor="ContractorsSubcontractorsConsultants" w:history="1">
              <w:r w:rsidRPr="00375B9D">
                <w:rPr>
                  <w:rStyle w:val="Hyperlink"/>
                  <w:noProof/>
                  <w:lang w:eastAsia="en-AU"/>
                </w:rPr>
                <w:t xml:space="preserve">Contractors, </w:t>
              </w:r>
              <w:r w:rsidR="00341FD7" w:rsidRPr="00375B9D">
                <w:rPr>
                  <w:rStyle w:val="Hyperlink"/>
                  <w:noProof/>
                  <w:lang w:eastAsia="en-AU"/>
                </w:rPr>
                <w:t xml:space="preserve">subcontractors, consultants </w:t>
              </w:r>
              <w:r w:rsidRPr="00375B9D">
                <w:rPr>
                  <w:rStyle w:val="Hyperlink"/>
                  <w:noProof/>
                  <w:lang w:eastAsia="en-AU"/>
                </w:rPr>
                <w:t xml:space="preserve">and </w:t>
              </w:r>
              <w:r w:rsidR="00341FD7" w:rsidRPr="00375B9D">
                <w:rPr>
                  <w:rStyle w:val="Hyperlink"/>
                  <w:noProof/>
                  <w:lang w:eastAsia="en-AU"/>
                </w:rPr>
                <w:t>payroll t</w:t>
              </w:r>
              <w:r w:rsidRPr="00375B9D">
                <w:rPr>
                  <w:rStyle w:val="Hyperlink"/>
                  <w:noProof/>
                  <w:lang w:eastAsia="en-AU"/>
                </w:rPr>
                <w:t>ax</w:t>
              </w:r>
            </w:hyperlink>
            <w:r w:rsidRPr="00375B9D">
              <w:rPr>
                <w:noProof/>
                <w:lang w:eastAsia="en-AU"/>
              </w:rPr>
              <w:t>.</w:t>
            </w:r>
          </w:p>
        </w:tc>
      </w:tr>
    </w:tbl>
    <w:p w14:paraId="517CE058" w14:textId="77777777" w:rsidR="00375B9D" w:rsidRPr="00375B9D" w:rsidRDefault="00375B9D" w:rsidP="00375B9D">
      <w:pPr>
        <w:rPr>
          <w:noProof/>
          <w:lang w:eastAsia="en-AU"/>
        </w:rPr>
      </w:pPr>
    </w:p>
    <w:p w14:paraId="3EB76649" w14:textId="77777777" w:rsidR="00375B9D" w:rsidRPr="00375B9D" w:rsidRDefault="00375B9D" w:rsidP="00375B9D">
      <w:pPr>
        <w:rPr>
          <w:noProof/>
          <w:lang w:eastAsia="en-AU"/>
        </w:rPr>
      </w:pPr>
      <w:r w:rsidRPr="00375B9D">
        <w:rPr>
          <w:noProof/>
          <w:lang w:eastAsia="en-AU"/>
        </w:rPr>
        <w:br w:type="page"/>
      </w:r>
    </w:p>
    <w:p w14:paraId="1CDBE1F4" w14:textId="77777777" w:rsidR="00375B9D" w:rsidRPr="00375B9D" w:rsidRDefault="00375B9D" w:rsidP="00F4299A">
      <w:pPr>
        <w:pStyle w:val="Heading3"/>
        <w:rPr>
          <w:noProof/>
          <w:lang w:eastAsia="en-AU"/>
        </w:rPr>
      </w:pPr>
      <w:r w:rsidRPr="00375B9D">
        <w:rPr>
          <w:noProof/>
          <w:lang w:eastAsia="en-AU"/>
        </w:rPr>
        <w:lastRenderedPageBreak/>
        <w:t xml:space="preserve">Employment </w:t>
      </w:r>
      <w:r w:rsidR="004A1190">
        <w:rPr>
          <w:noProof/>
          <w:lang w:eastAsia="en-AU"/>
        </w:rPr>
        <w:t>a</w:t>
      </w:r>
      <w:r w:rsidR="004A1190" w:rsidRPr="00375B9D">
        <w:rPr>
          <w:noProof/>
          <w:lang w:eastAsia="en-AU"/>
        </w:rPr>
        <w:t xml:space="preserve">gents </w:t>
      </w:r>
      <w:r w:rsidRPr="00375B9D">
        <w:rPr>
          <w:noProof/>
          <w:lang w:eastAsia="en-AU"/>
        </w:rPr>
        <w:t>(</w:t>
      </w:r>
      <w:r w:rsidR="004A1190">
        <w:rPr>
          <w:noProof/>
          <w:lang w:eastAsia="en-AU"/>
        </w:rPr>
        <w:t>l</w:t>
      </w:r>
      <w:r w:rsidR="004A1190" w:rsidRPr="00375B9D">
        <w:rPr>
          <w:noProof/>
          <w:lang w:eastAsia="en-AU"/>
        </w:rPr>
        <w:t xml:space="preserve">abour </w:t>
      </w:r>
      <w:r w:rsidR="004A1190">
        <w:rPr>
          <w:noProof/>
          <w:lang w:eastAsia="en-AU"/>
        </w:rPr>
        <w:t>h</w:t>
      </w:r>
      <w:r w:rsidR="004A1190" w:rsidRPr="00375B9D">
        <w:rPr>
          <w:noProof/>
          <w:lang w:eastAsia="en-AU"/>
        </w:rPr>
        <w:t xml:space="preserve">ire </w:t>
      </w:r>
      <w:r w:rsidR="004A1190">
        <w:rPr>
          <w:noProof/>
          <w:lang w:eastAsia="en-AU"/>
        </w:rPr>
        <w:t>b</w:t>
      </w:r>
      <w:r w:rsidR="004A1190" w:rsidRPr="00375B9D">
        <w:rPr>
          <w:noProof/>
          <w:lang w:eastAsia="en-AU"/>
        </w:rPr>
        <w:t>usinesses</w:t>
      </w:r>
      <w:r w:rsidRPr="00375B9D">
        <w:rPr>
          <w:noProof/>
          <w:lang w:eastAsia="en-AU"/>
        </w:rPr>
        <w:t>)</w:t>
      </w:r>
    </w:p>
    <w:p w14:paraId="3A78028A" w14:textId="77777777" w:rsidR="00375B9D" w:rsidRPr="00375B9D" w:rsidRDefault="00375B9D" w:rsidP="00A73CE7">
      <w:r w:rsidRPr="00375B9D">
        <w:t>The correct payroll tax treatment of labour hire arrangements is as follows:</w:t>
      </w:r>
    </w:p>
    <w:p w14:paraId="29064B1D" w14:textId="77777777" w:rsidR="00375B9D" w:rsidRPr="00375B9D" w:rsidRDefault="00A73CE7" w:rsidP="00AE756D">
      <w:pPr>
        <w:pStyle w:val="DTFBulletlist"/>
      </w:pPr>
      <w:r>
        <w:t>i</w:t>
      </w:r>
      <w:r w:rsidR="00375B9D" w:rsidRPr="00375B9D">
        <w:t>f your business ‘hires inwards’ from a labour hire firm, your contract will generally provide for the labour hire firm to pay that person’s wages and any on-costs (including payroll tax).</w:t>
      </w:r>
    </w:p>
    <w:p w14:paraId="717C6F59" w14:textId="77777777" w:rsidR="00375B9D" w:rsidRPr="00375B9D" w:rsidRDefault="00A73CE7" w:rsidP="00AE756D">
      <w:pPr>
        <w:pStyle w:val="DTFBulletlist"/>
      </w:pPr>
      <w:r>
        <w:t>i</w:t>
      </w:r>
      <w:r w:rsidR="00375B9D" w:rsidRPr="00375B9D">
        <w:t>f your business ‘hires outwards’, that is, one of your employees is hired from you by another business, you would generally meet the wage and on-costs of that employee (including payroll tax) so that person’s wages would be included in your payroll tax returns.</w:t>
      </w:r>
    </w:p>
    <w:p w14:paraId="4DC8A50A" w14:textId="77777777" w:rsidR="00375B9D" w:rsidRPr="00375B9D" w:rsidRDefault="00375B9D" w:rsidP="00375B9D">
      <w:pPr>
        <w:rPr>
          <w:noProof/>
          <w:lang w:eastAsia="en-AU"/>
        </w:rPr>
      </w:pPr>
      <w:r w:rsidRPr="00375B9D">
        <w:rPr>
          <w:noProof/>
          <w:lang w:eastAsia="en-AU"/>
        </w:rPr>
        <w:t xml:space="preserve">A simple test that can be applied to labour hire arrangements is the business that issues the PAYG </w:t>
      </w:r>
      <w:r w:rsidR="00341FD7" w:rsidRPr="00375B9D">
        <w:rPr>
          <w:noProof/>
          <w:lang w:eastAsia="en-AU"/>
        </w:rPr>
        <w:t xml:space="preserve">payment summary </w:t>
      </w:r>
      <w:r w:rsidRPr="00375B9D">
        <w:rPr>
          <w:noProof/>
          <w:lang w:eastAsia="en-AU"/>
        </w:rPr>
        <w:t>to the worker should be including those wages in its payroll tax returns.</w:t>
      </w:r>
    </w:p>
    <w:tbl>
      <w:tblPr>
        <w:tblStyle w:val="DTFpayrolltaxguidestyle1"/>
        <w:tblW w:w="0" w:type="auto"/>
        <w:tblLook w:val="04A0" w:firstRow="1" w:lastRow="0" w:firstColumn="1" w:lastColumn="0" w:noHBand="0" w:noVBand="1"/>
        <w:tblDescription w:val="Note: If an employment agent provides an employee to an entity in which the wages would be exempt if that entity had directly employed the person (for example, a registered nurse provided to a public hospital through a labour hire arrangement), those wages are not taxable wages in payroll tax returns lodged by either the hospital or the labour hire provider."/>
      </w:tblPr>
      <w:tblGrid>
        <w:gridCol w:w="10308"/>
      </w:tblGrid>
      <w:tr w:rsidR="00375B9D" w:rsidRPr="00375B9D" w14:paraId="5F44DCDF" w14:textId="77777777" w:rsidTr="00937629">
        <w:trPr>
          <w:trHeight w:val="1338"/>
          <w:tblHeader/>
        </w:trPr>
        <w:tc>
          <w:tcPr>
            <w:tcW w:w="10318" w:type="dxa"/>
          </w:tcPr>
          <w:p w14:paraId="25704647" w14:textId="77777777" w:rsidR="00375B9D" w:rsidRPr="00375B9D" w:rsidRDefault="00375B9D" w:rsidP="00375B9D">
            <w:pPr>
              <w:spacing w:after="200"/>
              <w:rPr>
                <w:noProof/>
                <w:lang w:eastAsia="en-AU"/>
              </w:rPr>
            </w:pPr>
            <w:r w:rsidRPr="00375B9D">
              <w:rPr>
                <w:b/>
                <w:noProof/>
                <w:lang w:eastAsia="en-AU"/>
              </w:rPr>
              <w:t>Note</w:t>
            </w:r>
            <w:r w:rsidRPr="00375B9D">
              <w:rPr>
                <w:noProof/>
                <w:lang w:eastAsia="en-AU"/>
              </w:rPr>
              <w:t xml:space="preserve">: An exemption applies to wages paid by employment agent to an employee in relation to services provided to a client if those wages would have been exempt if the client had directly employed the person (for example, a nurse provided to a public hospital through a labour hire arrangement). In this case, the client would need to make a declaration to that effect, to be retained by the employment agency in case of future investigation. </w:t>
            </w:r>
          </w:p>
        </w:tc>
      </w:tr>
    </w:tbl>
    <w:p w14:paraId="6FDA30FF" w14:textId="77777777" w:rsidR="00375B9D" w:rsidRPr="00375B9D" w:rsidRDefault="00375B9D" w:rsidP="00375B9D">
      <w:pPr>
        <w:rPr>
          <w:noProof/>
          <w:lang w:eastAsia="en-AU"/>
        </w:rPr>
      </w:pPr>
    </w:p>
    <w:tbl>
      <w:tblPr>
        <w:tblStyle w:val="DTFpayrolltaxguidestyle1"/>
        <w:tblW w:w="10348" w:type="dxa"/>
        <w:tblLook w:val="04A0" w:firstRow="1" w:lastRow="0" w:firstColumn="1" w:lastColumn="0" w:noHBand="0" w:noVBand="1"/>
        <w:tblDescription w:val="For further information on labour hire (employment agents) please refer to the following links:&#10;PTA026 Employment Agency Contracts – Declaration by Exempt Clients&#10;F-PRT-006 Employment Agency Contracts – Declaration by Client&#10;PTA028 Employment agency contracts on-hired to government&#10;PTA029 Recruitment agencies, placement agencies, job placement agencies&#10;"/>
      </w:tblPr>
      <w:tblGrid>
        <w:gridCol w:w="10348"/>
      </w:tblGrid>
      <w:tr w:rsidR="00375B9D" w:rsidRPr="00375B9D" w14:paraId="6F414DB6" w14:textId="77777777" w:rsidTr="00937629">
        <w:trPr>
          <w:trHeight w:val="2219"/>
          <w:tblHeader/>
        </w:trPr>
        <w:tc>
          <w:tcPr>
            <w:tcW w:w="10348" w:type="dxa"/>
          </w:tcPr>
          <w:p w14:paraId="2096AC9C" w14:textId="77777777" w:rsidR="00375B9D" w:rsidRPr="00375B9D" w:rsidRDefault="00375B9D" w:rsidP="00375B9D">
            <w:pPr>
              <w:spacing w:after="200"/>
              <w:rPr>
                <w:noProof/>
                <w:lang w:eastAsia="en-AU"/>
              </w:rPr>
            </w:pPr>
            <w:r w:rsidRPr="00375B9D">
              <w:rPr>
                <w:noProof/>
                <w:lang w:eastAsia="en-AU"/>
              </w:rPr>
              <w:t>For further information on labour hire (employment agents) please refer to the following links:</w:t>
            </w:r>
          </w:p>
          <w:p w14:paraId="4F68ADD2" w14:textId="77777777" w:rsidR="00375B9D" w:rsidRPr="00375B9D" w:rsidRDefault="00000000" w:rsidP="00375B9D">
            <w:pPr>
              <w:spacing w:after="200"/>
              <w:rPr>
                <w:noProof/>
                <w:lang w:eastAsia="en-AU"/>
              </w:rPr>
            </w:pPr>
            <w:hyperlink r:id="rId21" w:history="1">
              <w:r w:rsidR="00375B9D" w:rsidRPr="00375B9D">
                <w:rPr>
                  <w:rStyle w:val="Hyperlink"/>
                  <w:noProof/>
                  <w:lang w:eastAsia="en-AU"/>
                </w:rPr>
                <w:t xml:space="preserve">PTA026 Employment </w:t>
              </w:r>
              <w:r w:rsidR="00341FD7" w:rsidRPr="00375B9D">
                <w:rPr>
                  <w:rStyle w:val="Hyperlink"/>
                  <w:noProof/>
                  <w:lang w:eastAsia="en-AU"/>
                </w:rPr>
                <w:t>agency contracts – declaration by exempt c</w:t>
              </w:r>
              <w:r w:rsidR="00375B9D" w:rsidRPr="00375B9D">
                <w:rPr>
                  <w:rStyle w:val="Hyperlink"/>
                  <w:noProof/>
                  <w:lang w:eastAsia="en-AU"/>
                </w:rPr>
                <w:t>lients</w:t>
              </w:r>
            </w:hyperlink>
          </w:p>
          <w:p w14:paraId="7DE12043" w14:textId="77777777" w:rsidR="00375B9D" w:rsidRPr="00375B9D" w:rsidRDefault="00375B9D" w:rsidP="00375B9D">
            <w:pPr>
              <w:spacing w:after="200"/>
              <w:rPr>
                <w:rStyle w:val="Hyperlink"/>
                <w:noProof/>
                <w:lang w:eastAsia="en-AU"/>
              </w:rPr>
            </w:pPr>
            <w:r w:rsidRPr="00375B9D">
              <w:rPr>
                <w:noProof/>
                <w:lang w:eastAsia="en-AU"/>
              </w:rPr>
              <w:fldChar w:fldCharType="begin"/>
            </w:r>
            <w:r w:rsidRPr="00375B9D">
              <w:rPr>
                <w:noProof/>
                <w:lang w:eastAsia="en-AU"/>
              </w:rPr>
              <w:instrText xml:space="preserve"> HYPERLINK "https://treasury.nt.gov.au/dtf/territory-revenue-office/publications" </w:instrText>
            </w:r>
            <w:r w:rsidRPr="00375B9D">
              <w:rPr>
                <w:noProof/>
                <w:lang w:eastAsia="en-AU"/>
              </w:rPr>
            </w:r>
            <w:r w:rsidRPr="00375B9D">
              <w:rPr>
                <w:noProof/>
                <w:lang w:eastAsia="en-AU"/>
              </w:rPr>
              <w:fldChar w:fldCharType="separate"/>
            </w:r>
            <w:r w:rsidRPr="00375B9D">
              <w:rPr>
                <w:rStyle w:val="Hyperlink"/>
                <w:noProof/>
                <w:lang w:eastAsia="en-AU"/>
              </w:rPr>
              <w:t>F-PRT-006 Employment</w:t>
            </w:r>
            <w:r w:rsidR="00341FD7" w:rsidRPr="00375B9D">
              <w:rPr>
                <w:rStyle w:val="Hyperlink"/>
                <w:noProof/>
                <w:lang w:eastAsia="en-AU"/>
              </w:rPr>
              <w:t xml:space="preserve"> agency contracts – declaration by client</w:t>
            </w:r>
          </w:p>
          <w:p w14:paraId="409F956A" w14:textId="77777777" w:rsidR="00375B9D" w:rsidRPr="00375B9D" w:rsidRDefault="00375B9D" w:rsidP="00375B9D">
            <w:pPr>
              <w:spacing w:after="200"/>
              <w:rPr>
                <w:noProof/>
                <w:lang w:eastAsia="en-AU"/>
              </w:rPr>
            </w:pPr>
            <w:r w:rsidRPr="00375B9D">
              <w:rPr>
                <w:noProof/>
                <w:lang w:eastAsia="en-AU"/>
              </w:rPr>
              <w:fldChar w:fldCharType="end"/>
            </w:r>
            <w:hyperlink r:id="rId22" w:history="1">
              <w:r w:rsidRPr="00375B9D">
                <w:rPr>
                  <w:rStyle w:val="Hyperlink"/>
                  <w:noProof/>
                  <w:lang w:eastAsia="en-AU"/>
                </w:rPr>
                <w:t xml:space="preserve">PTA028 Employment </w:t>
              </w:r>
              <w:r w:rsidR="00341FD7" w:rsidRPr="00375B9D">
                <w:rPr>
                  <w:rStyle w:val="Hyperlink"/>
                  <w:noProof/>
                  <w:lang w:eastAsia="en-AU"/>
                </w:rPr>
                <w:t>agency contracts on-hired to g</w:t>
              </w:r>
              <w:r w:rsidRPr="00375B9D">
                <w:rPr>
                  <w:rStyle w:val="Hyperlink"/>
                  <w:noProof/>
                  <w:lang w:eastAsia="en-AU"/>
                </w:rPr>
                <w:t>overnment</w:t>
              </w:r>
            </w:hyperlink>
          </w:p>
          <w:p w14:paraId="4533CCB6" w14:textId="77777777" w:rsidR="00375B9D" w:rsidRPr="00375B9D" w:rsidRDefault="00000000" w:rsidP="00375B9D">
            <w:pPr>
              <w:spacing w:after="200"/>
              <w:rPr>
                <w:noProof/>
                <w:lang w:eastAsia="en-AU"/>
              </w:rPr>
            </w:pPr>
            <w:hyperlink r:id="rId23" w:history="1">
              <w:r w:rsidR="00375B9D" w:rsidRPr="00375B9D">
                <w:rPr>
                  <w:rStyle w:val="Hyperlink"/>
                  <w:noProof/>
                  <w:lang w:eastAsia="en-AU"/>
                </w:rPr>
                <w:t xml:space="preserve">PTA029 Recruitment </w:t>
              </w:r>
              <w:r w:rsidR="00341FD7" w:rsidRPr="00375B9D">
                <w:rPr>
                  <w:rStyle w:val="Hyperlink"/>
                  <w:noProof/>
                  <w:lang w:eastAsia="en-AU"/>
                </w:rPr>
                <w:t>agencies, placement agencies, job placement a</w:t>
              </w:r>
              <w:r w:rsidR="00375B9D" w:rsidRPr="00375B9D">
                <w:rPr>
                  <w:rStyle w:val="Hyperlink"/>
                  <w:noProof/>
                  <w:lang w:eastAsia="en-AU"/>
                </w:rPr>
                <w:t>gencies</w:t>
              </w:r>
            </w:hyperlink>
          </w:p>
        </w:tc>
      </w:tr>
    </w:tbl>
    <w:p w14:paraId="374F3907" w14:textId="77777777" w:rsidR="00BF351D" w:rsidRDefault="00BF351D" w:rsidP="00375B9D">
      <w:pPr>
        <w:rPr>
          <w:noProof/>
          <w:lang w:eastAsia="en-AU"/>
        </w:rPr>
      </w:pPr>
    </w:p>
    <w:p w14:paraId="754B8965" w14:textId="77777777" w:rsidR="00375B9D" w:rsidRPr="00375B9D" w:rsidRDefault="00375B9D" w:rsidP="00F4299A">
      <w:pPr>
        <w:pStyle w:val="Heading3"/>
        <w:rPr>
          <w:noProof/>
          <w:lang w:eastAsia="en-AU"/>
        </w:rPr>
      </w:pPr>
      <w:bookmarkStart w:id="13" w:name="_Ref108096717"/>
      <w:bookmarkStart w:id="14" w:name="ExemptWages"/>
      <w:r w:rsidRPr="00375B9D">
        <w:rPr>
          <w:noProof/>
          <w:lang w:eastAsia="en-AU"/>
        </w:rPr>
        <w:t xml:space="preserve">Exempt </w:t>
      </w:r>
      <w:r w:rsidR="00B903B2">
        <w:rPr>
          <w:noProof/>
          <w:lang w:eastAsia="en-AU"/>
        </w:rPr>
        <w:t>w</w:t>
      </w:r>
      <w:r w:rsidR="00B903B2" w:rsidRPr="00375B9D">
        <w:rPr>
          <w:noProof/>
          <w:lang w:eastAsia="en-AU"/>
        </w:rPr>
        <w:t>ages</w:t>
      </w:r>
      <w:bookmarkEnd w:id="13"/>
    </w:p>
    <w:bookmarkEnd w:id="14"/>
    <w:p w14:paraId="6DE2EF4F" w14:textId="77777777" w:rsidR="00375B9D" w:rsidRPr="00375B9D" w:rsidRDefault="00375B9D" w:rsidP="00375B9D">
      <w:pPr>
        <w:rPr>
          <w:noProof/>
          <w:lang w:eastAsia="en-AU"/>
        </w:rPr>
      </w:pPr>
      <w:r w:rsidRPr="00375B9D">
        <w:rPr>
          <w:noProof/>
          <w:lang w:eastAsia="en-AU"/>
        </w:rPr>
        <w:t>You may be entitled to reduce the value of taxable wages by deducting payments that are exempt from payroll tax. The main exempt wages are:</w:t>
      </w:r>
    </w:p>
    <w:p w14:paraId="3603A136" w14:textId="77777777" w:rsidR="00375B9D" w:rsidRPr="00375B9D" w:rsidRDefault="00375B9D" w:rsidP="00AE756D">
      <w:pPr>
        <w:pStyle w:val="DTFBulletlist"/>
      </w:pPr>
      <w:r w:rsidRPr="00375B9D">
        <w:t>workers’ compensation payments (but not the ‘make-up pay’ component)</w:t>
      </w:r>
    </w:p>
    <w:p w14:paraId="444C63AB" w14:textId="77777777" w:rsidR="00375B9D" w:rsidRPr="00375B9D" w:rsidRDefault="00375B9D" w:rsidP="00AE756D">
      <w:pPr>
        <w:pStyle w:val="DTFBulletlist"/>
      </w:pPr>
      <w:r w:rsidRPr="00375B9D">
        <w:t xml:space="preserve">payments for parental leave </w:t>
      </w:r>
      <w:r w:rsidRPr="00BF351D">
        <w:t>that are fully met by the employer</w:t>
      </w:r>
    </w:p>
    <w:p w14:paraId="419862CD" w14:textId="77777777" w:rsidR="00375B9D" w:rsidRPr="00375B9D" w:rsidRDefault="00375B9D" w:rsidP="00AE756D">
      <w:pPr>
        <w:pStyle w:val="DTFBulletlist"/>
      </w:pPr>
      <w:r w:rsidRPr="00375B9D">
        <w:t>payments for defence force leave</w:t>
      </w:r>
    </w:p>
    <w:p w14:paraId="0E13177C" w14:textId="77777777" w:rsidR="00375B9D" w:rsidRPr="00375B9D" w:rsidRDefault="00375B9D" w:rsidP="00AE756D">
      <w:pPr>
        <w:pStyle w:val="DTFBulletlist"/>
      </w:pPr>
      <w:r w:rsidRPr="00375B9D">
        <w:t xml:space="preserve">genuine redundancy payments, which are exempt from income tax </w:t>
      </w:r>
    </w:p>
    <w:p w14:paraId="0D78AEB1" w14:textId="77777777" w:rsidR="00375B9D" w:rsidRPr="00375B9D" w:rsidRDefault="00375B9D" w:rsidP="00AE756D">
      <w:pPr>
        <w:pStyle w:val="DTFBulletlist"/>
      </w:pPr>
      <w:r w:rsidRPr="00375B9D">
        <w:t>wages paid to employees who have worked overseas continuously for your business for more than six months</w:t>
      </w:r>
    </w:p>
    <w:p w14:paraId="69D26A14" w14:textId="77777777" w:rsidR="00375B9D" w:rsidRDefault="00375B9D" w:rsidP="00AE756D">
      <w:pPr>
        <w:pStyle w:val="DTFBulletlist"/>
      </w:pPr>
      <w:r w:rsidRPr="00375B9D">
        <w:t xml:space="preserve">wages paid to some Territory residents (see </w:t>
      </w:r>
      <w:hyperlink r:id="rId24" w:history="1">
        <w:r w:rsidRPr="00375B9D">
          <w:rPr>
            <w:rStyle w:val="Hyperlink"/>
          </w:rPr>
          <w:t>CG-PRT-008: Hiring resident employees</w:t>
        </w:r>
      </w:hyperlink>
      <w:r w:rsidRPr="00375B9D">
        <w:t xml:space="preserve">). </w:t>
      </w:r>
    </w:p>
    <w:p w14:paraId="483C80CB" w14:textId="77777777" w:rsidR="00BF351D" w:rsidRPr="00375B9D" w:rsidRDefault="00BF351D" w:rsidP="00BF351D">
      <w:pPr>
        <w:rPr>
          <w:noProof/>
          <w:lang w:eastAsia="en-AU"/>
        </w:rPr>
      </w:pPr>
    </w:p>
    <w:tbl>
      <w:tblPr>
        <w:tblStyle w:val="DTFpayrolltaxguidestyle1"/>
        <w:tblW w:w="0" w:type="auto"/>
        <w:tblLook w:val="04A0" w:firstRow="1" w:lastRow="0" w:firstColumn="1" w:lastColumn="0" w:noHBand="0" w:noVBand="1"/>
        <w:tblDescription w:val="Note: Any other type of paid leave taken to extend parental leave (such as long service leave or annual/recreational leave) is not exempt; only the employer-funded parental leave component is exempt."/>
      </w:tblPr>
      <w:tblGrid>
        <w:gridCol w:w="10308"/>
      </w:tblGrid>
      <w:tr w:rsidR="00375B9D" w:rsidRPr="00375B9D" w14:paraId="48FA1314" w14:textId="77777777" w:rsidTr="00937629">
        <w:trPr>
          <w:trHeight w:val="869"/>
          <w:tblHeader/>
        </w:trPr>
        <w:tc>
          <w:tcPr>
            <w:tcW w:w="10318" w:type="dxa"/>
          </w:tcPr>
          <w:p w14:paraId="5425CB6E" w14:textId="77777777" w:rsidR="00375B9D" w:rsidRPr="00375B9D" w:rsidRDefault="00375B9D" w:rsidP="00375B9D">
            <w:pPr>
              <w:spacing w:after="200"/>
              <w:rPr>
                <w:noProof/>
                <w:lang w:eastAsia="en-AU"/>
              </w:rPr>
            </w:pPr>
            <w:r w:rsidRPr="00BA54B4">
              <w:rPr>
                <w:b/>
                <w:noProof/>
                <w:lang w:eastAsia="en-AU"/>
              </w:rPr>
              <w:lastRenderedPageBreak/>
              <w:t>Note:</w:t>
            </w:r>
            <w:r w:rsidRPr="00375B9D">
              <w:rPr>
                <w:noProof/>
                <w:lang w:eastAsia="en-AU"/>
              </w:rPr>
              <w:t xml:space="preserve"> Any other type of paid leave taken to extend parental leave (such as long service leave or annual/recreational leave) is not exempt</w:t>
            </w:r>
            <w:r w:rsidR="00A73CE7">
              <w:rPr>
                <w:noProof/>
                <w:lang w:eastAsia="en-AU"/>
              </w:rPr>
              <w:t>,</w:t>
            </w:r>
            <w:r w:rsidRPr="00375B9D">
              <w:rPr>
                <w:noProof/>
                <w:lang w:eastAsia="en-AU"/>
              </w:rPr>
              <w:t xml:space="preserve"> only the employer-funded parental leave component is exempt.</w:t>
            </w:r>
          </w:p>
        </w:tc>
      </w:tr>
    </w:tbl>
    <w:p w14:paraId="3CBAB11F" w14:textId="77777777" w:rsidR="00375B9D" w:rsidRPr="00375B9D" w:rsidRDefault="00375B9D" w:rsidP="00375B9D">
      <w:pPr>
        <w:rPr>
          <w:noProof/>
          <w:lang w:eastAsia="en-AU"/>
        </w:rPr>
      </w:pPr>
    </w:p>
    <w:tbl>
      <w:tblPr>
        <w:tblStyle w:val="DTFpayrolltaxguidestyle1"/>
        <w:tblW w:w="0" w:type="auto"/>
        <w:tblLook w:val="04A0" w:firstRow="1" w:lastRow="0" w:firstColumn="1" w:lastColumn="0" w:noHBand="0" w:noVBand="1"/>
        <w:tblDescription w:val="For further information on exempt wages please refer to the following link:&#10;PTA012 Exemption for maternity paternity and adoption leave pay&#10;"/>
      </w:tblPr>
      <w:tblGrid>
        <w:gridCol w:w="10308"/>
      </w:tblGrid>
      <w:tr w:rsidR="00375B9D" w:rsidRPr="00375B9D" w14:paraId="186B96F1" w14:textId="77777777" w:rsidTr="00937629">
        <w:trPr>
          <w:trHeight w:val="608"/>
          <w:tblHeader/>
        </w:trPr>
        <w:tc>
          <w:tcPr>
            <w:tcW w:w="10318" w:type="dxa"/>
          </w:tcPr>
          <w:p w14:paraId="6129B758" w14:textId="77777777" w:rsidR="00375B9D" w:rsidRPr="00375B9D" w:rsidRDefault="00375B9D" w:rsidP="00375B9D">
            <w:pPr>
              <w:spacing w:after="200"/>
              <w:rPr>
                <w:noProof/>
                <w:lang w:eastAsia="en-AU"/>
              </w:rPr>
            </w:pPr>
            <w:r w:rsidRPr="00375B9D">
              <w:rPr>
                <w:noProof/>
                <w:lang w:eastAsia="en-AU"/>
              </w:rPr>
              <w:t xml:space="preserve">For further information on exempt wages please refer to </w:t>
            </w:r>
            <w:hyperlink r:id="rId25" w:history="1">
              <w:r w:rsidRPr="00375B9D">
                <w:rPr>
                  <w:rStyle w:val="Hyperlink"/>
                  <w:noProof/>
                  <w:lang w:eastAsia="en-AU"/>
                </w:rPr>
                <w:t xml:space="preserve">PTA012 Exemption for </w:t>
              </w:r>
              <w:r w:rsidR="00AE591B" w:rsidRPr="00375B9D">
                <w:rPr>
                  <w:rStyle w:val="Hyperlink"/>
                  <w:noProof/>
                  <w:lang w:eastAsia="en-AU"/>
                </w:rPr>
                <w:t>maternity, paternit</w:t>
              </w:r>
              <w:r w:rsidRPr="00375B9D">
                <w:rPr>
                  <w:rStyle w:val="Hyperlink"/>
                  <w:noProof/>
                  <w:lang w:eastAsia="en-AU"/>
                </w:rPr>
                <w:t xml:space="preserve">y and </w:t>
              </w:r>
              <w:r w:rsidR="00AE591B" w:rsidRPr="00375B9D">
                <w:rPr>
                  <w:rStyle w:val="Hyperlink"/>
                  <w:noProof/>
                  <w:lang w:eastAsia="en-AU"/>
                </w:rPr>
                <w:t>adoption leave p</w:t>
              </w:r>
              <w:r w:rsidRPr="00375B9D">
                <w:rPr>
                  <w:rStyle w:val="Hyperlink"/>
                  <w:noProof/>
                  <w:lang w:eastAsia="en-AU"/>
                </w:rPr>
                <w:t>ay</w:t>
              </w:r>
            </w:hyperlink>
            <w:r w:rsidRPr="00375B9D">
              <w:rPr>
                <w:noProof/>
                <w:lang w:eastAsia="en-AU"/>
              </w:rPr>
              <w:t>.</w:t>
            </w:r>
          </w:p>
        </w:tc>
      </w:tr>
    </w:tbl>
    <w:p w14:paraId="728A6B92" w14:textId="77777777" w:rsidR="00375B9D" w:rsidRPr="00375B9D" w:rsidRDefault="00375B9D" w:rsidP="00375B9D">
      <w:pPr>
        <w:rPr>
          <w:noProof/>
          <w:lang w:eastAsia="en-AU"/>
        </w:rPr>
      </w:pPr>
    </w:p>
    <w:tbl>
      <w:tblPr>
        <w:tblStyle w:val="DTFpayrolltaxguidestyle1"/>
        <w:tblW w:w="0" w:type="auto"/>
        <w:tblLook w:val="04A0" w:firstRow="1" w:lastRow="0" w:firstColumn="1" w:lastColumn="0" w:noHBand="0" w:noVBand="1"/>
        <w:tblDescription w:val="Notes: Since 1 July 2015, payments to apprentices, graduates and trainees are no longer exempt wages. &#10;Payments made under the Commonwealth Paid Parental Scheme are not taxable wages as they are not paid by the employer.&#10;"/>
      </w:tblPr>
      <w:tblGrid>
        <w:gridCol w:w="10308"/>
      </w:tblGrid>
      <w:tr w:rsidR="00375B9D" w:rsidRPr="00375B9D" w14:paraId="18C95CCA" w14:textId="77777777" w:rsidTr="00937629">
        <w:trPr>
          <w:trHeight w:val="361"/>
          <w:tblHeader/>
        </w:trPr>
        <w:tc>
          <w:tcPr>
            <w:tcW w:w="10318" w:type="dxa"/>
          </w:tcPr>
          <w:p w14:paraId="434DBFF1" w14:textId="77777777" w:rsidR="00375B9D" w:rsidRPr="00375B9D" w:rsidRDefault="00375B9D" w:rsidP="00A73CE7">
            <w:pPr>
              <w:spacing w:after="200"/>
              <w:rPr>
                <w:noProof/>
                <w:lang w:eastAsia="en-AU"/>
              </w:rPr>
            </w:pPr>
            <w:r w:rsidRPr="00375B9D">
              <w:rPr>
                <w:b/>
                <w:noProof/>
                <w:lang w:eastAsia="en-AU"/>
              </w:rPr>
              <w:t>Note</w:t>
            </w:r>
            <w:r w:rsidRPr="00375B9D">
              <w:rPr>
                <w:noProof/>
                <w:lang w:eastAsia="en-AU"/>
              </w:rPr>
              <w:t>: Payments made under the Commonwealth Paid Parental Scheme are not taxable wages as they are not paid by the employer</w:t>
            </w:r>
            <w:r w:rsidR="00A73CE7">
              <w:rPr>
                <w:noProof/>
                <w:lang w:eastAsia="en-AU"/>
              </w:rPr>
              <w:t xml:space="preserve"> in respect of services provided by the employee</w:t>
            </w:r>
            <w:r w:rsidRPr="00375B9D">
              <w:rPr>
                <w:noProof/>
                <w:lang w:eastAsia="en-AU"/>
              </w:rPr>
              <w:t>.</w:t>
            </w:r>
          </w:p>
        </w:tc>
      </w:tr>
    </w:tbl>
    <w:p w14:paraId="7FF97BDC" w14:textId="77777777" w:rsidR="00BA54B4" w:rsidRDefault="00BA54B4" w:rsidP="00375B9D">
      <w:pPr>
        <w:rPr>
          <w:noProof/>
          <w:lang w:eastAsia="en-AU"/>
        </w:rPr>
      </w:pPr>
    </w:p>
    <w:p w14:paraId="211195E5" w14:textId="77777777" w:rsidR="00375B9D" w:rsidRPr="00375B9D" w:rsidRDefault="00375B9D" w:rsidP="00F4299A">
      <w:pPr>
        <w:pStyle w:val="Heading3"/>
        <w:rPr>
          <w:noProof/>
          <w:lang w:eastAsia="en-AU"/>
        </w:rPr>
      </w:pPr>
      <w:r w:rsidRPr="00375B9D">
        <w:rPr>
          <w:noProof/>
          <w:lang w:eastAsia="en-AU"/>
        </w:rPr>
        <w:t xml:space="preserve">Employees from </w:t>
      </w:r>
      <w:r w:rsidR="00B903B2">
        <w:rPr>
          <w:noProof/>
          <w:lang w:eastAsia="en-AU"/>
        </w:rPr>
        <w:t>o</w:t>
      </w:r>
      <w:r w:rsidR="00B903B2" w:rsidRPr="00375B9D">
        <w:rPr>
          <w:noProof/>
          <w:lang w:eastAsia="en-AU"/>
        </w:rPr>
        <w:t>verseas</w:t>
      </w:r>
    </w:p>
    <w:p w14:paraId="3AB0261E" w14:textId="77777777" w:rsidR="00375B9D" w:rsidRPr="00375B9D" w:rsidRDefault="00375B9D" w:rsidP="00375B9D">
      <w:pPr>
        <w:rPr>
          <w:noProof/>
          <w:lang w:eastAsia="en-AU"/>
        </w:rPr>
      </w:pPr>
      <w:r w:rsidRPr="00375B9D">
        <w:rPr>
          <w:noProof/>
          <w:lang w:eastAsia="en-AU"/>
        </w:rPr>
        <w:t>Payments and benefits related to workers recru</w:t>
      </w:r>
      <w:r w:rsidR="00FA61C9">
        <w:rPr>
          <w:noProof/>
          <w:lang w:eastAsia="en-AU"/>
        </w:rPr>
        <w:t xml:space="preserve">ited from outside of Australia </w:t>
      </w:r>
      <w:r w:rsidRPr="00375B9D">
        <w:rPr>
          <w:noProof/>
          <w:lang w:eastAsia="en-AU"/>
        </w:rPr>
        <w:t>are subject to payroll tax in the same way as workers recruited within Australia.</w:t>
      </w:r>
    </w:p>
    <w:p w14:paraId="12B32205" w14:textId="77777777" w:rsidR="00375B9D" w:rsidRPr="00375B9D" w:rsidRDefault="00375B9D" w:rsidP="00F4299A">
      <w:pPr>
        <w:pStyle w:val="Heading3"/>
        <w:rPr>
          <w:noProof/>
          <w:lang w:eastAsia="en-AU"/>
        </w:rPr>
      </w:pPr>
      <w:r w:rsidRPr="00375B9D">
        <w:rPr>
          <w:noProof/>
          <w:lang w:eastAsia="en-AU"/>
        </w:rPr>
        <w:t xml:space="preserve">Payroll </w:t>
      </w:r>
      <w:r w:rsidR="00B903B2">
        <w:rPr>
          <w:noProof/>
          <w:lang w:eastAsia="en-AU"/>
        </w:rPr>
        <w:t>t</w:t>
      </w:r>
      <w:r w:rsidR="00B903B2" w:rsidRPr="00375B9D">
        <w:rPr>
          <w:noProof/>
          <w:lang w:eastAsia="en-AU"/>
        </w:rPr>
        <w:t xml:space="preserve">ax </w:t>
      </w:r>
      <w:r w:rsidRPr="00375B9D">
        <w:rPr>
          <w:noProof/>
          <w:lang w:eastAsia="en-AU"/>
        </w:rPr>
        <w:t xml:space="preserve">on </w:t>
      </w:r>
      <w:r w:rsidR="00B903B2">
        <w:rPr>
          <w:noProof/>
          <w:lang w:eastAsia="en-AU"/>
        </w:rPr>
        <w:t>u</w:t>
      </w:r>
      <w:r w:rsidR="00B903B2" w:rsidRPr="00375B9D">
        <w:rPr>
          <w:noProof/>
          <w:lang w:eastAsia="en-AU"/>
        </w:rPr>
        <w:t xml:space="preserve">npaid </w:t>
      </w:r>
      <w:r w:rsidR="00B903B2">
        <w:rPr>
          <w:noProof/>
          <w:lang w:eastAsia="en-AU"/>
        </w:rPr>
        <w:t>w</w:t>
      </w:r>
      <w:r w:rsidR="00B903B2" w:rsidRPr="00375B9D">
        <w:rPr>
          <w:noProof/>
          <w:lang w:eastAsia="en-AU"/>
        </w:rPr>
        <w:t xml:space="preserve">ages </w:t>
      </w:r>
      <w:r w:rsidRPr="00375B9D">
        <w:rPr>
          <w:noProof/>
          <w:lang w:eastAsia="en-AU"/>
        </w:rPr>
        <w:t xml:space="preserve">and </w:t>
      </w:r>
      <w:r w:rsidR="00B903B2">
        <w:rPr>
          <w:noProof/>
          <w:lang w:eastAsia="en-AU"/>
        </w:rPr>
        <w:t>b</w:t>
      </w:r>
      <w:r w:rsidR="00B903B2" w:rsidRPr="00375B9D">
        <w:rPr>
          <w:noProof/>
          <w:lang w:eastAsia="en-AU"/>
        </w:rPr>
        <w:t>enefits</w:t>
      </w:r>
    </w:p>
    <w:p w14:paraId="7D2CDA7A" w14:textId="77777777" w:rsidR="00375B9D" w:rsidRPr="00375B9D" w:rsidRDefault="00375B9D" w:rsidP="00375B9D">
      <w:pPr>
        <w:rPr>
          <w:noProof/>
          <w:u w:val="single"/>
          <w:lang w:eastAsia="en-AU"/>
        </w:rPr>
      </w:pPr>
      <w:r w:rsidRPr="00375B9D">
        <w:rPr>
          <w:noProof/>
          <w:lang w:eastAsia="en-AU"/>
        </w:rPr>
        <w:t xml:space="preserve">PRTA provides that payroll tax is payable on wages and benefits paid </w:t>
      </w:r>
      <w:r w:rsidRPr="00375B9D">
        <w:rPr>
          <w:b/>
          <w:noProof/>
          <w:lang w:eastAsia="en-AU"/>
        </w:rPr>
        <w:t>or payable</w:t>
      </w:r>
      <w:r w:rsidRPr="00375B9D">
        <w:rPr>
          <w:noProof/>
          <w:lang w:eastAsia="en-AU"/>
        </w:rPr>
        <w:t>.</w:t>
      </w:r>
    </w:p>
    <w:p w14:paraId="3CC67128" w14:textId="77777777" w:rsidR="00375B9D" w:rsidRPr="00375B9D" w:rsidRDefault="00375B9D" w:rsidP="00375B9D">
      <w:pPr>
        <w:rPr>
          <w:noProof/>
          <w:lang w:eastAsia="en-AU"/>
        </w:rPr>
      </w:pPr>
      <w:r w:rsidRPr="00375B9D">
        <w:rPr>
          <w:noProof/>
          <w:lang w:eastAsia="en-AU"/>
        </w:rPr>
        <w:t xml:space="preserve">This means that if, on investigation, it is found that the employer has provided fringe benefits, but not paid fringe benefits tax to the Australian Taxation Office (ATO), TRO will assess payroll tax on the value of fringe benefits that </w:t>
      </w:r>
      <w:r w:rsidRPr="00375B9D">
        <w:rPr>
          <w:noProof/>
          <w:u w:val="single"/>
          <w:lang w:eastAsia="en-AU"/>
        </w:rPr>
        <w:t>should</w:t>
      </w:r>
      <w:r w:rsidRPr="00375B9D">
        <w:rPr>
          <w:noProof/>
          <w:lang w:eastAsia="en-AU"/>
        </w:rPr>
        <w:t xml:space="preserve"> have been declared to the ATO.</w:t>
      </w:r>
    </w:p>
    <w:p w14:paraId="23EFE8AB" w14:textId="77777777" w:rsidR="00375B9D" w:rsidRPr="00375B9D" w:rsidRDefault="00375B9D" w:rsidP="00375B9D">
      <w:pPr>
        <w:rPr>
          <w:noProof/>
          <w:lang w:eastAsia="en-AU"/>
        </w:rPr>
      </w:pPr>
      <w:r w:rsidRPr="00375B9D">
        <w:rPr>
          <w:noProof/>
          <w:lang w:eastAsia="en-AU"/>
        </w:rPr>
        <w:t>The same principle would apply if, for example, an employer has not made superannuation contributions that it was required to make on behalf of employees or contractors, in which case TRO would estimate the value of unpaid superannuation and calculate payroll tax due on that amount.</w:t>
      </w:r>
    </w:p>
    <w:tbl>
      <w:tblPr>
        <w:tblStyle w:val="DTFpayrolltaxguidestyle1"/>
        <w:tblW w:w="10348" w:type="dxa"/>
        <w:tblLook w:val="04A0" w:firstRow="1" w:lastRow="0" w:firstColumn="1" w:lastColumn="0" w:noHBand="0" w:noVBand="1"/>
        <w:tblDescription w:val="For More Information and Detail&#10;Other forms of wages are described in detail in the sections commencing on page 22.&#10;There is also a comprehensive alphabetical checklist of all types of taxable wages and benefits commencing on page 61.&#10;"/>
      </w:tblPr>
      <w:tblGrid>
        <w:gridCol w:w="10348"/>
      </w:tblGrid>
      <w:tr w:rsidR="00375B9D" w:rsidRPr="00375B9D" w14:paraId="0779B762" w14:textId="77777777" w:rsidTr="00937629">
        <w:trPr>
          <w:trHeight w:val="798"/>
          <w:tblHeader/>
        </w:trPr>
        <w:tc>
          <w:tcPr>
            <w:tcW w:w="10348" w:type="dxa"/>
          </w:tcPr>
          <w:p w14:paraId="45BDB97E" w14:textId="77777777" w:rsidR="00375B9D" w:rsidRPr="00375B9D" w:rsidRDefault="00375B9D" w:rsidP="00375B9D">
            <w:pPr>
              <w:spacing w:after="200"/>
              <w:rPr>
                <w:noProof/>
                <w:u w:val="single"/>
                <w:lang w:eastAsia="en-AU"/>
              </w:rPr>
            </w:pPr>
            <w:r w:rsidRPr="00375B9D">
              <w:rPr>
                <w:noProof/>
                <w:lang w:eastAsia="en-AU"/>
              </w:rPr>
              <w:t xml:space="preserve">Further information on other types of wages commence </w:t>
            </w:r>
            <w:r w:rsidRPr="00375B9D">
              <w:rPr>
                <w:noProof/>
                <w:lang w:eastAsia="en-AU"/>
              </w:rPr>
              <w:fldChar w:fldCharType="begin"/>
            </w:r>
            <w:r w:rsidRPr="00375B9D">
              <w:rPr>
                <w:noProof/>
                <w:lang w:eastAsia="en-AU"/>
              </w:rPr>
              <w:instrText xml:space="preserve"> PAGEREF OtherTypesofTaxableWages \p \h </w:instrText>
            </w:r>
            <w:r w:rsidRPr="00375B9D">
              <w:rPr>
                <w:noProof/>
                <w:lang w:eastAsia="en-AU"/>
              </w:rPr>
            </w:r>
            <w:r w:rsidRPr="00375B9D">
              <w:rPr>
                <w:noProof/>
                <w:lang w:eastAsia="en-AU"/>
              </w:rPr>
              <w:fldChar w:fldCharType="separate"/>
            </w:r>
            <w:r w:rsidR="002A4C93">
              <w:rPr>
                <w:noProof/>
                <w:lang w:eastAsia="en-AU"/>
              </w:rPr>
              <w:t>on page 23</w:t>
            </w:r>
            <w:r w:rsidRPr="00375B9D">
              <w:rPr>
                <w:noProof/>
                <w:lang w:eastAsia="en-AU"/>
              </w:rPr>
              <w:fldChar w:fldCharType="end"/>
            </w:r>
            <w:r w:rsidRPr="00375B9D">
              <w:rPr>
                <w:noProof/>
                <w:lang w:eastAsia="en-AU"/>
              </w:rPr>
              <w:t>.</w:t>
            </w:r>
          </w:p>
          <w:p w14:paraId="1A81FAA8" w14:textId="77777777" w:rsidR="00375B9D" w:rsidRPr="00375B9D" w:rsidRDefault="00375B9D" w:rsidP="00375B9D">
            <w:pPr>
              <w:spacing w:after="200"/>
              <w:rPr>
                <w:noProof/>
                <w:lang w:eastAsia="en-AU"/>
              </w:rPr>
            </w:pPr>
            <w:r w:rsidRPr="00375B9D">
              <w:rPr>
                <w:noProof/>
                <w:lang w:eastAsia="en-AU"/>
              </w:rPr>
              <w:t xml:space="preserve">There is also a comprehensive alphabetical checklist of all types of taxable wages and benefits commencing </w:t>
            </w:r>
            <w:r w:rsidRPr="00375B9D">
              <w:rPr>
                <w:noProof/>
                <w:lang w:eastAsia="en-AU"/>
              </w:rPr>
              <w:fldChar w:fldCharType="begin"/>
            </w:r>
            <w:r w:rsidRPr="00375B9D">
              <w:rPr>
                <w:noProof/>
                <w:lang w:eastAsia="en-AU"/>
              </w:rPr>
              <w:instrText xml:space="preserve"> PAGEREF AlphabeticalChecklistofWageTypes \p \h </w:instrText>
            </w:r>
            <w:r w:rsidRPr="00375B9D">
              <w:rPr>
                <w:noProof/>
                <w:lang w:eastAsia="en-AU"/>
              </w:rPr>
            </w:r>
            <w:r w:rsidRPr="00375B9D">
              <w:rPr>
                <w:noProof/>
                <w:lang w:eastAsia="en-AU"/>
              </w:rPr>
              <w:fldChar w:fldCharType="separate"/>
            </w:r>
            <w:r w:rsidR="002A4C93">
              <w:rPr>
                <w:noProof/>
                <w:lang w:eastAsia="en-AU"/>
              </w:rPr>
              <w:t>on page 75</w:t>
            </w:r>
            <w:r w:rsidRPr="00375B9D">
              <w:rPr>
                <w:noProof/>
                <w:lang w:eastAsia="en-AU"/>
              </w:rPr>
              <w:fldChar w:fldCharType="end"/>
            </w:r>
            <w:r w:rsidRPr="00375B9D">
              <w:rPr>
                <w:noProof/>
                <w:lang w:eastAsia="en-AU"/>
              </w:rPr>
              <w:t>.</w:t>
            </w:r>
          </w:p>
        </w:tc>
      </w:tr>
    </w:tbl>
    <w:p w14:paraId="637CCE7E" w14:textId="77777777" w:rsidR="00375B9D" w:rsidRPr="00375B9D" w:rsidRDefault="00375B9D" w:rsidP="00375B9D">
      <w:pPr>
        <w:rPr>
          <w:noProof/>
          <w:lang w:eastAsia="en-AU"/>
        </w:rPr>
      </w:pPr>
    </w:p>
    <w:p w14:paraId="460A91D6" w14:textId="77777777" w:rsidR="00375B9D" w:rsidRPr="00375B9D" w:rsidRDefault="00375B9D" w:rsidP="00375B9D">
      <w:pPr>
        <w:rPr>
          <w:noProof/>
          <w:lang w:eastAsia="en-AU"/>
        </w:rPr>
      </w:pPr>
      <w:r w:rsidRPr="00375B9D">
        <w:rPr>
          <w:noProof/>
          <w:lang w:eastAsia="en-AU"/>
        </w:rPr>
        <w:br w:type="page"/>
      </w:r>
    </w:p>
    <w:p w14:paraId="1E89A552" w14:textId="77777777" w:rsidR="00375B9D" w:rsidRPr="00375B9D" w:rsidRDefault="00375B9D" w:rsidP="00A7303B">
      <w:pPr>
        <w:pStyle w:val="Heading2"/>
      </w:pPr>
      <w:bookmarkStart w:id="15" w:name="_Toc467842736"/>
      <w:bookmarkStart w:id="16" w:name="_Toc108789563"/>
      <w:r w:rsidRPr="00375B9D">
        <w:lastRenderedPageBreak/>
        <w:t xml:space="preserve">Common </w:t>
      </w:r>
      <w:r w:rsidR="00B903B2">
        <w:t>e</w:t>
      </w:r>
      <w:r w:rsidR="00B903B2" w:rsidRPr="00375B9D">
        <w:t xml:space="preserve">rrors </w:t>
      </w:r>
      <w:r w:rsidR="00B903B2">
        <w:t>m</w:t>
      </w:r>
      <w:r w:rsidR="00B903B2" w:rsidRPr="00375B9D">
        <w:t xml:space="preserve">ade </w:t>
      </w:r>
      <w:r w:rsidRPr="00375B9D">
        <w:t xml:space="preserve">in </w:t>
      </w:r>
      <w:r w:rsidR="00B903B2">
        <w:t>p</w:t>
      </w:r>
      <w:r w:rsidR="00B903B2" w:rsidRPr="00375B9D">
        <w:t xml:space="preserve">ayroll </w:t>
      </w:r>
      <w:r w:rsidR="00B903B2">
        <w:t>t</w:t>
      </w:r>
      <w:r w:rsidR="00B903B2" w:rsidRPr="00375B9D">
        <w:t xml:space="preserve">ax </w:t>
      </w:r>
      <w:bookmarkEnd w:id="15"/>
      <w:r w:rsidR="00B903B2">
        <w:t>r</w:t>
      </w:r>
      <w:r w:rsidR="00B903B2" w:rsidRPr="00375B9D">
        <w:t>eturns</w:t>
      </w:r>
      <w:bookmarkEnd w:id="16"/>
    </w:p>
    <w:p w14:paraId="219807D1" w14:textId="77777777" w:rsidR="00375B9D" w:rsidRDefault="00375B9D" w:rsidP="00375B9D">
      <w:pPr>
        <w:rPr>
          <w:noProof/>
          <w:lang w:eastAsia="en-AU"/>
        </w:rPr>
      </w:pPr>
      <w:r w:rsidRPr="00375B9D">
        <w:rPr>
          <w:noProof/>
          <w:lang w:eastAsia="en-AU"/>
        </w:rPr>
        <w:t>The following table provides a list of the more common payroll tax errors and oversights made by employers in preparing their returns, and is based on TRO’s experience in conducting investigations and answering enquiries from taxpayers.</w:t>
      </w:r>
    </w:p>
    <w:tbl>
      <w:tblPr>
        <w:tblStyle w:val="NTGtable1"/>
        <w:tblW w:w="0" w:type="auto"/>
        <w:tblLook w:val="04A0" w:firstRow="1" w:lastRow="0" w:firstColumn="1" w:lastColumn="0" w:noHBand="0" w:noVBand="1"/>
        <w:tblCaption w:val="common errors made in tax returns"/>
        <w:tblDescription w:val="List of common errors"/>
      </w:tblPr>
      <w:tblGrid>
        <w:gridCol w:w="565"/>
        <w:gridCol w:w="7227"/>
        <w:gridCol w:w="2516"/>
      </w:tblGrid>
      <w:tr w:rsidR="00926087" w14:paraId="4CFA110A" w14:textId="77777777" w:rsidTr="001F42D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565" w:type="dxa"/>
            <w:vAlign w:val="top"/>
          </w:tcPr>
          <w:p w14:paraId="6070AC46" w14:textId="77777777" w:rsidR="00926087" w:rsidRPr="00B9434E" w:rsidRDefault="00926087" w:rsidP="00926087">
            <w:r w:rsidRPr="00B9434E">
              <w:t>No.</w:t>
            </w:r>
          </w:p>
        </w:tc>
        <w:tc>
          <w:tcPr>
            <w:tcW w:w="7227" w:type="dxa"/>
            <w:vAlign w:val="top"/>
          </w:tcPr>
          <w:p w14:paraId="5D8DE0FB" w14:textId="77777777" w:rsidR="00926087" w:rsidRPr="00B9434E" w:rsidRDefault="00926087" w:rsidP="006D1264">
            <w:pPr>
              <w:cnfStyle w:val="100000000000" w:firstRow="1" w:lastRow="0" w:firstColumn="0" w:lastColumn="0" w:oddVBand="0" w:evenVBand="0" w:oddHBand="0" w:evenHBand="0" w:firstRowFirstColumn="0" w:firstRowLastColumn="0" w:lastRowFirstColumn="0" w:lastRowLastColumn="0"/>
            </w:pPr>
            <w:r w:rsidRPr="00B9434E">
              <w:t xml:space="preserve">Error or </w:t>
            </w:r>
            <w:r w:rsidR="006D1264">
              <w:t>o</w:t>
            </w:r>
            <w:r w:rsidRPr="00B9434E">
              <w:t>versight</w:t>
            </w:r>
          </w:p>
        </w:tc>
        <w:tc>
          <w:tcPr>
            <w:tcW w:w="2516" w:type="dxa"/>
            <w:vAlign w:val="top"/>
          </w:tcPr>
          <w:p w14:paraId="26FCD813" w14:textId="77777777" w:rsidR="00926087" w:rsidRDefault="00926087" w:rsidP="00926087">
            <w:pPr>
              <w:cnfStyle w:val="100000000000" w:firstRow="1" w:lastRow="0" w:firstColumn="0" w:lastColumn="0" w:oddVBand="0" w:evenVBand="0" w:oddHBand="0" w:evenHBand="0" w:firstRowFirstColumn="0" w:firstRowLastColumn="0" w:lastRowFirstColumn="0" w:lastRowLastColumn="0"/>
            </w:pPr>
            <w:r w:rsidRPr="00B9434E">
              <w:t>For further information click on link below</w:t>
            </w:r>
          </w:p>
        </w:tc>
      </w:tr>
      <w:tr w:rsidR="00926087" w14:paraId="45031640" w14:textId="77777777" w:rsidTr="0099550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vAlign w:val="top"/>
          </w:tcPr>
          <w:p w14:paraId="306C990E" w14:textId="77777777" w:rsidR="00926087" w:rsidRPr="00375B9D" w:rsidRDefault="00926087" w:rsidP="00926087">
            <w:pPr>
              <w:rPr>
                <w:noProof/>
                <w:lang w:eastAsia="en-AU"/>
              </w:rPr>
            </w:pPr>
            <w:r w:rsidRPr="00375B9D">
              <w:rPr>
                <w:noProof/>
                <w:lang w:eastAsia="en-AU"/>
              </w:rPr>
              <w:t>1</w:t>
            </w:r>
          </w:p>
        </w:tc>
        <w:tc>
          <w:tcPr>
            <w:tcW w:w="7227" w:type="dxa"/>
            <w:vAlign w:val="top"/>
          </w:tcPr>
          <w:p w14:paraId="5138818E" w14:textId="77777777" w:rsidR="00926087" w:rsidRPr="00375B9D" w:rsidRDefault="00926087" w:rsidP="008C742B">
            <w:pPr>
              <w:cnfStyle w:val="000000100000" w:firstRow="0" w:lastRow="0" w:firstColumn="0" w:lastColumn="0" w:oddVBand="0" w:evenVBand="0" w:oddHBand="1" w:evenHBand="0" w:firstRowFirstColumn="0" w:firstRowLastColumn="0" w:lastRowFirstColumn="0" w:lastRowLastColumn="0"/>
              <w:rPr>
                <w:noProof/>
                <w:lang w:eastAsia="en-AU"/>
              </w:rPr>
            </w:pPr>
            <w:r w:rsidRPr="00FD5257">
              <w:rPr>
                <w:b/>
                <w:noProof/>
                <w:lang w:eastAsia="en-AU"/>
              </w:rPr>
              <w:t xml:space="preserve">Misunderstanding </w:t>
            </w:r>
            <w:r w:rsidR="008C742B" w:rsidRPr="00FD5257">
              <w:rPr>
                <w:b/>
                <w:noProof/>
                <w:lang w:eastAsia="en-AU"/>
              </w:rPr>
              <w:t>what is meant by wages</w:t>
            </w:r>
            <w:r w:rsidR="008C742B">
              <w:rPr>
                <w:noProof/>
                <w:lang w:eastAsia="en-AU"/>
              </w:rPr>
              <w:t xml:space="preserve"> – </w:t>
            </w:r>
            <w:r w:rsidR="008C742B" w:rsidRPr="00375B9D">
              <w:rPr>
                <w:noProof/>
                <w:lang w:eastAsia="en-AU"/>
              </w:rPr>
              <w:t xml:space="preserve">some </w:t>
            </w:r>
            <w:r w:rsidRPr="00375B9D">
              <w:rPr>
                <w:noProof/>
                <w:lang w:eastAsia="en-AU"/>
              </w:rPr>
              <w:t>employers assume incorrectly that wages means either the employee’s before or after income tax pay. For payroll tax purposes, wages means all payments and benefits provided to employees, directors and (in some cases) contractors.</w:t>
            </w:r>
          </w:p>
        </w:tc>
        <w:tc>
          <w:tcPr>
            <w:tcW w:w="2516" w:type="dxa"/>
            <w:vAlign w:val="top"/>
          </w:tcPr>
          <w:p w14:paraId="7FCF0BC2" w14:textId="77777777" w:rsidR="00926087" w:rsidRPr="00375B9D" w:rsidRDefault="00926087" w:rsidP="00EE32A2">
            <w:pPr>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F</w:t>
            </w:r>
            <w:r w:rsidR="002A3C1F">
              <w:rPr>
                <w:noProof/>
                <w:lang w:eastAsia="en-AU"/>
              </w:rPr>
              <w:t xml:space="preserve">urther information is available </w:t>
            </w:r>
            <w:r w:rsidR="00770535">
              <w:rPr>
                <w:noProof/>
                <w:lang w:eastAsia="en-AU"/>
              </w:rPr>
              <w:fldChar w:fldCharType="begin"/>
            </w:r>
            <w:r w:rsidR="00770535">
              <w:rPr>
                <w:noProof/>
                <w:lang w:eastAsia="en-AU"/>
              </w:rPr>
              <w:instrText xml:space="preserve"> PAGEREF  WhatIsMeantByWages \h \p </w:instrText>
            </w:r>
            <w:r w:rsidR="00770535">
              <w:rPr>
                <w:noProof/>
                <w:lang w:eastAsia="en-AU"/>
              </w:rPr>
            </w:r>
            <w:r w:rsidR="00770535">
              <w:rPr>
                <w:noProof/>
                <w:lang w:eastAsia="en-AU"/>
              </w:rPr>
              <w:fldChar w:fldCharType="separate"/>
            </w:r>
            <w:r w:rsidR="002A4C93">
              <w:rPr>
                <w:noProof/>
                <w:lang w:eastAsia="en-AU"/>
              </w:rPr>
              <w:t>on page 8</w:t>
            </w:r>
            <w:r w:rsidR="00770535">
              <w:rPr>
                <w:noProof/>
                <w:lang w:eastAsia="en-AU"/>
              </w:rPr>
              <w:fldChar w:fldCharType="end"/>
            </w:r>
            <w:r w:rsidR="002A3C1F">
              <w:rPr>
                <w:noProof/>
                <w:lang w:eastAsia="en-AU"/>
              </w:rPr>
              <w:fldChar w:fldCharType="begin"/>
            </w:r>
            <w:r w:rsidR="002A3C1F">
              <w:rPr>
                <w:noProof/>
                <w:lang w:eastAsia="en-AU"/>
              </w:rPr>
              <w:instrText xml:space="preserve"> PAGEREF  WhatIsMeantbyWages \h \p </w:instrText>
            </w:r>
            <w:r w:rsidR="002A3C1F">
              <w:rPr>
                <w:noProof/>
                <w:lang w:eastAsia="en-AU"/>
              </w:rPr>
            </w:r>
            <w:r w:rsidR="002A3C1F">
              <w:rPr>
                <w:noProof/>
                <w:lang w:eastAsia="en-AU"/>
              </w:rPr>
              <w:fldChar w:fldCharType="end"/>
            </w:r>
          </w:p>
        </w:tc>
      </w:tr>
      <w:tr w:rsidR="00926087" w14:paraId="25061143" w14:textId="77777777" w:rsidTr="009955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vAlign w:val="top"/>
          </w:tcPr>
          <w:p w14:paraId="227969FF" w14:textId="77777777" w:rsidR="00926087" w:rsidRPr="00375B9D" w:rsidRDefault="00926087" w:rsidP="00926087">
            <w:pPr>
              <w:rPr>
                <w:noProof/>
                <w:lang w:eastAsia="en-AU"/>
              </w:rPr>
            </w:pPr>
            <w:r w:rsidRPr="00375B9D">
              <w:rPr>
                <w:noProof/>
                <w:lang w:eastAsia="en-AU"/>
              </w:rPr>
              <w:t>2</w:t>
            </w:r>
          </w:p>
        </w:tc>
        <w:tc>
          <w:tcPr>
            <w:tcW w:w="7227" w:type="dxa"/>
            <w:vAlign w:val="top"/>
          </w:tcPr>
          <w:p w14:paraId="26E41FD3" w14:textId="77777777" w:rsidR="00926087" w:rsidRPr="00375B9D" w:rsidRDefault="00926087" w:rsidP="008C742B">
            <w:pPr>
              <w:cnfStyle w:val="000000010000" w:firstRow="0" w:lastRow="0" w:firstColumn="0" w:lastColumn="0" w:oddVBand="0" w:evenVBand="0" w:oddHBand="0" w:evenHBand="1" w:firstRowFirstColumn="0" w:firstRowLastColumn="0" w:lastRowFirstColumn="0" w:lastRowLastColumn="0"/>
              <w:rPr>
                <w:noProof/>
                <w:lang w:eastAsia="en-AU"/>
              </w:rPr>
            </w:pPr>
            <w:r w:rsidRPr="00FD5257">
              <w:rPr>
                <w:b/>
                <w:noProof/>
                <w:lang w:eastAsia="en-AU"/>
              </w:rPr>
              <w:t xml:space="preserve">Contractor </w:t>
            </w:r>
            <w:r w:rsidR="008C742B" w:rsidRPr="00FD5257">
              <w:rPr>
                <w:b/>
                <w:noProof/>
                <w:lang w:eastAsia="en-AU"/>
              </w:rPr>
              <w:t>payments</w:t>
            </w:r>
            <w:r w:rsidR="008C742B">
              <w:rPr>
                <w:noProof/>
                <w:lang w:eastAsia="en-AU"/>
              </w:rPr>
              <w:t xml:space="preserve"> – in </w:t>
            </w:r>
            <w:r w:rsidR="00A73CE7">
              <w:rPr>
                <w:noProof/>
                <w:lang w:eastAsia="en-AU"/>
              </w:rPr>
              <w:t>some</w:t>
            </w:r>
            <w:r w:rsidRPr="00375B9D">
              <w:rPr>
                <w:noProof/>
                <w:lang w:eastAsia="en-AU"/>
              </w:rPr>
              <w:t xml:space="preserve"> circumstances, payments to contractors are taxable wages. </w:t>
            </w:r>
          </w:p>
        </w:tc>
        <w:tc>
          <w:tcPr>
            <w:tcW w:w="2516" w:type="dxa"/>
            <w:vAlign w:val="top"/>
          </w:tcPr>
          <w:p w14:paraId="18A5A05F" w14:textId="77777777" w:rsidR="00926087" w:rsidRPr="00375B9D" w:rsidRDefault="00926087" w:rsidP="00E1485E">
            <w:pPr>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 xml:space="preserve">Further information is available </w:t>
            </w:r>
            <w:r w:rsidRPr="00375B9D">
              <w:rPr>
                <w:noProof/>
                <w:lang w:eastAsia="en-AU"/>
              </w:rPr>
              <w:fldChar w:fldCharType="begin"/>
            </w:r>
            <w:r w:rsidRPr="00375B9D">
              <w:rPr>
                <w:noProof/>
                <w:lang w:eastAsia="en-AU"/>
              </w:rPr>
              <w:instrText xml:space="preserve"> PAGEREF ContractorsSubcontractorsConsultants \p \h </w:instrText>
            </w:r>
            <w:r w:rsidRPr="00375B9D">
              <w:rPr>
                <w:noProof/>
                <w:lang w:eastAsia="en-AU"/>
              </w:rPr>
            </w:r>
            <w:r w:rsidRPr="00375B9D">
              <w:rPr>
                <w:noProof/>
                <w:lang w:eastAsia="en-AU"/>
              </w:rPr>
              <w:fldChar w:fldCharType="separate"/>
            </w:r>
            <w:r w:rsidR="002A4C93">
              <w:rPr>
                <w:noProof/>
                <w:lang w:eastAsia="en-AU"/>
              </w:rPr>
              <w:t>on page 36</w:t>
            </w:r>
            <w:r w:rsidRPr="00375B9D">
              <w:rPr>
                <w:noProof/>
                <w:lang w:eastAsia="en-AU"/>
              </w:rPr>
              <w:fldChar w:fldCharType="end"/>
            </w:r>
          </w:p>
        </w:tc>
      </w:tr>
      <w:tr w:rsidR="00926087" w14:paraId="718A3443" w14:textId="77777777" w:rsidTr="0099550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vAlign w:val="top"/>
          </w:tcPr>
          <w:p w14:paraId="74D10C61" w14:textId="77777777" w:rsidR="00926087" w:rsidRPr="00375B9D" w:rsidRDefault="00926087" w:rsidP="00926087">
            <w:pPr>
              <w:rPr>
                <w:noProof/>
                <w:lang w:eastAsia="en-AU"/>
              </w:rPr>
            </w:pPr>
            <w:r w:rsidRPr="00375B9D">
              <w:rPr>
                <w:noProof/>
                <w:lang w:eastAsia="en-AU"/>
              </w:rPr>
              <w:t>3</w:t>
            </w:r>
          </w:p>
        </w:tc>
        <w:tc>
          <w:tcPr>
            <w:tcW w:w="7227" w:type="dxa"/>
            <w:vAlign w:val="top"/>
          </w:tcPr>
          <w:p w14:paraId="12D4EBAA" w14:textId="77777777" w:rsidR="00926087" w:rsidRPr="00375B9D" w:rsidRDefault="00926087" w:rsidP="008C742B">
            <w:pPr>
              <w:cnfStyle w:val="000000100000" w:firstRow="0" w:lastRow="0" w:firstColumn="0" w:lastColumn="0" w:oddVBand="0" w:evenVBand="0" w:oddHBand="1" w:evenHBand="0" w:firstRowFirstColumn="0" w:firstRowLastColumn="0" w:lastRowFirstColumn="0" w:lastRowLastColumn="0"/>
              <w:rPr>
                <w:noProof/>
                <w:lang w:eastAsia="en-AU"/>
              </w:rPr>
            </w:pPr>
            <w:r w:rsidRPr="00FD5257">
              <w:rPr>
                <w:b/>
                <w:noProof/>
                <w:lang w:eastAsia="en-AU"/>
              </w:rPr>
              <w:t xml:space="preserve">Directors’ </w:t>
            </w:r>
            <w:r w:rsidR="008C742B" w:rsidRPr="00FD5257">
              <w:rPr>
                <w:b/>
                <w:noProof/>
                <w:lang w:eastAsia="en-AU"/>
              </w:rPr>
              <w:t>fees and benefits</w:t>
            </w:r>
            <w:r w:rsidR="008C742B">
              <w:rPr>
                <w:noProof/>
                <w:lang w:eastAsia="en-AU"/>
              </w:rPr>
              <w:t xml:space="preserve"> – d</w:t>
            </w:r>
            <w:r w:rsidRPr="00375B9D">
              <w:rPr>
                <w:noProof/>
                <w:lang w:eastAsia="en-AU"/>
              </w:rPr>
              <w:t>irectors’ fees, wages and other benefits (paid to working or non-working directors) are taxable wages.</w:t>
            </w:r>
          </w:p>
        </w:tc>
        <w:tc>
          <w:tcPr>
            <w:tcW w:w="2516" w:type="dxa"/>
            <w:vAlign w:val="top"/>
          </w:tcPr>
          <w:p w14:paraId="0D618724" w14:textId="77777777" w:rsidR="00926087" w:rsidRPr="00375B9D" w:rsidRDefault="00926087" w:rsidP="00E1485E">
            <w:pPr>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 xml:space="preserve">Further information is available </w:t>
            </w:r>
            <w:r w:rsidRPr="00375B9D">
              <w:rPr>
                <w:noProof/>
                <w:lang w:eastAsia="en-AU"/>
              </w:rPr>
              <w:fldChar w:fldCharType="begin"/>
            </w:r>
            <w:r w:rsidRPr="00375B9D">
              <w:rPr>
                <w:noProof/>
                <w:lang w:eastAsia="en-AU"/>
              </w:rPr>
              <w:instrText xml:space="preserve"> PAGEREF WhatIsMeantbyWages \p \h </w:instrText>
            </w:r>
            <w:r w:rsidRPr="00375B9D">
              <w:rPr>
                <w:noProof/>
                <w:lang w:eastAsia="en-AU"/>
              </w:rPr>
            </w:r>
            <w:r w:rsidRPr="00375B9D">
              <w:rPr>
                <w:noProof/>
                <w:lang w:eastAsia="en-AU"/>
              </w:rPr>
              <w:fldChar w:fldCharType="separate"/>
            </w:r>
            <w:r w:rsidR="002A4C93">
              <w:rPr>
                <w:noProof/>
                <w:lang w:eastAsia="en-AU"/>
              </w:rPr>
              <w:t>on page 8</w:t>
            </w:r>
            <w:r w:rsidRPr="00375B9D">
              <w:rPr>
                <w:noProof/>
                <w:lang w:eastAsia="en-AU"/>
              </w:rPr>
              <w:fldChar w:fldCharType="end"/>
            </w:r>
          </w:p>
        </w:tc>
      </w:tr>
      <w:tr w:rsidR="00926087" w14:paraId="238B7CCE" w14:textId="77777777" w:rsidTr="009955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vAlign w:val="top"/>
          </w:tcPr>
          <w:p w14:paraId="5E03D36B" w14:textId="77777777" w:rsidR="00926087" w:rsidRPr="00375B9D" w:rsidRDefault="00926087" w:rsidP="00926087">
            <w:pPr>
              <w:rPr>
                <w:noProof/>
                <w:lang w:eastAsia="en-AU"/>
              </w:rPr>
            </w:pPr>
            <w:r w:rsidRPr="00375B9D">
              <w:rPr>
                <w:noProof/>
                <w:lang w:eastAsia="en-AU"/>
              </w:rPr>
              <w:t>4</w:t>
            </w:r>
          </w:p>
        </w:tc>
        <w:tc>
          <w:tcPr>
            <w:tcW w:w="7227" w:type="dxa"/>
            <w:vAlign w:val="top"/>
          </w:tcPr>
          <w:p w14:paraId="53D28B0F" w14:textId="77777777" w:rsidR="00926087" w:rsidRPr="00375B9D" w:rsidRDefault="008C742B" w:rsidP="008C742B">
            <w:pPr>
              <w:cnfStyle w:val="000000010000" w:firstRow="0" w:lastRow="0" w:firstColumn="0" w:lastColumn="0" w:oddVBand="0" w:evenVBand="0" w:oddHBand="0" w:evenHBand="1" w:firstRowFirstColumn="0" w:firstRowLastColumn="0" w:lastRowFirstColumn="0" w:lastRowLastColumn="0"/>
              <w:rPr>
                <w:noProof/>
                <w:lang w:eastAsia="en-AU"/>
              </w:rPr>
            </w:pPr>
            <w:r w:rsidRPr="00FD5257">
              <w:rPr>
                <w:b/>
                <w:noProof/>
                <w:lang w:eastAsia="en-AU"/>
              </w:rPr>
              <w:t>Not recognising fringe benefits</w:t>
            </w:r>
            <w:r w:rsidRPr="00375B9D">
              <w:rPr>
                <w:noProof/>
                <w:lang w:eastAsia="en-AU"/>
              </w:rPr>
              <w:t xml:space="preserve"> </w:t>
            </w:r>
            <w:r w:rsidR="00926087" w:rsidRPr="00375B9D">
              <w:rPr>
                <w:noProof/>
                <w:lang w:eastAsia="en-AU"/>
              </w:rPr>
              <w:t>–</w:t>
            </w:r>
            <w:r>
              <w:rPr>
                <w:noProof/>
                <w:lang w:eastAsia="en-AU"/>
              </w:rPr>
              <w:t xml:space="preserve"> o</w:t>
            </w:r>
            <w:r w:rsidR="00926087" w:rsidRPr="00375B9D">
              <w:rPr>
                <w:noProof/>
                <w:lang w:eastAsia="en-AU"/>
              </w:rPr>
              <w:t xml:space="preserve">ften employers are providing fringe benefits but do not recognise them as such (for example, home-garaged cars, discounts, family travel). </w:t>
            </w:r>
          </w:p>
        </w:tc>
        <w:tc>
          <w:tcPr>
            <w:tcW w:w="2516" w:type="dxa"/>
            <w:vAlign w:val="top"/>
          </w:tcPr>
          <w:p w14:paraId="4F2D9A76" w14:textId="77777777" w:rsidR="00926087" w:rsidRPr="00375B9D" w:rsidRDefault="00926087" w:rsidP="00E1485E">
            <w:pPr>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 xml:space="preserve">Further information is available </w:t>
            </w:r>
            <w:r w:rsidRPr="00375B9D">
              <w:rPr>
                <w:noProof/>
                <w:lang w:eastAsia="en-AU"/>
              </w:rPr>
              <w:fldChar w:fldCharType="begin"/>
            </w:r>
            <w:r w:rsidRPr="00375B9D">
              <w:rPr>
                <w:noProof/>
                <w:lang w:eastAsia="en-AU"/>
              </w:rPr>
              <w:instrText xml:space="preserve"> PAGEREF FringeBenefits \p \h </w:instrText>
            </w:r>
            <w:r w:rsidRPr="00375B9D">
              <w:rPr>
                <w:noProof/>
                <w:lang w:eastAsia="en-AU"/>
              </w:rPr>
            </w:r>
            <w:r w:rsidRPr="00375B9D">
              <w:rPr>
                <w:noProof/>
                <w:lang w:eastAsia="en-AU"/>
              </w:rPr>
              <w:fldChar w:fldCharType="separate"/>
            </w:r>
            <w:r w:rsidR="002A4C93">
              <w:rPr>
                <w:noProof/>
                <w:lang w:eastAsia="en-AU"/>
              </w:rPr>
              <w:t>on page 28</w:t>
            </w:r>
            <w:r w:rsidRPr="00375B9D">
              <w:rPr>
                <w:noProof/>
                <w:lang w:eastAsia="en-AU"/>
              </w:rPr>
              <w:fldChar w:fldCharType="end"/>
            </w:r>
          </w:p>
        </w:tc>
      </w:tr>
      <w:tr w:rsidR="00926087" w14:paraId="2649DDCD" w14:textId="77777777" w:rsidTr="0099550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vAlign w:val="top"/>
          </w:tcPr>
          <w:p w14:paraId="393FBFCE" w14:textId="77777777" w:rsidR="00926087" w:rsidRPr="00375B9D" w:rsidRDefault="00926087" w:rsidP="00926087">
            <w:pPr>
              <w:rPr>
                <w:noProof/>
                <w:lang w:eastAsia="en-AU"/>
              </w:rPr>
            </w:pPr>
            <w:r w:rsidRPr="00375B9D">
              <w:rPr>
                <w:noProof/>
                <w:lang w:eastAsia="en-AU"/>
              </w:rPr>
              <w:t>5</w:t>
            </w:r>
          </w:p>
        </w:tc>
        <w:tc>
          <w:tcPr>
            <w:tcW w:w="7227" w:type="dxa"/>
            <w:vAlign w:val="top"/>
          </w:tcPr>
          <w:p w14:paraId="5DAE1AED" w14:textId="77777777" w:rsidR="00926087" w:rsidRPr="00375B9D" w:rsidRDefault="008C742B" w:rsidP="008C742B">
            <w:pPr>
              <w:cnfStyle w:val="000000100000" w:firstRow="0" w:lastRow="0" w:firstColumn="0" w:lastColumn="0" w:oddVBand="0" w:evenVBand="0" w:oddHBand="1" w:evenHBand="0" w:firstRowFirstColumn="0" w:firstRowLastColumn="0" w:lastRowFirstColumn="0" w:lastRowLastColumn="0"/>
              <w:rPr>
                <w:noProof/>
                <w:lang w:eastAsia="en-AU"/>
              </w:rPr>
            </w:pPr>
            <w:r w:rsidRPr="00FD5257">
              <w:rPr>
                <w:b/>
                <w:noProof/>
                <w:lang w:eastAsia="en-AU"/>
              </w:rPr>
              <w:t xml:space="preserve">Declaring </w:t>
            </w:r>
            <w:r w:rsidR="00FD5257" w:rsidRPr="00FD5257">
              <w:rPr>
                <w:b/>
                <w:noProof/>
                <w:lang w:eastAsia="en-AU"/>
              </w:rPr>
              <w:t xml:space="preserve">fringe benefits </w:t>
            </w:r>
            <w:r w:rsidRPr="00FD5257">
              <w:rPr>
                <w:b/>
                <w:noProof/>
                <w:lang w:eastAsia="en-AU"/>
              </w:rPr>
              <w:t>to the ATO but not TRO</w:t>
            </w:r>
            <w:r w:rsidRPr="00375B9D">
              <w:rPr>
                <w:noProof/>
                <w:lang w:eastAsia="en-AU"/>
              </w:rPr>
              <w:t xml:space="preserve"> </w:t>
            </w:r>
            <w:r w:rsidR="00926087" w:rsidRPr="00375B9D">
              <w:rPr>
                <w:noProof/>
                <w:lang w:eastAsia="en-AU"/>
              </w:rPr>
              <w:t>–</w:t>
            </w:r>
            <w:r>
              <w:rPr>
                <w:noProof/>
                <w:lang w:eastAsia="en-AU"/>
              </w:rPr>
              <w:t xml:space="preserve"> </w:t>
            </w:r>
            <w:r w:rsidR="00926087" w:rsidRPr="00375B9D">
              <w:rPr>
                <w:noProof/>
                <w:lang w:eastAsia="en-AU"/>
              </w:rPr>
              <w:t xml:space="preserve">TRO has found that some employers are correctly declaring fringe benefits to the ATO, but have overlooked declaring these to TRO. </w:t>
            </w:r>
          </w:p>
        </w:tc>
        <w:tc>
          <w:tcPr>
            <w:tcW w:w="2516" w:type="dxa"/>
            <w:vAlign w:val="top"/>
          </w:tcPr>
          <w:p w14:paraId="7B4BCECF" w14:textId="77777777" w:rsidR="00926087" w:rsidRPr="00375B9D" w:rsidRDefault="00926087" w:rsidP="00E1485E">
            <w:pPr>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 xml:space="preserve">Further information is available </w:t>
            </w:r>
            <w:r w:rsidRPr="00375B9D">
              <w:rPr>
                <w:noProof/>
                <w:lang w:eastAsia="en-AU"/>
              </w:rPr>
              <w:fldChar w:fldCharType="begin"/>
            </w:r>
            <w:r w:rsidRPr="00375B9D">
              <w:rPr>
                <w:noProof/>
                <w:lang w:eastAsia="en-AU"/>
              </w:rPr>
              <w:instrText xml:space="preserve"> PAGEREF FringeBenefits \p \h </w:instrText>
            </w:r>
            <w:r w:rsidRPr="00375B9D">
              <w:rPr>
                <w:noProof/>
                <w:lang w:eastAsia="en-AU"/>
              </w:rPr>
            </w:r>
            <w:r w:rsidRPr="00375B9D">
              <w:rPr>
                <w:noProof/>
                <w:lang w:eastAsia="en-AU"/>
              </w:rPr>
              <w:fldChar w:fldCharType="separate"/>
            </w:r>
            <w:r w:rsidR="002A4C93">
              <w:rPr>
                <w:noProof/>
                <w:lang w:eastAsia="en-AU"/>
              </w:rPr>
              <w:t>on page 28</w:t>
            </w:r>
            <w:r w:rsidRPr="00375B9D">
              <w:rPr>
                <w:noProof/>
                <w:lang w:eastAsia="en-AU"/>
              </w:rPr>
              <w:fldChar w:fldCharType="end"/>
            </w:r>
          </w:p>
        </w:tc>
      </w:tr>
      <w:tr w:rsidR="00926087" w14:paraId="65800249" w14:textId="77777777" w:rsidTr="009955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vAlign w:val="top"/>
          </w:tcPr>
          <w:p w14:paraId="7ACECC06" w14:textId="77777777" w:rsidR="00926087" w:rsidRPr="00375B9D" w:rsidRDefault="00926087" w:rsidP="00926087">
            <w:pPr>
              <w:rPr>
                <w:noProof/>
                <w:lang w:eastAsia="en-AU"/>
              </w:rPr>
            </w:pPr>
            <w:r w:rsidRPr="00375B9D">
              <w:rPr>
                <w:noProof/>
                <w:lang w:eastAsia="en-AU"/>
              </w:rPr>
              <w:t>6</w:t>
            </w:r>
          </w:p>
        </w:tc>
        <w:tc>
          <w:tcPr>
            <w:tcW w:w="7227" w:type="dxa"/>
            <w:vAlign w:val="top"/>
          </w:tcPr>
          <w:p w14:paraId="6A75F81D" w14:textId="77777777" w:rsidR="00926087" w:rsidRPr="00375B9D" w:rsidRDefault="00504271" w:rsidP="00926087">
            <w:pPr>
              <w:cnfStyle w:val="000000010000" w:firstRow="0" w:lastRow="0" w:firstColumn="0" w:lastColumn="0" w:oddVBand="0" w:evenVBand="0" w:oddHBand="0" w:evenHBand="1" w:firstRowFirstColumn="0" w:firstRowLastColumn="0" w:lastRowFirstColumn="0" w:lastRowLastColumn="0"/>
              <w:rPr>
                <w:noProof/>
                <w:lang w:eastAsia="en-AU"/>
              </w:rPr>
            </w:pPr>
            <w:r w:rsidRPr="00AF36F5">
              <w:rPr>
                <w:b/>
                <w:noProof/>
                <w:lang w:eastAsia="en-AU"/>
              </w:rPr>
              <w:t>Using the wrong gross-up rate for fringe benefits</w:t>
            </w:r>
            <w:r w:rsidRPr="00375B9D">
              <w:rPr>
                <w:noProof/>
                <w:lang w:eastAsia="en-AU"/>
              </w:rPr>
              <w:t xml:space="preserve"> </w:t>
            </w:r>
            <w:r w:rsidR="00926087" w:rsidRPr="00375B9D">
              <w:rPr>
                <w:noProof/>
                <w:lang w:eastAsia="en-AU"/>
              </w:rPr>
              <w:t xml:space="preserve">– </w:t>
            </w:r>
            <w:r>
              <w:rPr>
                <w:noProof/>
                <w:lang w:eastAsia="en-AU"/>
              </w:rPr>
              <w:t>t</w:t>
            </w:r>
            <w:r w:rsidR="00926087" w:rsidRPr="00375B9D">
              <w:rPr>
                <w:noProof/>
                <w:lang w:eastAsia="en-AU"/>
              </w:rPr>
              <w:t>he face value of a fringe benefit is grossed up before calculating fringe benefits tax (FBT) or payroll tax.</w:t>
            </w:r>
          </w:p>
          <w:p w14:paraId="4ABC6D24" w14:textId="77777777" w:rsidR="00926087" w:rsidRPr="00375B9D" w:rsidRDefault="00926087" w:rsidP="00926087">
            <w:pPr>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When lodging an FBT return with the ATO, there are two possible gross-up rates – the higher Type 1 rate and the lower Type 2 rate, depending on the GST treatment of the benefit.</w:t>
            </w:r>
          </w:p>
          <w:p w14:paraId="39B3DA8A" w14:textId="77777777" w:rsidR="00926087" w:rsidRPr="00375B9D" w:rsidRDefault="00926087" w:rsidP="00926087">
            <w:pPr>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However, for payroll tax purposes only the lower Type 2 rate is required to be used for any type of fringe benefit.</w:t>
            </w:r>
          </w:p>
          <w:p w14:paraId="43D3BF84" w14:textId="77777777" w:rsidR="00926087" w:rsidRPr="00375B9D" w:rsidRDefault="00926087" w:rsidP="00926087">
            <w:pPr>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When preparing a payroll tax return for an employer that provides both Type 1 and Type 2 fringe benefits, use only the lower Type 2 rate, otherwise payroll tax will be overpaid.</w:t>
            </w:r>
          </w:p>
        </w:tc>
        <w:tc>
          <w:tcPr>
            <w:tcW w:w="2516" w:type="dxa"/>
            <w:vAlign w:val="top"/>
          </w:tcPr>
          <w:p w14:paraId="2D670D8F" w14:textId="77777777" w:rsidR="00926087" w:rsidRPr="00375B9D" w:rsidRDefault="00926087" w:rsidP="00E1485E">
            <w:pPr>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 xml:space="preserve">Further information is available </w:t>
            </w:r>
            <w:r w:rsidRPr="00375B9D">
              <w:rPr>
                <w:noProof/>
                <w:lang w:eastAsia="en-AU"/>
              </w:rPr>
              <w:fldChar w:fldCharType="begin"/>
            </w:r>
            <w:r w:rsidRPr="00375B9D">
              <w:rPr>
                <w:noProof/>
                <w:lang w:eastAsia="en-AU"/>
              </w:rPr>
              <w:instrText xml:space="preserve"> PAGEREF FringeBenefits \p \h </w:instrText>
            </w:r>
            <w:r w:rsidRPr="00375B9D">
              <w:rPr>
                <w:noProof/>
                <w:lang w:eastAsia="en-AU"/>
              </w:rPr>
            </w:r>
            <w:r w:rsidRPr="00375B9D">
              <w:rPr>
                <w:noProof/>
                <w:lang w:eastAsia="en-AU"/>
              </w:rPr>
              <w:fldChar w:fldCharType="separate"/>
            </w:r>
            <w:r w:rsidR="002A4C93">
              <w:rPr>
                <w:noProof/>
                <w:lang w:eastAsia="en-AU"/>
              </w:rPr>
              <w:t>on page 28</w:t>
            </w:r>
            <w:r w:rsidRPr="00375B9D">
              <w:rPr>
                <w:noProof/>
                <w:lang w:eastAsia="en-AU"/>
              </w:rPr>
              <w:fldChar w:fldCharType="end"/>
            </w:r>
          </w:p>
        </w:tc>
      </w:tr>
      <w:tr w:rsidR="00926087" w14:paraId="70F9ECDC" w14:textId="77777777" w:rsidTr="0099550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vAlign w:val="top"/>
          </w:tcPr>
          <w:p w14:paraId="7AE49477" w14:textId="77777777" w:rsidR="00926087" w:rsidRPr="00375B9D" w:rsidRDefault="00926087" w:rsidP="00926087">
            <w:pPr>
              <w:rPr>
                <w:noProof/>
                <w:lang w:eastAsia="en-AU"/>
              </w:rPr>
            </w:pPr>
            <w:r w:rsidRPr="00375B9D">
              <w:rPr>
                <w:noProof/>
                <w:lang w:eastAsia="en-AU"/>
              </w:rPr>
              <w:t>7</w:t>
            </w:r>
          </w:p>
        </w:tc>
        <w:tc>
          <w:tcPr>
            <w:tcW w:w="7227" w:type="dxa"/>
            <w:vAlign w:val="top"/>
          </w:tcPr>
          <w:p w14:paraId="2E20934A" w14:textId="77777777" w:rsidR="00926087" w:rsidRPr="00375B9D" w:rsidRDefault="00926087" w:rsidP="00AF36F5">
            <w:pPr>
              <w:cnfStyle w:val="000000100000" w:firstRow="0" w:lastRow="0" w:firstColumn="0" w:lastColumn="0" w:oddVBand="0" w:evenVBand="0" w:oddHBand="1" w:evenHBand="0" w:firstRowFirstColumn="0" w:firstRowLastColumn="0" w:lastRowFirstColumn="0" w:lastRowLastColumn="0"/>
              <w:rPr>
                <w:noProof/>
                <w:lang w:eastAsia="en-AU"/>
              </w:rPr>
            </w:pPr>
            <w:r w:rsidRPr="00AF36F5">
              <w:rPr>
                <w:b/>
                <w:noProof/>
                <w:lang w:eastAsia="en-AU"/>
              </w:rPr>
              <w:t xml:space="preserve">Using FBT </w:t>
            </w:r>
            <w:r w:rsidR="00AF36F5" w:rsidRPr="00AF36F5">
              <w:rPr>
                <w:b/>
                <w:noProof/>
                <w:lang w:eastAsia="en-AU"/>
              </w:rPr>
              <w:t>paid as taxable wages</w:t>
            </w:r>
            <w:r w:rsidR="00AF36F5">
              <w:rPr>
                <w:noProof/>
                <w:lang w:eastAsia="en-AU"/>
              </w:rPr>
              <w:t xml:space="preserve"> </w:t>
            </w:r>
            <w:r w:rsidR="00AF36F5" w:rsidRPr="00375B9D">
              <w:rPr>
                <w:noProof/>
                <w:lang w:eastAsia="en-AU"/>
              </w:rPr>
              <w:t>–</w:t>
            </w:r>
            <w:r w:rsidR="00AF36F5">
              <w:rPr>
                <w:noProof/>
                <w:lang w:eastAsia="en-AU"/>
              </w:rPr>
              <w:t xml:space="preserve"> </w:t>
            </w:r>
            <w:r w:rsidR="00AF36F5" w:rsidRPr="00375B9D">
              <w:rPr>
                <w:noProof/>
                <w:lang w:eastAsia="en-AU"/>
              </w:rPr>
              <w:t xml:space="preserve">taxpayers </w:t>
            </w:r>
            <w:r w:rsidRPr="00375B9D">
              <w:rPr>
                <w:noProof/>
                <w:lang w:eastAsia="en-AU"/>
              </w:rPr>
              <w:t>sometimes incorrectly use the amount of FBT paid to the ATO as taxable wages for their payroll tax returns rather than the value of the benefit – the value of taxable wages (for calculating payroll tax) should be approximately double the value of FBT actually paid to the ATO.</w:t>
            </w:r>
          </w:p>
        </w:tc>
        <w:tc>
          <w:tcPr>
            <w:tcW w:w="2516" w:type="dxa"/>
            <w:vAlign w:val="top"/>
          </w:tcPr>
          <w:p w14:paraId="32BF53AD" w14:textId="77777777" w:rsidR="00926087" w:rsidRPr="00375B9D" w:rsidRDefault="00926087" w:rsidP="00E1485E">
            <w:pPr>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 xml:space="preserve">Further information is available </w:t>
            </w:r>
            <w:r w:rsidRPr="00375B9D">
              <w:rPr>
                <w:noProof/>
                <w:lang w:eastAsia="en-AU"/>
              </w:rPr>
              <w:fldChar w:fldCharType="begin"/>
            </w:r>
            <w:r w:rsidRPr="00375B9D">
              <w:rPr>
                <w:noProof/>
                <w:lang w:eastAsia="en-AU"/>
              </w:rPr>
              <w:instrText xml:space="preserve"> PAGEREF FringeBenefits \p \h </w:instrText>
            </w:r>
            <w:r w:rsidRPr="00375B9D">
              <w:rPr>
                <w:noProof/>
                <w:lang w:eastAsia="en-AU"/>
              </w:rPr>
            </w:r>
            <w:r w:rsidRPr="00375B9D">
              <w:rPr>
                <w:noProof/>
                <w:lang w:eastAsia="en-AU"/>
              </w:rPr>
              <w:fldChar w:fldCharType="separate"/>
            </w:r>
            <w:r w:rsidR="002A4C93">
              <w:rPr>
                <w:noProof/>
                <w:lang w:eastAsia="en-AU"/>
              </w:rPr>
              <w:t>on page 28</w:t>
            </w:r>
            <w:r w:rsidRPr="00375B9D">
              <w:rPr>
                <w:noProof/>
                <w:lang w:eastAsia="en-AU"/>
              </w:rPr>
              <w:fldChar w:fldCharType="end"/>
            </w:r>
          </w:p>
        </w:tc>
      </w:tr>
      <w:tr w:rsidR="00926087" w14:paraId="1E5E5438" w14:textId="77777777" w:rsidTr="009955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vAlign w:val="top"/>
          </w:tcPr>
          <w:p w14:paraId="3F00AC08" w14:textId="77777777" w:rsidR="00926087" w:rsidRPr="00375B9D" w:rsidRDefault="00926087" w:rsidP="00926087">
            <w:pPr>
              <w:rPr>
                <w:noProof/>
                <w:lang w:eastAsia="en-AU"/>
              </w:rPr>
            </w:pPr>
            <w:r w:rsidRPr="00375B9D">
              <w:rPr>
                <w:noProof/>
                <w:lang w:eastAsia="en-AU"/>
              </w:rPr>
              <w:t>8</w:t>
            </w:r>
          </w:p>
        </w:tc>
        <w:tc>
          <w:tcPr>
            <w:tcW w:w="7227" w:type="dxa"/>
            <w:vAlign w:val="top"/>
          </w:tcPr>
          <w:p w14:paraId="17D48F57" w14:textId="77777777" w:rsidR="00926087" w:rsidRPr="00375B9D" w:rsidRDefault="00926087" w:rsidP="00AF36F5">
            <w:pPr>
              <w:cnfStyle w:val="000000010000" w:firstRow="0" w:lastRow="0" w:firstColumn="0" w:lastColumn="0" w:oddVBand="0" w:evenVBand="0" w:oddHBand="0" w:evenHBand="1" w:firstRowFirstColumn="0" w:firstRowLastColumn="0" w:lastRowFirstColumn="0" w:lastRowLastColumn="0"/>
              <w:rPr>
                <w:noProof/>
                <w:lang w:eastAsia="en-AU"/>
              </w:rPr>
            </w:pPr>
            <w:r w:rsidRPr="00AF36F5">
              <w:rPr>
                <w:b/>
                <w:noProof/>
                <w:lang w:eastAsia="en-AU"/>
              </w:rPr>
              <w:t>Providing ‘</w:t>
            </w:r>
            <w:r w:rsidR="00AF36F5" w:rsidRPr="00AF36F5">
              <w:rPr>
                <w:b/>
                <w:noProof/>
                <w:lang w:eastAsia="en-AU"/>
              </w:rPr>
              <w:t>in-kind’ benefits but not recognising them as fringe benefits or other taxable wages</w:t>
            </w:r>
            <w:r w:rsidR="00AF36F5">
              <w:rPr>
                <w:noProof/>
                <w:lang w:eastAsia="en-AU"/>
              </w:rPr>
              <w:t xml:space="preserve"> – an </w:t>
            </w:r>
            <w:r w:rsidRPr="00375B9D">
              <w:rPr>
                <w:noProof/>
                <w:lang w:eastAsia="en-AU"/>
              </w:rPr>
              <w:t>employer may provide an ‘in-kind’ (non-cash) benefit to an employee, director or a family member (or in some cases even to a contractor) without recognising that this may constitute a fringe benefit or other form of taxable wages (for example, a developer providing staff discounts on its home unit sales).</w:t>
            </w:r>
          </w:p>
        </w:tc>
        <w:tc>
          <w:tcPr>
            <w:tcW w:w="2516" w:type="dxa"/>
            <w:vAlign w:val="top"/>
          </w:tcPr>
          <w:p w14:paraId="508BCDAD" w14:textId="77777777" w:rsidR="00926087" w:rsidRPr="00375B9D" w:rsidRDefault="00926087" w:rsidP="00995500">
            <w:pPr>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 xml:space="preserve">Further information is available </w:t>
            </w:r>
            <w:r w:rsidRPr="00375B9D">
              <w:rPr>
                <w:noProof/>
                <w:lang w:eastAsia="en-AU"/>
              </w:rPr>
              <w:fldChar w:fldCharType="begin"/>
            </w:r>
            <w:r w:rsidRPr="00375B9D">
              <w:rPr>
                <w:noProof/>
                <w:lang w:eastAsia="en-AU"/>
              </w:rPr>
              <w:instrText xml:space="preserve"> PAGEREF FringeBenefits \p \h </w:instrText>
            </w:r>
            <w:r w:rsidRPr="00375B9D">
              <w:rPr>
                <w:noProof/>
                <w:lang w:eastAsia="en-AU"/>
              </w:rPr>
            </w:r>
            <w:r w:rsidRPr="00375B9D">
              <w:rPr>
                <w:noProof/>
                <w:lang w:eastAsia="en-AU"/>
              </w:rPr>
              <w:fldChar w:fldCharType="separate"/>
            </w:r>
            <w:r w:rsidR="002A4C93">
              <w:rPr>
                <w:noProof/>
                <w:lang w:eastAsia="en-AU"/>
              </w:rPr>
              <w:t>on page 28</w:t>
            </w:r>
            <w:r w:rsidRPr="00375B9D">
              <w:rPr>
                <w:noProof/>
                <w:lang w:eastAsia="en-AU"/>
              </w:rPr>
              <w:fldChar w:fldCharType="end"/>
            </w:r>
          </w:p>
        </w:tc>
      </w:tr>
      <w:tr w:rsidR="00926087" w14:paraId="3D0CA07E" w14:textId="77777777" w:rsidTr="0099550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vAlign w:val="top"/>
          </w:tcPr>
          <w:p w14:paraId="23D1B12D" w14:textId="77777777" w:rsidR="00926087" w:rsidRPr="00375B9D" w:rsidRDefault="00926087" w:rsidP="00926087">
            <w:pPr>
              <w:rPr>
                <w:noProof/>
                <w:lang w:eastAsia="en-AU"/>
              </w:rPr>
            </w:pPr>
            <w:r w:rsidRPr="00375B9D">
              <w:rPr>
                <w:noProof/>
                <w:lang w:eastAsia="en-AU"/>
              </w:rPr>
              <w:lastRenderedPageBreak/>
              <w:t>9</w:t>
            </w:r>
          </w:p>
        </w:tc>
        <w:tc>
          <w:tcPr>
            <w:tcW w:w="7227" w:type="dxa"/>
            <w:vAlign w:val="top"/>
          </w:tcPr>
          <w:p w14:paraId="3E86D41A" w14:textId="77777777" w:rsidR="00926087" w:rsidRPr="00375B9D" w:rsidRDefault="00926087" w:rsidP="00AF36F5">
            <w:pPr>
              <w:cnfStyle w:val="000000100000" w:firstRow="0" w:lastRow="0" w:firstColumn="0" w:lastColumn="0" w:oddVBand="0" w:evenVBand="0" w:oddHBand="1" w:evenHBand="0" w:firstRowFirstColumn="0" w:firstRowLastColumn="0" w:lastRowFirstColumn="0" w:lastRowLastColumn="0"/>
              <w:rPr>
                <w:noProof/>
                <w:lang w:eastAsia="en-AU"/>
              </w:rPr>
            </w:pPr>
            <w:r w:rsidRPr="00AF36F5">
              <w:rPr>
                <w:b/>
                <w:noProof/>
                <w:lang w:eastAsia="en-AU"/>
              </w:rPr>
              <w:t xml:space="preserve">Not </w:t>
            </w:r>
            <w:r w:rsidR="00AF36F5" w:rsidRPr="00AF36F5">
              <w:rPr>
                <w:b/>
                <w:noProof/>
                <w:lang w:eastAsia="en-AU"/>
              </w:rPr>
              <w:t>recognising that the taxpayer is part of a group</w:t>
            </w:r>
            <w:r w:rsidR="00AF36F5" w:rsidRPr="00375B9D">
              <w:rPr>
                <w:noProof/>
                <w:lang w:eastAsia="en-AU"/>
              </w:rPr>
              <w:t xml:space="preserve"> </w:t>
            </w:r>
            <w:r w:rsidR="00AF36F5">
              <w:rPr>
                <w:noProof/>
                <w:lang w:eastAsia="en-AU"/>
              </w:rPr>
              <w:t xml:space="preserve">– </w:t>
            </w:r>
            <w:r w:rsidR="00AF36F5" w:rsidRPr="00375B9D">
              <w:rPr>
                <w:noProof/>
                <w:lang w:eastAsia="en-AU"/>
              </w:rPr>
              <w:t xml:space="preserve">businesses </w:t>
            </w:r>
            <w:r w:rsidRPr="00375B9D">
              <w:rPr>
                <w:noProof/>
                <w:lang w:eastAsia="en-AU"/>
              </w:rPr>
              <w:t xml:space="preserve">are grouped when they are subject to common control or have shared employees. Wages paid throughout Australia by all group members must be taken into account to calculate the taxpayer’s NT tax-free entitlement. </w:t>
            </w:r>
          </w:p>
        </w:tc>
        <w:tc>
          <w:tcPr>
            <w:tcW w:w="2516" w:type="dxa"/>
            <w:vAlign w:val="top"/>
          </w:tcPr>
          <w:p w14:paraId="5583D198" w14:textId="77777777" w:rsidR="00926087" w:rsidRPr="00375B9D" w:rsidRDefault="00926087" w:rsidP="00995500">
            <w:pPr>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 xml:space="preserve">Further information is available </w:t>
            </w:r>
            <w:r w:rsidRPr="00375B9D">
              <w:rPr>
                <w:noProof/>
                <w:lang w:eastAsia="en-AU"/>
              </w:rPr>
              <w:fldChar w:fldCharType="begin"/>
            </w:r>
            <w:r w:rsidRPr="00375B9D">
              <w:rPr>
                <w:noProof/>
                <w:lang w:eastAsia="en-AU"/>
              </w:rPr>
              <w:instrText xml:space="preserve"> PAGEREF GroupingandPayrollTax \p \h </w:instrText>
            </w:r>
            <w:r w:rsidRPr="00375B9D">
              <w:rPr>
                <w:noProof/>
                <w:lang w:eastAsia="en-AU"/>
              </w:rPr>
            </w:r>
            <w:r w:rsidRPr="00375B9D">
              <w:rPr>
                <w:noProof/>
                <w:lang w:eastAsia="en-AU"/>
              </w:rPr>
              <w:fldChar w:fldCharType="separate"/>
            </w:r>
            <w:r w:rsidR="002A4C93">
              <w:rPr>
                <w:noProof/>
                <w:lang w:eastAsia="en-AU"/>
              </w:rPr>
              <w:t>on page 54</w:t>
            </w:r>
            <w:r w:rsidRPr="00375B9D">
              <w:rPr>
                <w:noProof/>
                <w:lang w:eastAsia="en-AU"/>
              </w:rPr>
              <w:fldChar w:fldCharType="end"/>
            </w:r>
          </w:p>
        </w:tc>
      </w:tr>
      <w:tr w:rsidR="00926087" w14:paraId="09C4C7E1" w14:textId="77777777" w:rsidTr="009955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vAlign w:val="top"/>
          </w:tcPr>
          <w:p w14:paraId="2875C74F" w14:textId="77777777" w:rsidR="00926087" w:rsidRPr="00375B9D" w:rsidRDefault="00926087" w:rsidP="00926087">
            <w:pPr>
              <w:rPr>
                <w:noProof/>
                <w:lang w:eastAsia="en-AU"/>
              </w:rPr>
            </w:pPr>
            <w:r w:rsidRPr="00375B9D">
              <w:rPr>
                <w:noProof/>
                <w:lang w:eastAsia="en-AU"/>
              </w:rPr>
              <w:t>10</w:t>
            </w:r>
          </w:p>
        </w:tc>
        <w:tc>
          <w:tcPr>
            <w:tcW w:w="7227" w:type="dxa"/>
            <w:vAlign w:val="top"/>
          </w:tcPr>
          <w:p w14:paraId="496BEAC1" w14:textId="77777777" w:rsidR="00926087" w:rsidRPr="00375B9D" w:rsidRDefault="00926087" w:rsidP="00AF36F5">
            <w:pPr>
              <w:cnfStyle w:val="000000010000" w:firstRow="0" w:lastRow="0" w:firstColumn="0" w:lastColumn="0" w:oddVBand="0" w:evenVBand="0" w:oddHBand="0" w:evenHBand="1" w:firstRowFirstColumn="0" w:firstRowLastColumn="0" w:lastRowFirstColumn="0" w:lastRowLastColumn="0"/>
              <w:rPr>
                <w:noProof/>
                <w:lang w:eastAsia="en-AU"/>
              </w:rPr>
            </w:pPr>
            <w:r w:rsidRPr="00AF36F5">
              <w:rPr>
                <w:b/>
                <w:noProof/>
                <w:lang w:eastAsia="en-AU"/>
              </w:rPr>
              <w:t xml:space="preserve">Interstate </w:t>
            </w:r>
            <w:r w:rsidR="00AF36F5" w:rsidRPr="00AF36F5">
              <w:rPr>
                <w:b/>
                <w:noProof/>
                <w:lang w:eastAsia="en-AU"/>
              </w:rPr>
              <w:t xml:space="preserve">wages reduce </w:t>
            </w:r>
            <w:r w:rsidRPr="00AF36F5">
              <w:rPr>
                <w:b/>
                <w:noProof/>
                <w:lang w:eastAsia="en-AU"/>
              </w:rPr>
              <w:t xml:space="preserve">NT </w:t>
            </w:r>
            <w:r w:rsidR="00AF36F5" w:rsidRPr="00AF36F5">
              <w:rPr>
                <w:b/>
                <w:noProof/>
                <w:lang w:eastAsia="en-AU"/>
              </w:rPr>
              <w:t>tax-free entitlement</w:t>
            </w:r>
            <w:r w:rsidR="00AF36F5">
              <w:rPr>
                <w:noProof/>
                <w:lang w:eastAsia="en-AU"/>
              </w:rPr>
              <w:t xml:space="preserve"> – the </w:t>
            </w:r>
            <w:r w:rsidRPr="00375B9D">
              <w:rPr>
                <w:noProof/>
                <w:lang w:eastAsia="en-AU"/>
              </w:rPr>
              <w:t xml:space="preserve">calculation of an employer’s tax-free entitlement in the NT must take into account wages paid in other states. </w:t>
            </w:r>
          </w:p>
        </w:tc>
        <w:tc>
          <w:tcPr>
            <w:tcW w:w="2516" w:type="dxa"/>
            <w:vAlign w:val="top"/>
          </w:tcPr>
          <w:p w14:paraId="4C19CBC6" w14:textId="77777777" w:rsidR="00926087" w:rsidRPr="00375B9D" w:rsidRDefault="00926087" w:rsidP="00926087">
            <w:pPr>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 xml:space="preserve">Further information is available </w:t>
            </w:r>
            <w:r w:rsidRPr="00375B9D">
              <w:rPr>
                <w:noProof/>
                <w:lang w:eastAsia="en-AU"/>
              </w:rPr>
              <w:fldChar w:fldCharType="begin"/>
            </w:r>
            <w:r w:rsidRPr="00375B9D">
              <w:rPr>
                <w:noProof/>
                <w:lang w:eastAsia="en-AU"/>
              </w:rPr>
              <w:instrText xml:space="preserve"> PAGEREF  CalculatingPayrollTax \h \p </w:instrText>
            </w:r>
            <w:r w:rsidRPr="00375B9D">
              <w:rPr>
                <w:noProof/>
                <w:lang w:eastAsia="en-AU"/>
              </w:rPr>
            </w:r>
            <w:r w:rsidRPr="00375B9D">
              <w:rPr>
                <w:noProof/>
                <w:lang w:eastAsia="en-AU"/>
              </w:rPr>
              <w:fldChar w:fldCharType="separate"/>
            </w:r>
            <w:r w:rsidR="002A4C93">
              <w:rPr>
                <w:noProof/>
                <w:lang w:eastAsia="en-AU"/>
              </w:rPr>
              <w:t>on page 46</w:t>
            </w:r>
            <w:r w:rsidRPr="00375B9D">
              <w:rPr>
                <w:noProof/>
                <w:lang w:eastAsia="en-AU"/>
              </w:rPr>
              <w:fldChar w:fldCharType="end"/>
            </w:r>
          </w:p>
          <w:p w14:paraId="14AB46B8" w14:textId="77777777" w:rsidR="00926087" w:rsidRPr="00375B9D" w:rsidRDefault="00926087" w:rsidP="00926087">
            <w:pPr>
              <w:cnfStyle w:val="000000010000" w:firstRow="0" w:lastRow="0" w:firstColumn="0" w:lastColumn="0" w:oddVBand="0" w:evenVBand="0" w:oddHBand="0" w:evenHBand="1" w:firstRowFirstColumn="0" w:firstRowLastColumn="0" w:lastRowFirstColumn="0" w:lastRowLastColumn="0"/>
              <w:rPr>
                <w:noProof/>
                <w:lang w:eastAsia="en-AU"/>
              </w:rPr>
            </w:pPr>
          </w:p>
        </w:tc>
      </w:tr>
      <w:tr w:rsidR="00926087" w14:paraId="63B416F3" w14:textId="77777777" w:rsidTr="0099550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vAlign w:val="top"/>
          </w:tcPr>
          <w:p w14:paraId="5D34BDB5" w14:textId="77777777" w:rsidR="00926087" w:rsidRPr="00375B9D" w:rsidRDefault="00926087" w:rsidP="00926087">
            <w:pPr>
              <w:rPr>
                <w:noProof/>
                <w:lang w:eastAsia="en-AU"/>
              </w:rPr>
            </w:pPr>
            <w:r w:rsidRPr="00375B9D">
              <w:rPr>
                <w:noProof/>
                <w:lang w:eastAsia="en-AU"/>
              </w:rPr>
              <w:t>11</w:t>
            </w:r>
          </w:p>
        </w:tc>
        <w:tc>
          <w:tcPr>
            <w:tcW w:w="7227" w:type="dxa"/>
            <w:vAlign w:val="top"/>
          </w:tcPr>
          <w:p w14:paraId="4B5EA0B8" w14:textId="77777777" w:rsidR="00926087" w:rsidRPr="00375B9D" w:rsidRDefault="00926087" w:rsidP="00AF36F5">
            <w:pPr>
              <w:cnfStyle w:val="000000100000" w:firstRow="0" w:lastRow="0" w:firstColumn="0" w:lastColumn="0" w:oddVBand="0" w:evenVBand="0" w:oddHBand="1" w:evenHBand="0" w:firstRowFirstColumn="0" w:firstRowLastColumn="0" w:lastRowFirstColumn="0" w:lastRowLastColumn="0"/>
              <w:rPr>
                <w:noProof/>
                <w:lang w:eastAsia="en-AU"/>
              </w:rPr>
            </w:pPr>
            <w:r w:rsidRPr="00AF36F5">
              <w:rPr>
                <w:b/>
                <w:noProof/>
                <w:lang w:eastAsia="en-AU"/>
              </w:rPr>
              <w:t xml:space="preserve">Incorrectly </w:t>
            </w:r>
            <w:r w:rsidR="00AF36F5" w:rsidRPr="00AF36F5">
              <w:rPr>
                <w:b/>
                <w:noProof/>
                <w:lang w:eastAsia="en-AU"/>
              </w:rPr>
              <w:t>including wages of employees who are now working in another state</w:t>
            </w:r>
            <w:r w:rsidR="00AF36F5">
              <w:rPr>
                <w:noProof/>
                <w:lang w:eastAsia="en-AU"/>
              </w:rPr>
              <w:t xml:space="preserve"> – if </w:t>
            </w:r>
            <w:r w:rsidRPr="00375B9D">
              <w:rPr>
                <w:noProof/>
                <w:lang w:eastAsia="en-AU"/>
              </w:rPr>
              <w:t>an NT employee permanently (or temporarily, for at least one calendar month) starts to work for you from interstate, his or her wages will need to be declared to the Revenue Office of that other state, not the NT.</w:t>
            </w:r>
          </w:p>
        </w:tc>
        <w:tc>
          <w:tcPr>
            <w:tcW w:w="2516" w:type="dxa"/>
            <w:vAlign w:val="top"/>
          </w:tcPr>
          <w:p w14:paraId="08489621" w14:textId="77777777" w:rsidR="00926087" w:rsidRPr="00375B9D" w:rsidRDefault="00926087" w:rsidP="003D1308">
            <w:pPr>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 xml:space="preserve">Further information is available </w:t>
            </w:r>
            <w:r w:rsidRPr="00375B9D">
              <w:rPr>
                <w:noProof/>
                <w:lang w:eastAsia="en-AU"/>
              </w:rPr>
              <w:fldChar w:fldCharType="begin"/>
            </w:r>
            <w:r w:rsidRPr="00375B9D">
              <w:rPr>
                <w:noProof/>
                <w:lang w:eastAsia="en-AU"/>
              </w:rPr>
              <w:instrText xml:space="preserve"> PAGEREF WhichStateOwnsPayrollTax \p \h </w:instrText>
            </w:r>
            <w:r w:rsidRPr="00375B9D">
              <w:rPr>
                <w:noProof/>
                <w:lang w:eastAsia="en-AU"/>
              </w:rPr>
            </w:r>
            <w:r w:rsidRPr="00375B9D">
              <w:rPr>
                <w:noProof/>
                <w:lang w:eastAsia="en-AU"/>
              </w:rPr>
              <w:fldChar w:fldCharType="separate"/>
            </w:r>
            <w:r w:rsidR="002A4C93">
              <w:rPr>
                <w:noProof/>
                <w:lang w:eastAsia="en-AU"/>
              </w:rPr>
              <w:t>on page 16</w:t>
            </w:r>
            <w:r w:rsidRPr="00375B9D">
              <w:rPr>
                <w:noProof/>
                <w:lang w:eastAsia="en-AU"/>
              </w:rPr>
              <w:fldChar w:fldCharType="end"/>
            </w:r>
          </w:p>
        </w:tc>
      </w:tr>
      <w:tr w:rsidR="00926087" w14:paraId="001DA54F" w14:textId="77777777" w:rsidTr="009955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vAlign w:val="top"/>
          </w:tcPr>
          <w:p w14:paraId="0EE15381" w14:textId="77777777" w:rsidR="00926087" w:rsidRPr="00375B9D" w:rsidRDefault="00926087" w:rsidP="00926087">
            <w:pPr>
              <w:rPr>
                <w:noProof/>
                <w:lang w:eastAsia="en-AU"/>
              </w:rPr>
            </w:pPr>
            <w:r w:rsidRPr="00375B9D">
              <w:rPr>
                <w:noProof/>
                <w:lang w:eastAsia="en-AU"/>
              </w:rPr>
              <w:t>12</w:t>
            </w:r>
          </w:p>
        </w:tc>
        <w:tc>
          <w:tcPr>
            <w:tcW w:w="7227" w:type="dxa"/>
            <w:vAlign w:val="top"/>
          </w:tcPr>
          <w:p w14:paraId="754D2C90" w14:textId="77777777" w:rsidR="00926087" w:rsidRPr="00375B9D" w:rsidRDefault="00926087" w:rsidP="00AF36F5">
            <w:pPr>
              <w:cnfStyle w:val="000000010000" w:firstRow="0" w:lastRow="0" w:firstColumn="0" w:lastColumn="0" w:oddVBand="0" w:evenVBand="0" w:oddHBand="0" w:evenHBand="1" w:firstRowFirstColumn="0" w:firstRowLastColumn="0" w:lastRowFirstColumn="0" w:lastRowLastColumn="0"/>
              <w:rPr>
                <w:noProof/>
                <w:lang w:eastAsia="en-AU"/>
              </w:rPr>
            </w:pPr>
            <w:r w:rsidRPr="00AF36F5">
              <w:rPr>
                <w:b/>
                <w:noProof/>
                <w:lang w:eastAsia="en-AU"/>
              </w:rPr>
              <w:t xml:space="preserve">Not </w:t>
            </w:r>
            <w:r w:rsidR="00AF36F5" w:rsidRPr="00AF36F5">
              <w:rPr>
                <w:b/>
                <w:noProof/>
                <w:lang w:eastAsia="en-AU"/>
              </w:rPr>
              <w:t>claiming the tax-free entitlement</w:t>
            </w:r>
            <w:r w:rsidR="00AF36F5">
              <w:rPr>
                <w:noProof/>
                <w:lang w:eastAsia="en-AU"/>
              </w:rPr>
              <w:t xml:space="preserve"> – on </w:t>
            </w:r>
            <w:r w:rsidRPr="00375B9D">
              <w:rPr>
                <w:noProof/>
                <w:lang w:eastAsia="en-AU"/>
              </w:rPr>
              <w:t xml:space="preserve">occasions, taxpayers do not claim their tax-free entitlement, leading to an overpayment of payroll tax. </w:t>
            </w:r>
          </w:p>
        </w:tc>
        <w:tc>
          <w:tcPr>
            <w:tcW w:w="2516" w:type="dxa"/>
            <w:vAlign w:val="top"/>
          </w:tcPr>
          <w:p w14:paraId="2CB39310" w14:textId="77777777" w:rsidR="00926087" w:rsidRPr="00375B9D" w:rsidRDefault="00926087" w:rsidP="003D1308">
            <w:pPr>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 xml:space="preserve">Further information is available </w:t>
            </w:r>
            <w:r w:rsidRPr="00375B9D">
              <w:rPr>
                <w:noProof/>
                <w:lang w:eastAsia="en-AU"/>
              </w:rPr>
              <w:fldChar w:fldCharType="begin"/>
            </w:r>
            <w:r w:rsidRPr="00375B9D">
              <w:rPr>
                <w:noProof/>
                <w:lang w:eastAsia="en-AU"/>
              </w:rPr>
              <w:instrText xml:space="preserve"> PAGEREF CalculatingPayrollTax \p \h </w:instrText>
            </w:r>
            <w:r w:rsidRPr="00375B9D">
              <w:rPr>
                <w:noProof/>
                <w:lang w:eastAsia="en-AU"/>
              </w:rPr>
            </w:r>
            <w:r w:rsidRPr="00375B9D">
              <w:rPr>
                <w:noProof/>
                <w:lang w:eastAsia="en-AU"/>
              </w:rPr>
              <w:fldChar w:fldCharType="separate"/>
            </w:r>
            <w:r w:rsidR="002A4C93">
              <w:rPr>
                <w:noProof/>
                <w:lang w:eastAsia="en-AU"/>
              </w:rPr>
              <w:t>on page 46</w:t>
            </w:r>
            <w:r w:rsidRPr="00375B9D">
              <w:rPr>
                <w:noProof/>
                <w:lang w:eastAsia="en-AU"/>
              </w:rPr>
              <w:fldChar w:fldCharType="end"/>
            </w:r>
            <w:r w:rsidRPr="00375B9D">
              <w:rPr>
                <w:noProof/>
                <w:lang w:eastAsia="en-AU"/>
              </w:rPr>
              <w:t xml:space="preserve"> </w:t>
            </w:r>
          </w:p>
        </w:tc>
      </w:tr>
      <w:tr w:rsidR="00926087" w14:paraId="01CEF498" w14:textId="77777777" w:rsidTr="0099550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vAlign w:val="top"/>
          </w:tcPr>
          <w:p w14:paraId="0C5B68AC" w14:textId="77777777" w:rsidR="00926087" w:rsidRPr="00375B9D" w:rsidRDefault="00926087" w:rsidP="00926087">
            <w:pPr>
              <w:rPr>
                <w:noProof/>
                <w:lang w:eastAsia="en-AU"/>
              </w:rPr>
            </w:pPr>
            <w:r w:rsidRPr="00375B9D">
              <w:rPr>
                <w:noProof/>
                <w:lang w:eastAsia="en-AU"/>
              </w:rPr>
              <w:t>13</w:t>
            </w:r>
          </w:p>
        </w:tc>
        <w:tc>
          <w:tcPr>
            <w:tcW w:w="7227" w:type="dxa"/>
            <w:vAlign w:val="top"/>
          </w:tcPr>
          <w:p w14:paraId="29CB3EF7" w14:textId="77777777" w:rsidR="00926087" w:rsidRPr="00375B9D" w:rsidRDefault="00926087" w:rsidP="00AF36F5">
            <w:pPr>
              <w:cnfStyle w:val="000000100000" w:firstRow="0" w:lastRow="0" w:firstColumn="0" w:lastColumn="0" w:oddVBand="0" w:evenVBand="0" w:oddHBand="1" w:evenHBand="0" w:firstRowFirstColumn="0" w:firstRowLastColumn="0" w:lastRowFirstColumn="0" w:lastRowLastColumn="0"/>
              <w:rPr>
                <w:noProof/>
                <w:lang w:eastAsia="en-AU"/>
              </w:rPr>
            </w:pPr>
            <w:r w:rsidRPr="00AF36F5">
              <w:rPr>
                <w:b/>
                <w:noProof/>
                <w:lang w:eastAsia="en-AU"/>
              </w:rPr>
              <w:t xml:space="preserve">Incorrectly </w:t>
            </w:r>
            <w:r w:rsidR="00AF36F5" w:rsidRPr="00AF36F5">
              <w:rPr>
                <w:b/>
                <w:noProof/>
                <w:lang w:eastAsia="en-AU"/>
              </w:rPr>
              <w:t>omitting wages paid to employees temporarily working overseas</w:t>
            </w:r>
            <w:r w:rsidR="00AF36F5">
              <w:rPr>
                <w:noProof/>
                <w:lang w:eastAsia="en-AU"/>
              </w:rPr>
              <w:t xml:space="preserve"> – if </w:t>
            </w:r>
            <w:r w:rsidRPr="00375B9D">
              <w:rPr>
                <w:noProof/>
                <w:lang w:eastAsia="en-AU"/>
              </w:rPr>
              <w:t>you send a worker overseas to perform a job for your business, that person’s wages will continue to be NT wages, and subject to NT payroll tax, for the first six months.</w:t>
            </w:r>
          </w:p>
        </w:tc>
        <w:tc>
          <w:tcPr>
            <w:tcW w:w="2516" w:type="dxa"/>
            <w:vAlign w:val="top"/>
          </w:tcPr>
          <w:p w14:paraId="753B5F96" w14:textId="77777777" w:rsidR="00926087" w:rsidRPr="00375B9D" w:rsidRDefault="00926087" w:rsidP="003D1308">
            <w:pPr>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 xml:space="preserve">Further information is available </w:t>
            </w:r>
            <w:r w:rsidRPr="00375B9D">
              <w:rPr>
                <w:noProof/>
                <w:lang w:eastAsia="en-AU"/>
              </w:rPr>
              <w:fldChar w:fldCharType="begin"/>
            </w:r>
            <w:r w:rsidRPr="00375B9D">
              <w:rPr>
                <w:noProof/>
                <w:lang w:eastAsia="en-AU"/>
              </w:rPr>
              <w:instrText xml:space="preserve"> PAGEREF OverseasEmployees \p \h </w:instrText>
            </w:r>
            <w:r w:rsidRPr="00375B9D">
              <w:rPr>
                <w:noProof/>
                <w:lang w:eastAsia="en-AU"/>
              </w:rPr>
            </w:r>
            <w:r w:rsidRPr="00375B9D">
              <w:rPr>
                <w:noProof/>
                <w:lang w:eastAsia="en-AU"/>
              </w:rPr>
              <w:fldChar w:fldCharType="separate"/>
            </w:r>
            <w:r w:rsidR="002A4C93">
              <w:rPr>
                <w:noProof/>
                <w:lang w:eastAsia="en-AU"/>
              </w:rPr>
              <w:t>on page 18</w:t>
            </w:r>
            <w:r w:rsidRPr="00375B9D">
              <w:rPr>
                <w:noProof/>
                <w:lang w:eastAsia="en-AU"/>
              </w:rPr>
              <w:fldChar w:fldCharType="end"/>
            </w:r>
          </w:p>
        </w:tc>
      </w:tr>
      <w:tr w:rsidR="00926087" w14:paraId="41695408" w14:textId="77777777" w:rsidTr="009955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vAlign w:val="top"/>
          </w:tcPr>
          <w:p w14:paraId="7B8A2715" w14:textId="77777777" w:rsidR="00926087" w:rsidRPr="00375B9D" w:rsidRDefault="00926087" w:rsidP="00926087">
            <w:pPr>
              <w:rPr>
                <w:noProof/>
                <w:lang w:eastAsia="en-AU"/>
              </w:rPr>
            </w:pPr>
            <w:r w:rsidRPr="00375B9D">
              <w:rPr>
                <w:noProof/>
                <w:lang w:eastAsia="en-AU"/>
              </w:rPr>
              <w:t>14</w:t>
            </w:r>
          </w:p>
        </w:tc>
        <w:tc>
          <w:tcPr>
            <w:tcW w:w="7227" w:type="dxa"/>
            <w:vAlign w:val="top"/>
          </w:tcPr>
          <w:p w14:paraId="7E0A55DA" w14:textId="77777777" w:rsidR="00926087" w:rsidRPr="00375B9D" w:rsidRDefault="00926087" w:rsidP="00FA61C9">
            <w:pPr>
              <w:cnfStyle w:val="000000010000" w:firstRow="0" w:lastRow="0" w:firstColumn="0" w:lastColumn="0" w:oddVBand="0" w:evenVBand="0" w:oddHBand="0" w:evenHBand="1" w:firstRowFirstColumn="0" w:firstRowLastColumn="0" w:lastRowFirstColumn="0" w:lastRowLastColumn="0"/>
              <w:rPr>
                <w:noProof/>
                <w:lang w:eastAsia="en-AU"/>
              </w:rPr>
            </w:pPr>
            <w:r w:rsidRPr="00AF36F5">
              <w:rPr>
                <w:b/>
                <w:noProof/>
                <w:lang w:eastAsia="en-AU"/>
              </w:rPr>
              <w:t xml:space="preserve">Incorrectly </w:t>
            </w:r>
            <w:r w:rsidR="00AF36F5" w:rsidRPr="00AF36F5">
              <w:rPr>
                <w:b/>
                <w:noProof/>
                <w:lang w:eastAsia="en-AU"/>
              </w:rPr>
              <w:t>omitting wages paid to ‘workers from overseas’</w:t>
            </w:r>
            <w:r w:rsidR="00AF36F5" w:rsidRPr="00375B9D">
              <w:rPr>
                <w:noProof/>
                <w:lang w:eastAsia="en-AU"/>
              </w:rPr>
              <w:t xml:space="preserve"> </w:t>
            </w:r>
            <w:r w:rsidR="00AF36F5">
              <w:rPr>
                <w:noProof/>
                <w:lang w:eastAsia="en-AU"/>
              </w:rPr>
              <w:t xml:space="preserve"> – e</w:t>
            </w:r>
            <w:r w:rsidRPr="00375B9D">
              <w:rPr>
                <w:noProof/>
                <w:lang w:eastAsia="en-AU"/>
              </w:rPr>
              <w:t>mployees performing work in the NT who come from overseas are subject to payroll tax in the same manner as a permanent Australian resident.</w:t>
            </w:r>
          </w:p>
        </w:tc>
        <w:tc>
          <w:tcPr>
            <w:tcW w:w="2516" w:type="dxa"/>
            <w:vAlign w:val="top"/>
          </w:tcPr>
          <w:p w14:paraId="6D8C7B76" w14:textId="77777777" w:rsidR="00926087" w:rsidRPr="00375B9D" w:rsidRDefault="00926087" w:rsidP="003D1308">
            <w:pPr>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 xml:space="preserve">Further information is available </w:t>
            </w:r>
            <w:r w:rsidRPr="00375B9D">
              <w:rPr>
                <w:noProof/>
                <w:lang w:eastAsia="en-AU"/>
              </w:rPr>
              <w:fldChar w:fldCharType="begin"/>
            </w:r>
            <w:r w:rsidRPr="00375B9D">
              <w:rPr>
                <w:noProof/>
                <w:lang w:eastAsia="en-AU"/>
              </w:rPr>
              <w:instrText xml:space="preserve"> PAGEREF OverseasEmployees \p \h </w:instrText>
            </w:r>
            <w:r w:rsidRPr="00375B9D">
              <w:rPr>
                <w:noProof/>
                <w:lang w:eastAsia="en-AU"/>
              </w:rPr>
            </w:r>
            <w:r w:rsidRPr="00375B9D">
              <w:rPr>
                <w:noProof/>
                <w:lang w:eastAsia="en-AU"/>
              </w:rPr>
              <w:fldChar w:fldCharType="separate"/>
            </w:r>
            <w:r w:rsidR="002A4C93">
              <w:rPr>
                <w:noProof/>
                <w:lang w:eastAsia="en-AU"/>
              </w:rPr>
              <w:t>on page 18</w:t>
            </w:r>
            <w:r w:rsidRPr="00375B9D">
              <w:rPr>
                <w:noProof/>
                <w:lang w:eastAsia="en-AU"/>
              </w:rPr>
              <w:fldChar w:fldCharType="end"/>
            </w:r>
          </w:p>
        </w:tc>
      </w:tr>
      <w:tr w:rsidR="00926087" w14:paraId="728EF99D" w14:textId="77777777" w:rsidTr="0099550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vAlign w:val="top"/>
          </w:tcPr>
          <w:p w14:paraId="00C97B9F" w14:textId="77777777" w:rsidR="00926087" w:rsidRPr="00375B9D" w:rsidRDefault="00926087" w:rsidP="00926087">
            <w:pPr>
              <w:rPr>
                <w:noProof/>
                <w:lang w:eastAsia="en-AU"/>
              </w:rPr>
            </w:pPr>
            <w:r w:rsidRPr="00375B9D">
              <w:rPr>
                <w:noProof/>
                <w:lang w:eastAsia="en-AU"/>
              </w:rPr>
              <w:t>15</w:t>
            </w:r>
          </w:p>
        </w:tc>
        <w:tc>
          <w:tcPr>
            <w:tcW w:w="7227" w:type="dxa"/>
            <w:vAlign w:val="top"/>
          </w:tcPr>
          <w:p w14:paraId="4C982587" w14:textId="77777777" w:rsidR="00926087" w:rsidRPr="00375B9D" w:rsidRDefault="00926087" w:rsidP="00926087">
            <w:pPr>
              <w:cnfStyle w:val="000000100000" w:firstRow="0" w:lastRow="0" w:firstColumn="0" w:lastColumn="0" w:oddVBand="0" w:evenVBand="0" w:oddHBand="1" w:evenHBand="0" w:firstRowFirstColumn="0" w:firstRowLastColumn="0" w:lastRowFirstColumn="0" w:lastRowLastColumn="0"/>
              <w:rPr>
                <w:noProof/>
                <w:lang w:eastAsia="en-AU"/>
              </w:rPr>
            </w:pPr>
            <w:r w:rsidRPr="00AF36F5">
              <w:rPr>
                <w:b/>
                <w:noProof/>
                <w:lang w:eastAsia="en-AU"/>
              </w:rPr>
              <w:t xml:space="preserve">Not </w:t>
            </w:r>
            <w:r w:rsidR="00AF36F5" w:rsidRPr="00AF36F5">
              <w:rPr>
                <w:b/>
                <w:noProof/>
                <w:lang w:eastAsia="en-AU"/>
              </w:rPr>
              <w:t>including employer superannuation contributions</w:t>
            </w:r>
            <w:r w:rsidR="00AF36F5">
              <w:rPr>
                <w:noProof/>
                <w:lang w:eastAsia="en-AU"/>
              </w:rPr>
              <w:t xml:space="preserve"> – t</w:t>
            </w:r>
            <w:r w:rsidRPr="00375B9D">
              <w:rPr>
                <w:noProof/>
                <w:lang w:eastAsia="en-AU"/>
              </w:rPr>
              <w:t>axable wages includes employer superannuation contributions plus any salary sacrifice contributions made from an employee’s before-tax pay.</w:t>
            </w:r>
          </w:p>
        </w:tc>
        <w:tc>
          <w:tcPr>
            <w:tcW w:w="2516" w:type="dxa"/>
            <w:vAlign w:val="top"/>
          </w:tcPr>
          <w:p w14:paraId="03E490AD" w14:textId="77777777" w:rsidR="00926087" w:rsidRPr="00375B9D" w:rsidRDefault="00926087" w:rsidP="003D1308">
            <w:pPr>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 xml:space="preserve">Further information is available </w:t>
            </w:r>
            <w:r w:rsidRPr="00375B9D">
              <w:rPr>
                <w:noProof/>
                <w:lang w:eastAsia="en-AU"/>
              </w:rPr>
              <w:fldChar w:fldCharType="begin"/>
            </w:r>
            <w:r w:rsidRPr="00375B9D">
              <w:rPr>
                <w:noProof/>
                <w:lang w:eastAsia="en-AU"/>
              </w:rPr>
              <w:instrText xml:space="preserve"> PAGEREF SuperContributions \p \h </w:instrText>
            </w:r>
            <w:r w:rsidRPr="00375B9D">
              <w:rPr>
                <w:noProof/>
                <w:lang w:eastAsia="en-AU"/>
              </w:rPr>
            </w:r>
            <w:r w:rsidRPr="00375B9D">
              <w:rPr>
                <w:noProof/>
                <w:lang w:eastAsia="en-AU"/>
              </w:rPr>
              <w:fldChar w:fldCharType="separate"/>
            </w:r>
            <w:r w:rsidR="002A4C93">
              <w:rPr>
                <w:noProof/>
                <w:lang w:eastAsia="en-AU"/>
              </w:rPr>
              <w:t>on page 23</w:t>
            </w:r>
            <w:r w:rsidRPr="00375B9D">
              <w:rPr>
                <w:noProof/>
                <w:lang w:eastAsia="en-AU"/>
              </w:rPr>
              <w:fldChar w:fldCharType="end"/>
            </w:r>
          </w:p>
        </w:tc>
      </w:tr>
      <w:tr w:rsidR="00926087" w14:paraId="380FECDE" w14:textId="77777777" w:rsidTr="009955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vAlign w:val="top"/>
          </w:tcPr>
          <w:p w14:paraId="720AE1C9" w14:textId="77777777" w:rsidR="00926087" w:rsidRPr="00375B9D" w:rsidRDefault="00926087" w:rsidP="00926087">
            <w:pPr>
              <w:rPr>
                <w:noProof/>
                <w:lang w:eastAsia="en-AU"/>
              </w:rPr>
            </w:pPr>
            <w:r w:rsidRPr="00375B9D">
              <w:rPr>
                <w:noProof/>
                <w:lang w:eastAsia="en-AU"/>
              </w:rPr>
              <w:t>16</w:t>
            </w:r>
          </w:p>
        </w:tc>
        <w:tc>
          <w:tcPr>
            <w:tcW w:w="7227" w:type="dxa"/>
            <w:vAlign w:val="top"/>
          </w:tcPr>
          <w:p w14:paraId="2684CFA3" w14:textId="77777777" w:rsidR="00926087" w:rsidRPr="00375B9D" w:rsidRDefault="00926087" w:rsidP="00AF36F5">
            <w:pPr>
              <w:cnfStyle w:val="000000010000" w:firstRow="0" w:lastRow="0" w:firstColumn="0" w:lastColumn="0" w:oddVBand="0" w:evenVBand="0" w:oddHBand="0" w:evenHBand="1" w:firstRowFirstColumn="0" w:firstRowLastColumn="0" w:lastRowFirstColumn="0" w:lastRowLastColumn="0"/>
              <w:rPr>
                <w:noProof/>
                <w:lang w:eastAsia="en-AU"/>
              </w:rPr>
            </w:pPr>
            <w:r w:rsidRPr="00AF36F5">
              <w:rPr>
                <w:b/>
                <w:noProof/>
                <w:lang w:eastAsia="en-AU"/>
              </w:rPr>
              <w:t xml:space="preserve">Not </w:t>
            </w:r>
            <w:r w:rsidR="00AF36F5" w:rsidRPr="00AF36F5">
              <w:rPr>
                <w:b/>
                <w:noProof/>
                <w:lang w:eastAsia="en-AU"/>
              </w:rPr>
              <w:t>including allowances in taxable wages</w:t>
            </w:r>
            <w:r w:rsidR="00AF36F5">
              <w:rPr>
                <w:noProof/>
                <w:lang w:eastAsia="en-AU"/>
              </w:rPr>
              <w:t xml:space="preserve"> – some </w:t>
            </w:r>
            <w:r w:rsidRPr="00375B9D">
              <w:rPr>
                <w:noProof/>
                <w:lang w:eastAsia="en-AU"/>
              </w:rPr>
              <w:t xml:space="preserve">allowances are taxable only if they exceed a certain value. Other allowances may be taxable in full. </w:t>
            </w:r>
          </w:p>
        </w:tc>
        <w:tc>
          <w:tcPr>
            <w:tcW w:w="2516" w:type="dxa"/>
            <w:vAlign w:val="top"/>
          </w:tcPr>
          <w:p w14:paraId="501E5E2E" w14:textId="77777777" w:rsidR="00926087" w:rsidRPr="00375B9D" w:rsidRDefault="00926087" w:rsidP="003D1308">
            <w:pPr>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 xml:space="preserve">Further information is available </w:t>
            </w:r>
            <w:r w:rsidRPr="00375B9D">
              <w:rPr>
                <w:noProof/>
                <w:lang w:eastAsia="en-AU"/>
              </w:rPr>
              <w:fldChar w:fldCharType="begin"/>
            </w:r>
            <w:r w:rsidRPr="00375B9D">
              <w:rPr>
                <w:noProof/>
                <w:lang w:eastAsia="en-AU"/>
              </w:rPr>
              <w:instrText xml:space="preserve"> PAGEREF AllowancesinTaxableWages \p \h </w:instrText>
            </w:r>
            <w:r w:rsidRPr="00375B9D">
              <w:rPr>
                <w:noProof/>
                <w:lang w:eastAsia="en-AU"/>
              </w:rPr>
            </w:r>
            <w:r w:rsidRPr="00375B9D">
              <w:rPr>
                <w:noProof/>
                <w:lang w:eastAsia="en-AU"/>
              </w:rPr>
              <w:fldChar w:fldCharType="separate"/>
            </w:r>
            <w:r w:rsidR="002A4C93">
              <w:rPr>
                <w:noProof/>
                <w:lang w:eastAsia="en-AU"/>
              </w:rPr>
              <w:t>on page 25</w:t>
            </w:r>
            <w:r w:rsidRPr="00375B9D">
              <w:rPr>
                <w:noProof/>
                <w:lang w:eastAsia="en-AU"/>
              </w:rPr>
              <w:fldChar w:fldCharType="end"/>
            </w:r>
          </w:p>
        </w:tc>
      </w:tr>
      <w:tr w:rsidR="00926087" w14:paraId="3A2002C5" w14:textId="77777777" w:rsidTr="0099550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vAlign w:val="top"/>
          </w:tcPr>
          <w:p w14:paraId="55FED88A" w14:textId="77777777" w:rsidR="00926087" w:rsidRPr="00375B9D" w:rsidRDefault="00926087" w:rsidP="00926087">
            <w:pPr>
              <w:rPr>
                <w:noProof/>
                <w:lang w:eastAsia="en-AU"/>
              </w:rPr>
            </w:pPr>
            <w:r w:rsidRPr="00375B9D">
              <w:rPr>
                <w:noProof/>
                <w:lang w:eastAsia="en-AU"/>
              </w:rPr>
              <w:t>17</w:t>
            </w:r>
          </w:p>
        </w:tc>
        <w:tc>
          <w:tcPr>
            <w:tcW w:w="7227" w:type="dxa"/>
            <w:vAlign w:val="top"/>
          </w:tcPr>
          <w:p w14:paraId="2CC60272" w14:textId="77777777" w:rsidR="00926087" w:rsidRPr="00375B9D" w:rsidRDefault="00926087" w:rsidP="00AF36F5">
            <w:pPr>
              <w:cnfStyle w:val="000000100000" w:firstRow="0" w:lastRow="0" w:firstColumn="0" w:lastColumn="0" w:oddVBand="0" w:evenVBand="0" w:oddHBand="1" w:evenHBand="0" w:firstRowFirstColumn="0" w:firstRowLastColumn="0" w:lastRowFirstColumn="0" w:lastRowLastColumn="0"/>
              <w:rPr>
                <w:noProof/>
                <w:u w:val="single"/>
                <w:lang w:eastAsia="en-AU"/>
              </w:rPr>
            </w:pPr>
            <w:r w:rsidRPr="00AF36F5">
              <w:rPr>
                <w:b/>
                <w:noProof/>
                <w:lang w:eastAsia="en-AU"/>
              </w:rPr>
              <w:t xml:space="preserve">Incorrect </w:t>
            </w:r>
            <w:r w:rsidR="00AF36F5" w:rsidRPr="00AF36F5">
              <w:rPr>
                <w:b/>
                <w:noProof/>
                <w:lang w:eastAsia="en-AU"/>
              </w:rPr>
              <w:t>treatment of living away from home allowance</w:t>
            </w:r>
            <w:r w:rsidR="00AF36F5" w:rsidRPr="00375B9D">
              <w:rPr>
                <w:noProof/>
                <w:lang w:eastAsia="en-AU"/>
              </w:rPr>
              <w:t xml:space="preserve"> </w:t>
            </w:r>
            <w:r w:rsidRPr="00375B9D">
              <w:rPr>
                <w:noProof/>
                <w:lang w:eastAsia="en-AU"/>
              </w:rPr>
              <w:t>(LAFHA)</w:t>
            </w:r>
            <w:r w:rsidR="00AF36F5">
              <w:rPr>
                <w:noProof/>
                <w:lang w:eastAsia="en-AU"/>
              </w:rPr>
              <w:t xml:space="preserve"> – in </w:t>
            </w:r>
            <w:r w:rsidRPr="00375B9D">
              <w:rPr>
                <w:noProof/>
                <w:lang w:eastAsia="en-AU"/>
              </w:rPr>
              <w:t>spite of the name including the word ‘allowance’, LAFHA is actually a fringe benefit and needs to be grossed-up before being declared as taxable wages.</w:t>
            </w:r>
          </w:p>
        </w:tc>
        <w:tc>
          <w:tcPr>
            <w:tcW w:w="2516" w:type="dxa"/>
            <w:vAlign w:val="top"/>
          </w:tcPr>
          <w:p w14:paraId="4358A0DC" w14:textId="77777777" w:rsidR="00926087" w:rsidRPr="00375B9D" w:rsidRDefault="00926087" w:rsidP="003D1308">
            <w:pPr>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 xml:space="preserve">Further information is available </w:t>
            </w:r>
            <w:r w:rsidRPr="00375B9D">
              <w:rPr>
                <w:noProof/>
                <w:lang w:eastAsia="en-AU"/>
              </w:rPr>
              <w:fldChar w:fldCharType="begin"/>
            </w:r>
            <w:r w:rsidRPr="00375B9D">
              <w:rPr>
                <w:noProof/>
                <w:lang w:eastAsia="en-AU"/>
              </w:rPr>
              <w:instrText xml:space="preserve"> PAGEREF AllowancesinTaxableWages \p \h </w:instrText>
            </w:r>
            <w:r w:rsidRPr="00375B9D">
              <w:rPr>
                <w:noProof/>
                <w:lang w:eastAsia="en-AU"/>
              </w:rPr>
            </w:r>
            <w:r w:rsidRPr="00375B9D">
              <w:rPr>
                <w:noProof/>
                <w:lang w:eastAsia="en-AU"/>
              </w:rPr>
              <w:fldChar w:fldCharType="separate"/>
            </w:r>
            <w:r w:rsidR="002A4C93">
              <w:rPr>
                <w:noProof/>
                <w:lang w:eastAsia="en-AU"/>
              </w:rPr>
              <w:t>on page 25</w:t>
            </w:r>
            <w:r w:rsidRPr="00375B9D">
              <w:rPr>
                <w:noProof/>
                <w:lang w:eastAsia="en-AU"/>
              </w:rPr>
              <w:fldChar w:fldCharType="end"/>
            </w:r>
          </w:p>
        </w:tc>
      </w:tr>
      <w:tr w:rsidR="00926087" w14:paraId="312D1CA9" w14:textId="77777777" w:rsidTr="009955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vAlign w:val="top"/>
          </w:tcPr>
          <w:p w14:paraId="79171A27" w14:textId="77777777" w:rsidR="00926087" w:rsidRPr="00375B9D" w:rsidRDefault="00926087" w:rsidP="00926087">
            <w:pPr>
              <w:rPr>
                <w:noProof/>
                <w:lang w:eastAsia="en-AU"/>
              </w:rPr>
            </w:pPr>
            <w:r w:rsidRPr="00375B9D">
              <w:rPr>
                <w:noProof/>
                <w:lang w:eastAsia="en-AU"/>
              </w:rPr>
              <w:t>18</w:t>
            </w:r>
          </w:p>
        </w:tc>
        <w:tc>
          <w:tcPr>
            <w:tcW w:w="7227" w:type="dxa"/>
            <w:vAlign w:val="top"/>
          </w:tcPr>
          <w:p w14:paraId="06533B2A" w14:textId="77777777" w:rsidR="00926087" w:rsidRPr="00375B9D" w:rsidRDefault="00926087" w:rsidP="00AF36F5">
            <w:pPr>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w:t>
            </w:r>
            <w:r w:rsidRPr="00AF36F5">
              <w:rPr>
                <w:b/>
                <w:noProof/>
                <w:lang w:eastAsia="en-AU"/>
              </w:rPr>
              <w:t xml:space="preserve">Double </w:t>
            </w:r>
            <w:r w:rsidR="00AF36F5" w:rsidRPr="00AF36F5">
              <w:rPr>
                <w:b/>
                <w:noProof/>
                <w:lang w:eastAsia="en-AU"/>
              </w:rPr>
              <w:t>claiming’ of exempt wages</w:t>
            </w:r>
            <w:r w:rsidR="00AF36F5">
              <w:rPr>
                <w:noProof/>
                <w:lang w:eastAsia="en-AU"/>
              </w:rPr>
              <w:t xml:space="preserve"> – c</w:t>
            </w:r>
            <w:r w:rsidRPr="00375B9D">
              <w:rPr>
                <w:noProof/>
                <w:lang w:eastAsia="en-AU"/>
              </w:rPr>
              <w:t>ertain payments (such as workers’ compensation, parental leave and defence force leave) are exempt from payroll tax. If the exemption is claimed, but those wages are not firstly included in gross wages, there will have been an underpayment of payroll tax.</w:t>
            </w:r>
          </w:p>
        </w:tc>
        <w:tc>
          <w:tcPr>
            <w:tcW w:w="2516" w:type="dxa"/>
            <w:vAlign w:val="top"/>
          </w:tcPr>
          <w:p w14:paraId="42116A70" w14:textId="77777777" w:rsidR="00926087" w:rsidRPr="00375B9D" w:rsidRDefault="00926087" w:rsidP="00571E5F">
            <w:pPr>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 xml:space="preserve">Further information is available </w:t>
            </w:r>
            <w:r w:rsidRPr="00375B9D">
              <w:rPr>
                <w:noProof/>
                <w:lang w:eastAsia="en-AU"/>
              </w:rPr>
              <w:fldChar w:fldCharType="begin"/>
            </w:r>
            <w:r w:rsidRPr="00375B9D">
              <w:rPr>
                <w:noProof/>
                <w:lang w:eastAsia="en-AU"/>
              </w:rPr>
              <w:instrText xml:space="preserve"> PAGEREF ExemptWages \p \h </w:instrText>
            </w:r>
            <w:r w:rsidRPr="00375B9D">
              <w:rPr>
                <w:noProof/>
                <w:lang w:eastAsia="en-AU"/>
              </w:rPr>
            </w:r>
            <w:r w:rsidRPr="00375B9D">
              <w:rPr>
                <w:noProof/>
                <w:lang w:eastAsia="en-AU"/>
              </w:rPr>
              <w:fldChar w:fldCharType="separate"/>
            </w:r>
            <w:r w:rsidR="002A4C93">
              <w:rPr>
                <w:noProof/>
                <w:lang w:eastAsia="en-AU"/>
              </w:rPr>
              <w:t>on page 10</w:t>
            </w:r>
            <w:r w:rsidRPr="00375B9D">
              <w:rPr>
                <w:noProof/>
                <w:lang w:eastAsia="en-AU"/>
              </w:rPr>
              <w:fldChar w:fldCharType="end"/>
            </w:r>
          </w:p>
        </w:tc>
      </w:tr>
      <w:tr w:rsidR="00926087" w14:paraId="34491C3E" w14:textId="77777777" w:rsidTr="0099550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vAlign w:val="top"/>
          </w:tcPr>
          <w:p w14:paraId="2AB14E4C" w14:textId="77777777" w:rsidR="00926087" w:rsidRPr="00375B9D" w:rsidRDefault="00926087" w:rsidP="00926087">
            <w:pPr>
              <w:rPr>
                <w:noProof/>
                <w:lang w:eastAsia="en-AU"/>
              </w:rPr>
            </w:pPr>
            <w:r w:rsidRPr="00375B9D">
              <w:rPr>
                <w:noProof/>
                <w:lang w:eastAsia="en-AU"/>
              </w:rPr>
              <w:t>19</w:t>
            </w:r>
          </w:p>
        </w:tc>
        <w:tc>
          <w:tcPr>
            <w:tcW w:w="7227" w:type="dxa"/>
            <w:vAlign w:val="top"/>
          </w:tcPr>
          <w:p w14:paraId="6F157759" w14:textId="77777777" w:rsidR="00926087" w:rsidRPr="00375B9D" w:rsidRDefault="00926087" w:rsidP="00FD5257">
            <w:pPr>
              <w:cnfStyle w:val="000000100000" w:firstRow="0" w:lastRow="0" w:firstColumn="0" w:lastColumn="0" w:oddVBand="0" w:evenVBand="0" w:oddHBand="1" w:evenHBand="0" w:firstRowFirstColumn="0" w:firstRowLastColumn="0" w:lastRowFirstColumn="0" w:lastRowLastColumn="0"/>
              <w:rPr>
                <w:noProof/>
                <w:lang w:eastAsia="en-AU"/>
              </w:rPr>
            </w:pPr>
            <w:r w:rsidRPr="00AF36F5">
              <w:rPr>
                <w:b/>
                <w:noProof/>
                <w:lang w:eastAsia="en-AU"/>
              </w:rPr>
              <w:t xml:space="preserve">Not </w:t>
            </w:r>
            <w:r w:rsidR="00AF36F5" w:rsidRPr="00AF36F5">
              <w:rPr>
                <w:b/>
                <w:noProof/>
                <w:lang w:eastAsia="en-AU"/>
              </w:rPr>
              <w:t>declaring management fees</w:t>
            </w:r>
            <w:r w:rsidR="00AF36F5">
              <w:rPr>
                <w:noProof/>
                <w:lang w:eastAsia="en-AU"/>
              </w:rPr>
              <w:t xml:space="preserve"> </w:t>
            </w:r>
            <w:r w:rsidR="00FD5257">
              <w:rPr>
                <w:noProof/>
                <w:lang w:eastAsia="en-AU"/>
              </w:rPr>
              <w:t xml:space="preserve">– if </w:t>
            </w:r>
            <w:r w:rsidRPr="00375B9D">
              <w:rPr>
                <w:noProof/>
                <w:lang w:eastAsia="en-AU"/>
              </w:rPr>
              <w:t>a director of a company performs work for that business and is paid (directly or indirectly) in the form of ‘management fees’ instead of wages, this is still likely to be taxable wages.</w:t>
            </w:r>
          </w:p>
        </w:tc>
        <w:tc>
          <w:tcPr>
            <w:tcW w:w="2516" w:type="dxa"/>
            <w:vAlign w:val="top"/>
          </w:tcPr>
          <w:p w14:paraId="259084F3" w14:textId="77777777" w:rsidR="00926087" w:rsidRPr="00375B9D" w:rsidRDefault="00926087" w:rsidP="00571E5F">
            <w:pPr>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 xml:space="preserve">Further information is available </w:t>
            </w:r>
            <w:r w:rsidRPr="00375B9D">
              <w:rPr>
                <w:noProof/>
                <w:lang w:eastAsia="en-AU"/>
              </w:rPr>
              <w:fldChar w:fldCharType="begin"/>
            </w:r>
            <w:r w:rsidRPr="00375B9D">
              <w:rPr>
                <w:noProof/>
                <w:lang w:eastAsia="en-AU"/>
              </w:rPr>
              <w:instrText xml:space="preserve"> PAGEREF ManagementFees \p \h </w:instrText>
            </w:r>
            <w:r w:rsidRPr="00375B9D">
              <w:rPr>
                <w:noProof/>
                <w:lang w:eastAsia="en-AU"/>
              </w:rPr>
            </w:r>
            <w:r w:rsidRPr="00375B9D">
              <w:rPr>
                <w:noProof/>
                <w:lang w:eastAsia="en-AU"/>
              </w:rPr>
              <w:fldChar w:fldCharType="separate"/>
            </w:r>
            <w:r w:rsidR="002A4C93">
              <w:rPr>
                <w:noProof/>
                <w:lang w:eastAsia="en-AU"/>
              </w:rPr>
              <w:t>on page 26</w:t>
            </w:r>
            <w:r w:rsidRPr="00375B9D">
              <w:rPr>
                <w:noProof/>
                <w:lang w:eastAsia="en-AU"/>
              </w:rPr>
              <w:fldChar w:fldCharType="end"/>
            </w:r>
          </w:p>
        </w:tc>
      </w:tr>
      <w:tr w:rsidR="00926087" w14:paraId="7D4CF9EB" w14:textId="77777777" w:rsidTr="009955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vAlign w:val="top"/>
          </w:tcPr>
          <w:p w14:paraId="73CD58AD" w14:textId="77777777" w:rsidR="00926087" w:rsidRPr="00375B9D" w:rsidRDefault="00926087" w:rsidP="00926087">
            <w:pPr>
              <w:rPr>
                <w:noProof/>
                <w:lang w:eastAsia="en-AU"/>
              </w:rPr>
            </w:pPr>
            <w:r w:rsidRPr="00375B9D">
              <w:rPr>
                <w:noProof/>
                <w:lang w:eastAsia="en-AU"/>
              </w:rPr>
              <w:lastRenderedPageBreak/>
              <w:t>20</w:t>
            </w:r>
          </w:p>
        </w:tc>
        <w:tc>
          <w:tcPr>
            <w:tcW w:w="7227" w:type="dxa"/>
            <w:vAlign w:val="top"/>
          </w:tcPr>
          <w:p w14:paraId="27CFE31B" w14:textId="77777777" w:rsidR="00926087" w:rsidRPr="00375B9D" w:rsidRDefault="00926087" w:rsidP="00926087">
            <w:pPr>
              <w:cnfStyle w:val="000000010000" w:firstRow="0" w:lastRow="0" w:firstColumn="0" w:lastColumn="0" w:oddVBand="0" w:evenVBand="0" w:oddHBand="0" w:evenHBand="1" w:firstRowFirstColumn="0" w:firstRowLastColumn="0" w:lastRowFirstColumn="0" w:lastRowLastColumn="0"/>
              <w:rPr>
                <w:noProof/>
                <w:lang w:eastAsia="en-AU"/>
              </w:rPr>
            </w:pPr>
            <w:r w:rsidRPr="00FD5257">
              <w:rPr>
                <w:b/>
                <w:noProof/>
                <w:lang w:eastAsia="en-AU"/>
              </w:rPr>
              <w:t xml:space="preserve">Incorrect </w:t>
            </w:r>
            <w:r w:rsidR="00FD5257" w:rsidRPr="00FD5257">
              <w:rPr>
                <w:b/>
                <w:noProof/>
                <w:lang w:eastAsia="en-AU"/>
              </w:rPr>
              <w:t>treatment of labour hire payments</w:t>
            </w:r>
            <w:r w:rsidR="00FD5257" w:rsidRPr="00375B9D">
              <w:rPr>
                <w:noProof/>
                <w:lang w:eastAsia="en-AU"/>
              </w:rPr>
              <w:t xml:space="preserve"> (‘hiring in’ and ‘hiring out’</w:t>
            </w:r>
            <w:r w:rsidRPr="00375B9D">
              <w:rPr>
                <w:noProof/>
                <w:lang w:eastAsia="en-AU"/>
              </w:rPr>
              <w:t>)</w:t>
            </w:r>
            <w:r w:rsidR="00FD5257">
              <w:rPr>
                <w:noProof/>
                <w:lang w:eastAsia="en-AU"/>
              </w:rPr>
              <w:t xml:space="preserve"> – the </w:t>
            </w:r>
            <w:r w:rsidRPr="00375B9D">
              <w:rPr>
                <w:noProof/>
                <w:lang w:eastAsia="en-AU"/>
              </w:rPr>
              <w:t>correct payroll tax treatment of labour hire arrangements is as follows:</w:t>
            </w:r>
          </w:p>
          <w:p w14:paraId="6D4838D4" w14:textId="77777777" w:rsidR="00926087" w:rsidRPr="00FD5257" w:rsidRDefault="00FD5257" w:rsidP="00FD5257">
            <w:pPr>
              <w:pStyle w:val="DTFTableBullet"/>
              <w:cnfStyle w:val="000000010000" w:firstRow="0" w:lastRow="0" w:firstColumn="0" w:lastColumn="0" w:oddVBand="0" w:evenVBand="0" w:oddHBand="0" w:evenHBand="1" w:firstRowFirstColumn="0" w:firstRowLastColumn="0" w:lastRowFirstColumn="0" w:lastRowLastColumn="0"/>
            </w:pPr>
            <w:r w:rsidRPr="00375B9D">
              <w:t xml:space="preserve">if </w:t>
            </w:r>
            <w:r w:rsidR="00926087" w:rsidRPr="00FD5257">
              <w:t>your business ‘hires inwards’ from a labour hire firm, your contract will generally provide for the labour hire firm to pay that person’s wages and any on-costs (including payroll tax).</w:t>
            </w:r>
          </w:p>
          <w:p w14:paraId="06B91BCC" w14:textId="77777777" w:rsidR="00926087" w:rsidRPr="00375B9D" w:rsidRDefault="00FD5257" w:rsidP="00FD5257">
            <w:pPr>
              <w:pStyle w:val="DTFTableBullet"/>
              <w:cnfStyle w:val="000000010000" w:firstRow="0" w:lastRow="0" w:firstColumn="0" w:lastColumn="0" w:oddVBand="0" w:evenVBand="0" w:oddHBand="0" w:evenHBand="1" w:firstRowFirstColumn="0" w:firstRowLastColumn="0" w:lastRowFirstColumn="0" w:lastRowLastColumn="0"/>
            </w:pPr>
            <w:r w:rsidRPr="00FD5257">
              <w:t xml:space="preserve">if </w:t>
            </w:r>
            <w:r w:rsidR="00926087" w:rsidRPr="00FD5257">
              <w:t xml:space="preserve">your business </w:t>
            </w:r>
            <w:r w:rsidR="00926087" w:rsidRPr="00375B9D">
              <w:t>‘hires outwards’, that is, one of your employees is hired from you to another business, you will generally meet the wage and on-costs of that employee (including payroll tax) so that person’s wages would be included in your payroll tax returns.</w:t>
            </w:r>
          </w:p>
        </w:tc>
        <w:tc>
          <w:tcPr>
            <w:tcW w:w="2516" w:type="dxa"/>
            <w:vAlign w:val="top"/>
          </w:tcPr>
          <w:p w14:paraId="066C217A" w14:textId="77777777" w:rsidR="00926087" w:rsidRPr="00375B9D" w:rsidRDefault="00926087" w:rsidP="00A04CA3">
            <w:pPr>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 xml:space="preserve">Further information is available </w:t>
            </w:r>
            <w:r w:rsidRPr="00375B9D">
              <w:rPr>
                <w:noProof/>
                <w:lang w:eastAsia="en-AU"/>
              </w:rPr>
              <w:fldChar w:fldCharType="begin"/>
            </w:r>
            <w:r w:rsidRPr="00375B9D">
              <w:rPr>
                <w:noProof/>
                <w:lang w:eastAsia="en-AU"/>
              </w:rPr>
              <w:instrText xml:space="preserve"> PAGEREF ExemptWages \p \h </w:instrText>
            </w:r>
            <w:r w:rsidRPr="00375B9D">
              <w:rPr>
                <w:noProof/>
                <w:lang w:eastAsia="en-AU"/>
              </w:rPr>
            </w:r>
            <w:r w:rsidRPr="00375B9D">
              <w:rPr>
                <w:noProof/>
                <w:lang w:eastAsia="en-AU"/>
              </w:rPr>
              <w:fldChar w:fldCharType="separate"/>
            </w:r>
            <w:r w:rsidR="002A4C93">
              <w:rPr>
                <w:noProof/>
                <w:lang w:eastAsia="en-AU"/>
              </w:rPr>
              <w:t>on page 10</w:t>
            </w:r>
            <w:r w:rsidRPr="00375B9D">
              <w:rPr>
                <w:noProof/>
                <w:lang w:eastAsia="en-AU"/>
              </w:rPr>
              <w:fldChar w:fldCharType="end"/>
            </w:r>
          </w:p>
        </w:tc>
      </w:tr>
    </w:tbl>
    <w:p w14:paraId="0D1C99D8" w14:textId="77777777" w:rsidR="00926087" w:rsidRPr="00375B9D" w:rsidRDefault="00926087" w:rsidP="00375B9D">
      <w:pPr>
        <w:rPr>
          <w:noProof/>
          <w:lang w:eastAsia="en-AU"/>
        </w:rPr>
      </w:pPr>
    </w:p>
    <w:p w14:paraId="1D46B57C" w14:textId="77777777" w:rsidR="00375B9D" w:rsidRPr="00375B9D" w:rsidRDefault="00375B9D" w:rsidP="00A7303B">
      <w:pPr>
        <w:pStyle w:val="Heading2"/>
      </w:pPr>
      <w:bookmarkStart w:id="17" w:name="_How_do_you"/>
      <w:bookmarkStart w:id="18" w:name="ShouldBusinessbeRegisteredforPRT"/>
      <w:bookmarkStart w:id="19" w:name="_Toc467842737"/>
      <w:bookmarkStart w:id="20" w:name="_Toc108789564"/>
      <w:bookmarkEnd w:id="17"/>
      <w:r w:rsidRPr="00375B9D">
        <w:t xml:space="preserve">How do you know if your </w:t>
      </w:r>
      <w:r w:rsidR="00B903B2">
        <w:t>b</w:t>
      </w:r>
      <w:r w:rsidR="00B903B2" w:rsidRPr="00375B9D">
        <w:t xml:space="preserve">usiness </w:t>
      </w:r>
      <w:r w:rsidRPr="00375B9D">
        <w:t xml:space="preserve">should be </w:t>
      </w:r>
      <w:r w:rsidR="00B903B2">
        <w:t>r</w:t>
      </w:r>
      <w:r w:rsidR="00B903B2" w:rsidRPr="00375B9D">
        <w:t xml:space="preserve">egistered </w:t>
      </w:r>
      <w:r w:rsidRPr="00375B9D">
        <w:t xml:space="preserve">as an </w:t>
      </w:r>
      <w:r w:rsidR="00B903B2">
        <w:t>e</w:t>
      </w:r>
      <w:r w:rsidR="00B903B2" w:rsidRPr="00375B9D">
        <w:t xml:space="preserve">mployer </w:t>
      </w:r>
      <w:r w:rsidRPr="00375B9D">
        <w:t xml:space="preserve">for </w:t>
      </w:r>
      <w:r w:rsidR="00B903B2">
        <w:t>p</w:t>
      </w:r>
      <w:r w:rsidR="00B903B2" w:rsidRPr="00375B9D">
        <w:t xml:space="preserve">ayroll </w:t>
      </w:r>
      <w:r w:rsidR="00B903B2">
        <w:t>t</w:t>
      </w:r>
      <w:r w:rsidR="00B903B2" w:rsidRPr="00375B9D">
        <w:t>ax</w:t>
      </w:r>
      <w:r w:rsidRPr="00375B9D">
        <w:t>?</w:t>
      </w:r>
      <w:bookmarkEnd w:id="18"/>
      <w:bookmarkEnd w:id="19"/>
      <w:bookmarkEnd w:id="20"/>
    </w:p>
    <w:p w14:paraId="3CAD0A7F" w14:textId="77777777" w:rsidR="00375B9D" w:rsidRPr="00375B9D" w:rsidRDefault="00375B9D" w:rsidP="00375B9D">
      <w:pPr>
        <w:rPr>
          <w:noProof/>
          <w:lang w:eastAsia="en-AU"/>
        </w:rPr>
      </w:pPr>
      <w:r w:rsidRPr="00375B9D">
        <w:rPr>
          <w:noProof/>
          <w:lang w:eastAsia="en-AU"/>
        </w:rPr>
        <w:t>The following simple tests will give you an idea of whether you may need to register.</w:t>
      </w:r>
    </w:p>
    <w:p w14:paraId="557889AB" w14:textId="77777777" w:rsidR="00375B9D" w:rsidRPr="00375B9D" w:rsidRDefault="00375B9D" w:rsidP="00375B9D">
      <w:pPr>
        <w:rPr>
          <w:noProof/>
          <w:lang w:eastAsia="en-AU"/>
        </w:rPr>
      </w:pPr>
      <w:r w:rsidRPr="00375B9D">
        <w:rPr>
          <w:noProof/>
          <w:lang w:eastAsia="en-AU"/>
        </w:rPr>
        <w:t xml:space="preserve">If in doubt, you are urged to discuss your specific circumstances with your professional representative or contact TRO. </w:t>
      </w:r>
    </w:p>
    <w:p w14:paraId="0C4655AB" w14:textId="77777777" w:rsidR="00375B9D" w:rsidRPr="00375B9D" w:rsidRDefault="00375B9D" w:rsidP="00011EDE">
      <w:pPr>
        <w:pStyle w:val="Heading3"/>
        <w:rPr>
          <w:noProof/>
          <w:lang w:eastAsia="en-AU"/>
        </w:rPr>
      </w:pPr>
      <w:r w:rsidRPr="00375B9D">
        <w:rPr>
          <w:noProof/>
          <w:lang w:eastAsia="en-AU"/>
        </w:rPr>
        <w:t xml:space="preserve">For </w:t>
      </w:r>
      <w:r w:rsidR="00C25852">
        <w:rPr>
          <w:noProof/>
          <w:lang w:eastAsia="en-AU"/>
        </w:rPr>
        <w:t>b</w:t>
      </w:r>
      <w:r w:rsidR="00C25852" w:rsidRPr="00375B9D">
        <w:rPr>
          <w:noProof/>
          <w:lang w:eastAsia="en-AU"/>
        </w:rPr>
        <w:t xml:space="preserve">usinesses </w:t>
      </w:r>
      <w:r w:rsidRPr="00375B9D">
        <w:rPr>
          <w:noProof/>
          <w:lang w:eastAsia="en-AU"/>
        </w:rPr>
        <w:t xml:space="preserve">with </w:t>
      </w:r>
      <w:r w:rsidR="00C25852">
        <w:rPr>
          <w:noProof/>
          <w:lang w:eastAsia="en-AU"/>
        </w:rPr>
        <w:t>e</w:t>
      </w:r>
      <w:r w:rsidR="00C25852" w:rsidRPr="00375B9D">
        <w:rPr>
          <w:noProof/>
          <w:lang w:eastAsia="en-AU"/>
        </w:rPr>
        <w:t xml:space="preserve">mployees </w:t>
      </w:r>
      <w:r w:rsidRPr="00375B9D">
        <w:rPr>
          <w:noProof/>
          <w:lang w:eastAsia="en-AU"/>
        </w:rPr>
        <w:t xml:space="preserve">and or </w:t>
      </w:r>
      <w:r w:rsidR="00C25852">
        <w:rPr>
          <w:noProof/>
          <w:lang w:eastAsia="en-AU"/>
        </w:rPr>
        <w:t>c</w:t>
      </w:r>
      <w:r w:rsidR="00C25852" w:rsidRPr="00375B9D">
        <w:rPr>
          <w:noProof/>
          <w:lang w:eastAsia="en-AU"/>
        </w:rPr>
        <w:t xml:space="preserve">ontractors </w:t>
      </w:r>
      <w:r w:rsidRPr="00375B9D">
        <w:rPr>
          <w:noProof/>
          <w:lang w:eastAsia="en-AU"/>
        </w:rPr>
        <w:t xml:space="preserve">in the NT </w:t>
      </w:r>
      <w:r w:rsidR="00C25852">
        <w:rPr>
          <w:noProof/>
          <w:lang w:eastAsia="en-AU"/>
        </w:rPr>
        <w:t>o</w:t>
      </w:r>
      <w:r w:rsidR="00C25852" w:rsidRPr="00375B9D">
        <w:rPr>
          <w:noProof/>
          <w:lang w:eastAsia="en-AU"/>
        </w:rPr>
        <w:t>nly</w:t>
      </w:r>
    </w:p>
    <w:p w14:paraId="01512DDC" w14:textId="77777777" w:rsidR="00375B9D" w:rsidRPr="00375B9D" w:rsidRDefault="00375B9D" w:rsidP="00F16611">
      <w:pPr>
        <w:pStyle w:val="DTFNumberedlist"/>
      </w:pPr>
      <w:r w:rsidRPr="00375B9D">
        <w:t>Do you have employees and or contractors who work in the NT?</w:t>
      </w:r>
    </w:p>
    <w:p w14:paraId="2258EEE5" w14:textId="77777777" w:rsidR="00375B9D" w:rsidRPr="00375B9D" w:rsidRDefault="00375B9D" w:rsidP="00F16611">
      <w:pPr>
        <w:pStyle w:val="DTFNumberedlist"/>
      </w:pPr>
      <w:r w:rsidRPr="00375B9D">
        <w:t>What is the total you pay per year to employees and directors in taxable wages?</w:t>
      </w:r>
    </w:p>
    <w:p w14:paraId="48D193D8" w14:textId="77777777" w:rsidR="00375B9D" w:rsidRPr="00375B9D" w:rsidRDefault="00375B9D" w:rsidP="00F16611">
      <w:pPr>
        <w:pStyle w:val="DTFNumberedlist"/>
      </w:pPr>
      <w:r w:rsidRPr="00375B9D">
        <w:t>What is the estimated labour component of payments you make to contractors each year? (for example, if you pay $80</w:t>
      </w:r>
      <w:r w:rsidR="00C65823">
        <w:t>,000</w:t>
      </w:r>
      <w:r w:rsidRPr="00375B9D">
        <w:t xml:space="preserve"> in a year to a contract carpenter, normally about 75</w:t>
      </w:r>
      <w:r w:rsidR="00A73CE7">
        <w:t>%</w:t>
      </w:r>
      <w:r w:rsidRPr="00375B9D">
        <w:t>, or $60</w:t>
      </w:r>
      <w:r w:rsidR="00C65823">
        <w:t>,000</w:t>
      </w:r>
      <w:r w:rsidRPr="00375B9D">
        <w:t>, is likely to be the labour component).</w:t>
      </w:r>
    </w:p>
    <w:p w14:paraId="2B21A3D8" w14:textId="77777777" w:rsidR="00375B9D" w:rsidRDefault="00375B9D" w:rsidP="00F16611">
      <w:pPr>
        <w:pStyle w:val="DTFNumberedlist"/>
      </w:pPr>
      <w:r w:rsidRPr="00375B9D">
        <w:t>If the answer to question 1 is ‘YES’, and the total dollar value of questions 2 and 3 exceeds $1</w:t>
      </w:r>
      <w:r w:rsidR="00C65823">
        <w:t>,500,000</w:t>
      </w:r>
      <w:r w:rsidRPr="00375B9D">
        <w:t xml:space="preserve"> in the year (or $125</w:t>
      </w:r>
      <w:r w:rsidR="00C65823">
        <w:t>,000</w:t>
      </w:r>
      <w:r w:rsidRPr="00375B9D">
        <w:t xml:space="preserve"> per month), you may need to register and start making returns and payments of payroll tax each month. You can apply for registration online through TRO's </w:t>
      </w:r>
      <w:hyperlink r:id="rId26" w:history="1">
        <w:r w:rsidRPr="00375B9D">
          <w:rPr>
            <w:rStyle w:val="Hyperlink"/>
          </w:rPr>
          <w:t>INTRA</w:t>
        </w:r>
      </w:hyperlink>
      <w:r w:rsidRPr="00375B9D">
        <w:t xml:space="preserve"> facility. </w:t>
      </w:r>
    </w:p>
    <w:p w14:paraId="44975382" w14:textId="77777777" w:rsidR="00375B9D" w:rsidRPr="00375B9D" w:rsidRDefault="00375B9D" w:rsidP="00011EDE">
      <w:pPr>
        <w:pStyle w:val="Heading3"/>
        <w:rPr>
          <w:noProof/>
          <w:lang w:eastAsia="en-AU"/>
        </w:rPr>
      </w:pPr>
      <w:r w:rsidRPr="00375B9D">
        <w:rPr>
          <w:noProof/>
          <w:lang w:eastAsia="en-AU"/>
        </w:rPr>
        <w:t xml:space="preserve">For </w:t>
      </w:r>
      <w:r w:rsidR="0063286C">
        <w:rPr>
          <w:noProof/>
          <w:lang w:eastAsia="en-AU"/>
        </w:rPr>
        <w:t>b</w:t>
      </w:r>
      <w:r w:rsidR="0063286C" w:rsidRPr="00375B9D">
        <w:rPr>
          <w:noProof/>
          <w:lang w:eastAsia="en-AU"/>
        </w:rPr>
        <w:t xml:space="preserve">usinesses </w:t>
      </w:r>
      <w:r w:rsidRPr="00375B9D">
        <w:rPr>
          <w:noProof/>
          <w:lang w:eastAsia="en-AU"/>
        </w:rPr>
        <w:t xml:space="preserve">with </w:t>
      </w:r>
      <w:r w:rsidR="0063286C">
        <w:rPr>
          <w:noProof/>
          <w:lang w:eastAsia="en-AU"/>
        </w:rPr>
        <w:t>e</w:t>
      </w:r>
      <w:r w:rsidR="0063286C" w:rsidRPr="00375B9D">
        <w:rPr>
          <w:noProof/>
          <w:lang w:eastAsia="en-AU"/>
        </w:rPr>
        <w:t xml:space="preserve">mployees </w:t>
      </w:r>
      <w:r w:rsidRPr="00375B9D">
        <w:rPr>
          <w:noProof/>
          <w:lang w:eastAsia="en-AU"/>
        </w:rPr>
        <w:t xml:space="preserve">and or </w:t>
      </w:r>
      <w:r w:rsidR="0063286C">
        <w:rPr>
          <w:noProof/>
          <w:lang w:eastAsia="en-AU"/>
        </w:rPr>
        <w:t>c</w:t>
      </w:r>
      <w:r w:rsidR="0063286C" w:rsidRPr="00375B9D">
        <w:rPr>
          <w:noProof/>
          <w:lang w:eastAsia="en-AU"/>
        </w:rPr>
        <w:t xml:space="preserve">ontractors </w:t>
      </w:r>
      <w:r w:rsidRPr="00375B9D">
        <w:rPr>
          <w:noProof/>
          <w:lang w:eastAsia="en-AU"/>
        </w:rPr>
        <w:t>both inside and outside the NT</w:t>
      </w:r>
    </w:p>
    <w:p w14:paraId="7C6B8B59" w14:textId="77777777" w:rsidR="00375B9D" w:rsidRPr="00375B9D" w:rsidRDefault="00375B9D" w:rsidP="009619C5">
      <w:pPr>
        <w:pStyle w:val="DTFNumberedlist"/>
        <w:numPr>
          <w:ilvl w:val="0"/>
          <w:numId w:val="26"/>
        </w:numPr>
      </w:pPr>
      <w:r w:rsidRPr="00375B9D">
        <w:t>Do you have employees and or contractors who work in the NT?</w:t>
      </w:r>
    </w:p>
    <w:p w14:paraId="44CDCF77" w14:textId="77777777" w:rsidR="00375B9D" w:rsidRPr="00375B9D" w:rsidRDefault="00375B9D" w:rsidP="009619C5">
      <w:pPr>
        <w:pStyle w:val="DTFNumberedlist"/>
        <w:numPr>
          <w:ilvl w:val="0"/>
          <w:numId w:val="26"/>
        </w:numPr>
      </w:pPr>
      <w:r w:rsidRPr="00375B9D">
        <w:t>What is the total amount you pay per year (</w:t>
      </w:r>
      <w:r w:rsidRPr="00F16611">
        <w:rPr>
          <w:b/>
        </w:rPr>
        <w:t>throughout Australia, including the NT</w:t>
      </w:r>
      <w:r w:rsidRPr="00375B9D">
        <w:t>) to employees and directors in taxable wages?</w:t>
      </w:r>
    </w:p>
    <w:p w14:paraId="269CE512" w14:textId="77777777" w:rsidR="00375B9D" w:rsidRPr="00375B9D" w:rsidRDefault="00375B9D" w:rsidP="009619C5">
      <w:pPr>
        <w:pStyle w:val="DTFNumberedlist"/>
        <w:numPr>
          <w:ilvl w:val="0"/>
          <w:numId w:val="26"/>
        </w:numPr>
      </w:pPr>
      <w:r w:rsidRPr="00375B9D">
        <w:t>What is the labour component of payments you make to contractors each year (</w:t>
      </w:r>
      <w:r w:rsidRPr="00F16611">
        <w:rPr>
          <w:b/>
        </w:rPr>
        <w:t>throughout Australia, including the NT</w:t>
      </w:r>
      <w:r w:rsidRPr="00375B9D">
        <w:t>)? For example, if you pay $80</w:t>
      </w:r>
      <w:r w:rsidR="00C65823">
        <w:t>,000</w:t>
      </w:r>
      <w:r w:rsidRPr="00375B9D">
        <w:t xml:space="preserve"> in a year to a contract carpenter, normally about 75</w:t>
      </w:r>
      <w:r w:rsidR="00A73CE7">
        <w:t>%</w:t>
      </w:r>
      <w:r w:rsidRPr="00375B9D">
        <w:t>, or $60</w:t>
      </w:r>
      <w:r w:rsidR="00C65823">
        <w:t>,000</w:t>
      </w:r>
      <w:r w:rsidRPr="00375B9D">
        <w:t>, would be the labour component.</w:t>
      </w:r>
    </w:p>
    <w:p w14:paraId="6C0C9909" w14:textId="77777777" w:rsidR="00375B9D" w:rsidRPr="00375B9D" w:rsidRDefault="00375B9D" w:rsidP="00375B9D">
      <w:pPr>
        <w:rPr>
          <w:noProof/>
          <w:lang w:eastAsia="en-AU"/>
        </w:rPr>
      </w:pPr>
      <w:r w:rsidRPr="00375B9D">
        <w:rPr>
          <w:noProof/>
          <w:lang w:eastAsia="en-AU"/>
        </w:rPr>
        <w:lastRenderedPageBreak/>
        <w:t>If the answer to question 1 is YES, and the total dollar value of questions 2 and 3 exceeds $1</w:t>
      </w:r>
      <w:r w:rsidR="00C65823">
        <w:rPr>
          <w:noProof/>
          <w:lang w:eastAsia="en-AU"/>
        </w:rPr>
        <w:t>,500,000</w:t>
      </w:r>
      <w:r w:rsidRPr="00375B9D">
        <w:rPr>
          <w:noProof/>
          <w:lang w:eastAsia="en-AU"/>
        </w:rPr>
        <w:t xml:space="preserve"> in the year, you may need to register and start making returns and payments of payroll tax each month. </w:t>
      </w:r>
    </w:p>
    <w:p w14:paraId="3A57E2A2" w14:textId="77777777" w:rsidR="00375B9D" w:rsidRPr="00375B9D" w:rsidRDefault="00375B9D" w:rsidP="00375B9D">
      <w:pPr>
        <w:rPr>
          <w:noProof/>
          <w:lang w:eastAsia="en-AU"/>
        </w:rPr>
      </w:pPr>
      <w:r w:rsidRPr="00375B9D">
        <w:rPr>
          <w:noProof/>
          <w:lang w:eastAsia="en-AU"/>
        </w:rPr>
        <w:t>Payroll tax in the NT will be calculated based on the amount your NT wages exceed the tax</w:t>
      </w:r>
      <w:r w:rsidRPr="00375B9D">
        <w:rPr>
          <w:noProof/>
          <w:lang w:eastAsia="en-AU"/>
        </w:rPr>
        <w:noBreakHyphen/>
        <w:t>free threshold.</w:t>
      </w:r>
    </w:p>
    <w:tbl>
      <w:tblPr>
        <w:tblStyle w:val="DTFpayrolltaxguidestyle1"/>
        <w:tblW w:w="10348" w:type="dxa"/>
        <w:tblLook w:val="04A0" w:firstRow="1" w:lastRow="0" w:firstColumn="1" w:lastColumn="0" w:noHBand="0" w:noVBand="1"/>
        <w:tblDescription w:val="Note: When calculating whether or not your business has exceeded the $1 500 000 per annum ($125 000 per month) tax-free threshold; you must include wages paid by your business and any other business(es) (anywhere in Australia) with which you are grouped by way of common control and/or shared employees. For more information on grouping, see pages 47 – 57.&#10;If your business’ or your group’s total Australian wages exceed $1 500 000 per annum or $125 000 per month, and you pay wages in the NT (of any amount), your business will have an NT payroll tax liability. There is no minimum threshold below which no NT tax is payable if Australian wages exceed $1 500 000.&#10;"/>
      </w:tblPr>
      <w:tblGrid>
        <w:gridCol w:w="10348"/>
      </w:tblGrid>
      <w:tr w:rsidR="00375B9D" w:rsidRPr="00375B9D" w14:paraId="4B1B55D1" w14:textId="77777777" w:rsidTr="00937629">
        <w:trPr>
          <w:trHeight w:val="320"/>
          <w:tblHeader/>
        </w:trPr>
        <w:tc>
          <w:tcPr>
            <w:tcW w:w="10348" w:type="dxa"/>
          </w:tcPr>
          <w:p w14:paraId="589E3E23" w14:textId="77777777" w:rsidR="00375B9D" w:rsidRPr="00375B9D" w:rsidRDefault="00375B9D" w:rsidP="00375B9D">
            <w:pPr>
              <w:spacing w:after="200"/>
              <w:rPr>
                <w:noProof/>
                <w:u w:val="single"/>
                <w:lang w:eastAsia="en-AU"/>
              </w:rPr>
            </w:pPr>
            <w:r w:rsidRPr="00375B9D">
              <w:rPr>
                <w:b/>
                <w:noProof/>
                <w:lang w:eastAsia="en-AU"/>
              </w:rPr>
              <w:t>Note</w:t>
            </w:r>
            <w:r w:rsidRPr="00375B9D">
              <w:rPr>
                <w:noProof/>
                <w:lang w:eastAsia="en-AU"/>
              </w:rPr>
              <w:t>: When calculating whether or not your business has exceeded the $1</w:t>
            </w:r>
            <w:r w:rsidR="00C65823">
              <w:rPr>
                <w:noProof/>
                <w:lang w:eastAsia="en-AU"/>
              </w:rPr>
              <w:t>,500,000</w:t>
            </w:r>
            <w:r w:rsidRPr="00375B9D">
              <w:rPr>
                <w:noProof/>
                <w:lang w:eastAsia="en-AU"/>
              </w:rPr>
              <w:t xml:space="preserve"> per annum tax-free threshold, you must include wages paid by your business and any other business(es) (anywhere in Australia) with which you are grouped by way of common control and or shared employees. For more information on grouping, see page </w:t>
            </w:r>
            <w:r w:rsidRPr="00375B9D">
              <w:rPr>
                <w:noProof/>
                <w:lang w:eastAsia="en-AU"/>
              </w:rPr>
              <w:fldChar w:fldCharType="begin"/>
            </w:r>
            <w:r w:rsidRPr="00375B9D">
              <w:rPr>
                <w:noProof/>
                <w:lang w:eastAsia="en-AU"/>
              </w:rPr>
              <w:instrText xml:space="preserve"> PAGEREF GroupingandPayrollTax \h </w:instrText>
            </w:r>
            <w:r w:rsidRPr="00375B9D">
              <w:rPr>
                <w:noProof/>
                <w:lang w:eastAsia="en-AU"/>
              </w:rPr>
            </w:r>
            <w:r w:rsidRPr="00375B9D">
              <w:rPr>
                <w:noProof/>
                <w:lang w:eastAsia="en-AU"/>
              </w:rPr>
              <w:fldChar w:fldCharType="separate"/>
            </w:r>
            <w:r w:rsidR="002A4C93">
              <w:rPr>
                <w:noProof/>
                <w:lang w:eastAsia="en-AU"/>
              </w:rPr>
              <w:t>54</w:t>
            </w:r>
            <w:r w:rsidRPr="00375B9D">
              <w:rPr>
                <w:noProof/>
                <w:lang w:eastAsia="en-AU"/>
              </w:rPr>
              <w:fldChar w:fldCharType="end"/>
            </w:r>
            <w:r w:rsidRPr="00375B9D">
              <w:rPr>
                <w:noProof/>
                <w:lang w:eastAsia="en-AU"/>
              </w:rPr>
              <w:t>.</w:t>
            </w:r>
          </w:p>
          <w:p w14:paraId="49C2A406" w14:textId="77777777" w:rsidR="00375B9D" w:rsidRPr="00375B9D" w:rsidRDefault="00375B9D" w:rsidP="00375B9D">
            <w:pPr>
              <w:spacing w:after="200"/>
              <w:rPr>
                <w:noProof/>
                <w:lang w:eastAsia="en-AU"/>
              </w:rPr>
            </w:pPr>
            <w:r w:rsidRPr="00375B9D">
              <w:rPr>
                <w:noProof/>
                <w:lang w:eastAsia="en-AU"/>
              </w:rPr>
              <w:t>If your business’s or group’s total Australian wages exceed $1</w:t>
            </w:r>
            <w:r w:rsidR="00C65823">
              <w:rPr>
                <w:noProof/>
                <w:lang w:eastAsia="en-AU"/>
              </w:rPr>
              <w:t>,500,000</w:t>
            </w:r>
            <w:r w:rsidRPr="00375B9D">
              <w:rPr>
                <w:noProof/>
                <w:lang w:eastAsia="en-AU"/>
              </w:rPr>
              <w:t xml:space="preserve"> per annum, and you pay wages in the NT (of any amount), your business will have an NT payroll tax liability. </w:t>
            </w:r>
            <w:r w:rsidRPr="00375B9D">
              <w:rPr>
                <w:b/>
                <w:noProof/>
                <w:lang w:eastAsia="en-AU"/>
              </w:rPr>
              <w:t>There is no minimum threshold in</w:t>
            </w:r>
            <w:r w:rsidRPr="00375B9D">
              <w:rPr>
                <w:noProof/>
                <w:lang w:eastAsia="en-AU"/>
              </w:rPr>
              <w:t xml:space="preserve"> </w:t>
            </w:r>
            <w:r w:rsidRPr="00375B9D">
              <w:rPr>
                <w:b/>
                <w:noProof/>
                <w:lang w:eastAsia="en-AU"/>
              </w:rPr>
              <w:t>which no NT tax is payable if Australian wages exceed $1</w:t>
            </w:r>
            <w:r w:rsidR="00C65823">
              <w:rPr>
                <w:b/>
                <w:noProof/>
                <w:lang w:eastAsia="en-AU"/>
              </w:rPr>
              <w:t>,500,000</w:t>
            </w:r>
            <w:r w:rsidRPr="00375B9D">
              <w:rPr>
                <w:noProof/>
                <w:lang w:eastAsia="en-AU"/>
              </w:rPr>
              <w:t>.</w:t>
            </w:r>
          </w:p>
        </w:tc>
      </w:tr>
    </w:tbl>
    <w:p w14:paraId="72B81262" w14:textId="77777777" w:rsidR="008F5EE3" w:rsidRDefault="008F5EE3" w:rsidP="00375B9D">
      <w:pPr>
        <w:rPr>
          <w:noProof/>
          <w:lang w:eastAsia="en-AU"/>
        </w:rPr>
      </w:pPr>
      <w:bookmarkStart w:id="21" w:name="WhenDoesBusinesNeedRegisterPRT"/>
      <w:bookmarkStart w:id="22" w:name="_Toc467842738"/>
    </w:p>
    <w:p w14:paraId="1AA6232E" w14:textId="77777777" w:rsidR="00375B9D" w:rsidRPr="00375B9D" w:rsidRDefault="00375B9D" w:rsidP="00A7303B">
      <w:pPr>
        <w:pStyle w:val="Heading2"/>
      </w:pPr>
      <w:bookmarkStart w:id="23" w:name="_Toc108789565"/>
      <w:r w:rsidRPr="00375B9D">
        <w:t xml:space="preserve">When </w:t>
      </w:r>
      <w:r w:rsidR="0063286C">
        <w:t>d</w:t>
      </w:r>
      <w:r w:rsidR="0063286C" w:rsidRPr="00375B9D">
        <w:t xml:space="preserve">oes </w:t>
      </w:r>
      <w:r w:rsidRPr="00375B9D">
        <w:t xml:space="preserve">a </w:t>
      </w:r>
      <w:r w:rsidR="0063286C">
        <w:t>b</w:t>
      </w:r>
      <w:r w:rsidR="0063286C" w:rsidRPr="00375B9D">
        <w:t xml:space="preserve">usiness </w:t>
      </w:r>
      <w:r w:rsidR="0063286C">
        <w:t>n</w:t>
      </w:r>
      <w:r w:rsidR="0063286C" w:rsidRPr="00375B9D">
        <w:t xml:space="preserve">eed </w:t>
      </w:r>
      <w:r w:rsidRPr="00375B9D">
        <w:t xml:space="preserve">to </w:t>
      </w:r>
      <w:r w:rsidR="0063286C">
        <w:t>r</w:t>
      </w:r>
      <w:r w:rsidR="0063286C" w:rsidRPr="00375B9D">
        <w:t xml:space="preserve">egister </w:t>
      </w:r>
      <w:r w:rsidRPr="00375B9D">
        <w:t xml:space="preserve">and </w:t>
      </w:r>
      <w:r w:rsidR="0063286C">
        <w:t>s</w:t>
      </w:r>
      <w:r w:rsidR="0063286C" w:rsidRPr="00375B9D">
        <w:t xml:space="preserve">tart </w:t>
      </w:r>
      <w:r w:rsidR="0063286C">
        <w:t>p</w:t>
      </w:r>
      <w:r w:rsidR="0063286C" w:rsidRPr="00375B9D">
        <w:t xml:space="preserve">aying </w:t>
      </w:r>
      <w:r w:rsidR="0063286C">
        <w:t>p</w:t>
      </w:r>
      <w:r w:rsidR="0063286C" w:rsidRPr="00375B9D">
        <w:t xml:space="preserve">ayroll </w:t>
      </w:r>
      <w:r w:rsidR="0063286C">
        <w:t>t</w:t>
      </w:r>
      <w:r w:rsidR="0063286C" w:rsidRPr="00375B9D">
        <w:t>ax</w:t>
      </w:r>
      <w:r w:rsidRPr="00375B9D">
        <w:t>?</w:t>
      </w:r>
      <w:bookmarkEnd w:id="21"/>
      <w:bookmarkEnd w:id="22"/>
      <w:bookmarkEnd w:id="23"/>
    </w:p>
    <w:p w14:paraId="72A04CA3" w14:textId="77777777" w:rsidR="00375B9D" w:rsidRPr="00375B9D" w:rsidRDefault="00375B9D" w:rsidP="00375B9D">
      <w:pPr>
        <w:rPr>
          <w:noProof/>
          <w:lang w:eastAsia="en-AU"/>
        </w:rPr>
      </w:pPr>
      <w:r w:rsidRPr="00375B9D">
        <w:rPr>
          <w:noProof/>
          <w:lang w:eastAsia="en-AU"/>
        </w:rPr>
        <w:t>Any employer liable for NT payroll tax must register for (and commence paying) payroll tax within 21 days of the end of the first month in which it becomes liable for tax.</w:t>
      </w:r>
    </w:p>
    <w:p w14:paraId="0AA8FA83" w14:textId="77777777" w:rsidR="00375B9D" w:rsidRPr="00375B9D" w:rsidRDefault="00375B9D" w:rsidP="00375B9D">
      <w:pPr>
        <w:rPr>
          <w:noProof/>
          <w:lang w:eastAsia="en-AU"/>
        </w:rPr>
      </w:pPr>
      <w:r w:rsidRPr="00375B9D">
        <w:rPr>
          <w:noProof/>
          <w:lang w:eastAsia="en-AU"/>
        </w:rPr>
        <w:t>An employer first becomes liable for payroll tax when, in any month:</w:t>
      </w:r>
    </w:p>
    <w:p w14:paraId="0F9F1948" w14:textId="77777777" w:rsidR="00375B9D" w:rsidRPr="000856A7" w:rsidRDefault="00375B9D" w:rsidP="00AE756D">
      <w:pPr>
        <w:pStyle w:val="DTFBulletlist"/>
      </w:pPr>
      <w:r w:rsidRPr="000856A7">
        <w:t>it pays NT wages (of any amount)</w:t>
      </w:r>
    </w:p>
    <w:p w14:paraId="6599A0A4" w14:textId="77777777" w:rsidR="00375B9D" w:rsidRPr="00375B9D" w:rsidRDefault="00375B9D" w:rsidP="00AE756D">
      <w:pPr>
        <w:pStyle w:val="DTFBulletlist"/>
      </w:pPr>
      <w:r w:rsidRPr="000856A7">
        <w:t>its total Australian taxable wages (including those paid in the NT) exceed $125</w:t>
      </w:r>
      <w:r w:rsidR="00C65823">
        <w:t>,000</w:t>
      </w:r>
      <w:r w:rsidRPr="000856A7">
        <w:t>.</w:t>
      </w:r>
    </w:p>
    <w:p w14:paraId="51B4AA57" w14:textId="77777777" w:rsidR="00375B9D" w:rsidRPr="00375B9D" w:rsidRDefault="00375B9D" w:rsidP="00375B9D">
      <w:pPr>
        <w:rPr>
          <w:noProof/>
          <w:lang w:eastAsia="en-AU"/>
        </w:rPr>
      </w:pPr>
      <w:r w:rsidRPr="00375B9D">
        <w:rPr>
          <w:noProof/>
          <w:lang w:eastAsia="en-AU"/>
        </w:rPr>
        <w:t xml:space="preserve">‘Total Australian taxable wages’ includes wages paid by any group member anywhere in Australia, including the NT (see </w:t>
      </w:r>
      <w:hyperlink w:anchor="GroupingandPayrollTax" w:history="1">
        <w:r w:rsidRPr="00375B9D">
          <w:rPr>
            <w:rStyle w:val="Hyperlink"/>
            <w:noProof/>
            <w:lang w:eastAsia="en-AU"/>
          </w:rPr>
          <w:t>Grouping and Payroll Tax</w:t>
        </w:r>
      </w:hyperlink>
      <w:r w:rsidRPr="00375B9D">
        <w:rPr>
          <w:noProof/>
          <w:lang w:eastAsia="en-AU"/>
        </w:rPr>
        <w:t xml:space="preserve"> section for further detail).</w:t>
      </w:r>
    </w:p>
    <w:p w14:paraId="1AF7A1A0" w14:textId="77777777" w:rsidR="00375B9D" w:rsidRPr="00375B9D" w:rsidRDefault="00375B9D" w:rsidP="00375B9D">
      <w:pPr>
        <w:rPr>
          <w:noProof/>
          <w:lang w:eastAsia="en-AU"/>
        </w:rPr>
      </w:pPr>
      <w:r w:rsidRPr="00375B9D">
        <w:rPr>
          <w:noProof/>
          <w:lang w:eastAsia="en-AU"/>
        </w:rPr>
        <w:t>Penalty tax and interest may also apply to employers who do not meet their obligations so timely registration is important.</w:t>
      </w:r>
    </w:p>
    <w:tbl>
      <w:tblPr>
        <w:tblStyle w:val="DTFpayrolltaxguidestyle1"/>
        <w:tblW w:w="10348" w:type="dxa"/>
        <w:tblLook w:val="04A0" w:firstRow="1" w:lastRow="0" w:firstColumn="1" w:lastColumn="0" w:noHBand="0" w:noVBand="1"/>
        <w:tblDescription w:val="Example: RST Pty Ltd has branches and employees in all states and territories except the NT. Its total Australian wages are currently approximately $2 500 000 per year."/>
      </w:tblPr>
      <w:tblGrid>
        <w:gridCol w:w="10348"/>
      </w:tblGrid>
      <w:tr w:rsidR="00375B9D" w:rsidRPr="00375B9D" w14:paraId="2B3C8351" w14:textId="77777777" w:rsidTr="00937629">
        <w:trPr>
          <w:trHeight w:val="3092"/>
          <w:tblHeader/>
        </w:trPr>
        <w:tc>
          <w:tcPr>
            <w:tcW w:w="10348" w:type="dxa"/>
          </w:tcPr>
          <w:p w14:paraId="29003EAF" w14:textId="77777777" w:rsidR="00375B9D" w:rsidRPr="00375B9D" w:rsidRDefault="00375B9D" w:rsidP="00375B9D">
            <w:pPr>
              <w:spacing w:after="200"/>
              <w:rPr>
                <w:noProof/>
                <w:lang w:eastAsia="en-AU"/>
              </w:rPr>
            </w:pPr>
            <w:r w:rsidRPr="00375B9D">
              <w:rPr>
                <w:b/>
                <w:noProof/>
                <w:lang w:eastAsia="en-AU"/>
              </w:rPr>
              <w:t>Example</w:t>
            </w:r>
            <w:r w:rsidR="00817097">
              <w:rPr>
                <w:b/>
                <w:noProof/>
                <w:lang w:eastAsia="en-AU"/>
              </w:rPr>
              <w:t xml:space="preserve"> 1</w:t>
            </w:r>
            <w:r w:rsidRPr="00375B9D">
              <w:rPr>
                <w:noProof/>
                <w:lang w:eastAsia="en-AU"/>
              </w:rPr>
              <w:t>: RST Pty Ltd has branches and employees in all states and territories except the NT. Its total Australian wages are currently approximately $2</w:t>
            </w:r>
            <w:r w:rsidR="00C65823">
              <w:rPr>
                <w:noProof/>
                <w:lang w:eastAsia="en-AU"/>
              </w:rPr>
              <w:t>,</w:t>
            </w:r>
            <w:r w:rsidRPr="00375B9D">
              <w:rPr>
                <w:noProof/>
                <w:lang w:eastAsia="en-AU"/>
              </w:rPr>
              <w:t>500</w:t>
            </w:r>
            <w:r w:rsidR="00C65823">
              <w:rPr>
                <w:noProof/>
                <w:lang w:eastAsia="en-AU"/>
              </w:rPr>
              <w:t>,000</w:t>
            </w:r>
            <w:r w:rsidRPr="00375B9D">
              <w:rPr>
                <w:noProof/>
                <w:lang w:eastAsia="en-AU"/>
              </w:rPr>
              <w:t xml:space="preserve"> per year.</w:t>
            </w:r>
          </w:p>
          <w:p w14:paraId="097184F6" w14:textId="77777777" w:rsidR="00375B9D" w:rsidRPr="00375B9D" w:rsidRDefault="00375B9D" w:rsidP="00375B9D">
            <w:pPr>
              <w:spacing w:after="200"/>
              <w:rPr>
                <w:noProof/>
                <w:lang w:eastAsia="en-AU"/>
              </w:rPr>
            </w:pPr>
            <w:r w:rsidRPr="00375B9D">
              <w:rPr>
                <w:noProof/>
                <w:lang w:eastAsia="en-AU"/>
              </w:rPr>
              <w:t>It opens a branch in Darwin, NT, on 22 March 20</w:t>
            </w:r>
            <w:r w:rsidR="003227BE">
              <w:rPr>
                <w:noProof/>
                <w:lang w:eastAsia="en-AU"/>
              </w:rPr>
              <w:t>22</w:t>
            </w:r>
            <w:r w:rsidRPr="00375B9D">
              <w:rPr>
                <w:noProof/>
                <w:lang w:eastAsia="en-AU"/>
              </w:rPr>
              <w:t>, employing two staff with total wages (including superannuation, fringe benefits, allowances, etc.) of $12</w:t>
            </w:r>
            <w:r w:rsidR="00C65823">
              <w:rPr>
                <w:noProof/>
                <w:lang w:eastAsia="en-AU"/>
              </w:rPr>
              <w:t>,000</w:t>
            </w:r>
            <w:r w:rsidRPr="00375B9D">
              <w:rPr>
                <w:noProof/>
                <w:lang w:eastAsia="en-AU"/>
              </w:rPr>
              <w:t xml:space="preserve"> per month.</w:t>
            </w:r>
          </w:p>
          <w:p w14:paraId="63068C7C" w14:textId="77777777" w:rsidR="00375B9D" w:rsidRPr="00375B9D" w:rsidRDefault="00375B9D" w:rsidP="00375B9D">
            <w:pPr>
              <w:spacing w:after="200"/>
              <w:rPr>
                <w:noProof/>
                <w:lang w:eastAsia="en-AU"/>
              </w:rPr>
            </w:pPr>
            <w:r w:rsidRPr="00375B9D">
              <w:rPr>
                <w:noProof/>
                <w:lang w:eastAsia="en-AU"/>
              </w:rPr>
              <w:t>NT wages for March 20</w:t>
            </w:r>
            <w:r w:rsidR="003227BE">
              <w:rPr>
                <w:noProof/>
                <w:lang w:eastAsia="en-AU"/>
              </w:rPr>
              <w:t>22</w:t>
            </w:r>
            <w:r w:rsidRPr="00375B9D">
              <w:rPr>
                <w:noProof/>
                <w:lang w:eastAsia="en-AU"/>
              </w:rPr>
              <w:t xml:space="preserve"> were $3</w:t>
            </w:r>
            <w:r w:rsidR="00AC3E38">
              <w:rPr>
                <w:noProof/>
                <w:lang w:eastAsia="en-AU"/>
              </w:rPr>
              <w:t>,</w:t>
            </w:r>
            <w:r w:rsidRPr="00375B9D">
              <w:rPr>
                <w:noProof/>
                <w:lang w:eastAsia="en-AU"/>
              </w:rPr>
              <w:t>400, and Australian wages for March 20</w:t>
            </w:r>
            <w:r w:rsidR="003227BE">
              <w:rPr>
                <w:noProof/>
                <w:lang w:eastAsia="en-AU"/>
              </w:rPr>
              <w:t>22</w:t>
            </w:r>
            <w:r w:rsidRPr="00375B9D">
              <w:rPr>
                <w:noProof/>
                <w:lang w:eastAsia="en-AU"/>
              </w:rPr>
              <w:t xml:space="preserve"> were </w:t>
            </w:r>
            <w:r w:rsidRPr="00375B9D">
              <w:rPr>
                <w:noProof/>
                <w:lang w:eastAsia="en-AU"/>
              </w:rPr>
              <w:br/>
              <w:t>$211</w:t>
            </w:r>
            <w:r w:rsidR="00C65823">
              <w:rPr>
                <w:noProof/>
                <w:lang w:eastAsia="en-AU"/>
              </w:rPr>
              <w:t>,000</w:t>
            </w:r>
            <w:r w:rsidRPr="00375B9D">
              <w:rPr>
                <w:noProof/>
                <w:lang w:eastAsia="en-AU"/>
              </w:rPr>
              <w:t>.</w:t>
            </w:r>
          </w:p>
          <w:p w14:paraId="0D4856F4" w14:textId="77777777" w:rsidR="00375B9D" w:rsidRPr="00375B9D" w:rsidRDefault="00375B9D" w:rsidP="003227BE">
            <w:pPr>
              <w:spacing w:after="200"/>
              <w:rPr>
                <w:noProof/>
                <w:lang w:eastAsia="en-AU"/>
              </w:rPr>
            </w:pPr>
            <w:r w:rsidRPr="00375B9D">
              <w:rPr>
                <w:noProof/>
                <w:lang w:eastAsia="en-AU"/>
              </w:rPr>
              <w:t>Because RST paid NT wages during March 20</w:t>
            </w:r>
            <w:r w:rsidR="003227BE">
              <w:rPr>
                <w:noProof/>
                <w:lang w:eastAsia="en-AU"/>
              </w:rPr>
              <w:t>22</w:t>
            </w:r>
            <w:r w:rsidRPr="00375B9D">
              <w:rPr>
                <w:noProof/>
                <w:lang w:eastAsia="en-AU"/>
              </w:rPr>
              <w:t xml:space="preserve"> and during that month its Australian wages exceeded $125</w:t>
            </w:r>
            <w:r w:rsidR="00C65823">
              <w:rPr>
                <w:noProof/>
                <w:lang w:eastAsia="en-AU"/>
              </w:rPr>
              <w:t>,000</w:t>
            </w:r>
            <w:r w:rsidRPr="00375B9D">
              <w:rPr>
                <w:noProof/>
                <w:lang w:eastAsia="en-AU"/>
              </w:rPr>
              <w:t>, it will have an NT payroll tax liability for March 20</w:t>
            </w:r>
            <w:r w:rsidR="003227BE">
              <w:rPr>
                <w:noProof/>
                <w:lang w:eastAsia="en-AU"/>
              </w:rPr>
              <w:t>22</w:t>
            </w:r>
            <w:r w:rsidRPr="00375B9D">
              <w:rPr>
                <w:noProof/>
                <w:lang w:eastAsia="en-AU"/>
              </w:rPr>
              <w:t>, for which an application for registration, return and payment is due by 21 April 20</w:t>
            </w:r>
            <w:r w:rsidR="003227BE">
              <w:rPr>
                <w:noProof/>
                <w:lang w:eastAsia="en-AU"/>
              </w:rPr>
              <w:t>22</w:t>
            </w:r>
            <w:r w:rsidRPr="00375B9D">
              <w:rPr>
                <w:noProof/>
                <w:lang w:eastAsia="en-AU"/>
              </w:rPr>
              <w:t>.</w:t>
            </w:r>
          </w:p>
        </w:tc>
      </w:tr>
    </w:tbl>
    <w:p w14:paraId="4B868880" w14:textId="77777777" w:rsidR="00375B9D" w:rsidRPr="00375B9D" w:rsidRDefault="00375B9D" w:rsidP="00375B9D">
      <w:pPr>
        <w:rPr>
          <w:noProof/>
          <w:lang w:eastAsia="en-AU"/>
        </w:rPr>
      </w:pPr>
    </w:p>
    <w:tbl>
      <w:tblPr>
        <w:tblStyle w:val="DTFpayrolltaxguidestyle1"/>
        <w:tblW w:w="10348" w:type="dxa"/>
        <w:tblLook w:val="04A0" w:firstRow="1" w:lastRow="0" w:firstColumn="1" w:lastColumn="0" w:noHBand="0" w:noVBand="1"/>
        <w:tblDescription w:val="To register as an employer, go to the following link:&#10;Form F-PRT-001 Application to Register as an Employer (this is an interactive form).&#10;"/>
      </w:tblPr>
      <w:tblGrid>
        <w:gridCol w:w="10348"/>
      </w:tblGrid>
      <w:tr w:rsidR="00375B9D" w:rsidRPr="00375B9D" w14:paraId="4F82396E" w14:textId="77777777" w:rsidTr="00937629">
        <w:trPr>
          <w:trHeight w:val="169"/>
          <w:tblHeader/>
        </w:trPr>
        <w:tc>
          <w:tcPr>
            <w:tcW w:w="10348" w:type="dxa"/>
          </w:tcPr>
          <w:p w14:paraId="032F7AAF" w14:textId="77777777" w:rsidR="00375B9D" w:rsidRPr="00375B9D" w:rsidRDefault="00375B9D" w:rsidP="00375B9D">
            <w:pPr>
              <w:spacing w:after="200"/>
              <w:rPr>
                <w:noProof/>
                <w:lang w:eastAsia="en-AU"/>
              </w:rPr>
            </w:pPr>
            <w:r w:rsidRPr="00375B9D">
              <w:rPr>
                <w:noProof/>
                <w:lang w:eastAsia="en-AU"/>
              </w:rPr>
              <w:t xml:space="preserve">To register as an employer, go to the following link: </w:t>
            </w:r>
            <w:hyperlink r:id="rId27" w:history="1">
              <w:r w:rsidRPr="00375B9D">
                <w:rPr>
                  <w:rStyle w:val="Hyperlink"/>
                  <w:noProof/>
                  <w:lang w:eastAsia="en-AU"/>
                </w:rPr>
                <w:t>intra.nt.gov.au</w:t>
              </w:r>
            </w:hyperlink>
          </w:p>
        </w:tc>
      </w:tr>
    </w:tbl>
    <w:p w14:paraId="51E21118" w14:textId="77777777" w:rsidR="00375B9D" w:rsidRPr="00375B9D" w:rsidRDefault="00375B9D" w:rsidP="00A7303B">
      <w:pPr>
        <w:pStyle w:val="Heading2"/>
      </w:pPr>
      <w:bookmarkStart w:id="24" w:name="_Toc467842739"/>
      <w:bookmarkStart w:id="25" w:name="_Toc108789566"/>
      <w:r w:rsidRPr="00A7303B">
        <w:lastRenderedPageBreak/>
        <w:t>Exempt</w:t>
      </w:r>
      <w:r w:rsidRPr="00375B9D">
        <w:t xml:space="preserve"> </w:t>
      </w:r>
      <w:bookmarkEnd w:id="24"/>
      <w:r w:rsidR="000A5241">
        <w:t>e</w:t>
      </w:r>
      <w:r w:rsidR="000A5241" w:rsidRPr="00375B9D">
        <w:t>mployers</w:t>
      </w:r>
      <w:bookmarkEnd w:id="25"/>
    </w:p>
    <w:p w14:paraId="68B6B848" w14:textId="77777777" w:rsidR="00375B9D" w:rsidRPr="00375B9D" w:rsidRDefault="00375B9D" w:rsidP="00375B9D">
      <w:pPr>
        <w:rPr>
          <w:noProof/>
          <w:lang w:eastAsia="en-AU"/>
        </w:rPr>
      </w:pPr>
      <w:r w:rsidRPr="00375B9D">
        <w:rPr>
          <w:noProof/>
          <w:lang w:eastAsia="en-AU"/>
        </w:rPr>
        <w:t>Wages paid by a ‘non-profit’ employer may be exempt from payroll tax.</w:t>
      </w:r>
    </w:p>
    <w:p w14:paraId="44C897F2" w14:textId="77777777" w:rsidR="00375B9D" w:rsidRPr="00375B9D" w:rsidRDefault="00375B9D" w:rsidP="00375B9D">
      <w:pPr>
        <w:rPr>
          <w:noProof/>
          <w:lang w:eastAsia="en-AU"/>
        </w:rPr>
      </w:pPr>
      <w:r w:rsidRPr="00375B9D">
        <w:rPr>
          <w:noProof/>
          <w:lang w:eastAsia="en-AU"/>
        </w:rPr>
        <w:t>An exemption will generally apply to wages paid by the following types of organisations, where the employee is engaged directly and exclusively in carrying out objects of the organisation that are not commercial or competitive in nature:</w:t>
      </w:r>
    </w:p>
    <w:p w14:paraId="5E79E712" w14:textId="77777777" w:rsidR="00375B9D" w:rsidRPr="00375B9D" w:rsidRDefault="00375B9D" w:rsidP="00AE756D">
      <w:pPr>
        <w:pStyle w:val="DTFBulletlist"/>
      </w:pPr>
      <w:r w:rsidRPr="00375B9D">
        <w:t>non-profit charities</w:t>
      </w:r>
    </w:p>
    <w:p w14:paraId="05A2744F" w14:textId="77777777" w:rsidR="00375B9D" w:rsidRPr="00375B9D" w:rsidRDefault="00375B9D" w:rsidP="00AE756D">
      <w:pPr>
        <w:pStyle w:val="DTFBulletlist"/>
      </w:pPr>
      <w:r w:rsidRPr="00375B9D">
        <w:t>public benevolent institutions</w:t>
      </w:r>
    </w:p>
    <w:p w14:paraId="4454BB36" w14:textId="77777777" w:rsidR="00375B9D" w:rsidRPr="00375B9D" w:rsidRDefault="00375B9D" w:rsidP="00AE756D">
      <w:pPr>
        <w:pStyle w:val="DTFBulletlist"/>
      </w:pPr>
      <w:r w:rsidRPr="00375B9D">
        <w:t>religious institutions</w:t>
      </w:r>
    </w:p>
    <w:p w14:paraId="019EEF85" w14:textId="77777777" w:rsidR="00375B9D" w:rsidRPr="00375B9D" w:rsidRDefault="00375B9D" w:rsidP="00AE756D">
      <w:pPr>
        <w:pStyle w:val="DTFBulletlist"/>
      </w:pPr>
      <w:r w:rsidRPr="00375B9D">
        <w:t>non-profit non-government schools or colleges (other than technical schools or colleges)</w:t>
      </w:r>
    </w:p>
    <w:p w14:paraId="4957802E" w14:textId="77777777" w:rsidR="00375B9D" w:rsidRPr="00375B9D" w:rsidRDefault="00375B9D" w:rsidP="00AE756D">
      <w:pPr>
        <w:pStyle w:val="DTFBulletlist"/>
      </w:pPr>
      <w:r w:rsidRPr="00375B9D">
        <w:t>public hospitals</w:t>
      </w:r>
    </w:p>
    <w:p w14:paraId="3CDD4DC3" w14:textId="77777777" w:rsidR="00375B9D" w:rsidRPr="00375B9D" w:rsidRDefault="00375B9D" w:rsidP="00AE756D">
      <w:pPr>
        <w:pStyle w:val="DTFBulletlist"/>
      </w:pPr>
      <w:r w:rsidRPr="00375B9D">
        <w:t>non-profit private hospitals</w:t>
      </w:r>
    </w:p>
    <w:p w14:paraId="10FD0A1C" w14:textId="77777777" w:rsidR="00375B9D" w:rsidRPr="00375B9D" w:rsidRDefault="00375B9D" w:rsidP="00AE756D">
      <w:pPr>
        <w:pStyle w:val="DTFBulletlist"/>
      </w:pPr>
      <w:r w:rsidRPr="00375B9D">
        <w:t>local governing bodies.</w:t>
      </w:r>
    </w:p>
    <w:tbl>
      <w:tblPr>
        <w:tblStyle w:val="DTFpayrolltaxguidestyle1"/>
        <w:tblW w:w="0" w:type="auto"/>
        <w:tblLook w:val="04A0" w:firstRow="1" w:lastRow="0" w:firstColumn="1" w:lastColumn="0" w:noHBand="0" w:noVBand="1"/>
        <w:tblDescription w:val="Note: Wages paid to persons engaged in commercial or business activities (including activities in competition with private enterprise) are not exempt even if the proceeds of those activities are used to further the objects of the body."/>
      </w:tblPr>
      <w:tblGrid>
        <w:gridCol w:w="10308"/>
      </w:tblGrid>
      <w:tr w:rsidR="00375B9D" w:rsidRPr="00375B9D" w14:paraId="0F2D7ECA" w14:textId="77777777" w:rsidTr="00937629">
        <w:trPr>
          <w:tblHeader/>
        </w:trPr>
        <w:tc>
          <w:tcPr>
            <w:tcW w:w="10318" w:type="dxa"/>
          </w:tcPr>
          <w:p w14:paraId="56798699" w14:textId="77777777" w:rsidR="00375B9D" w:rsidRPr="00375B9D" w:rsidRDefault="00375B9D" w:rsidP="00375B9D">
            <w:pPr>
              <w:spacing w:after="200"/>
              <w:rPr>
                <w:noProof/>
                <w:lang w:eastAsia="en-AU"/>
              </w:rPr>
            </w:pPr>
            <w:r w:rsidRPr="00375B9D">
              <w:rPr>
                <w:b/>
                <w:noProof/>
                <w:lang w:eastAsia="en-AU"/>
              </w:rPr>
              <w:t>Note</w:t>
            </w:r>
            <w:r w:rsidRPr="00375B9D">
              <w:rPr>
                <w:noProof/>
                <w:lang w:eastAsia="en-AU"/>
              </w:rPr>
              <w:t>: Wages paid to persons engaged in commercial or business activities (including activities in competition with private enterprise) are not exempt even if the proceeds of those activities are used to further the objects of the body.</w:t>
            </w:r>
          </w:p>
        </w:tc>
      </w:tr>
    </w:tbl>
    <w:p w14:paraId="5F65D1BD" w14:textId="77777777" w:rsidR="00375B9D" w:rsidRPr="00375B9D" w:rsidRDefault="00375B9D" w:rsidP="00375B9D">
      <w:pPr>
        <w:rPr>
          <w:noProof/>
          <w:lang w:eastAsia="en-AU"/>
        </w:rPr>
      </w:pPr>
    </w:p>
    <w:tbl>
      <w:tblPr>
        <w:tblStyle w:val="DTFpayrolltaxguidestyle1"/>
        <w:tblW w:w="10348" w:type="dxa"/>
        <w:tblLook w:val="04A0" w:firstRow="1" w:lastRow="0" w:firstColumn="1" w:lastColumn="0" w:noHBand="0" w:noVBand="1"/>
        <w:tblDescription w:val="For further information on exempt employers, please refer to the following links:&#10;• Revenue Circular RC-PRT-007 2015-16 Budget Measures – Payroll tax non-profit exemption&#10;• PTA032 Payroll tax exemption for schools&#10;"/>
      </w:tblPr>
      <w:tblGrid>
        <w:gridCol w:w="10348"/>
      </w:tblGrid>
      <w:tr w:rsidR="00375B9D" w:rsidRPr="00375B9D" w14:paraId="1A14100F" w14:textId="77777777" w:rsidTr="00937629">
        <w:trPr>
          <w:trHeight w:val="594"/>
          <w:tblHeader/>
        </w:trPr>
        <w:tc>
          <w:tcPr>
            <w:tcW w:w="10348" w:type="dxa"/>
          </w:tcPr>
          <w:p w14:paraId="602C2F01" w14:textId="77777777" w:rsidR="00375B9D" w:rsidRPr="00375B9D" w:rsidRDefault="00375B9D" w:rsidP="00375B9D">
            <w:pPr>
              <w:spacing w:after="200"/>
              <w:rPr>
                <w:noProof/>
                <w:lang w:eastAsia="en-AU"/>
              </w:rPr>
            </w:pPr>
            <w:r w:rsidRPr="00375B9D">
              <w:rPr>
                <w:noProof/>
                <w:lang w:eastAsia="en-AU"/>
              </w:rPr>
              <w:t xml:space="preserve">For further information on exempt employers, please refer to Revenue Circular </w:t>
            </w:r>
            <w:hyperlink r:id="rId28" w:history="1">
              <w:r w:rsidRPr="00375B9D">
                <w:rPr>
                  <w:rStyle w:val="Hyperlink"/>
                  <w:noProof/>
                  <w:lang w:eastAsia="en-AU"/>
                </w:rPr>
                <w:t>RC-PRT-007 2015-16 Budget Measures – Payroll Tax Non-Profit Exemption</w:t>
              </w:r>
            </w:hyperlink>
            <w:r w:rsidRPr="00375B9D">
              <w:rPr>
                <w:noProof/>
                <w:lang w:eastAsia="en-AU"/>
              </w:rPr>
              <w:t>.</w:t>
            </w:r>
          </w:p>
        </w:tc>
      </w:tr>
    </w:tbl>
    <w:p w14:paraId="0EB8C8FF" w14:textId="77777777" w:rsidR="00A45CD0" w:rsidRDefault="00A45CD0" w:rsidP="00375B9D">
      <w:pPr>
        <w:rPr>
          <w:noProof/>
          <w:lang w:eastAsia="en-AU"/>
        </w:rPr>
      </w:pPr>
    </w:p>
    <w:p w14:paraId="6203A54B" w14:textId="77777777" w:rsidR="00375B9D" w:rsidRPr="00375B9D" w:rsidRDefault="00375B9D" w:rsidP="00375B9D">
      <w:pPr>
        <w:rPr>
          <w:noProof/>
          <w:lang w:eastAsia="en-AU"/>
        </w:rPr>
      </w:pPr>
      <w:r w:rsidRPr="00375B9D">
        <w:rPr>
          <w:noProof/>
          <w:lang w:eastAsia="en-AU"/>
        </w:rPr>
        <w:t>Employers who believe they may be exempt from payroll tax should apply to TRO for a determination of their exempt status (this can be done by email or letter – there is no formal application to be completed).</w:t>
      </w:r>
    </w:p>
    <w:p w14:paraId="40E9131A" w14:textId="77777777" w:rsidR="00375B9D" w:rsidRPr="00375B9D" w:rsidRDefault="00375B9D" w:rsidP="00375B9D">
      <w:pPr>
        <w:rPr>
          <w:noProof/>
          <w:lang w:eastAsia="en-AU"/>
        </w:rPr>
      </w:pPr>
      <w:r w:rsidRPr="00375B9D">
        <w:rPr>
          <w:noProof/>
          <w:lang w:eastAsia="en-AU"/>
        </w:rPr>
        <w:t>An application must be accompanied by the organisation’s constitution and submissions and or documentation outlining the exact objectives and functions of the organisation.</w:t>
      </w:r>
    </w:p>
    <w:tbl>
      <w:tblPr>
        <w:tblStyle w:val="DTFpayrolltaxguidestyle1"/>
        <w:tblW w:w="10348" w:type="dxa"/>
        <w:tblLook w:val="04A0" w:firstRow="1" w:lastRow="0" w:firstColumn="1" w:lastColumn="0" w:noHBand="0" w:noVBand="1"/>
        <w:tblDescription w:val="Example: The ABC Charity operates a refuge for homeless people at a particular location. All employees at this location are engaged in work of a charitable nature and, given that ABC is a charitable body, the wages paid to them are exempt from payroll tax. If ABC also operates a retail health food store that is open to the general public, even though proceeds from the health food store are used by ABC to fund its charitable activities, wages paid to employees at this location are taxable if the total amount of taxable wages paid throughout Australia exceeds $125 000 per month ($1 500 000 per annum)."/>
      </w:tblPr>
      <w:tblGrid>
        <w:gridCol w:w="10348"/>
      </w:tblGrid>
      <w:tr w:rsidR="00375B9D" w:rsidRPr="00375B9D" w14:paraId="209CF214" w14:textId="77777777" w:rsidTr="00937629">
        <w:trPr>
          <w:trHeight w:val="1682"/>
          <w:tblHeader/>
        </w:trPr>
        <w:tc>
          <w:tcPr>
            <w:tcW w:w="10348" w:type="dxa"/>
          </w:tcPr>
          <w:p w14:paraId="488E92A7" w14:textId="77777777" w:rsidR="00375B9D" w:rsidRPr="00375B9D" w:rsidRDefault="00375B9D" w:rsidP="00375B9D">
            <w:pPr>
              <w:spacing w:after="200"/>
              <w:rPr>
                <w:noProof/>
                <w:lang w:eastAsia="en-AU"/>
              </w:rPr>
            </w:pPr>
            <w:r w:rsidRPr="00375B9D">
              <w:rPr>
                <w:b/>
                <w:noProof/>
                <w:lang w:eastAsia="en-AU"/>
              </w:rPr>
              <w:t>Example</w:t>
            </w:r>
            <w:r w:rsidR="00817097">
              <w:rPr>
                <w:b/>
                <w:noProof/>
                <w:lang w:eastAsia="en-AU"/>
              </w:rPr>
              <w:t xml:space="preserve"> 2</w:t>
            </w:r>
            <w:r w:rsidRPr="00375B9D">
              <w:rPr>
                <w:noProof/>
                <w:lang w:eastAsia="en-AU"/>
              </w:rPr>
              <w:t>: The ABC Charity operates a refuge for homeless people. All employees at the refuge are engaged in work of a charitable nature and, given that ABC is a charitable body, the wages paid to them are exempt from payroll tax. If ABC also operates a retail health food store that is open to the general public, even though proceeds from the health food store are used by ABC to fund its charitable activities, wages paid to employees at the store are taxable if the total amount of taxable wages paid throughout Australia exceeds $125</w:t>
            </w:r>
            <w:r w:rsidR="00C65823">
              <w:rPr>
                <w:noProof/>
                <w:lang w:eastAsia="en-AU"/>
              </w:rPr>
              <w:t>,000</w:t>
            </w:r>
            <w:r w:rsidRPr="00375B9D">
              <w:rPr>
                <w:noProof/>
                <w:lang w:eastAsia="en-AU"/>
              </w:rPr>
              <w:t xml:space="preserve"> per month ($1</w:t>
            </w:r>
            <w:r w:rsidR="00C65823">
              <w:rPr>
                <w:noProof/>
                <w:lang w:eastAsia="en-AU"/>
              </w:rPr>
              <w:t>,500,000</w:t>
            </w:r>
            <w:r w:rsidRPr="00375B9D">
              <w:rPr>
                <w:noProof/>
                <w:lang w:eastAsia="en-AU"/>
              </w:rPr>
              <w:t xml:space="preserve"> per annum).</w:t>
            </w:r>
          </w:p>
        </w:tc>
      </w:tr>
    </w:tbl>
    <w:p w14:paraId="3FFFA1D6" w14:textId="77777777" w:rsidR="00A45CD0" w:rsidRDefault="00A45CD0" w:rsidP="00375B9D">
      <w:pPr>
        <w:rPr>
          <w:noProof/>
          <w:lang w:eastAsia="en-AU"/>
        </w:rPr>
      </w:pPr>
      <w:bookmarkStart w:id="26" w:name="WhichStateOwnsPayrollTax"/>
      <w:bookmarkStart w:id="27" w:name="_Toc467842740"/>
      <w:bookmarkEnd w:id="26"/>
    </w:p>
    <w:p w14:paraId="4CF06DE7" w14:textId="77777777" w:rsidR="00817097" w:rsidRDefault="00817097">
      <w:pPr>
        <w:rPr>
          <w:rFonts w:asciiTheme="majorHAnsi" w:eastAsiaTheme="majorEastAsia" w:hAnsiTheme="majorHAnsi" w:cstheme="majorBidi"/>
          <w:bCs/>
          <w:iCs/>
          <w:noProof/>
          <w:color w:val="454347"/>
          <w:sz w:val="32"/>
          <w:szCs w:val="32"/>
          <w:lang w:eastAsia="en-AU"/>
        </w:rPr>
      </w:pPr>
      <w:r>
        <w:rPr>
          <w:noProof/>
          <w:lang w:eastAsia="en-AU"/>
        </w:rPr>
        <w:br w:type="page"/>
      </w:r>
    </w:p>
    <w:p w14:paraId="3EB5049E" w14:textId="77777777" w:rsidR="00375B9D" w:rsidRPr="00375B9D" w:rsidRDefault="00375B9D" w:rsidP="00A7303B">
      <w:pPr>
        <w:pStyle w:val="Heading2"/>
      </w:pPr>
      <w:bookmarkStart w:id="28" w:name="_Toc108789567"/>
      <w:r w:rsidRPr="00375B9D">
        <w:lastRenderedPageBreak/>
        <w:t xml:space="preserve">Which </w:t>
      </w:r>
      <w:r w:rsidR="000A5241">
        <w:t>s</w:t>
      </w:r>
      <w:r w:rsidR="000A5241" w:rsidRPr="00375B9D">
        <w:t xml:space="preserve">tate </w:t>
      </w:r>
      <w:r w:rsidRPr="00375B9D">
        <w:t>‘</w:t>
      </w:r>
      <w:r w:rsidR="000A5241">
        <w:t>o</w:t>
      </w:r>
      <w:r w:rsidR="000A5241" w:rsidRPr="00375B9D">
        <w:t xml:space="preserve">wns’ </w:t>
      </w:r>
      <w:r w:rsidR="000A5241">
        <w:t>p</w:t>
      </w:r>
      <w:r w:rsidR="000A5241" w:rsidRPr="00375B9D">
        <w:t xml:space="preserve">ayroll </w:t>
      </w:r>
      <w:r w:rsidR="000A5241">
        <w:t>t</w:t>
      </w:r>
      <w:r w:rsidR="000A5241" w:rsidRPr="00375B9D">
        <w:t xml:space="preserve">ax </w:t>
      </w:r>
      <w:r w:rsidR="000A5241">
        <w:t>w</w:t>
      </w:r>
      <w:r w:rsidR="000A5241" w:rsidRPr="00375B9D">
        <w:t xml:space="preserve">hen </w:t>
      </w:r>
      <w:r w:rsidR="000A5241">
        <w:t>e</w:t>
      </w:r>
      <w:r w:rsidRPr="00375B9D">
        <w:t xml:space="preserve">mployees </w:t>
      </w:r>
      <w:r w:rsidR="000A5241">
        <w:t>w</w:t>
      </w:r>
      <w:r w:rsidRPr="00375B9D">
        <w:t xml:space="preserve">ork in </w:t>
      </w:r>
      <w:r w:rsidR="000A5241">
        <w:t>m</w:t>
      </w:r>
      <w:r w:rsidRPr="00375B9D">
        <w:t xml:space="preserve">ore than </w:t>
      </w:r>
      <w:r w:rsidR="000A5241">
        <w:t>o</w:t>
      </w:r>
      <w:r w:rsidRPr="00375B9D">
        <w:t xml:space="preserve">ne </w:t>
      </w:r>
      <w:r w:rsidR="000A5241">
        <w:t>s</w:t>
      </w:r>
      <w:r w:rsidRPr="00375B9D">
        <w:t xml:space="preserve">tate or </w:t>
      </w:r>
      <w:r w:rsidR="000A5241">
        <w:t>t</w:t>
      </w:r>
      <w:r w:rsidRPr="00375B9D">
        <w:t>erritory?</w:t>
      </w:r>
      <w:bookmarkEnd w:id="27"/>
      <w:bookmarkEnd w:id="28"/>
    </w:p>
    <w:p w14:paraId="417F0919" w14:textId="77777777" w:rsidR="00375B9D" w:rsidRPr="00375B9D" w:rsidRDefault="00375B9D" w:rsidP="00A45CD0">
      <w:pPr>
        <w:pStyle w:val="Heading3"/>
        <w:rPr>
          <w:noProof/>
          <w:lang w:eastAsia="en-AU"/>
        </w:rPr>
      </w:pPr>
      <w:r w:rsidRPr="00375B9D">
        <w:rPr>
          <w:noProof/>
          <w:lang w:eastAsia="en-AU"/>
        </w:rPr>
        <w:t>Background</w:t>
      </w:r>
    </w:p>
    <w:p w14:paraId="418CECE8" w14:textId="77777777" w:rsidR="00375B9D" w:rsidRPr="00375B9D" w:rsidRDefault="00375B9D" w:rsidP="00375B9D">
      <w:pPr>
        <w:rPr>
          <w:noProof/>
          <w:lang w:eastAsia="en-AU"/>
        </w:rPr>
      </w:pPr>
      <w:r w:rsidRPr="00375B9D">
        <w:rPr>
          <w:noProof/>
          <w:lang w:eastAsia="en-AU"/>
        </w:rPr>
        <w:t>Payroll tax is a state and territory tax.</w:t>
      </w:r>
    </w:p>
    <w:p w14:paraId="56695E8A" w14:textId="77777777" w:rsidR="00375B9D" w:rsidRPr="00375B9D" w:rsidRDefault="00375B9D" w:rsidP="00817097">
      <w:r w:rsidRPr="00375B9D">
        <w:t>The states and territories have put in place rules (the ‘</w:t>
      </w:r>
      <w:r w:rsidR="0025602F">
        <w:t>nexus rules</w:t>
      </w:r>
      <w:r w:rsidRPr="00375B9D">
        <w:t>’) to ensure:</w:t>
      </w:r>
    </w:p>
    <w:p w14:paraId="235CC14E" w14:textId="77777777" w:rsidR="00375B9D" w:rsidRPr="00375B9D" w:rsidRDefault="00375B9D" w:rsidP="00AE756D">
      <w:pPr>
        <w:pStyle w:val="DTFBulletlist"/>
      </w:pPr>
      <w:r w:rsidRPr="00375B9D">
        <w:t>no double tax applies – wages will not be taxed twice where an employee is working away from his or her ‘home’ state</w:t>
      </w:r>
    </w:p>
    <w:p w14:paraId="387099C3" w14:textId="77777777" w:rsidR="00375B9D" w:rsidRPr="00375B9D" w:rsidRDefault="00375B9D" w:rsidP="00AE756D">
      <w:pPr>
        <w:pStyle w:val="DTFBulletlist"/>
      </w:pPr>
      <w:r w:rsidRPr="00375B9D">
        <w:t>it is clear which state or territory payroll tax must be paid to.</w:t>
      </w:r>
    </w:p>
    <w:p w14:paraId="52C7B22B" w14:textId="77777777" w:rsidR="00375B9D" w:rsidRPr="00375B9D" w:rsidRDefault="00375B9D" w:rsidP="00A45CD0">
      <w:pPr>
        <w:pStyle w:val="Heading3"/>
        <w:rPr>
          <w:noProof/>
          <w:lang w:eastAsia="en-AU"/>
        </w:rPr>
      </w:pPr>
      <w:r w:rsidRPr="00375B9D">
        <w:rPr>
          <w:noProof/>
          <w:lang w:eastAsia="en-AU"/>
        </w:rPr>
        <w:t xml:space="preserve">The </w:t>
      </w:r>
      <w:r w:rsidR="00AC3E38">
        <w:rPr>
          <w:noProof/>
          <w:lang w:eastAsia="en-AU"/>
        </w:rPr>
        <w:t>n</w:t>
      </w:r>
      <w:r w:rsidRPr="00375B9D">
        <w:rPr>
          <w:noProof/>
          <w:lang w:eastAsia="en-AU"/>
        </w:rPr>
        <w:t xml:space="preserve">exus </w:t>
      </w:r>
      <w:r w:rsidR="00AC3E38" w:rsidRPr="00375B9D">
        <w:rPr>
          <w:noProof/>
          <w:lang w:eastAsia="en-AU"/>
        </w:rPr>
        <w:t>rules</w:t>
      </w:r>
    </w:p>
    <w:p w14:paraId="520AFDC7" w14:textId="77777777" w:rsidR="00375B9D" w:rsidRPr="00375B9D" w:rsidRDefault="00375B9D" w:rsidP="00375B9D">
      <w:pPr>
        <w:rPr>
          <w:noProof/>
          <w:lang w:eastAsia="en-AU"/>
        </w:rPr>
      </w:pPr>
      <w:r w:rsidRPr="00375B9D">
        <w:rPr>
          <w:noProof/>
          <w:lang w:eastAsia="en-AU"/>
        </w:rPr>
        <w:t>Only one state or territory can claim taxable wages, and therefore payroll tax, on wages paid to an employee by one employer in a given calendar month</w:t>
      </w:r>
      <w:r w:rsidRPr="00375B9D">
        <w:rPr>
          <w:noProof/>
          <w:vertAlign w:val="superscript"/>
          <w:lang w:eastAsia="en-AU"/>
        </w:rPr>
        <w:footnoteReference w:id="2"/>
      </w:r>
      <w:r w:rsidRPr="00375B9D">
        <w:rPr>
          <w:noProof/>
          <w:lang w:eastAsia="en-AU"/>
        </w:rPr>
        <w:t xml:space="preserve">. </w:t>
      </w:r>
    </w:p>
    <w:p w14:paraId="0AB69330" w14:textId="77777777" w:rsidR="00375B9D" w:rsidRPr="00375B9D" w:rsidRDefault="00375B9D" w:rsidP="00375B9D">
      <w:pPr>
        <w:rPr>
          <w:noProof/>
          <w:lang w:eastAsia="en-AU"/>
        </w:rPr>
      </w:pPr>
      <w:r w:rsidRPr="00375B9D">
        <w:rPr>
          <w:noProof/>
          <w:lang w:eastAsia="en-AU"/>
        </w:rPr>
        <w:t>This applies even if the employee works for the employer in two or more states within a given calendar month.</w:t>
      </w:r>
    </w:p>
    <w:p w14:paraId="19394E63" w14:textId="77777777" w:rsidR="00375B9D" w:rsidRPr="00A45CD0" w:rsidRDefault="00375B9D" w:rsidP="00A45CD0">
      <w:pPr>
        <w:rPr>
          <w:noProof/>
          <w:lang w:eastAsia="en-AU"/>
        </w:rPr>
      </w:pPr>
      <w:r w:rsidRPr="00A45CD0">
        <w:rPr>
          <w:noProof/>
          <w:lang w:eastAsia="en-AU"/>
        </w:rPr>
        <w:t>The following paragraphs outline the position in most common situations.</w:t>
      </w:r>
    </w:p>
    <w:p w14:paraId="4680FD69" w14:textId="77777777" w:rsidR="00375B9D" w:rsidRPr="00375B9D" w:rsidRDefault="00375B9D" w:rsidP="00A7303B">
      <w:pPr>
        <w:pStyle w:val="Heading4"/>
      </w:pPr>
      <w:r w:rsidRPr="00375B9D">
        <w:t xml:space="preserve">During a </w:t>
      </w:r>
      <w:r w:rsidR="00AC3E38" w:rsidRPr="00375B9D">
        <w:t xml:space="preserve">calendar month, an employee works in one state only </w:t>
      </w:r>
    </w:p>
    <w:p w14:paraId="5D868FFE" w14:textId="77777777" w:rsidR="00375B9D" w:rsidRPr="00375B9D" w:rsidRDefault="00375B9D" w:rsidP="00375B9D">
      <w:pPr>
        <w:rPr>
          <w:noProof/>
          <w:lang w:eastAsia="en-AU"/>
        </w:rPr>
      </w:pPr>
      <w:r w:rsidRPr="00375B9D">
        <w:rPr>
          <w:noProof/>
          <w:lang w:eastAsia="en-AU"/>
        </w:rPr>
        <w:t>In a given calendar month, provided that an employee only works for the one employer in one state, payroll tax ‘belongs’ to the state or territory where work is performed.</w:t>
      </w:r>
    </w:p>
    <w:p w14:paraId="0E4EDDDD" w14:textId="77777777" w:rsidR="00375B9D" w:rsidRPr="00375B9D" w:rsidRDefault="00375B9D" w:rsidP="00375B9D">
      <w:pPr>
        <w:rPr>
          <w:noProof/>
          <w:lang w:eastAsia="en-AU"/>
        </w:rPr>
      </w:pPr>
      <w:r w:rsidRPr="00375B9D">
        <w:rPr>
          <w:noProof/>
          <w:lang w:eastAsia="en-AU"/>
        </w:rPr>
        <w:t>This applies even if it is not the state where the employee usually performs services (for example</w:t>
      </w:r>
      <w:r w:rsidR="00817097">
        <w:rPr>
          <w:noProof/>
          <w:lang w:eastAsia="en-AU"/>
        </w:rPr>
        <w:t>,</w:t>
      </w:r>
      <w:r w:rsidRPr="00375B9D">
        <w:rPr>
          <w:noProof/>
          <w:lang w:eastAsia="en-AU"/>
        </w:rPr>
        <w:t xml:space="preserve"> if the employee is assigned temporarily to a project in another state for a month or more).</w:t>
      </w:r>
    </w:p>
    <w:p w14:paraId="02A231EB" w14:textId="77777777" w:rsidR="00375B9D" w:rsidRPr="00375B9D" w:rsidRDefault="00375B9D" w:rsidP="00375B9D">
      <w:pPr>
        <w:rPr>
          <w:noProof/>
          <w:lang w:eastAsia="en-AU"/>
        </w:rPr>
      </w:pPr>
      <w:r w:rsidRPr="00375B9D">
        <w:rPr>
          <w:noProof/>
          <w:lang w:eastAsia="en-AU"/>
        </w:rPr>
        <w:t xml:space="preserve">See examples commencing </w:t>
      </w:r>
      <w:r w:rsidRPr="00375B9D">
        <w:rPr>
          <w:noProof/>
          <w:lang w:eastAsia="en-AU"/>
        </w:rPr>
        <w:fldChar w:fldCharType="begin"/>
      </w:r>
      <w:r w:rsidRPr="00375B9D">
        <w:rPr>
          <w:noProof/>
          <w:lang w:eastAsia="en-AU"/>
        </w:rPr>
        <w:instrText xml:space="preserve"> PAGEREF ExamplesofNexusRules \p \h </w:instrText>
      </w:r>
      <w:r w:rsidRPr="00375B9D">
        <w:rPr>
          <w:noProof/>
          <w:lang w:eastAsia="en-AU"/>
        </w:rPr>
      </w:r>
      <w:r w:rsidRPr="00375B9D">
        <w:rPr>
          <w:noProof/>
          <w:lang w:eastAsia="en-AU"/>
        </w:rPr>
        <w:fldChar w:fldCharType="separate"/>
      </w:r>
      <w:r w:rsidR="002A4C93">
        <w:rPr>
          <w:noProof/>
          <w:lang w:eastAsia="en-AU"/>
        </w:rPr>
        <w:t>on page 19</w:t>
      </w:r>
      <w:r w:rsidRPr="00375B9D">
        <w:rPr>
          <w:noProof/>
          <w:lang w:eastAsia="en-AU"/>
        </w:rPr>
        <w:fldChar w:fldCharType="end"/>
      </w:r>
      <w:r w:rsidRPr="00375B9D">
        <w:rPr>
          <w:noProof/>
          <w:lang w:eastAsia="en-AU"/>
        </w:rPr>
        <w:t xml:space="preserve"> of this guide.</w:t>
      </w:r>
    </w:p>
    <w:p w14:paraId="2361B48D" w14:textId="77777777" w:rsidR="00375B9D" w:rsidRPr="00375B9D" w:rsidRDefault="00375B9D" w:rsidP="00A7303B">
      <w:pPr>
        <w:pStyle w:val="Heading4"/>
      </w:pPr>
      <w:r w:rsidRPr="00375B9D">
        <w:t xml:space="preserve">During a </w:t>
      </w:r>
      <w:r w:rsidR="00851A5F">
        <w:t>c</w:t>
      </w:r>
      <w:r w:rsidRPr="00375B9D">
        <w:t xml:space="preserve">alendar </w:t>
      </w:r>
      <w:r w:rsidR="00851A5F">
        <w:t>m</w:t>
      </w:r>
      <w:r w:rsidRPr="00375B9D">
        <w:t xml:space="preserve">onth, an </w:t>
      </w:r>
      <w:r w:rsidR="00851A5F">
        <w:t>e</w:t>
      </w:r>
      <w:r w:rsidRPr="00375B9D">
        <w:t xml:space="preserve">mployee </w:t>
      </w:r>
      <w:r w:rsidR="00851A5F">
        <w:t>w</w:t>
      </w:r>
      <w:r w:rsidRPr="00375B9D">
        <w:t xml:space="preserve">orks for one </w:t>
      </w:r>
      <w:r w:rsidR="00851A5F">
        <w:t>e</w:t>
      </w:r>
      <w:r w:rsidRPr="00375B9D">
        <w:t xml:space="preserve">mployer </w:t>
      </w:r>
      <w:r w:rsidR="00851A5F">
        <w:t>o</w:t>
      </w:r>
      <w:r w:rsidRPr="00375B9D">
        <w:t xml:space="preserve">nly but </w:t>
      </w:r>
      <w:r w:rsidR="00851A5F">
        <w:t>w</w:t>
      </w:r>
      <w:r w:rsidRPr="00375B9D">
        <w:t xml:space="preserve">orks in </w:t>
      </w:r>
      <w:r w:rsidR="00851A5F">
        <w:t>m</w:t>
      </w:r>
      <w:r w:rsidRPr="00375B9D">
        <w:t xml:space="preserve">ore than </w:t>
      </w:r>
      <w:r w:rsidR="00851A5F">
        <w:t>o</w:t>
      </w:r>
      <w:r w:rsidRPr="00375B9D">
        <w:t>ne</w:t>
      </w:r>
      <w:r w:rsidR="00A7303B">
        <w:t> </w:t>
      </w:r>
      <w:r w:rsidR="00851A5F">
        <w:t>s</w:t>
      </w:r>
      <w:r w:rsidRPr="00375B9D">
        <w:t>tate</w:t>
      </w:r>
    </w:p>
    <w:p w14:paraId="76585732" w14:textId="77777777" w:rsidR="00375B9D" w:rsidRPr="00375B9D" w:rsidRDefault="00375B9D" w:rsidP="00375B9D">
      <w:pPr>
        <w:rPr>
          <w:noProof/>
          <w:lang w:eastAsia="en-AU"/>
        </w:rPr>
      </w:pPr>
      <w:r w:rsidRPr="00375B9D">
        <w:rPr>
          <w:noProof/>
          <w:lang w:eastAsia="en-AU"/>
        </w:rPr>
        <w:t>Where an employee provides services for a single employer in two or more states or territories within a given calendar month, the whole of the taxable wages is allocated to the employee’s ‘home’ state or territory, regardless of the period of time worked in each jurisdiction.</w:t>
      </w:r>
    </w:p>
    <w:p w14:paraId="3615FF11" w14:textId="77777777" w:rsidR="00375B9D" w:rsidRPr="00375B9D" w:rsidRDefault="00375B9D" w:rsidP="00375B9D">
      <w:pPr>
        <w:rPr>
          <w:noProof/>
          <w:lang w:eastAsia="en-AU"/>
        </w:rPr>
      </w:pPr>
      <w:r w:rsidRPr="00375B9D">
        <w:rPr>
          <w:noProof/>
          <w:lang w:eastAsia="en-AU"/>
        </w:rPr>
        <w:t>In most cases, the employee’s ‘home state’ will be where they normally live.</w:t>
      </w:r>
    </w:p>
    <w:p w14:paraId="04E70A38" w14:textId="77777777" w:rsidR="00375B9D" w:rsidRPr="00375B9D" w:rsidRDefault="00375B9D" w:rsidP="00375B9D">
      <w:pPr>
        <w:rPr>
          <w:noProof/>
          <w:lang w:eastAsia="en-AU"/>
        </w:rPr>
      </w:pPr>
      <w:r w:rsidRPr="00375B9D">
        <w:rPr>
          <w:noProof/>
          <w:lang w:eastAsia="en-AU"/>
        </w:rPr>
        <w:t xml:space="preserve">In unusual circumstances, such as the employee normally living overseas, the examples below provide a general summary of the circumstances when wages are subject to NT payroll tax. </w:t>
      </w:r>
    </w:p>
    <w:p w14:paraId="2E7FAE0F" w14:textId="77777777" w:rsidR="00375B9D" w:rsidRPr="00375B9D" w:rsidRDefault="00375B9D" w:rsidP="00375B9D">
      <w:pPr>
        <w:rPr>
          <w:noProof/>
          <w:lang w:eastAsia="en-AU"/>
        </w:rPr>
      </w:pPr>
      <w:r w:rsidRPr="00375B9D">
        <w:rPr>
          <w:noProof/>
          <w:lang w:eastAsia="en-AU"/>
        </w:rPr>
        <w:lastRenderedPageBreak/>
        <w:t xml:space="preserve">A flowchart at </w:t>
      </w:r>
      <w:r w:rsidRPr="00375B9D">
        <w:rPr>
          <w:noProof/>
          <w:lang w:eastAsia="en-AU"/>
        </w:rPr>
        <w:fldChar w:fldCharType="begin"/>
      </w:r>
      <w:r w:rsidRPr="00375B9D">
        <w:rPr>
          <w:noProof/>
          <w:lang w:eastAsia="en-AU"/>
        </w:rPr>
        <w:instrText xml:space="preserve"> REF Appendix1 \h  \* MERGEFORMAT </w:instrText>
      </w:r>
      <w:r w:rsidRPr="00375B9D">
        <w:rPr>
          <w:noProof/>
          <w:lang w:eastAsia="en-AU"/>
        </w:rPr>
      </w:r>
      <w:r w:rsidRPr="00375B9D">
        <w:rPr>
          <w:noProof/>
          <w:lang w:eastAsia="en-AU"/>
        </w:rPr>
        <w:fldChar w:fldCharType="separate"/>
      </w:r>
      <w:r w:rsidR="002A4C93" w:rsidRPr="00375B9D">
        <w:rPr>
          <w:noProof/>
          <w:lang w:eastAsia="en-AU"/>
        </w:rPr>
        <w:t>Appendix 1</w:t>
      </w:r>
      <w:r w:rsidRPr="00375B9D">
        <w:rPr>
          <w:noProof/>
          <w:lang w:eastAsia="en-AU"/>
        </w:rPr>
        <w:fldChar w:fldCharType="end"/>
      </w:r>
      <w:r w:rsidRPr="00375B9D">
        <w:rPr>
          <w:noProof/>
          <w:lang w:eastAsia="en-AU"/>
        </w:rPr>
        <w:t xml:space="preserve"> provides a step by step diagram to assist employers determine where and if payroll tax is payable. </w:t>
      </w:r>
    </w:p>
    <w:p w14:paraId="73453343" w14:textId="77777777" w:rsidR="00375B9D" w:rsidRPr="00375B9D" w:rsidRDefault="00375B9D" w:rsidP="00375B9D">
      <w:pPr>
        <w:rPr>
          <w:noProof/>
          <w:lang w:eastAsia="en-AU"/>
        </w:rPr>
      </w:pPr>
      <w:r w:rsidRPr="00375B9D">
        <w:rPr>
          <w:noProof/>
          <w:lang w:eastAsia="en-AU"/>
        </w:rPr>
        <w:t xml:space="preserve">More detailed information on the </w:t>
      </w:r>
      <w:r w:rsidR="0025602F">
        <w:rPr>
          <w:noProof/>
          <w:lang w:eastAsia="en-AU"/>
        </w:rPr>
        <w:t>nexus rules</w:t>
      </w:r>
      <w:r w:rsidRPr="00375B9D">
        <w:rPr>
          <w:noProof/>
          <w:lang w:eastAsia="en-AU"/>
        </w:rPr>
        <w:t xml:space="preserve"> is contained in </w:t>
      </w:r>
      <w:hyperlink r:id="rId29" w:history="1">
        <w:r w:rsidRPr="0025602F">
          <w:rPr>
            <w:rStyle w:val="Hyperlink"/>
            <w:noProof/>
            <w:lang w:eastAsia="en-AU"/>
          </w:rPr>
          <w:t xml:space="preserve">Payroll </w:t>
        </w:r>
        <w:r w:rsidR="00612867" w:rsidRPr="0025602F">
          <w:rPr>
            <w:rStyle w:val="Hyperlink"/>
            <w:noProof/>
            <w:lang w:eastAsia="en-AU"/>
          </w:rPr>
          <w:t>tax ruling</w:t>
        </w:r>
        <w:r w:rsidRPr="0025602F">
          <w:rPr>
            <w:rStyle w:val="Hyperlink"/>
            <w:noProof/>
            <w:lang w:eastAsia="en-AU"/>
          </w:rPr>
          <w:t xml:space="preserve"> PTA039</w:t>
        </w:r>
      </w:hyperlink>
      <w:r w:rsidRPr="00375B9D">
        <w:rPr>
          <w:noProof/>
          <w:lang w:eastAsia="en-AU"/>
        </w:rPr>
        <w:t xml:space="preserve">: Payroll tax nexus provisions. </w:t>
      </w:r>
    </w:p>
    <w:p w14:paraId="40CC8BEC" w14:textId="77777777" w:rsidR="00DF3586" w:rsidRPr="00375B9D" w:rsidRDefault="00375B9D" w:rsidP="00375B9D">
      <w:pPr>
        <w:rPr>
          <w:noProof/>
          <w:lang w:eastAsia="en-AU"/>
        </w:rPr>
      </w:pPr>
      <w:r w:rsidRPr="00375B9D">
        <w:rPr>
          <w:noProof/>
          <w:lang w:eastAsia="en-AU"/>
        </w:rPr>
        <w:t xml:space="preserve">Also see a broad series of examples commencing </w:t>
      </w:r>
      <w:r w:rsidRPr="00375B9D">
        <w:rPr>
          <w:noProof/>
          <w:lang w:eastAsia="en-AU"/>
        </w:rPr>
        <w:fldChar w:fldCharType="begin"/>
      </w:r>
      <w:r w:rsidRPr="00375B9D">
        <w:rPr>
          <w:noProof/>
          <w:lang w:eastAsia="en-AU"/>
        </w:rPr>
        <w:instrText xml:space="preserve"> PAGEREF ExamplesofNexusRules \p \h </w:instrText>
      </w:r>
      <w:r w:rsidRPr="00375B9D">
        <w:rPr>
          <w:noProof/>
          <w:lang w:eastAsia="en-AU"/>
        </w:rPr>
      </w:r>
      <w:r w:rsidRPr="00375B9D">
        <w:rPr>
          <w:noProof/>
          <w:lang w:eastAsia="en-AU"/>
        </w:rPr>
        <w:fldChar w:fldCharType="separate"/>
      </w:r>
      <w:r w:rsidR="002A4C93">
        <w:rPr>
          <w:noProof/>
          <w:lang w:eastAsia="en-AU"/>
        </w:rPr>
        <w:t>on page 19</w:t>
      </w:r>
      <w:r w:rsidRPr="00375B9D">
        <w:rPr>
          <w:noProof/>
          <w:lang w:eastAsia="en-AU"/>
        </w:rPr>
        <w:fldChar w:fldCharType="end"/>
      </w:r>
      <w:r w:rsidRPr="00375B9D">
        <w:rPr>
          <w:noProof/>
          <w:lang w:eastAsia="en-AU"/>
        </w:rPr>
        <w:t xml:space="preserve"> of this guide.</w:t>
      </w:r>
    </w:p>
    <w:p w14:paraId="0220BCDF" w14:textId="77777777" w:rsidR="00375B9D" w:rsidRPr="00375B9D" w:rsidRDefault="00375B9D" w:rsidP="000519B6">
      <w:pPr>
        <w:pStyle w:val="Heading3"/>
        <w:rPr>
          <w:noProof/>
          <w:lang w:eastAsia="en-AU"/>
        </w:rPr>
      </w:pPr>
      <w:r w:rsidRPr="00375B9D">
        <w:rPr>
          <w:noProof/>
          <w:lang w:eastAsia="en-AU"/>
        </w:rPr>
        <w:t>Fly-</w:t>
      </w:r>
      <w:r w:rsidR="002A6109">
        <w:rPr>
          <w:noProof/>
          <w:lang w:eastAsia="en-AU"/>
        </w:rPr>
        <w:t>i</w:t>
      </w:r>
      <w:r w:rsidRPr="00375B9D">
        <w:rPr>
          <w:noProof/>
          <w:lang w:eastAsia="en-AU"/>
        </w:rPr>
        <w:t xml:space="preserve">n </w:t>
      </w:r>
      <w:r w:rsidR="002A6109">
        <w:rPr>
          <w:noProof/>
          <w:lang w:eastAsia="en-AU"/>
        </w:rPr>
        <w:t>f</w:t>
      </w:r>
      <w:r w:rsidRPr="00375B9D">
        <w:rPr>
          <w:noProof/>
          <w:lang w:eastAsia="en-AU"/>
        </w:rPr>
        <w:t>ly-</w:t>
      </w:r>
      <w:r w:rsidR="002A6109">
        <w:rPr>
          <w:noProof/>
          <w:lang w:eastAsia="en-AU"/>
        </w:rPr>
        <w:t>o</w:t>
      </w:r>
      <w:r w:rsidRPr="00375B9D">
        <w:rPr>
          <w:noProof/>
          <w:lang w:eastAsia="en-AU"/>
        </w:rPr>
        <w:t xml:space="preserve">ut </w:t>
      </w:r>
      <w:r w:rsidR="002A6109">
        <w:rPr>
          <w:noProof/>
          <w:lang w:eastAsia="en-AU"/>
        </w:rPr>
        <w:t>w</w:t>
      </w:r>
      <w:r w:rsidRPr="00375B9D">
        <w:rPr>
          <w:noProof/>
          <w:lang w:eastAsia="en-AU"/>
        </w:rPr>
        <w:t xml:space="preserve">orkers </w:t>
      </w:r>
    </w:p>
    <w:p w14:paraId="3CFA6C36" w14:textId="77777777" w:rsidR="00375B9D" w:rsidRPr="00375B9D" w:rsidRDefault="00375B9D" w:rsidP="00375B9D">
      <w:pPr>
        <w:rPr>
          <w:noProof/>
          <w:lang w:eastAsia="en-AU"/>
        </w:rPr>
      </w:pPr>
      <w:r w:rsidRPr="00375B9D">
        <w:rPr>
          <w:noProof/>
          <w:lang w:eastAsia="en-AU"/>
        </w:rPr>
        <w:t xml:space="preserve">The allocation of payroll tax between states for fly-in fly-out (FIFO) workers follows the above </w:t>
      </w:r>
      <w:r w:rsidR="0025602F">
        <w:rPr>
          <w:noProof/>
          <w:lang w:eastAsia="en-AU"/>
        </w:rPr>
        <w:t>nexus rules</w:t>
      </w:r>
      <w:r w:rsidR="00A7303B">
        <w:rPr>
          <w:noProof/>
          <w:lang w:eastAsia="en-AU"/>
        </w:rPr>
        <w:t>:</w:t>
      </w:r>
    </w:p>
    <w:p w14:paraId="6E162C1B" w14:textId="77777777" w:rsidR="00375B9D" w:rsidRPr="00375B9D" w:rsidRDefault="00375B9D" w:rsidP="00AE756D">
      <w:pPr>
        <w:pStyle w:val="DTFBulletlist"/>
      </w:pPr>
      <w:r w:rsidRPr="00375B9D">
        <w:t xml:space="preserve">where a FIFO worker provides services for one employer in one state or territory only during any calendar month, all taxable wages for the month are subject to payroll tax in the jurisdiction where the work is carried out </w:t>
      </w:r>
    </w:p>
    <w:p w14:paraId="63A70C81" w14:textId="77777777" w:rsidR="00375B9D" w:rsidRPr="00375B9D" w:rsidRDefault="00612867" w:rsidP="00AE756D">
      <w:pPr>
        <w:pStyle w:val="DTFBulletlist"/>
      </w:pPr>
      <w:r w:rsidRPr="00375B9D">
        <w:t xml:space="preserve">but </w:t>
      </w:r>
      <w:r w:rsidR="00375B9D" w:rsidRPr="00375B9D">
        <w:t xml:space="preserve">if the FIFO worker carries out work for one employer in two or more states in a given month, all payroll tax is paid to the jurisdiction where the FIFO worker normally lives. </w:t>
      </w:r>
    </w:p>
    <w:p w14:paraId="1A97A514" w14:textId="77777777" w:rsidR="00375B9D" w:rsidRDefault="00375B9D" w:rsidP="00375B9D">
      <w:pPr>
        <w:rPr>
          <w:noProof/>
          <w:lang w:eastAsia="en-AU"/>
        </w:rPr>
      </w:pPr>
      <w:r w:rsidRPr="00375B9D">
        <w:rPr>
          <w:noProof/>
          <w:lang w:eastAsia="en-AU"/>
        </w:rPr>
        <w:t>See examples over the page.</w:t>
      </w:r>
    </w:p>
    <w:p w14:paraId="46A4BF8A" w14:textId="77777777" w:rsidR="00375B9D" w:rsidRPr="00375B9D" w:rsidRDefault="00612867" w:rsidP="000519B6">
      <w:pPr>
        <w:pStyle w:val="Heading3"/>
        <w:rPr>
          <w:noProof/>
          <w:lang w:eastAsia="en-AU"/>
        </w:rPr>
      </w:pPr>
      <w:bookmarkStart w:id="29" w:name="OverseasEmployees"/>
      <w:bookmarkEnd w:id="29"/>
      <w:r>
        <w:rPr>
          <w:noProof/>
          <w:lang w:eastAsia="en-AU"/>
        </w:rPr>
        <w:t>Overseas</w:t>
      </w:r>
      <w:r w:rsidR="00375B9D" w:rsidRPr="00375B9D">
        <w:rPr>
          <w:noProof/>
          <w:lang w:eastAsia="en-AU"/>
        </w:rPr>
        <w:t xml:space="preserve"> </w:t>
      </w:r>
      <w:r w:rsidR="00526966">
        <w:rPr>
          <w:noProof/>
          <w:lang w:eastAsia="en-AU"/>
        </w:rPr>
        <w:t>b</w:t>
      </w:r>
      <w:r>
        <w:rPr>
          <w:noProof/>
          <w:lang w:eastAsia="en-AU"/>
        </w:rPr>
        <w:t xml:space="preserve">usinesses and </w:t>
      </w:r>
      <w:r w:rsidR="00526966">
        <w:rPr>
          <w:noProof/>
          <w:lang w:eastAsia="en-AU"/>
        </w:rPr>
        <w:t>o</w:t>
      </w:r>
      <w:r w:rsidR="00375B9D" w:rsidRPr="00375B9D">
        <w:rPr>
          <w:noProof/>
          <w:lang w:eastAsia="en-AU"/>
        </w:rPr>
        <w:t xml:space="preserve">verseas </w:t>
      </w:r>
      <w:r w:rsidR="00526966">
        <w:rPr>
          <w:noProof/>
          <w:lang w:eastAsia="en-AU"/>
        </w:rPr>
        <w:t>e</w:t>
      </w:r>
      <w:r w:rsidR="00375B9D" w:rsidRPr="00375B9D">
        <w:rPr>
          <w:noProof/>
          <w:lang w:eastAsia="en-AU"/>
        </w:rPr>
        <w:t>mployees</w:t>
      </w:r>
    </w:p>
    <w:p w14:paraId="3954F1B7" w14:textId="77777777" w:rsidR="00375B9D" w:rsidRPr="00375B9D" w:rsidRDefault="00375B9D" w:rsidP="00375B9D">
      <w:pPr>
        <w:rPr>
          <w:noProof/>
          <w:lang w:eastAsia="en-AU"/>
        </w:rPr>
      </w:pPr>
      <w:r w:rsidRPr="00375B9D">
        <w:rPr>
          <w:noProof/>
          <w:lang w:eastAsia="en-AU"/>
        </w:rPr>
        <w:t>Where an employee who provides services in the NT normally lives overseas, is employed by an overseas</w:t>
      </w:r>
      <w:r w:rsidR="00612867">
        <w:rPr>
          <w:noProof/>
          <w:lang w:eastAsia="en-AU"/>
        </w:rPr>
        <w:noBreakHyphen/>
      </w:r>
      <w:r w:rsidRPr="00375B9D">
        <w:rPr>
          <w:noProof/>
          <w:lang w:eastAsia="en-AU"/>
        </w:rPr>
        <w:t>based company, and is paid by direct credit to an overseas bank account, the wages will still be taxable wages in the NT, provided the majority (that is, more than 50</w:t>
      </w:r>
      <w:r w:rsidR="00A73CE7">
        <w:rPr>
          <w:noProof/>
          <w:lang w:eastAsia="en-AU"/>
        </w:rPr>
        <w:t>%</w:t>
      </w:r>
      <w:r w:rsidRPr="00375B9D">
        <w:rPr>
          <w:noProof/>
          <w:lang w:eastAsia="en-AU"/>
        </w:rPr>
        <w:t xml:space="preserve">) of his or her Australian working time during that month was in the NT. </w:t>
      </w:r>
    </w:p>
    <w:p w14:paraId="0AC9D87E" w14:textId="77777777" w:rsidR="00375B9D" w:rsidRPr="00375B9D" w:rsidRDefault="00375B9D" w:rsidP="00375B9D">
      <w:pPr>
        <w:rPr>
          <w:noProof/>
          <w:lang w:eastAsia="en-AU"/>
        </w:rPr>
      </w:pPr>
      <w:r w:rsidRPr="00375B9D">
        <w:rPr>
          <w:noProof/>
          <w:lang w:eastAsia="en-AU"/>
        </w:rPr>
        <w:t>There is no prescribed minimum time required to be worked in Australia in any month.</w:t>
      </w:r>
    </w:p>
    <w:p w14:paraId="7C831989" w14:textId="77777777" w:rsidR="00375B9D" w:rsidRPr="00375B9D" w:rsidRDefault="00375B9D" w:rsidP="000519B6">
      <w:pPr>
        <w:pStyle w:val="Heading3"/>
        <w:rPr>
          <w:noProof/>
          <w:lang w:eastAsia="en-AU"/>
        </w:rPr>
      </w:pPr>
      <w:r w:rsidRPr="00375B9D">
        <w:rPr>
          <w:noProof/>
          <w:lang w:eastAsia="en-AU"/>
        </w:rPr>
        <w:t xml:space="preserve">Visa </w:t>
      </w:r>
      <w:r w:rsidR="00757005">
        <w:rPr>
          <w:noProof/>
          <w:lang w:eastAsia="en-AU"/>
        </w:rPr>
        <w:t>h</w:t>
      </w:r>
      <w:r w:rsidRPr="00375B9D">
        <w:rPr>
          <w:noProof/>
          <w:lang w:eastAsia="en-AU"/>
        </w:rPr>
        <w:t>olders</w:t>
      </w:r>
    </w:p>
    <w:p w14:paraId="4C778CB6" w14:textId="77777777" w:rsidR="00375B9D" w:rsidRPr="00375B9D" w:rsidRDefault="00375B9D" w:rsidP="00375B9D">
      <w:pPr>
        <w:rPr>
          <w:noProof/>
          <w:lang w:eastAsia="en-AU"/>
        </w:rPr>
      </w:pPr>
      <w:r w:rsidRPr="00375B9D">
        <w:rPr>
          <w:noProof/>
          <w:lang w:eastAsia="en-AU"/>
        </w:rPr>
        <w:t>Payments made to employees recruited from overseas to work indefinitely or fo</w:t>
      </w:r>
      <w:r w:rsidR="008775BF">
        <w:rPr>
          <w:noProof/>
          <w:lang w:eastAsia="en-AU"/>
        </w:rPr>
        <w:t xml:space="preserve">r fixed terms within Australia </w:t>
      </w:r>
      <w:r w:rsidRPr="00375B9D">
        <w:rPr>
          <w:noProof/>
          <w:lang w:eastAsia="en-AU"/>
        </w:rPr>
        <w:t xml:space="preserve">are subject to payroll tax in the same manner as an Australian resident. </w:t>
      </w:r>
    </w:p>
    <w:tbl>
      <w:tblPr>
        <w:tblStyle w:val="DTFpayrolltaxguidestyle1"/>
        <w:tblW w:w="10348" w:type="dxa"/>
        <w:tblLook w:val="04A0" w:firstRow="1" w:lastRow="0" w:firstColumn="1" w:lastColumn="0" w:noHBand="0" w:noVBand="1"/>
        <w:tblDescription w:val="For further information on the Nexus Rules, please refer to the following links:&#10;• Payroll Tax Ruling PTA039 Payroll Tax Nexus Provisions&#10;• RC-PRT-004 Payroll Tax Nexus Rules – New Arrangements&#10;"/>
      </w:tblPr>
      <w:tblGrid>
        <w:gridCol w:w="10348"/>
      </w:tblGrid>
      <w:tr w:rsidR="00375B9D" w:rsidRPr="00375B9D" w14:paraId="2FBF9ED9" w14:textId="77777777" w:rsidTr="00937629">
        <w:trPr>
          <w:trHeight w:val="311"/>
          <w:tblHeader/>
        </w:trPr>
        <w:tc>
          <w:tcPr>
            <w:tcW w:w="10348" w:type="dxa"/>
          </w:tcPr>
          <w:p w14:paraId="215E0A58" w14:textId="77777777" w:rsidR="00375B9D" w:rsidRPr="00375B9D" w:rsidRDefault="00375B9D" w:rsidP="00375B9D">
            <w:pPr>
              <w:spacing w:after="200"/>
              <w:rPr>
                <w:noProof/>
                <w:lang w:eastAsia="en-AU"/>
              </w:rPr>
            </w:pPr>
            <w:r w:rsidRPr="00375B9D">
              <w:rPr>
                <w:noProof/>
                <w:lang w:eastAsia="en-AU"/>
              </w:rPr>
              <w:t xml:space="preserve">For further information on the </w:t>
            </w:r>
            <w:r w:rsidR="0025602F">
              <w:rPr>
                <w:noProof/>
                <w:lang w:eastAsia="en-AU"/>
              </w:rPr>
              <w:t>nexus rules</w:t>
            </w:r>
            <w:r w:rsidRPr="00375B9D">
              <w:rPr>
                <w:noProof/>
                <w:lang w:eastAsia="en-AU"/>
              </w:rPr>
              <w:t xml:space="preserve">, please refer to </w:t>
            </w:r>
            <w:hyperlink r:id="rId30" w:history="1">
              <w:r w:rsidRPr="00375B9D">
                <w:rPr>
                  <w:rStyle w:val="Hyperlink"/>
                  <w:noProof/>
                  <w:lang w:eastAsia="en-AU"/>
                </w:rPr>
                <w:t xml:space="preserve">PTA039 Payroll </w:t>
              </w:r>
              <w:r w:rsidR="00612867" w:rsidRPr="00375B9D">
                <w:rPr>
                  <w:rStyle w:val="Hyperlink"/>
                  <w:noProof/>
                  <w:lang w:eastAsia="en-AU"/>
                </w:rPr>
                <w:t>tax nexus provisions</w:t>
              </w:r>
              <w:r w:rsidRPr="00375B9D">
                <w:rPr>
                  <w:rStyle w:val="Hyperlink"/>
                  <w:noProof/>
                  <w:lang w:eastAsia="en-AU"/>
                </w:rPr>
                <w:t>.</w:t>
              </w:r>
            </w:hyperlink>
          </w:p>
        </w:tc>
      </w:tr>
    </w:tbl>
    <w:p w14:paraId="653DAC3E" w14:textId="77777777" w:rsidR="000519B6" w:rsidRDefault="000519B6" w:rsidP="00375B9D">
      <w:pPr>
        <w:rPr>
          <w:noProof/>
          <w:lang w:eastAsia="en-AU"/>
        </w:rPr>
      </w:pPr>
      <w:bookmarkStart w:id="30" w:name="ExamplesofNexusRules"/>
    </w:p>
    <w:p w14:paraId="0A05B652" w14:textId="77777777" w:rsidR="00A7303B" w:rsidRDefault="00A7303B">
      <w:pPr>
        <w:rPr>
          <w:rFonts w:asciiTheme="majorHAnsi" w:hAnsiTheme="majorHAnsi" w:cs="Arial"/>
          <w:bCs/>
          <w:noProof/>
          <w:color w:val="1F1F5F" w:themeColor="text1"/>
          <w:sz w:val="28"/>
          <w:szCs w:val="28"/>
          <w:lang w:eastAsia="en-AU"/>
        </w:rPr>
      </w:pPr>
      <w:r>
        <w:rPr>
          <w:noProof/>
          <w:lang w:eastAsia="en-AU"/>
        </w:rPr>
        <w:br w:type="page"/>
      </w:r>
    </w:p>
    <w:p w14:paraId="18301B91" w14:textId="77777777" w:rsidR="00375B9D" w:rsidRPr="00375B9D" w:rsidRDefault="00375B9D" w:rsidP="000519B6">
      <w:pPr>
        <w:pStyle w:val="Heading3"/>
        <w:rPr>
          <w:noProof/>
          <w:lang w:eastAsia="en-AU"/>
        </w:rPr>
      </w:pPr>
      <w:r w:rsidRPr="00375B9D">
        <w:rPr>
          <w:noProof/>
          <w:lang w:eastAsia="en-AU"/>
        </w:rPr>
        <w:lastRenderedPageBreak/>
        <w:t xml:space="preserve">Examples of </w:t>
      </w:r>
      <w:r w:rsidR="000722F2">
        <w:rPr>
          <w:noProof/>
          <w:lang w:eastAsia="en-AU"/>
        </w:rPr>
        <w:t>a</w:t>
      </w:r>
      <w:r w:rsidRPr="00375B9D">
        <w:rPr>
          <w:noProof/>
          <w:lang w:eastAsia="en-AU"/>
        </w:rPr>
        <w:t xml:space="preserve">pplication of the </w:t>
      </w:r>
      <w:r w:rsidR="0025602F">
        <w:rPr>
          <w:noProof/>
          <w:lang w:eastAsia="en-AU"/>
        </w:rPr>
        <w:t>nexus rules</w:t>
      </w:r>
    </w:p>
    <w:tbl>
      <w:tblPr>
        <w:tblStyle w:val="DTFpayrolltaxguidestyle1"/>
        <w:tblW w:w="10348" w:type="dxa"/>
        <w:tblLook w:val="04A0" w:firstRow="1" w:lastRow="0" w:firstColumn="1" w:lastColumn="0" w:noHBand="0" w:noVBand="1"/>
        <w:tblDescription w:val="Example 1: Full-Time Employee – Works Permanently in One State"/>
      </w:tblPr>
      <w:tblGrid>
        <w:gridCol w:w="10348"/>
      </w:tblGrid>
      <w:tr w:rsidR="00375B9D" w:rsidRPr="00375B9D" w14:paraId="3F964AB1" w14:textId="77777777" w:rsidTr="00937629">
        <w:trPr>
          <w:trHeight w:val="2331"/>
          <w:tblHeader/>
        </w:trPr>
        <w:tc>
          <w:tcPr>
            <w:tcW w:w="10348" w:type="dxa"/>
          </w:tcPr>
          <w:bookmarkEnd w:id="30"/>
          <w:p w14:paraId="089E50DD" w14:textId="77777777" w:rsidR="00375B9D" w:rsidRPr="00375B9D" w:rsidRDefault="00375B9D" w:rsidP="00375B9D">
            <w:pPr>
              <w:spacing w:after="200"/>
              <w:rPr>
                <w:noProof/>
                <w:lang w:eastAsia="en-AU"/>
              </w:rPr>
            </w:pPr>
            <w:r w:rsidRPr="00375B9D">
              <w:rPr>
                <w:b/>
                <w:noProof/>
                <w:lang w:eastAsia="en-AU"/>
              </w:rPr>
              <w:t>Example 1</w:t>
            </w:r>
            <w:r w:rsidRPr="00375B9D">
              <w:rPr>
                <w:noProof/>
                <w:lang w:eastAsia="en-AU"/>
              </w:rPr>
              <w:t>: Full-</w:t>
            </w:r>
            <w:r w:rsidR="00FC0828">
              <w:rPr>
                <w:noProof/>
                <w:lang w:eastAsia="en-AU"/>
              </w:rPr>
              <w:t>t</w:t>
            </w:r>
            <w:r w:rsidRPr="00375B9D">
              <w:rPr>
                <w:noProof/>
                <w:lang w:eastAsia="en-AU"/>
              </w:rPr>
              <w:t xml:space="preserve">ime </w:t>
            </w:r>
            <w:r w:rsidR="00FC0828">
              <w:rPr>
                <w:noProof/>
                <w:lang w:eastAsia="en-AU"/>
              </w:rPr>
              <w:t>e</w:t>
            </w:r>
            <w:r w:rsidRPr="00375B9D">
              <w:rPr>
                <w:noProof/>
                <w:lang w:eastAsia="en-AU"/>
              </w:rPr>
              <w:t xml:space="preserve">mployee – </w:t>
            </w:r>
            <w:r w:rsidR="00FC0828">
              <w:rPr>
                <w:noProof/>
                <w:lang w:eastAsia="en-AU"/>
              </w:rPr>
              <w:t>w</w:t>
            </w:r>
            <w:r w:rsidRPr="00375B9D">
              <w:rPr>
                <w:noProof/>
                <w:lang w:eastAsia="en-AU"/>
              </w:rPr>
              <w:t xml:space="preserve">orks </w:t>
            </w:r>
            <w:r w:rsidR="00FC0828">
              <w:rPr>
                <w:noProof/>
                <w:lang w:eastAsia="en-AU"/>
              </w:rPr>
              <w:t>p</w:t>
            </w:r>
            <w:r w:rsidRPr="00375B9D">
              <w:rPr>
                <w:noProof/>
                <w:lang w:eastAsia="en-AU"/>
              </w:rPr>
              <w:t xml:space="preserve">ermanently in </w:t>
            </w:r>
            <w:r w:rsidR="00FC0828">
              <w:rPr>
                <w:noProof/>
                <w:lang w:eastAsia="en-AU"/>
              </w:rPr>
              <w:t>o</w:t>
            </w:r>
            <w:r w:rsidRPr="00375B9D">
              <w:rPr>
                <w:noProof/>
                <w:lang w:eastAsia="en-AU"/>
              </w:rPr>
              <w:t xml:space="preserve">ne </w:t>
            </w:r>
            <w:r w:rsidR="00FC0828">
              <w:rPr>
                <w:noProof/>
                <w:lang w:eastAsia="en-AU"/>
              </w:rPr>
              <w:t>s</w:t>
            </w:r>
            <w:r w:rsidRPr="00375B9D">
              <w:rPr>
                <w:noProof/>
                <w:lang w:eastAsia="en-AU"/>
              </w:rPr>
              <w:t>tate</w:t>
            </w:r>
          </w:p>
          <w:p w14:paraId="3C90D0D4" w14:textId="77777777" w:rsidR="00375B9D" w:rsidRPr="00375B9D" w:rsidRDefault="00375B9D" w:rsidP="00375B9D">
            <w:pPr>
              <w:spacing w:after="200"/>
              <w:rPr>
                <w:noProof/>
                <w:lang w:eastAsia="en-AU"/>
              </w:rPr>
            </w:pPr>
            <w:r w:rsidRPr="00375B9D">
              <w:rPr>
                <w:noProof/>
                <w:lang w:eastAsia="en-AU"/>
              </w:rPr>
              <w:t>John is a permanent full-time employee of the Darwin branch of ABC Pty Ltd, which has branches in all Australian states and has total wages throughout Australia of over $5 million per year. John works at all times in the Darwin branch. Wages and benefits associated with him will be taxable wages in the NT because</w:t>
            </w:r>
            <w:r w:rsidR="00A73CE7">
              <w:rPr>
                <w:noProof/>
                <w:lang w:eastAsia="en-AU"/>
              </w:rPr>
              <w:t>:</w:t>
            </w:r>
            <w:r w:rsidRPr="00375B9D">
              <w:rPr>
                <w:noProof/>
                <w:lang w:eastAsia="en-AU"/>
              </w:rPr>
              <w:t xml:space="preserve"> (a) the business pays NT wages; (b) John provides services only in the NT; and (c) ABC Pty Ltd has total Australian wages in excess of the NT tax-free threshold.</w:t>
            </w:r>
          </w:p>
          <w:p w14:paraId="1AA824BE" w14:textId="77777777" w:rsidR="00375B9D" w:rsidRPr="00375B9D" w:rsidRDefault="00375B9D" w:rsidP="00375B9D">
            <w:pPr>
              <w:spacing w:after="200"/>
              <w:rPr>
                <w:noProof/>
                <w:lang w:eastAsia="en-AU"/>
              </w:rPr>
            </w:pPr>
            <w:r w:rsidRPr="00375B9D">
              <w:rPr>
                <w:b/>
                <w:noProof/>
                <w:lang w:eastAsia="en-AU"/>
              </w:rPr>
              <w:t>Outcome</w:t>
            </w:r>
            <w:r w:rsidRPr="00375B9D">
              <w:rPr>
                <w:noProof/>
                <w:lang w:eastAsia="en-AU"/>
              </w:rPr>
              <w:t>: Wages paid to John are to be included as NT wages in each month’s payroll tax return.</w:t>
            </w:r>
          </w:p>
        </w:tc>
      </w:tr>
    </w:tbl>
    <w:p w14:paraId="03BC2E96" w14:textId="77777777" w:rsidR="00375B9D" w:rsidRPr="00375B9D" w:rsidRDefault="00375B9D" w:rsidP="00375B9D">
      <w:pPr>
        <w:rPr>
          <w:noProof/>
          <w:lang w:eastAsia="en-AU"/>
        </w:rPr>
      </w:pPr>
    </w:p>
    <w:tbl>
      <w:tblPr>
        <w:tblStyle w:val="DTFpayrolltaxguidestyle1"/>
        <w:tblW w:w="10348" w:type="dxa"/>
        <w:tblLook w:val="04A0" w:firstRow="1" w:lastRow="0" w:firstColumn="1" w:lastColumn="0" w:noHBand="0" w:noVBand="1"/>
        <w:tblDescription w:val="Example 2: Full-Time Employee Spends Part of Each Month Working for One Employer, but in 2 Different States "/>
      </w:tblPr>
      <w:tblGrid>
        <w:gridCol w:w="10348"/>
      </w:tblGrid>
      <w:tr w:rsidR="00375B9D" w:rsidRPr="00375B9D" w14:paraId="5B6D69C0" w14:textId="77777777" w:rsidTr="00937629">
        <w:trPr>
          <w:trHeight w:val="3970"/>
          <w:tblHeader/>
        </w:trPr>
        <w:tc>
          <w:tcPr>
            <w:tcW w:w="10348" w:type="dxa"/>
          </w:tcPr>
          <w:p w14:paraId="6553F281" w14:textId="77777777" w:rsidR="00375B9D" w:rsidRPr="00375B9D" w:rsidRDefault="00375B9D" w:rsidP="00375B9D">
            <w:pPr>
              <w:spacing w:after="200"/>
              <w:rPr>
                <w:noProof/>
                <w:lang w:eastAsia="en-AU"/>
              </w:rPr>
            </w:pPr>
            <w:r w:rsidRPr="00375B9D">
              <w:rPr>
                <w:b/>
                <w:noProof/>
                <w:lang w:eastAsia="en-AU"/>
              </w:rPr>
              <w:t>Example 2</w:t>
            </w:r>
            <w:r w:rsidRPr="00375B9D">
              <w:rPr>
                <w:noProof/>
                <w:lang w:eastAsia="en-AU"/>
              </w:rPr>
              <w:t>: Full-</w:t>
            </w:r>
            <w:r w:rsidR="00FC0828">
              <w:rPr>
                <w:noProof/>
                <w:lang w:eastAsia="en-AU"/>
              </w:rPr>
              <w:t>t</w:t>
            </w:r>
            <w:r w:rsidRPr="00375B9D">
              <w:rPr>
                <w:noProof/>
                <w:lang w:eastAsia="en-AU"/>
              </w:rPr>
              <w:t xml:space="preserve">ime </w:t>
            </w:r>
            <w:r w:rsidR="00FC0828">
              <w:rPr>
                <w:noProof/>
                <w:lang w:eastAsia="en-AU"/>
              </w:rPr>
              <w:t>e</w:t>
            </w:r>
            <w:r w:rsidRPr="00375B9D">
              <w:rPr>
                <w:noProof/>
                <w:lang w:eastAsia="en-AU"/>
              </w:rPr>
              <w:t xml:space="preserve">mployee </w:t>
            </w:r>
            <w:r w:rsidR="00FC0828">
              <w:rPr>
                <w:noProof/>
                <w:lang w:eastAsia="en-AU"/>
              </w:rPr>
              <w:t>s</w:t>
            </w:r>
            <w:r w:rsidRPr="00375B9D">
              <w:rPr>
                <w:noProof/>
                <w:lang w:eastAsia="en-AU"/>
              </w:rPr>
              <w:t xml:space="preserve">pends </w:t>
            </w:r>
            <w:r w:rsidR="00FC0828">
              <w:rPr>
                <w:noProof/>
                <w:lang w:eastAsia="en-AU"/>
              </w:rPr>
              <w:t>p</w:t>
            </w:r>
            <w:r w:rsidRPr="00375B9D">
              <w:rPr>
                <w:noProof/>
                <w:lang w:eastAsia="en-AU"/>
              </w:rPr>
              <w:t xml:space="preserve">art of </w:t>
            </w:r>
            <w:r w:rsidR="00FC0828">
              <w:rPr>
                <w:noProof/>
                <w:lang w:eastAsia="en-AU"/>
              </w:rPr>
              <w:t>e</w:t>
            </w:r>
            <w:r w:rsidRPr="00375B9D">
              <w:rPr>
                <w:noProof/>
                <w:lang w:eastAsia="en-AU"/>
              </w:rPr>
              <w:t xml:space="preserve">ach </w:t>
            </w:r>
            <w:r w:rsidR="00FC0828">
              <w:rPr>
                <w:noProof/>
                <w:lang w:eastAsia="en-AU"/>
              </w:rPr>
              <w:t>m</w:t>
            </w:r>
            <w:r w:rsidRPr="00375B9D">
              <w:rPr>
                <w:noProof/>
                <w:lang w:eastAsia="en-AU"/>
              </w:rPr>
              <w:t xml:space="preserve">onth </w:t>
            </w:r>
            <w:r w:rsidR="00FC0828">
              <w:rPr>
                <w:noProof/>
                <w:lang w:eastAsia="en-AU"/>
              </w:rPr>
              <w:t>w</w:t>
            </w:r>
            <w:r w:rsidRPr="00375B9D">
              <w:rPr>
                <w:noProof/>
                <w:lang w:eastAsia="en-AU"/>
              </w:rPr>
              <w:t xml:space="preserve">orking for </w:t>
            </w:r>
            <w:r w:rsidR="00FC0828">
              <w:rPr>
                <w:noProof/>
                <w:lang w:eastAsia="en-AU"/>
              </w:rPr>
              <w:t>o</w:t>
            </w:r>
            <w:r w:rsidRPr="00375B9D">
              <w:rPr>
                <w:noProof/>
                <w:lang w:eastAsia="en-AU"/>
              </w:rPr>
              <w:t xml:space="preserve">ne </w:t>
            </w:r>
            <w:r w:rsidR="00FC0828">
              <w:rPr>
                <w:noProof/>
                <w:lang w:eastAsia="en-AU"/>
              </w:rPr>
              <w:t>e</w:t>
            </w:r>
            <w:r w:rsidRPr="00375B9D">
              <w:rPr>
                <w:noProof/>
                <w:lang w:eastAsia="en-AU"/>
              </w:rPr>
              <w:t xml:space="preserve">mployer, but in </w:t>
            </w:r>
            <w:r w:rsidR="00FC0828">
              <w:rPr>
                <w:noProof/>
                <w:lang w:eastAsia="en-AU"/>
              </w:rPr>
              <w:t>t</w:t>
            </w:r>
            <w:r w:rsidRPr="00375B9D">
              <w:rPr>
                <w:noProof/>
                <w:lang w:eastAsia="en-AU"/>
              </w:rPr>
              <w:t xml:space="preserve">wo </w:t>
            </w:r>
            <w:r w:rsidR="00FC0828">
              <w:rPr>
                <w:noProof/>
                <w:lang w:eastAsia="en-AU"/>
              </w:rPr>
              <w:t>d</w:t>
            </w:r>
            <w:r w:rsidRPr="00375B9D">
              <w:rPr>
                <w:noProof/>
                <w:lang w:eastAsia="en-AU"/>
              </w:rPr>
              <w:t xml:space="preserve">ifferent </w:t>
            </w:r>
            <w:r w:rsidR="00FC0828">
              <w:rPr>
                <w:noProof/>
                <w:lang w:eastAsia="en-AU"/>
              </w:rPr>
              <w:t>s</w:t>
            </w:r>
            <w:r w:rsidRPr="00375B9D">
              <w:rPr>
                <w:noProof/>
                <w:lang w:eastAsia="en-AU"/>
              </w:rPr>
              <w:t xml:space="preserve">tates </w:t>
            </w:r>
          </w:p>
          <w:p w14:paraId="608B19AD" w14:textId="77777777" w:rsidR="00375B9D" w:rsidRPr="00375B9D" w:rsidRDefault="00375B9D" w:rsidP="00375B9D">
            <w:pPr>
              <w:spacing w:after="200"/>
              <w:rPr>
                <w:noProof/>
                <w:lang w:eastAsia="en-AU"/>
              </w:rPr>
            </w:pPr>
            <w:r w:rsidRPr="00375B9D">
              <w:rPr>
                <w:noProof/>
                <w:lang w:eastAsia="en-AU"/>
              </w:rPr>
              <w:t>Margaret is promoted to a full-time supervisory role with ABC Pty Ltd. In this role she spends Monday and Tuesday morning working in the Alice Springs branch, flies to Adelaide, South Australia (SA) on Tuesday afternoon, works in the Adelaide branch on Wednesday, Thursday and Friday, and flies home to her house in Alice Springs for the weekend on Friday night. In other words, about 60% of Margaret’s working week is spent in Adelaide.</w:t>
            </w:r>
          </w:p>
          <w:p w14:paraId="5364E161" w14:textId="77777777" w:rsidR="00375B9D" w:rsidRPr="00375B9D" w:rsidRDefault="00375B9D" w:rsidP="00375B9D">
            <w:pPr>
              <w:spacing w:after="200"/>
              <w:rPr>
                <w:noProof/>
                <w:lang w:eastAsia="en-AU"/>
              </w:rPr>
            </w:pPr>
            <w:r w:rsidRPr="00375B9D">
              <w:rPr>
                <w:noProof/>
                <w:lang w:eastAsia="en-AU"/>
              </w:rPr>
              <w:t xml:space="preserve">However, under the </w:t>
            </w:r>
            <w:r w:rsidR="0025602F">
              <w:rPr>
                <w:noProof/>
                <w:lang w:eastAsia="en-AU"/>
              </w:rPr>
              <w:t>nexus rules</w:t>
            </w:r>
            <w:r w:rsidRPr="00375B9D">
              <w:rPr>
                <w:noProof/>
                <w:lang w:eastAsia="en-AU"/>
              </w:rPr>
              <w:t>, where an employee works for one employer in two or more states in a single calendar month, the whole of the wages payable will be taxable wages in the state in which the employee has his or her principal place of residence,</w:t>
            </w:r>
            <w:r w:rsidR="00040599">
              <w:rPr>
                <w:noProof/>
                <w:lang w:eastAsia="en-AU"/>
              </w:rPr>
              <w:t xml:space="preserve"> </w:t>
            </w:r>
            <w:r w:rsidRPr="00375B9D">
              <w:rPr>
                <w:noProof/>
                <w:lang w:eastAsia="en-AU"/>
              </w:rPr>
              <w:t>regardless of how much time is spent in each state. Therefore, all wages payable to Margaret are taxable wages in the NT.</w:t>
            </w:r>
          </w:p>
          <w:p w14:paraId="602736C7" w14:textId="77777777" w:rsidR="00375B9D" w:rsidRPr="00375B9D" w:rsidRDefault="00375B9D" w:rsidP="00375B9D">
            <w:pPr>
              <w:spacing w:after="200"/>
              <w:rPr>
                <w:noProof/>
                <w:lang w:eastAsia="en-AU"/>
              </w:rPr>
            </w:pPr>
            <w:r w:rsidRPr="00375B9D">
              <w:rPr>
                <w:b/>
                <w:noProof/>
                <w:lang w:eastAsia="en-AU"/>
              </w:rPr>
              <w:t>Outcome</w:t>
            </w:r>
            <w:r w:rsidRPr="00375B9D">
              <w:rPr>
                <w:noProof/>
                <w:lang w:eastAsia="en-AU"/>
              </w:rPr>
              <w:t>: All wages paid to Margaret are declared as taxable wages in the NT payroll tax return.</w:t>
            </w:r>
          </w:p>
        </w:tc>
      </w:tr>
    </w:tbl>
    <w:p w14:paraId="0F7ED574" w14:textId="77777777" w:rsidR="00112E55" w:rsidRPr="00375B9D" w:rsidRDefault="00112E55" w:rsidP="00375B9D">
      <w:pPr>
        <w:rPr>
          <w:noProof/>
          <w:lang w:eastAsia="en-AU"/>
        </w:rPr>
      </w:pPr>
    </w:p>
    <w:tbl>
      <w:tblPr>
        <w:tblStyle w:val="DTFpayrolltaxguidestyle1"/>
        <w:tblW w:w="10348" w:type="dxa"/>
        <w:tblLook w:val="04A0" w:firstRow="1" w:lastRow="0" w:firstColumn="1" w:lastColumn="0" w:noHBand="0" w:noVBand="1"/>
        <w:tblDescription w:val="Example 3: Full-Time Employee Spends a Whole Calendar Month Working Outside the State Where She Normally Lives"/>
      </w:tblPr>
      <w:tblGrid>
        <w:gridCol w:w="10348"/>
      </w:tblGrid>
      <w:tr w:rsidR="00375B9D" w:rsidRPr="00375B9D" w14:paraId="6599A6BF" w14:textId="77777777" w:rsidTr="00937629">
        <w:trPr>
          <w:trHeight w:val="3342"/>
          <w:tblHeader/>
        </w:trPr>
        <w:tc>
          <w:tcPr>
            <w:tcW w:w="10348" w:type="dxa"/>
          </w:tcPr>
          <w:p w14:paraId="0FCF696F" w14:textId="77777777" w:rsidR="00375B9D" w:rsidRPr="00375B9D" w:rsidRDefault="00375B9D" w:rsidP="00375B9D">
            <w:pPr>
              <w:spacing w:after="200"/>
              <w:rPr>
                <w:noProof/>
                <w:lang w:eastAsia="en-AU"/>
              </w:rPr>
            </w:pPr>
            <w:r w:rsidRPr="00375B9D">
              <w:rPr>
                <w:b/>
                <w:noProof/>
                <w:lang w:eastAsia="en-AU"/>
              </w:rPr>
              <w:t>Example 3</w:t>
            </w:r>
            <w:r w:rsidRPr="00375B9D">
              <w:rPr>
                <w:noProof/>
                <w:lang w:eastAsia="en-AU"/>
              </w:rPr>
              <w:t>: Full-</w:t>
            </w:r>
            <w:r w:rsidR="00FC0828">
              <w:rPr>
                <w:noProof/>
                <w:lang w:eastAsia="en-AU"/>
              </w:rPr>
              <w:t>t</w:t>
            </w:r>
            <w:r w:rsidRPr="00375B9D">
              <w:rPr>
                <w:noProof/>
                <w:lang w:eastAsia="en-AU"/>
              </w:rPr>
              <w:t xml:space="preserve">ime </w:t>
            </w:r>
            <w:r w:rsidR="00FC0828">
              <w:rPr>
                <w:noProof/>
                <w:lang w:eastAsia="en-AU"/>
              </w:rPr>
              <w:t>e</w:t>
            </w:r>
            <w:r w:rsidRPr="00375B9D">
              <w:rPr>
                <w:noProof/>
                <w:lang w:eastAsia="en-AU"/>
              </w:rPr>
              <w:t xml:space="preserve">mployee </w:t>
            </w:r>
            <w:r w:rsidR="00FC0828">
              <w:rPr>
                <w:noProof/>
                <w:lang w:eastAsia="en-AU"/>
              </w:rPr>
              <w:t>s</w:t>
            </w:r>
            <w:r w:rsidRPr="00375B9D">
              <w:rPr>
                <w:noProof/>
                <w:lang w:eastAsia="en-AU"/>
              </w:rPr>
              <w:t xml:space="preserve">pends a </w:t>
            </w:r>
            <w:r w:rsidR="00FC0828">
              <w:rPr>
                <w:noProof/>
                <w:lang w:eastAsia="en-AU"/>
              </w:rPr>
              <w:t>w</w:t>
            </w:r>
            <w:r w:rsidRPr="00375B9D">
              <w:rPr>
                <w:noProof/>
                <w:lang w:eastAsia="en-AU"/>
              </w:rPr>
              <w:t xml:space="preserve">hole </w:t>
            </w:r>
            <w:r w:rsidR="00FC0828">
              <w:rPr>
                <w:noProof/>
                <w:lang w:eastAsia="en-AU"/>
              </w:rPr>
              <w:t>c</w:t>
            </w:r>
            <w:r w:rsidRPr="00375B9D">
              <w:rPr>
                <w:noProof/>
                <w:lang w:eastAsia="en-AU"/>
              </w:rPr>
              <w:t xml:space="preserve">alendar </w:t>
            </w:r>
            <w:r w:rsidR="00FC0828">
              <w:rPr>
                <w:noProof/>
                <w:lang w:eastAsia="en-AU"/>
              </w:rPr>
              <w:t>m</w:t>
            </w:r>
            <w:r w:rsidRPr="00375B9D">
              <w:rPr>
                <w:noProof/>
                <w:lang w:eastAsia="en-AU"/>
              </w:rPr>
              <w:t xml:space="preserve">onth </w:t>
            </w:r>
            <w:r w:rsidR="00FC0828">
              <w:rPr>
                <w:noProof/>
                <w:lang w:eastAsia="en-AU"/>
              </w:rPr>
              <w:t>w</w:t>
            </w:r>
            <w:r w:rsidRPr="00375B9D">
              <w:rPr>
                <w:noProof/>
                <w:lang w:eastAsia="en-AU"/>
              </w:rPr>
              <w:t xml:space="preserve">orking </w:t>
            </w:r>
            <w:r w:rsidR="00FC0828">
              <w:rPr>
                <w:noProof/>
                <w:lang w:eastAsia="en-AU"/>
              </w:rPr>
              <w:t>o</w:t>
            </w:r>
            <w:r w:rsidRPr="00375B9D">
              <w:rPr>
                <w:noProof/>
                <w:lang w:eastAsia="en-AU"/>
              </w:rPr>
              <w:t xml:space="preserve">utside the </w:t>
            </w:r>
            <w:r w:rsidR="00FC0828">
              <w:rPr>
                <w:noProof/>
                <w:lang w:eastAsia="en-AU"/>
              </w:rPr>
              <w:t>s</w:t>
            </w:r>
            <w:r w:rsidRPr="00375B9D">
              <w:rPr>
                <w:noProof/>
                <w:lang w:eastAsia="en-AU"/>
              </w:rPr>
              <w:t xml:space="preserve">tate </w:t>
            </w:r>
            <w:r w:rsidR="00FC0828">
              <w:rPr>
                <w:noProof/>
                <w:lang w:eastAsia="en-AU"/>
              </w:rPr>
              <w:t>w</w:t>
            </w:r>
            <w:r w:rsidRPr="00375B9D">
              <w:rPr>
                <w:noProof/>
                <w:lang w:eastAsia="en-AU"/>
              </w:rPr>
              <w:t xml:space="preserve">here </w:t>
            </w:r>
            <w:r w:rsidR="00FC0828">
              <w:rPr>
                <w:noProof/>
                <w:lang w:eastAsia="en-AU"/>
              </w:rPr>
              <w:t>s</w:t>
            </w:r>
            <w:r w:rsidRPr="00375B9D">
              <w:rPr>
                <w:noProof/>
                <w:lang w:eastAsia="en-AU"/>
              </w:rPr>
              <w:t xml:space="preserve">he </w:t>
            </w:r>
            <w:r w:rsidR="00FC0828">
              <w:rPr>
                <w:noProof/>
                <w:lang w:eastAsia="en-AU"/>
              </w:rPr>
              <w:t>n</w:t>
            </w:r>
            <w:r w:rsidRPr="00375B9D">
              <w:rPr>
                <w:noProof/>
                <w:lang w:eastAsia="en-AU"/>
              </w:rPr>
              <w:t xml:space="preserve">ormally </w:t>
            </w:r>
            <w:r w:rsidR="00FC0828">
              <w:rPr>
                <w:noProof/>
                <w:lang w:eastAsia="en-AU"/>
              </w:rPr>
              <w:t>l</w:t>
            </w:r>
            <w:r w:rsidRPr="00375B9D">
              <w:rPr>
                <w:noProof/>
                <w:lang w:eastAsia="en-AU"/>
              </w:rPr>
              <w:t>ives</w:t>
            </w:r>
          </w:p>
          <w:p w14:paraId="230C73D5" w14:textId="77777777" w:rsidR="00375B9D" w:rsidRPr="00375B9D" w:rsidRDefault="00375B9D" w:rsidP="00375B9D">
            <w:pPr>
              <w:spacing w:after="200"/>
              <w:rPr>
                <w:noProof/>
                <w:lang w:eastAsia="en-AU"/>
              </w:rPr>
            </w:pPr>
            <w:r w:rsidRPr="00375B9D">
              <w:rPr>
                <w:noProof/>
                <w:lang w:eastAsia="en-AU"/>
              </w:rPr>
              <w:t>Due to issues in the Adelaide branch, Margaret is required to work five days per week in Adelaide for the months of August, September and October 20</w:t>
            </w:r>
            <w:r w:rsidR="00D66D12">
              <w:rPr>
                <w:noProof/>
                <w:lang w:eastAsia="en-AU"/>
              </w:rPr>
              <w:t>21</w:t>
            </w:r>
            <w:r w:rsidRPr="00375B9D">
              <w:rPr>
                <w:noProof/>
                <w:lang w:eastAsia="en-AU"/>
              </w:rPr>
              <w:t>, flying down each Sunday night and returning to her home in Alice Springs each Friday night for a two-day break. During this period, 100% of Margaret’s working week is spent in SA.</w:t>
            </w:r>
          </w:p>
          <w:p w14:paraId="2FC4882C" w14:textId="77777777" w:rsidR="00375B9D" w:rsidRPr="00375B9D" w:rsidRDefault="00375B9D" w:rsidP="00375B9D">
            <w:pPr>
              <w:spacing w:after="200"/>
              <w:rPr>
                <w:noProof/>
                <w:lang w:eastAsia="en-AU"/>
              </w:rPr>
            </w:pPr>
            <w:r w:rsidRPr="00375B9D">
              <w:rPr>
                <w:noProof/>
                <w:lang w:eastAsia="en-AU"/>
              </w:rPr>
              <w:t>As Margaret only provides services in SA during that three</w:t>
            </w:r>
            <w:r w:rsidRPr="00375B9D">
              <w:rPr>
                <w:noProof/>
                <w:lang w:eastAsia="en-AU"/>
              </w:rPr>
              <w:noBreakHyphen/>
              <w:t>month period, all taxable wages, and therefore payroll tax, is allocated to SA. The fact that Margaret’s principal place of residence is in the NT is over-ridden by the fact that all services have been provided in another state.</w:t>
            </w:r>
          </w:p>
          <w:p w14:paraId="21A8D900" w14:textId="77777777" w:rsidR="00375B9D" w:rsidRPr="00375B9D" w:rsidRDefault="00375B9D" w:rsidP="00375B9D">
            <w:pPr>
              <w:spacing w:after="200"/>
              <w:rPr>
                <w:noProof/>
                <w:lang w:eastAsia="en-AU"/>
              </w:rPr>
            </w:pPr>
            <w:r w:rsidRPr="00375B9D">
              <w:rPr>
                <w:b/>
                <w:noProof/>
                <w:lang w:eastAsia="en-AU"/>
              </w:rPr>
              <w:t>Outcome</w:t>
            </w:r>
            <w:r w:rsidRPr="00375B9D">
              <w:rPr>
                <w:noProof/>
                <w:lang w:eastAsia="en-AU"/>
              </w:rPr>
              <w:t>: All wages paid to Margaret are declared as taxable wages in the SA payroll tax return.</w:t>
            </w:r>
          </w:p>
        </w:tc>
      </w:tr>
    </w:tbl>
    <w:p w14:paraId="529ECDBE" w14:textId="77777777" w:rsidR="00375B9D" w:rsidRPr="00375B9D" w:rsidRDefault="00375B9D" w:rsidP="00375B9D">
      <w:pPr>
        <w:rPr>
          <w:noProof/>
          <w:lang w:eastAsia="en-AU"/>
        </w:rPr>
      </w:pPr>
    </w:p>
    <w:tbl>
      <w:tblPr>
        <w:tblStyle w:val="DTFpayrolltaxguidestyle1"/>
        <w:tblW w:w="10348" w:type="dxa"/>
        <w:tblLook w:val="04A0" w:firstRow="1" w:lastRow="0" w:firstColumn="1" w:lastColumn="0" w:noHBand="0" w:noVBand="1"/>
        <w:tblDescription w:val="Example 3: Full-Time Employee Spends a Whole Calendar Month Working Outside the State Where She Normally Lives"/>
      </w:tblPr>
      <w:tblGrid>
        <w:gridCol w:w="10348"/>
      </w:tblGrid>
      <w:tr w:rsidR="00375B9D" w:rsidRPr="00375B9D" w14:paraId="7E668F34" w14:textId="77777777" w:rsidTr="005619AF">
        <w:trPr>
          <w:trHeight w:val="6409"/>
          <w:tblHeader/>
        </w:trPr>
        <w:tc>
          <w:tcPr>
            <w:tcW w:w="10348" w:type="dxa"/>
          </w:tcPr>
          <w:p w14:paraId="3147E27E" w14:textId="77777777" w:rsidR="00375B9D" w:rsidRPr="00375B9D" w:rsidRDefault="00375B9D" w:rsidP="00375B9D">
            <w:pPr>
              <w:spacing w:after="200"/>
              <w:rPr>
                <w:noProof/>
                <w:lang w:eastAsia="en-AU"/>
              </w:rPr>
            </w:pPr>
            <w:r w:rsidRPr="00375B9D">
              <w:rPr>
                <w:b/>
                <w:noProof/>
                <w:lang w:eastAsia="en-AU"/>
              </w:rPr>
              <w:lastRenderedPageBreak/>
              <w:t>Example 4</w:t>
            </w:r>
            <w:r w:rsidRPr="00375B9D">
              <w:rPr>
                <w:noProof/>
                <w:lang w:eastAsia="en-AU"/>
              </w:rPr>
              <w:t xml:space="preserve">: Employees </w:t>
            </w:r>
            <w:r w:rsidR="00BD68B9">
              <w:rPr>
                <w:noProof/>
                <w:lang w:eastAsia="en-AU"/>
              </w:rPr>
              <w:t>t</w:t>
            </w:r>
            <w:r w:rsidRPr="00375B9D">
              <w:rPr>
                <w:noProof/>
                <w:lang w:eastAsia="en-AU"/>
              </w:rPr>
              <w:t xml:space="preserve">emporarily </w:t>
            </w:r>
            <w:r w:rsidR="00BD68B9">
              <w:rPr>
                <w:noProof/>
                <w:lang w:eastAsia="en-AU"/>
              </w:rPr>
              <w:t>r</w:t>
            </w:r>
            <w:r w:rsidRPr="00375B9D">
              <w:rPr>
                <w:noProof/>
                <w:lang w:eastAsia="en-AU"/>
              </w:rPr>
              <w:t xml:space="preserve">elocated to </w:t>
            </w:r>
            <w:r w:rsidR="00BD68B9">
              <w:rPr>
                <w:noProof/>
                <w:lang w:eastAsia="en-AU"/>
              </w:rPr>
              <w:t>a</w:t>
            </w:r>
            <w:r w:rsidRPr="00375B9D">
              <w:rPr>
                <w:noProof/>
                <w:lang w:eastAsia="en-AU"/>
              </w:rPr>
              <w:t xml:space="preserve">nother </w:t>
            </w:r>
            <w:r w:rsidR="00BD68B9">
              <w:rPr>
                <w:noProof/>
                <w:lang w:eastAsia="en-AU"/>
              </w:rPr>
              <w:t>s</w:t>
            </w:r>
            <w:r w:rsidRPr="00375B9D">
              <w:rPr>
                <w:noProof/>
                <w:lang w:eastAsia="en-AU"/>
              </w:rPr>
              <w:t>tate</w:t>
            </w:r>
          </w:p>
          <w:p w14:paraId="2DC8C7E7" w14:textId="77777777" w:rsidR="00375B9D" w:rsidRPr="00375B9D" w:rsidRDefault="00375B9D" w:rsidP="00375B9D">
            <w:pPr>
              <w:spacing w:after="200"/>
              <w:rPr>
                <w:noProof/>
                <w:lang w:eastAsia="en-AU"/>
              </w:rPr>
            </w:pPr>
            <w:r w:rsidRPr="00375B9D">
              <w:rPr>
                <w:noProof/>
                <w:lang w:eastAsia="en-AU"/>
              </w:rPr>
              <w:t>SA Mining Services Pty Ltd is based in Adelaide, SA. All its permanent employees normally live and work in Adelaide (that is, their payroll tax ‘home’ state is SA). SA Mining Services Pty Ltd has no permanent employees in the NT. The company enters into a contract to provide services to an NT-based business over approximately eight weeks.</w:t>
            </w:r>
          </w:p>
          <w:p w14:paraId="0AA9B161" w14:textId="77777777" w:rsidR="00375B9D" w:rsidRPr="00375B9D" w:rsidRDefault="00375B9D" w:rsidP="00375B9D">
            <w:pPr>
              <w:spacing w:after="200"/>
              <w:rPr>
                <w:noProof/>
                <w:lang w:eastAsia="en-AU"/>
              </w:rPr>
            </w:pPr>
            <w:r w:rsidRPr="00375B9D">
              <w:rPr>
                <w:noProof/>
                <w:lang w:eastAsia="en-AU"/>
              </w:rPr>
              <w:t>Three of its Adelaide-based employees work in the NT from 17 June 20</w:t>
            </w:r>
            <w:r w:rsidR="00D66D12">
              <w:rPr>
                <w:noProof/>
                <w:lang w:eastAsia="en-AU"/>
              </w:rPr>
              <w:t>22</w:t>
            </w:r>
            <w:r w:rsidRPr="00375B9D">
              <w:rPr>
                <w:noProof/>
                <w:lang w:eastAsia="en-AU"/>
              </w:rPr>
              <w:t xml:space="preserve"> to 14 August 20</w:t>
            </w:r>
            <w:r w:rsidR="00D66D12">
              <w:rPr>
                <w:noProof/>
                <w:lang w:eastAsia="en-AU"/>
              </w:rPr>
              <w:t>22</w:t>
            </w:r>
            <w:r w:rsidRPr="00375B9D">
              <w:rPr>
                <w:noProof/>
                <w:lang w:eastAsia="en-AU"/>
              </w:rPr>
              <w:t>. They continue to work in Adelaide for the first half of June 20</w:t>
            </w:r>
            <w:r w:rsidR="00D66D12">
              <w:rPr>
                <w:noProof/>
                <w:lang w:eastAsia="en-AU"/>
              </w:rPr>
              <w:t>22</w:t>
            </w:r>
            <w:r w:rsidRPr="00375B9D">
              <w:rPr>
                <w:noProof/>
                <w:lang w:eastAsia="en-AU"/>
              </w:rPr>
              <w:t xml:space="preserve"> and the second half of August 20</w:t>
            </w:r>
            <w:r w:rsidR="00D66D12">
              <w:rPr>
                <w:noProof/>
                <w:lang w:eastAsia="en-AU"/>
              </w:rPr>
              <w:t>22</w:t>
            </w:r>
            <w:r w:rsidRPr="00375B9D">
              <w:rPr>
                <w:noProof/>
                <w:lang w:eastAsia="en-AU"/>
              </w:rPr>
              <w:t>. The taxable wages paid over this period would be allocated as follows:</w:t>
            </w:r>
          </w:p>
          <w:p w14:paraId="2B067C27" w14:textId="77777777" w:rsidR="00375B9D" w:rsidRPr="00375B9D" w:rsidRDefault="00375B9D" w:rsidP="00822821">
            <w:pPr>
              <w:tabs>
                <w:tab w:val="left" w:pos="5670"/>
              </w:tabs>
              <w:spacing w:after="200"/>
              <w:rPr>
                <w:noProof/>
                <w:lang w:eastAsia="en-AU"/>
              </w:rPr>
            </w:pPr>
            <w:r w:rsidRPr="00375B9D">
              <w:rPr>
                <w:noProof/>
                <w:lang w:eastAsia="en-AU"/>
              </w:rPr>
              <w:t xml:space="preserve">1 June </w:t>
            </w:r>
            <w:r w:rsidR="004267E5">
              <w:rPr>
                <w:noProof/>
                <w:lang w:eastAsia="en-AU"/>
              </w:rPr>
              <w:t>2022</w:t>
            </w:r>
            <w:r w:rsidRPr="00375B9D">
              <w:rPr>
                <w:noProof/>
                <w:lang w:eastAsia="en-AU"/>
              </w:rPr>
              <w:t xml:space="preserve"> to 16 June </w:t>
            </w:r>
            <w:r w:rsidR="004267E5">
              <w:rPr>
                <w:noProof/>
                <w:lang w:eastAsia="en-AU"/>
              </w:rPr>
              <w:t>2022</w:t>
            </w:r>
            <w:r w:rsidRPr="00375B9D">
              <w:rPr>
                <w:noProof/>
                <w:lang w:eastAsia="en-AU"/>
              </w:rPr>
              <w:t>: (working in SA)</w:t>
            </w:r>
            <w:r w:rsidRPr="00375B9D">
              <w:rPr>
                <w:noProof/>
                <w:lang w:eastAsia="en-AU"/>
              </w:rPr>
              <w:tab/>
              <w:t>SA wages</w:t>
            </w:r>
          </w:p>
          <w:p w14:paraId="32D5BA90" w14:textId="77777777" w:rsidR="00375B9D" w:rsidRPr="00375B9D" w:rsidRDefault="00375B9D" w:rsidP="00822821">
            <w:pPr>
              <w:tabs>
                <w:tab w:val="left" w:pos="5670"/>
              </w:tabs>
              <w:spacing w:after="200"/>
              <w:rPr>
                <w:noProof/>
                <w:lang w:eastAsia="en-AU"/>
              </w:rPr>
            </w:pPr>
            <w:r w:rsidRPr="00375B9D">
              <w:rPr>
                <w:noProof/>
                <w:lang w:eastAsia="en-AU"/>
              </w:rPr>
              <w:t xml:space="preserve">17 June </w:t>
            </w:r>
            <w:r w:rsidR="004267E5">
              <w:rPr>
                <w:noProof/>
                <w:lang w:eastAsia="en-AU"/>
              </w:rPr>
              <w:t>2022</w:t>
            </w:r>
            <w:r w:rsidRPr="00375B9D">
              <w:rPr>
                <w:noProof/>
                <w:lang w:eastAsia="en-AU"/>
              </w:rPr>
              <w:t xml:space="preserve"> to 30 June </w:t>
            </w:r>
            <w:r w:rsidR="004267E5">
              <w:rPr>
                <w:noProof/>
                <w:lang w:eastAsia="en-AU"/>
              </w:rPr>
              <w:t>2022</w:t>
            </w:r>
            <w:r w:rsidRPr="00375B9D">
              <w:rPr>
                <w:noProof/>
                <w:lang w:eastAsia="en-AU"/>
              </w:rPr>
              <w:t>: (working in the NT)</w:t>
            </w:r>
            <w:r w:rsidRPr="00375B9D">
              <w:rPr>
                <w:noProof/>
                <w:lang w:eastAsia="en-AU"/>
              </w:rPr>
              <w:tab/>
              <w:t>SA wages</w:t>
            </w:r>
          </w:p>
          <w:p w14:paraId="4C62EA59" w14:textId="77777777" w:rsidR="00375B9D" w:rsidRPr="00375B9D" w:rsidRDefault="00375B9D" w:rsidP="00822821">
            <w:pPr>
              <w:tabs>
                <w:tab w:val="left" w:pos="5670"/>
              </w:tabs>
              <w:spacing w:after="200"/>
              <w:rPr>
                <w:noProof/>
                <w:lang w:eastAsia="en-AU"/>
              </w:rPr>
            </w:pPr>
            <w:r w:rsidRPr="00375B9D">
              <w:rPr>
                <w:noProof/>
                <w:lang w:eastAsia="en-AU"/>
              </w:rPr>
              <w:t xml:space="preserve">1 July </w:t>
            </w:r>
            <w:r w:rsidR="004267E5">
              <w:rPr>
                <w:noProof/>
                <w:lang w:eastAsia="en-AU"/>
              </w:rPr>
              <w:t>2022</w:t>
            </w:r>
            <w:r w:rsidRPr="00375B9D">
              <w:rPr>
                <w:noProof/>
                <w:lang w:eastAsia="en-AU"/>
              </w:rPr>
              <w:t xml:space="preserve"> to 31 July </w:t>
            </w:r>
            <w:r w:rsidR="004267E5">
              <w:rPr>
                <w:noProof/>
                <w:lang w:eastAsia="en-AU"/>
              </w:rPr>
              <w:t>2022</w:t>
            </w:r>
            <w:r w:rsidRPr="00375B9D">
              <w:rPr>
                <w:noProof/>
                <w:lang w:eastAsia="en-AU"/>
              </w:rPr>
              <w:t>: (working in the NT)</w:t>
            </w:r>
            <w:r w:rsidRPr="00375B9D">
              <w:rPr>
                <w:noProof/>
                <w:lang w:eastAsia="en-AU"/>
              </w:rPr>
              <w:tab/>
              <w:t>NT wages</w:t>
            </w:r>
          </w:p>
          <w:p w14:paraId="09C52F7A" w14:textId="77777777" w:rsidR="00375B9D" w:rsidRPr="00375B9D" w:rsidRDefault="00375B9D" w:rsidP="00822821">
            <w:pPr>
              <w:tabs>
                <w:tab w:val="left" w:pos="5670"/>
              </w:tabs>
              <w:spacing w:after="200"/>
              <w:rPr>
                <w:noProof/>
                <w:lang w:eastAsia="en-AU"/>
              </w:rPr>
            </w:pPr>
            <w:r w:rsidRPr="00375B9D">
              <w:rPr>
                <w:noProof/>
                <w:lang w:eastAsia="en-AU"/>
              </w:rPr>
              <w:t xml:space="preserve">1 August </w:t>
            </w:r>
            <w:r w:rsidR="004267E5">
              <w:rPr>
                <w:noProof/>
                <w:lang w:eastAsia="en-AU"/>
              </w:rPr>
              <w:t>2022</w:t>
            </w:r>
            <w:r w:rsidRPr="00375B9D">
              <w:rPr>
                <w:noProof/>
                <w:lang w:eastAsia="en-AU"/>
              </w:rPr>
              <w:t xml:space="preserve"> to 14 August </w:t>
            </w:r>
            <w:r w:rsidR="004267E5">
              <w:rPr>
                <w:noProof/>
                <w:lang w:eastAsia="en-AU"/>
              </w:rPr>
              <w:t>2022</w:t>
            </w:r>
            <w:r w:rsidRPr="00375B9D">
              <w:rPr>
                <w:noProof/>
                <w:lang w:eastAsia="en-AU"/>
              </w:rPr>
              <w:t>: (working in NT)</w:t>
            </w:r>
            <w:r w:rsidRPr="00375B9D">
              <w:rPr>
                <w:noProof/>
                <w:lang w:eastAsia="en-AU"/>
              </w:rPr>
              <w:tab/>
              <w:t>SA wages</w:t>
            </w:r>
          </w:p>
          <w:p w14:paraId="6CBB184F" w14:textId="77777777" w:rsidR="00375B9D" w:rsidRPr="00375B9D" w:rsidRDefault="00375B9D" w:rsidP="00822821">
            <w:pPr>
              <w:tabs>
                <w:tab w:val="left" w:pos="5670"/>
              </w:tabs>
              <w:spacing w:after="200"/>
              <w:rPr>
                <w:noProof/>
                <w:lang w:eastAsia="en-AU"/>
              </w:rPr>
            </w:pPr>
            <w:r w:rsidRPr="00375B9D">
              <w:rPr>
                <w:noProof/>
                <w:lang w:eastAsia="en-AU"/>
              </w:rPr>
              <w:t xml:space="preserve">15 August </w:t>
            </w:r>
            <w:r w:rsidR="004267E5">
              <w:rPr>
                <w:noProof/>
                <w:lang w:eastAsia="en-AU"/>
              </w:rPr>
              <w:t>2022</w:t>
            </w:r>
            <w:r w:rsidRPr="00375B9D">
              <w:rPr>
                <w:noProof/>
                <w:lang w:eastAsia="en-AU"/>
              </w:rPr>
              <w:t xml:space="preserve"> to 31 August </w:t>
            </w:r>
            <w:r w:rsidR="004267E5">
              <w:rPr>
                <w:noProof/>
                <w:lang w:eastAsia="en-AU"/>
              </w:rPr>
              <w:t>2022</w:t>
            </w:r>
            <w:r w:rsidRPr="00375B9D">
              <w:rPr>
                <w:noProof/>
                <w:lang w:eastAsia="en-AU"/>
              </w:rPr>
              <w:t>: (working in SA)</w:t>
            </w:r>
            <w:r w:rsidRPr="00375B9D">
              <w:rPr>
                <w:noProof/>
                <w:lang w:eastAsia="en-AU"/>
              </w:rPr>
              <w:tab/>
              <w:t>SA wages</w:t>
            </w:r>
          </w:p>
          <w:p w14:paraId="60A0895B" w14:textId="77777777" w:rsidR="00375B9D" w:rsidRPr="00375B9D" w:rsidRDefault="00375B9D" w:rsidP="00375B9D">
            <w:pPr>
              <w:spacing w:after="200"/>
              <w:rPr>
                <w:noProof/>
                <w:lang w:eastAsia="en-AU"/>
              </w:rPr>
            </w:pPr>
            <w:r w:rsidRPr="00375B9D">
              <w:rPr>
                <w:noProof/>
                <w:lang w:eastAsia="en-AU"/>
              </w:rPr>
              <w:t xml:space="preserve">In this example, for August </w:t>
            </w:r>
            <w:r w:rsidR="004267E5">
              <w:rPr>
                <w:noProof/>
                <w:lang w:eastAsia="en-AU"/>
              </w:rPr>
              <w:t>2022</w:t>
            </w:r>
            <w:r w:rsidRPr="00375B9D">
              <w:rPr>
                <w:noProof/>
                <w:lang w:eastAsia="en-AU"/>
              </w:rPr>
              <w:t xml:space="preserve">’s wages to be taxable wages in the NT, the employee would have had to work up to and including 31 August </w:t>
            </w:r>
            <w:r w:rsidR="004267E5">
              <w:rPr>
                <w:noProof/>
                <w:lang w:eastAsia="en-AU"/>
              </w:rPr>
              <w:t>2022</w:t>
            </w:r>
            <w:r w:rsidRPr="00375B9D">
              <w:rPr>
                <w:noProof/>
                <w:lang w:eastAsia="en-AU"/>
              </w:rPr>
              <w:t xml:space="preserve"> in the NT. That is, an employee’s ‘home’ state is effectively retested on the last day of each calendar month, prior to determining taxable wages for that month.</w:t>
            </w:r>
          </w:p>
          <w:p w14:paraId="09C24F3D" w14:textId="77777777" w:rsidR="00375B9D" w:rsidRPr="00375B9D" w:rsidRDefault="00375B9D" w:rsidP="00375B9D">
            <w:pPr>
              <w:spacing w:after="200"/>
              <w:rPr>
                <w:noProof/>
                <w:lang w:eastAsia="en-AU"/>
              </w:rPr>
            </w:pPr>
            <w:r w:rsidRPr="00375B9D">
              <w:rPr>
                <w:b/>
                <w:noProof/>
                <w:lang w:eastAsia="en-AU"/>
              </w:rPr>
              <w:t>Outcome</w:t>
            </w:r>
            <w:r w:rsidRPr="00375B9D">
              <w:rPr>
                <w:noProof/>
                <w:lang w:eastAsia="en-AU"/>
              </w:rPr>
              <w:t>: In June and August, wages paid to the employees are declared as taxable wages in SA but in July they are declared in the NT.</w:t>
            </w:r>
          </w:p>
        </w:tc>
      </w:tr>
    </w:tbl>
    <w:p w14:paraId="3F90B900" w14:textId="77777777" w:rsidR="00375B9D" w:rsidRPr="00375B9D" w:rsidRDefault="00375B9D" w:rsidP="00375B9D">
      <w:pPr>
        <w:rPr>
          <w:noProof/>
          <w:lang w:eastAsia="en-AU"/>
        </w:rPr>
      </w:pPr>
    </w:p>
    <w:tbl>
      <w:tblPr>
        <w:tblStyle w:val="DTFpayrolltaxguidestyle1"/>
        <w:tblW w:w="10348" w:type="dxa"/>
        <w:tblLook w:val="04A0" w:firstRow="1" w:lastRow="0" w:firstColumn="1" w:lastColumn="0" w:noHBand="0" w:noVBand="1"/>
        <w:tblDescription w:val="Example 3: Full-Time Employee Spends a Whole Calendar Month Working Outside the State Where She Normally Lives"/>
      </w:tblPr>
      <w:tblGrid>
        <w:gridCol w:w="10348"/>
      </w:tblGrid>
      <w:tr w:rsidR="00375B9D" w:rsidRPr="00375B9D" w14:paraId="1DF5A475" w14:textId="77777777" w:rsidTr="005619AF">
        <w:trPr>
          <w:trHeight w:val="6890"/>
          <w:tblHeader/>
        </w:trPr>
        <w:tc>
          <w:tcPr>
            <w:tcW w:w="10348" w:type="dxa"/>
          </w:tcPr>
          <w:p w14:paraId="2E15F943" w14:textId="77777777" w:rsidR="00375B9D" w:rsidRPr="00375B9D" w:rsidRDefault="00375B9D" w:rsidP="00612867">
            <w:pPr>
              <w:spacing w:after="120"/>
              <w:rPr>
                <w:noProof/>
                <w:lang w:eastAsia="en-AU"/>
              </w:rPr>
            </w:pPr>
            <w:r w:rsidRPr="00375B9D">
              <w:rPr>
                <w:b/>
                <w:noProof/>
                <w:lang w:eastAsia="en-AU"/>
              </w:rPr>
              <w:lastRenderedPageBreak/>
              <w:t>Example 5</w:t>
            </w:r>
            <w:r w:rsidRPr="00375B9D">
              <w:rPr>
                <w:noProof/>
                <w:lang w:eastAsia="en-AU"/>
              </w:rPr>
              <w:t>: Fly-</w:t>
            </w:r>
            <w:r w:rsidR="00FA2078">
              <w:rPr>
                <w:noProof/>
                <w:lang w:eastAsia="en-AU"/>
              </w:rPr>
              <w:t>i</w:t>
            </w:r>
            <w:r w:rsidRPr="00375B9D">
              <w:rPr>
                <w:noProof/>
                <w:lang w:eastAsia="en-AU"/>
              </w:rPr>
              <w:t xml:space="preserve">n </w:t>
            </w:r>
            <w:r w:rsidR="00FA2078">
              <w:rPr>
                <w:noProof/>
                <w:lang w:eastAsia="en-AU"/>
              </w:rPr>
              <w:t>f</w:t>
            </w:r>
            <w:r w:rsidRPr="00375B9D">
              <w:rPr>
                <w:noProof/>
                <w:lang w:eastAsia="en-AU"/>
              </w:rPr>
              <w:t>ly-</w:t>
            </w:r>
            <w:r w:rsidR="00FA2078">
              <w:rPr>
                <w:noProof/>
                <w:lang w:eastAsia="en-AU"/>
              </w:rPr>
              <w:t>o</w:t>
            </w:r>
            <w:r w:rsidRPr="00375B9D">
              <w:rPr>
                <w:noProof/>
                <w:lang w:eastAsia="en-AU"/>
              </w:rPr>
              <w:t xml:space="preserve">ut </w:t>
            </w:r>
            <w:r w:rsidR="00FA2078">
              <w:rPr>
                <w:noProof/>
                <w:lang w:eastAsia="en-AU"/>
              </w:rPr>
              <w:t>s</w:t>
            </w:r>
            <w:r w:rsidRPr="00375B9D">
              <w:rPr>
                <w:noProof/>
                <w:lang w:eastAsia="en-AU"/>
              </w:rPr>
              <w:t>cenarios</w:t>
            </w:r>
          </w:p>
          <w:p w14:paraId="1C084507" w14:textId="77777777" w:rsidR="00375B9D" w:rsidRPr="00375B9D" w:rsidRDefault="00375B9D" w:rsidP="00612867">
            <w:pPr>
              <w:spacing w:after="120"/>
              <w:rPr>
                <w:noProof/>
                <w:lang w:eastAsia="en-AU"/>
              </w:rPr>
            </w:pPr>
            <w:r w:rsidRPr="00375B9D">
              <w:rPr>
                <w:noProof/>
                <w:lang w:eastAsia="en-AU"/>
              </w:rPr>
              <w:t>ATT Resources Limited operates a mine in a remote area of the NT and engages FIFO workers on a three-weeks-on, two-weeks-off basis.</w:t>
            </w:r>
          </w:p>
          <w:p w14:paraId="044CCE2D" w14:textId="77777777" w:rsidR="00375B9D" w:rsidRPr="00375B9D" w:rsidRDefault="00375B9D" w:rsidP="00612867">
            <w:pPr>
              <w:spacing w:after="120"/>
              <w:rPr>
                <w:noProof/>
                <w:lang w:eastAsia="en-AU"/>
              </w:rPr>
            </w:pPr>
            <w:r w:rsidRPr="00375B9D">
              <w:rPr>
                <w:noProof/>
                <w:lang w:eastAsia="en-AU"/>
              </w:rPr>
              <w:t>ATT Resources Limited FIFO employee Monica lives in SA, the state of her principal place of residence where she rents a home unit.</w:t>
            </w:r>
          </w:p>
          <w:p w14:paraId="118E4368" w14:textId="77777777" w:rsidR="00375B9D" w:rsidRPr="00375B9D" w:rsidRDefault="00375B9D" w:rsidP="00612867">
            <w:pPr>
              <w:spacing w:after="120"/>
              <w:rPr>
                <w:noProof/>
                <w:lang w:eastAsia="en-AU"/>
              </w:rPr>
            </w:pPr>
            <w:r w:rsidRPr="00375B9D">
              <w:rPr>
                <w:b/>
                <w:noProof/>
                <w:lang w:eastAsia="en-AU"/>
              </w:rPr>
              <w:t>Scenario 1</w:t>
            </w:r>
            <w:r w:rsidRPr="00375B9D">
              <w:rPr>
                <w:noProof/>
                <w:lang w:eastAsia="en-AU"/>
              </w:rPr>
              <w:t>: On her two weeks off, Monica resides at her normal SA address and does not work for any other employer during that time.</w:t>
            </w:r>
          </w:p>
          <w:p w14:paraId="19BCA2F5" w14:textId="77777777" w:rsidR="00375B9D" w:rsidRPr="00375B9D" w:rsidRDefault="00375B9D" w:rsidP="00612867">
            <w:pPr>
              <w:spacing w:after="120"/>
              <w:rPr>
                <w:noProof/>
                <w:lang w:eastAsia="en-AU"/>
              </w:rPr>
            </w:pPr>
            <w:r w:rsidRPr="00375B9D">
              <w:rPr>
                <w:b/>
                <w:noProof/>
                <w:lang w:eastAsia="en-AU"/>
              </w:rPr>
              <w:t>Outcome</w:t>
            </w:r>
            <w:r w:rsidRPr="00375B9D">
              <w:rPr>
                <w:noProof/>
                <w:lang w:eastAsia="en-AU"/>
              </w:rPr>
              <w:t>: All payments to her by ATT Resources would be taxable wages in the NT; because the only place where services were provided to an employer was the NT.</w:t>
            </w:r>
          </w:p>
          <w:p w14:paraId="74C450FD" w14:textId="77777777" w:rsidR="00375B9D" w:rsidRPr="00375B9D" w:rsidRDefault="00375B9D" w:rsidP="00612867">
            <w:pPr>
              <w:spacing w:after="120"/>
              <w:rPr>
                <w:noProof/>
                <w:lang w:eastAsia="en-AU"/>
              </w:rPr>
            </w:pPr>
            <w:r w:rsidRPr="00375B9D">
              <w:rPr>
                <w:b/>
                <w:noProof/>
                <w:lang w:eastAsia="en-AU"/>
              </w:rPr>
              <w:t>Scenario 2</w:t>
            </w:r>
            <w:r w:rsidRPr="00375B9D">
              <w:rPr>
                <w:noProof/>
                <w:lang w:eastAsia="en-AU"/>
              </w:rPr>
              <w:t>: Monica commenced working part-time for a SA-based wholly-owned subsidiary of ATT Resources Limited (ATT Resources (SA) Pty Ltd) during her 2 week ‘fly out’ period.</w:t>
            </w:r>
          </w:p>
          <w:p w14:paraId="2A63FEC2" w14:textId="77777777" w:rsidR="00375B9D" w:rsidRPr="00375B9D" w:rsidRDefault="00375B9D" w:rsidP="00612867">
            <w:pPr>
              <w:spacing w:after="120"/>
              <w:rPr>
                <w:noProof/>
                <w:lang w:eastAsia="en-AU"/>
              </w:rPr>
            </w:pPr>
            <w:r w:rsidRPr="00375B9D">
              <w:rPr>
                <w:b/>
                <w:noProof/>
                <w:lang w:eastAsia="en-AU"/>
              </w:rPr>
              <w:t>Outcome</w:t>
            </w:r>
            <w:r w:rsidRPr="00375B9D">
              <w:rPr>
                <w:noProof/>
                <w:lang w:eastAsia="en-AU"/>
              </w:rPr>
              <w:t>: Wages paid by ATT Resources (SA) Pty Ltd would be taxable in SA, as ATT Resources (SA) is (even though grouped) a different employer to ATT Resources Limited. Wages payable by ATT Resources Limited would continue to be taxable in the NT.</w:t>
            </w:r>
          </w:p>
          <w:p w14:paraId="59313443" w14:textId="77777777" w:rsidR="00375B9D" w:rsidRPr="00375B9D" w:rsidRDefault="00375B9D" w:rsidP="00612867">
            <w:pPr>
              <w:spacing w:after="120"/>
              <w:rPr>
                <w:noProof/>
                <w:lang w:eastAsia="en-AU"/>
              </w:rPr>
            </w:pPr>
            <w:r w:rsidRPr="00375B9D">
              <w:rPr>
                <w:noProof/>
                <w:lang w:eastAsia="en-AU"/>
              </w:rPr>
              <w:t>In both NT and SA, wages paid by both businesses throughout Australia would need to be aggregated to calculate each state’s tax-free entitlement available to the businesses.</w:t>
            </w:r>
          </w:p>
          <w:p w14:paraId="4FAEDBBC" w14:textId="77777777" w:rsidR="00375B9D" w:rsidRPr="00375B9D" w:rsidRDefault="00375B9D" w:rsidP="00612867">
            <w:pPr>
              <w:spacing w:after="120"/>
              <w:rPr>
                <w:noProof/>
                <w:lang w:eastAsia="en-AU"/>
              </w:rPr>
            </w:pPr>
            <w:r w:rsidRPr="00375B9D">
              <w:rPr>
                <w:b/>
                <w:noProof/>
                <w:lang w:eastAsia="en-AU"/>
              </w:rPr>
              <w:t>Scenario 3</w:t>
            </w:r>
            <w:r w:rsidRPr="00375B9D">
              <w:rPr>
                <w:noProof/>
                <w:lang w:eastAsia="en-AU"/>
              </w:rPr>
              <w:t>: Monica commences working part-time for a newly-opened Adelaide branch of ATT Resources Limited (i.e. the same employer as in the NT) during her two week ‘fly out’ period.</w:t>
            </w:r>
          </w:p>
          <w:p w14:paraId="02309CA2" w14:textId="77777777" w:rsidR="00375B9D" w:rsidRPr="00375B9D" w:rsidRDefault="00375B9D" w:rsidP="00375B9D">
            <w:pPr>
              <w:spacing w:after="200"/>
              <w:rPr>
                <w:noProof/>
                <w:lang w:eastAsia="en-AU"/>
              </w:rPr>
            </w:pPr>
            <w:r w:rsidRPr="00375B9D">
              <w:rPr>
                <w:b/>
                <w:noProof/>
                <w:lang w:eastAsia="en-AU"/>
              </w:rPr>
              <w:t>Outcome</w:t>
            </w:r>
            <w:r w:rsidRPr="00375B9D">
              <w:rPr>
                <w:noProof/>
                <w:lang w:eastAsia="en-AU"/>
              </w:rPr>
              <w:t>: All wages (paid in both the NT and in SA) would be taxable in SA because where an employee provides services to a single employer in two jurisdictions in a single calendar month, the wages are taxable in the state where the employee normally lives (even if less than half the work was performed in that state).</w:t>
            </w:r>
          </w:p>
        </w:tc>
      </w:tr>
    </w:tbl>
    <w:p w14:paraId="73B2D96C" w14:textId="77777777" w:rsidR="00375B9D" w:rsidRPr="00375B9D" w:rsidRDefault="00375B9D" w:rsidP="00612867">
      <w:pPr>
        <w:spacing w:after="120"/>
        <w:rPr>
          <w:b/>
          <w:noProof/>
          <w:lang w:eastAsia="en-AU"/>
        </w:rPr>
      </w:pPr>
    </w:p>
    <w:tbl>
      <w:tblPr>
        <w:tblStyle w:val="DTFpayrolltaxguidestyle1"/>
        <w:tblW w:w="10348" w:type="dxa"/>
        <w:tblLook w:val="04A0" w:firstRow="1" w:lastRow="0" w:firstColumn="1" w:lastColumn="0" w:noHBand="0" w:noVBand="1"/>
        <w:tblDescription w:val="Example 6: Overseas-Based Worker Making Monthly Visit to Darwin"/>
      </w:tblPr>
      <w:tblGrid>
        <w:gridCol w:w="10348"/>
      </w:tblGrid>
      <w:tr w:rsidR="00375B9D" w:rsidRPr="00375B9D" w14:paraId="0A4980B6" w14:textId="77777777" w:rsidTr="005619AF">
        <w:trPr>
          <w:trHeight w:val="4814"/>
          <w:tblHeader/>
        </w:trPr>
        <w:tc>
          <w:tcPr>
            <w:tcW w:w="10348" w:type="dxa"/>
          </w:tcPr>
          <w:p w14:paraId="2F4BE891" w14:textId="77777777" w:rsidR="00375B9D" w:rsidRPr="00375B9D" w:rsidRDefault="00375B9D" w:rsidP="00612867">
            <w:pPr>
              <w:spacing w:after="120"/>
              <w:rPr>
                <w:noProof/>
                <w:lang w:eastAsia="en-AU"/>
              </w:rPr>
            </w:pPr>
            <w:bookmarkStart w:id="31" w:name="Example6NexusRule"/>
            <w:bookmarkEnd w:id="31"/>
            <w:r w:rsidRPr="00375B9D">
              <w:rPr>
                <w:b/>
                <w:noProof/>
                <w:lang w:eastAsia="en-AU"/>
              </w:rPr>
              <w:t>Example 6</w:t>
            </w:r>
            <w:r w:rsidRPr="00375B9D">
              <w:rPr>
                <w:noProof/>
                <w:lang w:eastAsia="en-AU"/>
              </w:rPr>
              <w:t>: Overseas-</w:t>
            </w:r>
            <w:r w:rsidR="00D01C7E">
              <w:rPr>
                <w:noProof/>
                <w:lang w:eastAsia="en-AU"/>
              </w:rPr>
              <w:t>b</w:t>
            </w:r>
            <w:r w:rsidRPr="00375B9D">
              <w:rPr>
                <w:noProof/>
                <w:lang w:eastAsia="en-AU"/>
              </w:rPr>
              <w:t xml:space="preserve">ased </w:t>
            </w:r>
            <w:r w:rsidR="00D01C7E">
              <w:rPr>
                <w:noProof/>
                <w:lang w:eastAsia="en-AU"/>
              </w:rPr>
              <w:t>w</w:t>
            </w:r>
            <w:r w:rsidRPr="00375B9D">
              <w:rPr>
                <w:noProof/>
                <w:lang w:eastAsia="en-AU"/>
              </w:rPr>
              <w:t xml:space="preserve">orker </w:t>
            </w:r>
            <w:r w:rsidR="00D01C7E">
              <w:rPr>
                <w:noProof/>
                <w:lang w:eastAsia="en-AU"/>
              </w:rPr>
              <w:t>m</w:t>
            </w:r>
            <w:r w:rsidRPr="00375B9D">
              <w:rPr>
                <w:noProof/>
                <w:lang w:eastAsia="en-AU"/>
              </w:rPr>
              <w:t xml:space="preserve">aking </w:t>
            </w:r>
            <w:r w:rsidR="00D01C7E">
              <w:rPr>
                <w:noProof/>
                <w:lang w:eastAsia="en-AU"/>
              </w:rPr>
              <w:t>m</w:t>
            </w:r>
            <w:r w:rsidRPr="00375B9D">
              <w:rPr>
                <w:noProof/>
                <w:lang w:eastAsia="en-AU"/>
              </w:rPr>
              <w:t xml:space="preserve">onthly </w:t>
            </w:r>
            <w:r w:rsidR="00D01C7E">
              <w:rPr>
                <w:noProof/>
                <w:lang w:eastAsia="en-AU"/>
              </w:rPr>
              <w:t>v</w:t>
            </w:r>
            <w:r w:rsidRPr="00375B9D">
              <w:rPr>
                <w:noProof/>
                <w:lang w:eastAsia="en-AU"/>
              </w:rPr>
              <w:t>isits to Darwin</w:t>
            </w:r>
          </w:p>
          <w:p w14:paraId="0E25BE8C" w14:textId="77777777" w:rsidR="00375B9D" w:rsidRPr="00375B9D" w:rsidRDefault="00375B9D" w:rsidP="00612867">
            <w:pPr>
              <w:spacing w:after="120"/>
              <w:rPr>
                <w:noProof/>
                <w:lang w:eastAsia="en-AU"/>
              </w:rPr>
            </w:pPr>
            <w:r w:rsidRPr="00375B9D">
              <w:rPr>
                <w:noProof/>
                <w:lang w:eastAsia="en-AU"/>
              </w:rPr>
              <w:t>Peter is the Oceania region supervisor for International Resources Limited (IRL), a Singapore-based multinational minerals, oil and gas explorer. He earns a salary package of A$15</w:t>
            </w:r>
            <w:r w:rsidR="00C65823">
              <w:rPr>
                <w:noProof/>
                <w:lang w:eastAsia="en-AU"/>
              </w:rPr>
              <w:t>,000</w:t>
            </w:r>
            <w:r w:rsidRPr="00375B9D">
              <w:rPr>
                <w:noProof/>
                <w:lang w:eastAsia="en-AU"/>
              </w:rPr>
              <w:t xml:space="preserve"> per month. His home is in Singapore and he is paid by credit to his Singapore bank account.</w:t>
            </w:r>
          </w:p>
          <w:p w14:paraId="590BB95B" w14:textId="77777777" w:rsidR="00375B9D" w:rsidRPr="00375B9D" w:rsidRDefault="00375B9D" w:rsidP="00612867">
            <w:pPr>
              <w:spacing w:after="120"/>
              <w:rPr>
                <w:noProof/>
                <w:lang w:eastAsia="en-AU"/>
              </w:rPr>
            </w:pPr>
            <w:r w:rsidRPr="00375B9D">
              <w:rPr>
                <w:noProof/>
                <w:lang w:eastAsia="en-AU"/>
              </w:rPr>
              <w:t>IRL has a branch in Darwin (14 employees with taxable wages of $98</w:t>
            </w:r>
            <w:r w:rsidR="00C65823">
              <w:rPr>
                <w:noProof/>
                <w:lang w:eastAsia="en-AU"/>
              </w:rPr>
              <w:t>,000</w:t>
            </w:r>
            <w:r w:rsidRPr="00375B9D">
              <w:rPr>
                <w:noProof/>
                <w:lang w:eastAsia="en-AU"/>
              </w:rPr>
              <w:t xml:space="preserve"> per month) and in Broome, Western Australia (six employees with taxable wages of $45</w:t>
            </w:r>
            <w:r w:rsidR="00C65823">
              <w:rPr>
                <w:noProof/>
                <w:lang w:eastAsia="en-AU"/>
              </w:rPr>
              <w:t>,000</w:t>
            </w:r>
            <w:r w:rsidRPr="00375B9D">
              <w:rPr>
                <w:noProof/>
                <w:lang w:eastAsia="en-AU"/>
              </w:rPr>
              <w:t xml:space="preserve"> per month). All its other operations are outside of Australia.</w:t>
            </w:r>
          </w:p>
          <w:p w14:paraId="31D2B040" w14:textId="77777777" w:rsidR="00375B9D" w:rsidRPr="00375B9D" w:rsidRDefault="00375B9D" w:rsidP="00612867">
            <w:pPr>
              <w:spacing w:after="120"/>
              <w:rPr>
                <w:noProof/>
                <w:lang w:eastAsia="en-AU"/>
              </w:rPr>
            </w:pPr>
            <w:r w:rsidRPr="00375B9D">
              <w:rPr>
                <w:noProof/>
                <w:lang w:eastAsia="en-AU"/>
              </w:rPr>
              <w:t>Peter spends three days a month in Darwin and two days a month in Broome, the remainder of his time is spent overseas.</w:t>
            </w:r>
          </w:p>
          <w:p w14:paraId="7AC05912" w14:textId="77777777" w:rsidR="00375B9D" w:rsidRPr="00375B9D" w:rsidRDefault="00375B9D" w:rsidP="00612867">
            <w:pPr>
              <w:spacing w:after="120"/>
              <w:rPr>
                <w:noProof/>
                <w:lang w:eastAsia="en-AU"/>
              </w:rPr>
            </w:pPr>
            <w:r w:rsidRPr="00375B9D">
              <w:rPr>
                <w:b/>
                <w:noProof/>
                <w:lang w:eastAsia="en-AU"/>
              </w:rPr>
              <w:t>Observations</w:t>
            </w:r>
            <w:r w:rsidRPr="00375B9D">
              <w:rPr>
                <w:noProof/>
                <w:lang w:eastAsia="en-AU"/>
              </w:rPr>
              <w:t>: IRL (before taking account of any taxable wages associated with Peter), has a payroll tax liability in the NT because (a) it pays taxable wages in the NT; and (b) its total monthly Australian wages ($98</w:t>
            </w:r>
            <w:r w:rsidR="00C65823">
              <w:rPr>
                <w:noProof/>
                <w:lang w:eastAsia="en-AU"/>
              </w:rPr>
              <w:t>,000</w:t>
            </w:r>
            <w:r w:rsidRPr="00375B9D">
              <w:rPr>
                <w:noProof/>
                <w:lang w:eastAsia="en-AU"/>
              </w:rPr>
              <w:t xml:space="preserve"> + $45</w:t>
            </w:r>
            <w:r w:rsidR="00C65823">
              <w:rPr>
                <w:noProof/>
                <w:lang w:eastAsia="en-AU"/>
              </w:rPr>
              <w:t>,000</w:t>
            </w:r>
            <w:r w:rsidRPr="00375B9D">
              <w:rPr>
                <w:noProof/>
                <w:lang w:eastAsia="en-AU"/>
              </w:rPr>
              <w:t xml:space="preserve"> = $143</w:t>
            </w:r>
            <w:r w:rsidR="00C65823">
              <w:rPr>
                <w:noProof/>
                <w:lang w:eastAsia="en-AU"/>
              </w:rPr>
              <w:t>,000</w:t>
            </w:r>
            <w:r w:rsidRPr="00375B9D">
              <w:rPr>
                <w:noProof/>
                <w:lang w:eastAsia="en-AU"/>
              </w:rPr>
              <w:t>) exceed the NT tax-free threshold of $125</w:t>
            </w:r>
            <w:r w:rsidR="00C65823">
              <w:rPr>
                <w:noProof/>
                <w:lang w:eastAsia="en-AU"/>
              </w:rPr>
              <w:t>,000</w:t>
            </w:r>
            <w:r w:rsidRPr="00375B9D">
              <w:rPr>
                <w:noProof/>
                <w:lang w:eastAsia="en-AU"/>
              </w:rPr>
              <w:t>.</w:t>
            </w:r>
          </w:p>
          <w:p w14:paraId="4025EEDE" w14:textId="77777777" w:rsidR="00375B9D" w:rsidRPr="00375B9D" w:rsidRDefault="00375B9D" w:rsidP="00375B9D">
            <w:pPr>
              <w:spacing w:after="200"/>
              <w:rPr>
                <w:noProof/>
                <w:lang w:eastAsia="en-AU"/>
              </w:rPr>
            </w:pPr>
            <w:r w:rsidRPr="00375B9D">
              <w:rPr>
                <w:b/>
                <w:noProof/>
                <w:lang w:eastAsia="en-AU"/>
              </w:rPr>
              <w:t>Outcome</w:t>
            </w:r>
            <w:r w:rsidRPr="00375B9D">
              <w:rPr>
                <w:noProof/>
                <w:lang w:eastAsia="en-AU"/>
              </w:rPr>
              <w:t xml:space="preserve">: Under the </w:t>
            </w:r>
            <w:r w:rsidR="0025602F">
              <w:rPr>
                <w:noProof/>
                <w:lang w:eastAsia="en-AU"/>
              </w:rPr>
              <w:t>nexus rules</w:t>
            </w:r>
            <w:r w:rsidRPr="00375B9D">
              <w:rPr>
                <w:noProof/>
                <w:lang w:eastAsia="en-AU"/>
              </w:rPr>
              <w:t>, all wages earned by Peter in respect of services provided within Australia are taxable within the NT, as more than 50% of his time working in Australia is spent working in the NT. If Peter changed his arrangements so that more than 50% of his time in Australia was spent in Broome rather than Darwin, all taxable wages derived from him would be allocated to Western Australia.</w:t>
            </w:r>
          </w:p>
        </w:tc>
      </w:tr>
    </w:tbl>
    <w:p w14:paraId="40DB7339" w14:textId="77777777" w:rsidR="00375B9D" w:rsidRPr="00375B9D" w:rsidRDefault="00375B9D" w:rsidP="00375B9D">
      <w:pPr>
        <w:rPr>
          <w:noProof/>
          <w:lang w:eastAsia="en-AU"/>
        </w:rPr>
      </w:pPr>
    </w:p>
    <w:tbl>
      <w:tblPr>
        <w:tblStyle w:val="DTFpayrolltaxguidestyle1"/>
        <w:tblW w:w="10348" w:type="dxa"/>
        <w:tblLook w:val="04A0" w:firstRow="1" w:lastRow="0" w:firstColumn="1" w:lastColumn="0" w:noHBand="0" w:noVBand="1"/>
        <w:tblDescription w:val="Example 7: NT Resident Temporarily Located Overseas"/>
      </w:tblPr>
      <w:tblGrid>
        <w:gridCol w:w="10348"/>
      </w:tblGrid>
      <w:tr w:rsidR="00375B9D" w:rsidRPr="00375B9D" w14:paraId="08545FB1" w14:textId="77777777" w:rsidTr="005619AF">
        <w:trPr>
          <w:trHeight w:val="3913"/>
          <w:tblHeader/>
        </w:trPr>
        <w:tc>
          <w:tcPr>
            <w:tcW w:w="10348" w:type="dxa"/>
          </w:tcPr>
          <w:p w14:paraId="3DE038E2" w14:textId="77777777" w:rsidR="00375B9D" w:rsidRPr="00375B9D" w:rsidRDefault="00375B9D" w:rsidP="00612867">
            <w:pPr>
              <w:spacing w:after="120"/>
              <w:rPr>
                <w:noProof/>
                <w:lang w:eastAsia="en-AU"/>
              </w:rPr>
            </w:pPr>
            <w:r w:rsidRPr="00375B9D">
              <w:rPr>
                <w:b/>
                <w:noProof/>
                <w:lang w:eastAsia="en-AU"/>
              </w:rPr>
              <w:lastRenderedPageBreak/>
              <w:t>Example 7</w:t>
            </w:r>
            <w:r w:rsidRPr="00375B9D">
              <w:rPr>
                <w:noProof/>
                <w:lang w:eastAsia="en-AU"/>
              </w:rPr>
              <w:t xml:space="preserve">: NT </w:t>
            </w:r>
            <w:r w:rsidR="00927D4E">
              <w:rPr>
                <w:noProof/>
                <w:lang w:eastAsia="en-AU"/>
              </w:rPr>
              <w:t>r</w:t>
            </w:r>
            <w:r w:rsidRPr="00375B9D">
              <w:rPr>
                <w:noProof/>
                <w:lang w:eastAsia="en-AU"/>
              </w:rPr>
              <w:t xml:space="preserve">esident </w:t>
            </w:r>
            <w:r w:rsidR="00927D4E">
              <w:rPr>
                <w:noProof/>
                <w:lang w:eastAsia="en-AU"/>
              </w:rPr>
              <w:t>t</w:t>
            </w:r>
            <w:r w:rsidRPr="00375B9D">
              <w:rPr>
                <w:noProof/>
                <w:lang w:eastAsia="en-AU"/>
              </w:rPr>
              <w:t xml:space="preserve">emporarily </w:t>
            </w:r>
            <w:r w:rsidR="00927D4E">
              <w:rPr>
                <w:noProof/>
                <w:lang w:eastAsia="en-AU"/>
              </w:rPr>
              <w:t>l</w:t>
            </w:r>
            <w:r w:rsidRPr="00375B9D">
              <w:rPr>
                <w:noProof/>
                <w:lang w:eastAsia="en-AU"/>
              </w:rPr>
              <w:t xml:space="preserve">ocated </w:t>
            </w:r>
            <w:r w:rsidR="00927D4E">
              <w:rPr>
                <w:noProof/>
                <w:lang w:eastAsia="en-AU"/>
              </w:rPr>
              <w:t>o</w:t>
            </w:r>
            <w:r w:rsidRPr="00375B9D">
              <w:rPr>
                <w:noProof/>
                <w:lang w:eastAsia="en-AU"/>
              </w:rPr>
              <w:t>verseas</w:t>
            </w:r>
          </w:p>
          <w:p w14:paraId="5DF31482" w14:textId="77777777" w:rsidR="00375B9D" w:rsidRPr="00375B9D" w:rsidRDefault="00375B9D" w:rsidP="00612867">
            <w:pPr>
              <w:spacing w:after="120"/>
              <w:rPr>
                <w:noProof/>
                <w:lang w:eastAsia="en-AU"/>
              </w:rPr>
            </w:pPr>
            <w:r w:rsidRPr="00375B9D">
              <w:rPr>
                <w:noProof/>
                <w:lang w:eastAsia="en-AU"/>
              </w:rPr>
              <w:t>ATTD Developments Pty Ltd is a Darwin-based property developer, with Australian wages of $600</w:t>
            </w:r>
            <w:r w:rsidR="00C65823">
              <w:rPr>
                <w:noProof/>
                <w:lang w:eastAsia="en-AU"/>
              </w:rPr>
              <w:t>,000</w:t>
            </w:r>
            <w:r w:rsidRPr="00375B9D">
              <w:rPr>
                <w:noProof/>
                <w:lang w:eastAsia="en-AU"/>
              </w:rPr>
              <w:t xml:space="preserve"> per month, well in excess of the $125</w:t>
            </w:r>
            <w:r w:rsidR="00C65823">
              <w:rPr>
                <w:noProof/>
                <w:lang w:eastAsia="en-AU"/>
              </w:rPr>
              <w:t>,000</w:t>
            </w:r>
            <w:r w:rsidRPr="00375B9D">
              <w:rPr>
                <w:noProof/>
                <w:lang w:eastAsia="en-AU"/>
              </w:rPr>
              <w:t xml:space="preserve"> per month tax-free threshold.</w:t>
            </w:r>
          </w:p>
          <w:p w14:paraId="5166BA55" w14:textId="77777777" w:rsidR="00375B9D" w:rsidRPr="00375B9D" w:rsidRDefault="00375B9D" w:rsidP="00612867">
            <w:pPr>
              <w:spacing w:after="120"/>
              <w:rPr>
                <w:noProof/>
                <w:lang w:eastAsia="en-AU"/>
              </w:rPr>
            </w:pPr>
            <w:r w:rsidRPr="00375B9D">
              <w:rPr>
                <w:noProof/>
                <w:lang w:eastAsia="en-AU"/>
              </w:rPr>
              <w:t>ATTD wins a contract to build a hotel in Timor</w:t>
            </w:r>
            <w:r w:rsidRPr="00375B9D">
              <w:rPr>
                <w:noProof/>
                <w:lang w:eastAsia="en-AU"/>
              </w:rPr>
              <w:noBreakHyphen/>
              <w:t>Leste.</w:t>
            </w:r>
          </w:p>
          <w:p w14:paraId="6D07396D" w14:textId="77777777" w:rsidR="00375B9D" w:rsidRPr="00375B9D" w:rsidRDefault="00375B9D" w:rsidP="00612867">
            <w:pPr>
              <w:spacing w:after="120"/>
              <w:rPr>
                <w:noProof/>
                <w:lang w:eastAsia="en-AU"/>
              </w:rPr>
            </w:pPr>
            <w:r w:rsidRPr="00375B9D">
              <w:rPr>
                <w:noProof/>
                <w:lang w:eastAsia="en-AU"/>
              </w:rPr>
              <w:t>ATTD sends a senior employee, Tony, to live and work in Timor</w:t>
            </w:r>
            <w:r w:rsidRPr="00375B9D">
              <w:rPr>
                <w:noProof/>
                <w:lang w:eastAsia="en-AU"/>
              </w:rPr>
              <w:noBreakHyphen/>
              <w:t>Leste for three months organising the arrangements, under which ATTD will subcontract the construction to a Timor</w:t>
            </w:r>
            <w:r w:rsidRPr="00375B9D">
              <w:rPr>
                <w:noProof/>
                <w:lang w:eastAsia="en-AU"/>
              </w:rPr>
              <w:noBreakHyphen/>
              <w:t>Leste firm.</w:t>
            </w:r>
          </w:p>
          <w:p w14:paraId="4932EFAD" w14:textId="77777777" w:rsidR="00375B9D" w:rsidRPr="00375B9D" w:rsidRDefault="00375B9D" w:rsidP="00612867">
            <w:pPr>
              <w:spacing w:after="120"/>
              <w:rPr>
                <w:noProof/>
                <w:lang w:eastAsia="en-AU"/>
              </w:rPr>
            </w:pPr>
            <w:r w:rsidRPr="00375B9D">
              <w:rPr>
                <w:noProof/>
                <w:lang w:eastAsia="en-AU"/>
              </w:rPr>
              <w:t xml:space="preserve">Tony’s wages are paid each fortnight by bank transfer to his Darwin account. </w:t>
            </w:r>
          </w:p>
          <w:p w14:paraId="42219B09" w14:textId="77777777" w:rsidR="00375B9D" w:rsidRPr="00375B9D" w:rsidRDefault="00375B9D" w:rsidP="00612867">
            <w:pPr>
              <w:spacing w:after="120"/>
              <w:rPr>
                <w:noProof/>
                <w:lang w:eastAsia="en-AU"/>
              </w:rPr>
            </w:pPr>
            <w:r w:rsidRPr="00375B9D">
              <w:rPr>
                <w:b/>
                <w:noProof/>
                <w:lang w:eastAsia="en-AU"/>
              </w:rPr>
              <w:t>Outcome</w:t>
            </w:r>
            <w:r w:rsidRPr="00375B9D">
              <w:rPr>
                <w:noProof/>
                <w:lang w:eastAsia="en-AU"/>
              </w:rPr>
              <w:t>:</w:t>
            </w:r>
          </w:p>
          <w:p w14:paraId="1E458449" w14:textId="77777777" w:rsidR="00375B9D" w:rsidRPr="00375B9D" w:rsidRDefault="00375B9D" w:rsidP="00612867">
            <w:pPr>
              <w:spacing w:after="120"/>
              <w:rPr>
                <w:noProof/>
                <w:lang w:eastAsia="en-AU"/>
              </w:rPr>
            </w:pPr>
            <w:r w:rsidRPr="00375B9D">
              <w:rPr>
                <w:noProof/>
                <w:lang w:eastAsia="en-AU"/>
              </w:rPr>
              <w:t>Tony’s wages are taxable wages in the NT, because while they are for services provided outside of Australia, they are paid in the NT (by credit to a bank account in the NT).</w:t>
            </w:r>
          </w:p>
          <w:p w14:paraId="6BF09A17" w14:textId="77777777" w:rsidR="00375B9D" w:rsidRPr="00375B9D" w:rsidRDefault="00375B9D" w:rsidP="00375B9D">
            <w:pPr>
              <w:spacing w:after="200"/>
              <w:rPr>
                <w:noProof/>
                <w:lang w:eastAsia="en-AU"/>
              </w:rPr>
            </w:pPr>
            <w:r w:rsidRPr="00375B9D">
              <w:rPr>
                <w:noProof/>
                <w:lang w:eastAsia="en-AU"/>
              </w:rPr>
              <w:t xml:space="preserve">However, if Tony’s overseas role was extended to in excess of six months continuity, all wages (including, retrospectively, the first six months’) would be exempt under the ‘longer than six months overseas’ provisions. </w:t>
            </w:r>
          </w:p>
        </w:tc>
      </w:tr>
    </w:tbl>
    <w:p w14:paraId="27E7BC2E" w14:textId="77777777" w:rsidR="00375B9D" w:rsidRPr="00375B9D" w:rsidRDefault="00375B9D" w:rsidP="00612867">
      <w:pPr>
        <w:spacing w:after="0"/>
        <w:rPr>
          <w:noProof/>
          <w:lang w:eastAsia="en-AU"/>
        </w:rPr>
      </w:pPr>
    </w:p>
    <w:p w14:paraId="002AF101" w14:textId="77777777" w:rsidR="00375B9D" w:rsidRPr="00375B9D" w:rsidRDefault="00375B9D" w:rsidP="008A4379">
      <w:pPr>
        <w:pStyle w:val="DTFHeading5"/>
      </w:pPr>
      <w:r w:rsidRPr="00375B9D">
        <w:t xml:space="preserve">Table – </w:t>
      </w:r>
      <w:bookmarkStart w:id="32" w:name="GuidancetoNexusRules"/>
      <w:bookmarkEnd w:id="32"/>
      <w:r w:rsidR="00C00217">
        <w:t>g</w:t>
      </w:r>
      <w:r w:rsidRPr="00375B9D">
        <w:t xml:space="preserve">uidance for the </w:t>
      </w:r>
      <w:r w:rsidR="00093D93">
        <w:t>a</w:t>
      </w:r>
      <w:r w:rsidRPr="00375B9D">
        <w:t xml:space="preserve">pplication of the </w:t>
      </w:r>
      <w:r w:rsidR="0025602F">
        <w:t>nexus rules</w:t>
      </w:r>
    </w:p>
    <w:tbl>
      <w:tblPr>
        <w:tblStyle w:val="TableGridLight"/>
        <w:tblW w:w="10348" w:type="dxa"/>
        <w:tblLook w:val="04A0" w:firstRow="1" w:lastRow="0" w:firstColumn="1" w:lastColumn="0" w:noHBand="0" w:noVBand="1"/>
        <w:tblDescription w:val="Table – Guidance for the Application of the Nexus Rules"/>
      </w:tblPr>
      <w:tblGrid>
        <w:gridCol w:w="2972"/>
        <w:gridCol w:w="7376"/>
      </w:tblGrid>
      <w:tr w:rsidR="00375B9D" w:rsidRPr="008775BF" w14:paraId="60D2D196" w14:textId="77777777" w:rsidTr="008775BF">
        <w:trPr>
          <w:tblHeader/>
        </w:trPr>
        <w:tc>
          <w:tcPr>
            <w:tcW w:w="2972" w:type="dxa"/>
            <w:vAlign w:val="bottom"/>
          </w:tcPr>
          <w:p w14:paraId="0A6C6100" w14:textId="77777777" w:rsidR="00375B9D" w:rsidRPr="008775BF" w:rsidRDefault="00375B9D" w:rsidP="008775BF">
            <w:pPr>
              <w:spacing w:after="200"/>
              <w:rPr>
                <w:b/>
                <w:noProof/>
                <w:lang w:eastAsia="en-AU"/>
              </w:rPr>
            </w:pPr>
            <w:r w:rsidRPr="008775BF">
              <w:rPr>
                <w:b/>
                <w:noProof/>
                <w:lang w:eastAsia="en-AU"/>
              </w:rPr>
              <w:t xml:space="preserve">Where services are performed by the employee </w:t>
            </w:r>
            <w:r w:rsidRPr="008775BF">
              <w:rPr>
                <w:b/>
                <w:noProof/>
                <w:lang w:eastAsia="en-AU"/>
              </w:rPr>
              <w:br/>
              <w:t>in the month</w:t>
            </w:r>
          </w:p>
        </w:tc>
        <w:tc>
          <w:tcPr>
            <w:tcW w:w="7376" w:type="dxa"/>
            <w:vAlign w:val="bottom"/>
          </w:tcPr>
          <w:p w14:paraId="7AD1E1DD" w14:textId="77777777" w:rsidR="00375B9D" w:rsidRPr="008775BF" w:rsidRDefault="00375B9D" w:rsidP="008775BF">
            <w:pPr>
              <w:spacing w:after="200"/>
              <w:rPr>
                <w:b/>
                <w:noProof/>
                <w:lang w:eastAsia="en-AU"/>
              </w:rPr>
            </w:pPr>
            <w:r w:rsidRPr="008775BF">
              <w:rPr>
                <w:b/>
                <w:noProof/>
                <w:lang w:eastAsia="en-AU"/>
              </w:rPr>
              <w:t xml:space="preserve">When NT </w:t>
            </w:r>
            <w:r w:rsidR="008775BF" w:rsidRPr="008775BF">
              <w:rPr>
                <w:b/>
                <w:noProof/>
                <w:lang w:eastAsia="en-AU"/>
              </w:rPr>
              <w:t xml:space="preserve">payroll tax </w:t>
            </w:r>
            <w:r w:rsidRPr="008775BF">
              <w:rPr>
                <w:b/>
                <w:noProof/>
                <w:lang w:eastAsia="en-AU"/>
              </w:rPr>
              <w:t>is payable</w:t>
            </w:r>
          </w:p>
        </w:tc>
      </w:tr>
      <w:tr w:rsidR="00375B9D" w:rsidRPr="00375B9D" w14:paraId="7AF54A6E" w14:textId="77777777" w:rsidTr="00C27129">
        <w:tc>
          <w:tcPr>
            <w:tcW w:w="2972" w:type="dxa"/>
          </w:tcPr>
          <w:p w14:paraId="12BF5138" w14:textId="77777777" w:rsidR="00375B9D" w:rsidRPr="00375B9D" w:rsidRDefault="00375B9D" w:rsidP="00375B9D">
            <w:pPr>
              <w:spacing w:after="200"/>
              <w:rPr>
                <w:noProof/>
                <w:lang w:eastAsia="en-AU"/>
              </w:rPr>
            </w:pPr>
            <w:r w:rsidRPr="00375B9D">
              <w:rPr>
                <w:noProof/>
                <w:lang w:eastAsia="en-AU"/>
              </w:rPr>
              <w:t>Wholly in the NT</w:t>
            </w:r>
          </w:p>
        </w:tc>
        <w:tc>
          <w:tcPr>
            <w:tcW w:w="7376" w:type="dxa"/>
          </w:tcPr>
          <w:p w14:paraId="509B9022" w14:textId="77777777" w:rsidR="00375B9D" w:rsidRPr="00375B9D" w:rsidRDefault="00375B9D" w:rsidP="00375B9D">
            <w:pPr>
              <w:spacing w:after="200"/>
              <w:rPr>
                <w:noProof/>
                <w:lang w:eastAsia="en-AU"/>
              </w:rPr>
            </w:pPr>
            <w:r w:rsidRPr="00375B9D">
              <w:rPr>
                <w:noProof/>
                <w:lang w:eastAsia="en-AU"/>
              </w:rPr>
              <w:t>NT payroll tax is payable.</w:t>
            </w:r>
          </w:p>
        </w:tc>
      </w:tr>
      <w:tr w:rsidR="00375B9D" w:rsidRPr="00375B9D" w14:paraId="1C167B01" w14:textId="77777777" w:rsidTr="00C27129">
        <w:tc>
          <w:tcPr>
            <w:tcW w:w="2972" w:type="dxa"/>
          </w:tcPr>
          <w:p w14:paraId="2F355540" w14:textId="77777777" w:rsidR="00375B9D" w:rsidRPr="00375B9D" w:rsidRDefault="00375B9D" w:rsidP="00375B9D">
            <w:pPr>
              <w:spacing w:after="200"/>
              <w:rPr>
                <w:noProof/>
                <w:lang w:eastAsia="en-AU"/>
              </w:rPr>
            </w:pPr>
            <w:r w:rsidRPr="00375B9D">
              <w:rPr>
                <w:noProof/>
                <w:lang w:eastAsia="en-AU"/>
              </w:rPr>
              <w:t>Partly in the NT and another state and or partly outside all Australian states (for example, in another country or offshore outside the territorial limits of any Australian state)</w:t>
            </w:r>
          </w:p>
        </w:tc>
        <w:tc>
          <w:tcPr>
            <w:tcW w:w="7376" w:type="dxa"/>
          </w:tcPr>
          <w:p w14:paraId="2C143252" w14:textId="77777777" w:rsidR="00375B9D" w:rsidRPr="00375B9D" w:rsidRDefault="00375B9D" w:rsidP="00612867">
            <w:pPr>
              <w:spacing w:after="120"/>
              <w:rPr>
                <w:noProof/>
                <w:lang w:eastAsia="en-AU"/>
              </w:rPr>
            </w:pPr>
            <w:r w:rsidRPr="00375B9D">
              <w:rPr>
                <w:noProof/>
                <w:lang w:eastAsia="en-AU"/>
              </w:rPr>
              <w:t>NT payroll tax is payable if:</w:t>
            </w:r>
          </w:p>
          <w:p w14:paraId="1DDB44DD" w14:textId="77777777" w:rsidR="00375B9D" w:rsidRPr="00375B9D" w:rsidRDefault="00375B9D" w:rsidP="00612867">
            <w:pPr>
              <w:pStyle w:val="DTFBulletlist"/>
              <w:spacing w:after="120"/>
            </w:pPr>
            <w:r w:rsidRPr="00375B9D">
              <w:t>the employee normally lives in the NT</w:t>
            </w:r>
          </w:p>
          <w:p w14:paraId="7FED9A4A" w14:textId="77777777" w:rsidR="00375B9D" w:rsidRPr="00375B9D" w:rsidRDefault="00375B9D" w:rsidP="00612867">
            <w:pPr>
              <w:pStyle w:val="DTFBulletlist"/>
              <w:spacing w:after="120"/>
            </w:pPr>
            <w:r w:rsidRPr="00375B9D">
              <w:t xml:space="preserve">the employee does not normally reside in Australia, but the employer’s ABN registered address in the month is located in the NT </w:t>
            </w:r>
          </w:p>
          <w:p w14:paraId="5944F813" w14:textId="77777777" w:rsidR="00375B9D" w:rsidRPr="00375B9D" w:rsidRDefault="00375B9D" w:rsidP="00612867">
            <w:pPr>
              <w:pStyle w:val="DTFBulletlist"/>
              <w:spacing w:after="120"/>
            </w:pPr>
            <w:r w:rsidRPr="00375B9D">
              <w:t>the employer’s principal place of business is in the NT</w:t>
            </w:r>
          </w:p>
          <w:p w14:paraId="45EDE005" w14:textId="77777777" w:rsidR="00375B9D" w:rsidRPr="00375B9D" w:rsidRDefault="00375B9D" w:rsidP="00612867">
            <w:pPr>
              <w:pStyle w:val="DTFBulletlist"/>
              <w:spacing w:after="120"/>
            </w:pPr>
            <w:r w:rsidRPr="00375B9D">
              <w:t xml:space="preserve">neither the employee nor employer are based in an Australian state, but the wages or the highest proportion of </w:t>
            </w:r>
            <w:r w:rsidRPr="00375B9D">
              <w:rPr>
                <w:b/>
              </w:rPr>
              <w:t>wages paid</w:t>
            </w:r>
            <w:r w:rsidRPr="00375B9D">
              <w:t xml:space="preserve"> in Australia are paid in the NT</w:t>
            </w:r>
          </w:p>
          <w:p w14:paraId="51B807F7" w14:textId="77777777" w:rsidR="00375B9D" w:rsidRPr="00375B9D" w:rsidRDefault="00A73CE7" w:rsidP="00AE756D">
            <w:pPr>
              <w:pStyle w:val="DTFBulletlist"/>
            </w:pPr>
            <w:r>
              <w:t xml:space="preserve">or </w:t>
            </w:r>
            <w:r w:rsidR="00375B9D" w:rsidRPr="00375B9D">
              <w:t xml:space="preserve">neither the employee nor employer are based in an Australian state, but the </w:t>
            </w:r>
            <w:r w:rsidR="00375B9D" w:rsidRPr="00375B9D">
              <w:rPr>
                <w:b/>
              </w:rPr>
              <w:t>services</w:t>
            </w:r>
            <w:r w:rsidR="00375B9D" w:rsidRPr="00375B9D">
              <w:t xml:space="preserve"> or the highest proportion of services provided in Australia are provided in the NT.</w:t>
            </w:r>
          </w:p>
        </w:tc>
      </w:tr>
      <w:tr w:rsidR="00375B9D" w:rsidRPr="00375B9D" w14:paraId="7C8160AA" w14:textId="77777777" w:rsidTr="00C27129">
        <w:tc>
          <w:tcPr>
            <w:tcW w:w="2972" w:type="dxa"/>
          </w:tcPr>
          <w:p w14:paraId="25799AE6" w14:textId="77777777" w:rsidR="00375B9D" w:rsidRPr="00375B9D" w:rsidRDefault="00375B9D" w:rsidP="00375B9D">
            <w:pPr>
              <w:spacing w:after="200"/>
              <w:rPr>
                <w:noProof/>
                <w:lang w:eastAsia="en-AU"/>
              </w:rPr>
            </w:pPr>
            <w:r w:rsidRPr="00375B9D">
              <w:rPr>
                <w:noProof/>
                <w:lang w:eastAsia="en-AU"/>
              </w:rPr>
              <w:t>Wholly outside all Australian states (for example, in another country or offshore outside the territorial limits of any Australian state)</w:t>
            </w:r>
          </w:p>
        </w:tc>
        <w:tc>
          <w:tcPr>
            <w:tcW w:w="7376" w:type="dxa"/>
          </w:tcPr>
          <w:p w14:paraId="4538329C" w14:textId="77777777" w:rsidR="00375B9D" w:rsidRPr="00375B9D" w:rsidRDefault="00375B9D" w:rsidP="00375B9D">
            <w:pPr>
              <w:spacing w:after="200"/>
              <w:rPr>
                <w:noProof/>
                <w:lang w:eastAsia="en-AU"/>
              </w:rPr>
            </w:pPr>
            <w:r w:rsidRPr="00375B9D">
              <w:rPr>
                <w:noProof/>
                <w:lang w:eastAsia="en-AU"/>
              </w:rPr>
              <w:t>NT payroll tax is payable if the wages or the highest proportion of wages paid in Australia are paid in the NT.</w:t>
            </w:r>
          </w:p>
          <w:p w14:paraId="17FA6856" w14:textId="77777777" w:rsidR="00375B9D" w:rsidRPr="00375B9D" w:rsidRDefault="00375B9D" w:rsidP="00375B9D">
            <w:pPr>
              <w:spacing w:after="200"/>
              <w:rPr>
                <w:noProof/>
                <w:lang w:eastAsia="en-AU"/>
              </w:rPr>
            </w:pPr>
            <w:r w:rsidRPr="00375B9D">
              <w:rPr>
                <w:b/>
                <w:noProof/>
                <w:lang w:eastAsia="en-AU"/>
              </w:rPr>
              <w:t>Note</w:t>
            </w:r>
            <w:r w:rsidRPr="00375B9D">
              <w:rPr>
                <w:noProof/>
                <w:lang w:eastAsia="en-AU"/>
              </w:rPr>
              <w:t xml:space="preserve">: wages paid to an employee who performs services wholly in another country or countries for a continuous period of not less than six months are exempt from payroll tax (see Example 7 </w:t>
            </w:r>
            <w:r w:rsidRPr="00375B9D">
              <w:rPr>
                <w:noProof/>
                <w:lang w:eastAsia="en-AU"/>
              </w:rPr>
              <w:fldChar w:fldCharType="begin"/>
            </w:r>
            <w:r w:rsidRPr="00375B9D">
              <w:rPr>
                <w:noProof/>
                <w:lang w:eastAsia="en-AU"/>
              </w:rPr>
              <w:instrText xml:space="preserve"> PAGEREF Example6NexusRule \p \h </w:instrText>
            </w:r>
            <w:r w:rsidRPr="00375B9D">
              <w:rPr>
                <w:noProof/>
                <w:lang w:eastAsia="en-AU"/>
              </w:rPr>
            </w:r>
            <w:r w:rsidRPr="00375B9D">
              <w:rPr>
                <w:noProof/>
                <w:lang w:eastAsia="en-AU"/>
              </w:rPr>
              <w:fldChar w:fldCharType="separate"/>
            </w:r>
            <w:r w:rsidR="002A4C93">
              <w:rPr>
                <w:noProof/>
                <w:lang w:eastAsia="en-AU"/>
              </w:rPr>
              <w:t>on page 21</w:t>
            </w:r>
            <w:r w:rsidRPr="00375B9D">
              <w:rPr>
                <w:noProof/>
                <w:lang w:eastAsia="en-AU"/>
              </w:rPr>
              <w:fldChar w:fldCharType="end"/>
            </w:r>
            <w:r w:rsidRPr="00375B9D">
              <w:rPr>
                <w:noProof/>
                <w:lang w:eastAsia="en-AU"/>
              </w:rPr>
              <w:t xml:space="preserve"> for details).</w:t>
            </w:r>
          </w:p>
        </w:tc>
      </w:tr>
    </w:tbl>
    <w:p w14:paraId="0A664728" w14:textId="77777777" w:rsidR="00375B9D" w:rsidRPr="00375B9D" w:rsidRDefault="00375B9D" w:rsidP="00A7303B">
      <w:pPr>
        <w:pStyle w:val="Heading2"/>
      </w:pPr>
      <w:bookmarkStart w:id="33" w:name="_Toc467842741"/>
      <w:bookmarkStart w:id="34" w:name="_Toc108789568"/>
      <w:bookmarkStart w:id="35" w:name="OtherTypesofTaxableWages"/>
      <w:r w:rsidRPr="00375B9D">
        <w:lastRenderedPageBreak/>
        <w:t xml:space="preserve">Other </w:t>
      </w:r>
      <w:r w:rsidR="007468DF">
        <w:t>t</w:t>
      </w:r>
      <w:r w:rsidRPr="00375B9D">
        <w:t xml:space="preserve">ypes of </w:t>
      </w:r>
      <w:r w:rsidR="007468DF">
        <w:t>t</w:t>
      </w:r>
      <w:r w:rsidRPr="00375B9D">
        <w:t xml:space="preserve">axable </w:t>
      </w:r>
      <w:r w:rsidR="007468DF">
        <w:t>w</w:t>
      </w:r>
      <w:r w:rsidRPr="00375B9D">
        <w:t>ages</w:t>
      </w:r>
      <w:bookmarkEnd w:id="33"/>
      <w:bookmarkEnd w:id="34"/>
    </w:p>
    <w:bookmarkEnd w:id="35"/>
    <w:p w14:paraId="10C48481" w14:textId="77777777" w:rsidR="00375B9D" w:rsidRPr="00375B9D" w:rsidRDefault="00375B9D" w:rsidP="00C27129">
      <w:pPr>
        <w:pStyle w:val="Heading3"/>
        <w:rPr>
          <w:noProof/>
          <w:lang w:eastAsia="en-AU"/>
        </w:rPr>
      </w:pPr>
      <w:r w:rsidRPr="00375B9D">
        <w:rPr>
          <w:noProof/>
          <w:lang w:eastAsia="en-AU"/>
        </w:rPr>
        <w:t xml:space="preserve">GST is not </w:t>
      </w:r>
      <w:r w:rsidR="007468DF">
        <w:rPr>
          <w:noProof/>
          <w:lang w:eastAsia="en-AU"/>
        </w:rPr>
        <w:t>i</w:t>
      </w:r>
      <w:r w:rsidRPr="00375B9D">
        <w:rPr>
          <w:noProof/>
          <w:lang w:eastAsia="en-AU"/>
        </w:rPr>
        <w:t xml:space="preserve">ncluded as </w:t>
      </w:r>
      <w:r w:rsidR="007468DF">
        <w:rPr>
          <w:noProof/>
          <w:lang w:eastAsia="en-AU"/>
        </w:rPr>
        <w:t>w</w:t>
      </w:r>
      <w:r w:rsidRPr="00375B9D">
        <w:rPr>
          <w:noProof/>
          <w:lang w:eastAsia="en-AU"/>
        </w:rPr>
        <w:t xml:space="preserve">ages for </w:t>
      </w:r>
      <w:r w:rsidR="007468DF">
        <w:rPr>
          <w:noProof/>
          <w:lang w:eastAsia="en-AU"/>
        </w:rPr>
        <w:t>c</w:t>
      </w:r>
      <w:r w:rsidRPr="00375B9D">
        <w:rPr>
          <w:noProof/>
          <w:lang w:eastAsia="en-AU"/>
        </w:rPr>
        <w:t>ontractors</w:t>
      </w:r>
    </w:p>
    <w:p w14:paraId="5E1BFA77" w14:textId="77777777" w:rsidR="00375B9D" w:rsidRPr="00375B9D" w:rsidRDefault="00375B9D" w:rsidP="00375B9D">
      <w:pPr>
        <w:rPr>
          <w:noProof/>
          <w:lang w:eastAsia="en-AU"/>
        </w:rPr>
      </w:pPr>
      <w:r w:rsidRPr="00375B9D">
        <w:rPr>
          <w:noProof/>
          <w:lang w:eastAsia="en-AU"/>
        </w:rPr>
        <w:t xml:space="preserve">Some payments businesses make to contractors will be taxable wages (see more information </w:t>
      </w:r>
      <w:r w:rsidRPr="00375B9D">
        <w:rPr>
          <w:noProof/>
          <w:lang w:eastAsia="en-AU"/>
        </w:rPr>
        <w:fldChar w:fldCharType="begin"/>
      </w:r>
      <w:r w:rsidRPr="00375B9D">
        <w:rPr>
          <w:noProof/>
          <w:lang w:eastAsia="en-AU"/>
        </w:rPr>
        <w:instrText xml:space="preserve"> PAGEREF ContractorsSubcontractorsConsultants \p \h </w:instrText>
      </w:r>
      <w:r w:rsidRPr="00375B9D">
        <w:rPr>
          <w:noProof/>
          <w:lang w:eastAsia="en-AU"/>
        </w:rPr>
      </w:r>
      <w:r w:rsidRPr="00375B9D">
        <w:rPr>
          <w:noProof/>
          <w:lang w:eastAsia="en-AU"/>
        </w:rPr>
        <w:fldChar w:fldCharType="separate"/>
      </w:r>
      <w:r w:rsidR="002A4C93">
        <w:rPr>
          <w:noProof/>
          <w:lang w:eastAsia="en-AU"/>
        </w:rPr>
        <w:t>on page 36</w:t>
      </w:r>
      <w:r w:rsidRPr="00375B9D">
        <w:rPr>
          <w:noProof/>
          <w:lang w:eastAsia="en-AU"/>
        </w:rPr>
        <w:fldChar w:fldCharType="end"/>
      </w:r>
      <w:r w:rsidRPr="00375B9D">
        <w:rPr>
          <w:noProof/>
          <w:lang w:eastAsia="en-AU"/>
        </w:rPr>
        <w:t>).</w:t>
      </w:r>
    </w:p>
    <w:p w14:paraId="72648A82" w14:textId="77777777" w:rsidR="00375B9D" w:rsidRPr="00375B9D" w:rsidRDefault="00375B9D" w:rsidP="00375B9D">
      <w:pPr>
        <w:rPr>
          <w:noProof/>
          <w:lang w:eastAsia="en-AU"/>
        </w:rPr>
      </w:pPr>
      <w:r w:rsidRPr="00375B9D">
        <w:rPr>
          <w:noProof/>
          <w:lang w:eastAsia="en-AU"/>
        </w:rPr>
        <w:t>Where this occurs, the GST component of the payment to the contractor is not included in taxable wages for your payroll tax return. Only the pre-GST component is treated as taxable wages.</w:t>
      </w:r>
    </w:p>
    <w:tbl>
      <w:tblPr>
        <w:tblStyle w:val="DTFpayrolltaxguidestyle1"/>
        <w:tblW w:w="10348" w:type="dxa"/>
        <w:tblLook w:val="04A0" w:firstRow="1" w:lastRow="0" w:firstColumn="1" w:lastColumn="0" w:noHBand="0" w:noVBand="1"/>
        <w:tblDescription w:val="Note: If a worker claims GST when not registered with the ATO for GST purposes the ‘GST’ does not have the legal status of GST and forms part of taxable wages for payroll tax purposes. For your protection your business should have in place a system for validating the ABN and GST status of contractors you engage (see the ATO’s ‘ABN Lookup’ website)."/>
      </w:tblPr>
      <w:tblGrid>
        <w:gridCol w:w="10348"/>
      </w:tblGrid>
      <w:tr w:rsidR="00375B9D" w:rsidRPr="00375B9D" w14:paraId="471E4C3B" w14:textId="77777777" w:rsidTr="005619AF">
        <w:trPr>
          <w:trHeight w:val="1190"/>
          <w:tblHeader/>
        </w:trPr>
        <w:tc>
          <w:tcPr>
            <w:tcW w:w="10348" w:type="dxa"/>
          </w:tcPr>
          <w:p w14:paraId="162290EB" w14:textId="77777777" w:rsidR="00375B9D" w:rsidRPr="00375B9D" w:rsidRDefault="00375B9D" w:rsidP="00612867">
            <w:pPr>
              <w:spacing w:after="200"/>
              <w:rPr>
                <w:noProof/>
                <w:lang w:eastAsia="en-AU"/>
              </w:rPr>
            </w:pPr>
            <w:r w:rsidRPr="00375B9D">
              <w:rPr>
                <w:b/>
                <w:noProof/>
                <w:lang w:eastAsia="en-AU"/>
              </w:rPr>
              <w:t>Note</w:t>
            </w:r>
            <w:r w:rsidRPr="00375B9D">
              <w:rPr>
                <w:noProof/>
                <w:lang w:eastAsia="en-AU"/>
              </w:rPr>
              <w:t xml:space="preserve">: If a worker claims GST when not registered with the ATO for GST purposes, the ‘GST’ does not have the legal status of GST and forms part of taxable wages for payroll tax purposes. For your protection your business should have in place a system of validating the ABN and GST status of contractors you engage (see the </w:t>
            </w:r>
            <w:hyperlink r:id="rId31" w:history="1">
              <w:r w:rsidRPr="00375B9D">
                <w:rPr>
                  <w:rStyle w:val="Hyperlink"/>
                  <w:noProof/>
                  <w:lang w:eastAsia="en-AU"/>
                </w:rPr>
                <w:t xml:space="preserve">ABN </w:t>
              </w:r>
              <w:r w:rsidR="00612867">
                <w:rPr>
                  <w:rStyle w:val="Hyperlink"/>
                  <w:noProof/>
                  <w:lang w:eastAsia="en-AU"/>
                </w:rPr>
                <w:t>l</w:t>
              </w:r>
              <w:r w:rsidRPr="00375B9D">
                <w:rPr>
                  <w:rStyle w:val="Hyperlink"/>
                  <w:noProof/>
                  <w:lang w:eastAsia="en-AU"/>
                </w:rPr>
                <w:t>ook</w:t>
              </w:r>
              <w:r w:rsidR="00612867">
                <w:rPr>
                  <w:rStyle w:val="Hyperlink"/>
                  <w:noProof/>
                  <w:lang w:eastAsia="en-AU"/>
                </w:rPr>
                <w:t>-</w:t>
              </w:r>
              <w:r w:rsidRPr="00375B9D">
                <w:rPr>
                  <w:rStyle w:val="Hyperlink"/>
                  <w:noProof/>
                  <w:lang w:eastAsia="en-AU"/>
                </w:rPr>
                <w:t>up</w:t>
              </w:r>
            </w:hyperlink>
            <w:r w:rsidRPr="00375B9D">
              <w:rPr>
                <w:noProof/>
                <w:lang w:eastAsia="en-AU"/>
              </w:rPr>
              <w:t xml:space="preserve"> website).</w:t>
            </w:r>
          </w:p>
        </w:tc>
      </w:tr>
    </w:tbl>
    <w:p w14:paraId="705F4A7F" w14:textId="77777777" w:rsidR="00C27129" w:rsidRDefault="00C27129" w:rsidP="00375B9D">
      <w:pPr>
        <w:rPr>
          <w:noProof/>
          <w:lang w:eastAsia="en-AU"/>
        </w:rPr>
      </w:pPr>
      <w:bookmarkStart w:id="36" w:name="SuperContributions"/>
      <w:bookmarkEnd w:id="36"/>
    </w:p>
    <w:p w14:paraId="12B9ECE4" w14:textId="77777777" w:rsidR="00375B9D" w:rsidRPr="00375B9D" w:rsidRDefault="00375B9D" w:rsidP="00C27129">
      <w:pPr>
        <w:pStyle w:val="Heading3"/>
        <w:rPr>
          <w:noProof/>
          <w:lang w:eastAsia="en-AU"/>
        </w:rPr>
      </w:pPr>
      <w:r w:rsidRPr="00375B9D">
        <w:rPr>
          <w:noProof/>
          <w:lang w:eastAsia="en-AU"/>
        </w:rPr>
        <w:t xml:space="preserve">Superannuation </w:t>
      </w:r>
      <w:r w:rsidR="005D26B8">
        <w:rPr>
          <w:noProof/>
          <w:lang w:eastAsia="en-AU"/>
        </w:rPr>
        <w:t>c</w:t>
      </w:r>
      <w:r w:rsidRPr="00375B9D">
        <w:rPr>
          <w:noProof/>
          <w:lang w:eastAsia="en-AU"/>
        </w:rPr>
        <w:t xml:space="preserve">ontributions made by </w:t>
      </w:r>
      <w:r w:rsidR="005D26B8">
        <w:rPr>
          <w:noProof/>
          <w:lang w:eastAsia="en-AU"/>
        </w:rPr>
        <w:t>e</w:t>
      </w:r>
      <w:r w:rsidRPr="00375B9D">
        <w:rPr>
          <w:noProof/>
          <w:lang w:eastAsia="en-AU"/>
        </w:rPr>
        <w:t>mployer</w:t>
      </w:r>
    </w:p>
    <w:p w14:paraId="01C198F6" w14:textId="77777777" w:rsidR="00375B9D" w:rsidRPr="00375B9D" w:rsidRDefault="00375B9D" w:rsidP="00375B9D">
      <w:pPr>
        <w:rPr>
          <w:noProof/>
          <w:lang w:eastAsia="en-AU"/>
        </w:rPr>
      </w:pPr>
      <w:r w:rsidRPr="00375B9D">
        <w:rPr>
          <w:noProof/>
          <w:lang w:eastAsia="en-AU"/>
        </w:rPr>
        <w:t xml:space="preserve">The definition of wages includes employer superannuation contributions and before-tax contributions made by the employee through salary sacrifice arrangements. Additional personal employee contributions made from after-tax wages are </w:t>
      </w:r>
      <w:r w:rsidRPr="00375B9D">
        <w:rPr>
          <w:b/>
          <w:noProof/>
          <w:lang w:eastAsia="en-AU"/>
        </w:rPr>
        <w:t>not</w:t>
      </w:r>
      <w:r w:rsidRPr="00375B9D">
        <w:rPr>
          <w:noProof/>
          <w:lang w:eastAsia="en-AU"/>
        </w:rPr>
        <w:t xml:space="preserve"> wages for payroll tax purposes.</w:t>
      </w:r>
    </w:p>
    <w:p w14:paraId="7B15B655" w14:textId="77777777" w:rsidR="00375B9D" w:rsidRPr="00375B9D" w:rsidRDefault="00375B9D" w:rsidP="00375B9D">
      <w:pPr>
        <w:rPr>
          <w:noProof/>
          <w:lang w:eastAsia="en-AU"/>
        </w:rPr>
      </w:pPr>
      <w:r w:rsidRPr="00375B9D">
        <w:rPr>
          <w:noProof/>
          <w:lang w:eastAsia="en-AU"/>
        </w:rPr>
        <w:t>Superannuation contributions include amounts paid or payable to superannuation funds, retirement funds, provident funds, retirement savings accounts and to defined benefit funds.</w:t>
      </w:r>
    </w:p>
    <w:p w14:paraId="0B00D817" w14:textId="77777777" w:rsidR="00375B9D" w:rsidRPr="00375B9D" w:rsidRDefault="00375B9D" w:rsidP="00375B9D">
      <w:pPr>
        <w:rPr>
          <w:noProof/>
          <w:lang w:eastAsia="en-AU"/>
        </w:rPr>
      </w:pPr>
      <w:r w:rsidRPr="00375B9D">
        <w:rPr>
          <w:noProof/>
          <w:lang w:eastAsia="en-AU"/>
        </w:rPr>
        <w:t>Where an asset other than money (for example, a house and land), is contributed to a fund by the employer, with no or reduced personal contribution by the employee towards those costs, this is called an ‘in-kind’ contribution.</w:t>
      </w:r>
    </w:p>
    <w:p w14:paraId="3A6EA27A" w14:textId="77777777" w:rsidR="00375B9D" w:rsidRPr="00375B9D" w:rsidRDefault="00375B9D" w:rsidP="00375B9D">
      <w:pPr>
        <w:rPr>
          <w:noProof/>
          <w:lang w:eastAsia="en-AU"/>
        </w:rPr>
      </w:pPr>
      <w:r w:rsidRPr="00375B9D">
        <w:rPr>
          <w:noProof/>
          <w:lang w:eastAsia="en-AU"/>
        </w:rPr>
        <w:t>The value of the in-kind contribution is taken to be a superannuation contribution and is subject to payroll</w:t>
      </w:r>
      <w:r w:rsidR="00612867">
        <w:rPr>
          <w:noProof/>
          <w:lang w:eastAsia="en-AU"/>
        </w:rPr>
        <w:t> </w:t>
      </w:r>
      <w:r w:rsidRPr="00375B9D">
        <w:rPr>
          <w:noProof/>
          <w:lang w:eastAsia="en-AU"/>
        </w:rPr>
        <w:t>tax.</w:t>
      </w:r>
    </w:p>
    <w:tbl>
      <w:tblPr>
        <w:tblStyle w:val="DTFpayrolltaxguidestyle1"/>
        <w:tblW w:w="10348" w:type="dxa"/>
        <w:tblLook w:val="04A0" w:firstRow="1" w:lastRow="0" w:firstColumn="1" w:lastColumn="0" w:noHBand="0" w:noVBand="1"/>
        <w:tblDescription w:val="Example: Johnnie Johnston is the sole director of JJ Constructions Pty Ltd, a Northern Territory taxpayer with taxable wages of $3.5 million in 2014-2015. The company owns its own business premises in Winnellie; the land and buildings are valued at $1 million. On 18 June 2015 the property is transferred (without payment) to Johnnie Johnston’s superannuation fund – that is the owner of the land and buildings changes from JJ Constructions Pty Ltd (in its own right) to JJ Constructions Pty Ltd as trustee for the Johnnie Johnston Superannuation Fund.&#10;This constitutes a $1 million superannuation contribution in respect of Mr Johnston (a director and therefore employee) and the $1 million would need to be declared as taxable wages in the June 2015 payroll tax return for JJ Constructions Pty Ltd in the ‘Employer Superannuation Contributions’ category.&#10;"/>
      </w:tblPr>
      <w:tblGrid>
        <w:gridCol w:w="10348"/>
      </w:tblGrid>
      <w:tr w:rsidR="00375B9D" w:rsidRPr="00375B9D" w14:paraId="44AF2555" w14:textId="77777777" w:rsidTr="005619AF">
        <w:trPr>
          <w:trHeight w:val="2633"/>
          <w:tblHeader/>
        </w:trPr>
        <w:tc>
          <w:tcPr>
            <w:tcW w:w="10348" w:type="dxa"/>
          </w:tcPr>
          <w:p w14:paraId="415BFE08" w14:textId="77777777" w:rsidR="00375B9D" w:rsidRPr="00375B9D" w:rsidRDefault="00375B9D" w:rsidP="00375B9D">
            <w:pPr>
              <w:spacing w:after="200"/>
              <w:rPr>
                <w:noProof/>
                <w:lang w:eastAsia="en-AU"/>
              </w:rPr>
            </w:pPr>
            <w:r w:rsidRPr="00375B9D">
              <w:rPr>
                <w:b/>
                <w:noProof/>
                <w:lang w:eastAsia="en-AU"/>
              </w:rPr>
              <w:t>Example</w:t>
            </w:r>
            <w:r w:rsidRPr="00375B9D">
              <w:rPr>
                <w:noProof/>
                <w:lang w:eastAsia="en-AU"/>
              </w:rPr>
              <w:t xml:space="preserve">: Johnnie Johnston is the sole director of JJ Builders Pty Ltd, a NT taxpayer with taxable wages of $3.5 million in </w:t>
            </w:r>
            <w:r w:rsidR="004267E5">
              <w:rPr>
                <w:noProof/>
                <w:lang w:eastAsia="en-AU"/>
              </w:rPr>
              <w:t>2021-22</w:t>
            </w:r>
            <w:r w:rsidRPr="00375B9D">
              <w:rPr>
                <w:noProof/>
                <w:lang w:eastAsia="en-AU"/>
              </w:rPr>
              <w:t>. The company owns its own business premises in Winnellie; the land and buildings are valued at $1 million. On 18 June 20</w:t>
            </w:r>
            <w:r w:rsidR="004267E5">
              <w:rPr>
                <w:noProof/>
                <w:lang w:eastAsia="en-AU"/>
              </w:rPr>
              <w:t>22</w:t>
            </w:r>
            <w:r w:rsidRPr="00375B9D">
              <w:rPr>
                <w:noProof/>
                <w:lang w:eastAsia="en-AU"/>
              </w:rPr>
              <w:t xml:space="preserve"> the property is transferred (without payment) to Johnnie Johnston’s superannuation fund – that is, the owner of the land and buildings changes from JJ</w:t>
            </w:r>
            <w:r w:rsidR="00612867">
              <w:rPr>
                <w:noProof/>
                <w:lang w:eastAsia="en-AU"/>
              </w:rPr>
              <w:t> </w:t>
            </w:r>
            <w:r w:rsidRPr="00375B9D">
              <w:rPr>
                <w:noProof/>
                <w:lang w:eastAsia="en-AU"/>
              </w:rPr>
              <w:t>Builders Pty Ltd (in its own right) to JJ Builders Pty Ltd as trustee for the Johnnie Johnston Superannuation Fund.</w:t>
            </w:r>
          </w:p>
          <w:p w14:paraId="012D5F56" w14:textId="77777777" w:rsidR="00375B9D" w:rsidRPr="00375B9D" w:rsidRDefault="00375B9D" w:rsidP="004267E5">
            <w:pPr>
              <w:spacing w:after="200"/>
              <w:rPr>
                <w:noProof/>
                <w:lang w:eastAsia="en-AU"/>
              </w:rPr>
            </w:pPr>
            <w:r w:rsidRPr="00375B9D">
              <w:rPr>
                <w:noProof/>
                <w:lang w:eastAsia="en-AU"/>
              </w:rPr>
              <w:t>This constitutes a $1 million superannuation contribution in respect of Mr Johnston (a director and therefore employee) and the $1 million needs to be declared as taxable wages in the June 20</w:t>
            </w:r>
            <w:r w:rsidR="004267E5">
              <w:rPr>
                <w:noProof/>
                <w:lang w:eastAsia="en-AU"/>
              </w:rPr>
              <w:t>22</w:t>
            </w:r>
            <w:r w:rsidRPr="00375B9D">
              <w:rPr>
                <w:noProof/>
                <w:lang w:eastAsia="en-AU"/>
              </w:rPr>
              <w:t xml:space="preserve"> payroll tax return for JJ Constructions Pty Ltd in the ‘Employer Superannuation Contributions’ category.</w:t>
            </w:r>
          </w:p>
        </w:tc>
      </w:tr>
    </w:tbl>
    <w:p w14:paraId="0E38057A" w14:textId="77777777" w:rsidR="00375B9D" w:rsidRPr="00375B9D" w:rsidRDefault="00375B9D" w:rsidP="00375B9D">
      <w:pPr>
        <w:rPr>
          <w:b/>
          <w:noProof/>
          <w:lang w:eastAsia="en-AU"/>
        </w:rPr>
      </w:pPr>
    </w:p>
    <w:tbl>
      <w:tblPr>
        <w:tblStyle w:val="DTFpayrolltaxguidestyle1"/>
        <w:tblW w:w="10348" w:type="dxa"/>
        <w:tblLook w:val="04A0" w:firstRow="1" w:lastRow="0" w:firstColumn="1" w:lastColumn="0" w:noHBand="0" w:noVBand="1"/>
        <w:tblDescription w:val="For further information on employer superannuation contributions and payroll tax, please refer to the following link:&#10;• CG-PRT-001 Payroll tax on superannuation contributions made by an employer&#10;"/>
      </w:tblPr>
      <w:tblGrid>
        <w:gridCol w:w="10348"/>
      </w:tblGrid>
      <w:tr w:rsidR="00375B9D" w:rsidRPr="00375B9D" w14:paraId="4D44D7D6" w14:textId="77777777" w:rsidTr="005619AF">
        <w:trPr>
          <w:trHeight w:val="406"/>
          <w:tblHeader/>
        </w:trPr>
        <w:tc>
          <w:tcPr>
            <w:tcW w:w="10348" w:type="dxa"/>
          </w:tcPr>
          <w:p w14:paraId="1636BEDD" w14:textId="77777777" w:rsidR="00375B9D" w:rsidRPr="00375B9D" w:rsidRDefault="00375B9D" w:rsidP="00612867">
            <w:pPr>
              <w:spacing w:after="200"/>
              <w:rPr>
                <w:noProof/>
                <w:lang w:eastAsia="en-AU"/>
              </w:rPr>
            </w:pPr>
            <w:r w:rsidRPr="00375B9D">
              <w:rPr>
                <w:noProof/>
                <w:lang w:eastAsia="en-AU"/>
              </w:rPr>
              <w:t xml:space="preserve">For further information on employer superannuation contributions and payroll tax, please refer to </w:t>
            </w:r>
            <w:hyperlink r:id="rId32" w:history="1">
              <w:r w:rsidRPr="00375B9D">
                <w:rPr>
                  <w:rStyle w:val="Hyperlink"/>
                  <w:noProof/>
                  <w:lang w:eastAsia="en-AU"/>
                </w:rPr>
                <w:t>CG</w:t>
              </w:r>
              <w:r w:rsidR="00612867">
                <w:rPr>
                  <w:rStyle w:val="Hyperlink"/>
                  <w:noProof/>
                  <w:lang w:eastAsia="en-AU"/>
                </w:rPr>
                <w:noBreakHyphen/>
              </w:r>
              <w:r w:rsidRPr="00375B9D">
                <w:rPr>
                  <w:rStyle w:val="Hyperlink"/>
                  <w:noProof/>
                  <w:lang w:eastAsia="en-AU"/>
                </w:rPr>
                <w:t>PRT-001 Payroll tax on superannuation contributions made by an employer</w:t>
              </w:r>
            </w:hyperlink>
            <w:r w:rsidRPr="00375B9D">
              <w:rPr>
                <w:noProof/>
                <w:lang w:eastAsia="en-AU"/>
              </w:rPr>
              <w:t>.</w:t>
            </w:r>
          </w:p>
        </w:tc>
      </w:tr>
    </w:tbl>
    <w:p w14:paraId="65190561" w14:textId="77777777" w:rsidR="008D4E82" w:rsidRDefault="008D4E82" w:rsidP="00375B9D">
      <w:pPr>
        <w:rPr>
          <w:noProof/>
          <w:lang w:eastAsia="en-AU"/>
        </w:rPr>
      </w:pPr>
    </w:p>
    <w:p w14:paraId="0BF055E0" w14:textId="77777777" w:rsidR="00375B9D" w:rsidRPr="00375B9D" w:rsidRDefault="00375B9D" w:rsidP="008D4E82">
      <w:pPr>
        <w:pStyle w:val="Heading3"/>
        <w:rPr>
          <w:noProof/>
          <w:lang w:eastAsia="en-AU"/>
        </w:rPr>
      </w:pPr>
      <w:r w:rsidRPr="00375B9D">
        <w:rPr>
          <w:noProof/>
          <w:lang w:eastAsia="en-AU"/>
        </w:rPr>
        <w:lastRenderedPageBreak/>
        <w:t xml:space="preserve">Salary </w:t>
      </w:r>
      <w:r w:rsidR="005D26B8">
        <w:rPr>
          <w:noProof/>
          <w:lang w:eastAsia="en-AU"/>
        </w:rPr>
        <w:t>s</w:t>
      </w:r>
      <w:r w:rsidRPr="00375B9D">
        <w:rPr>
          <w:noProof/>
          <w:lang w:eastAsia="en-AU"/>
        </w:rPr>
        <w:t xml:space="preserve">acrifice </w:t>
      </w:r>
      <w:r w:rsidR="005D26B8">
        <w:rPr>
          <w:noProof/>
          <w:lang w:eastAsia="en-AU"/>
        </w:rPr>
        <w:t>a</w:t>
      </w:r>
      <w:r w:rsidRPr="00375B9D">
        <w:rPr>
          <w:noProof/>
          <w:lang w:eastAsia="en-AU"/>
        </w:rPr>
        <w:t>rrangements</w:t>
      </w:r>
    </w:p>
    <w:p w14:paraId="1E1B1A9D" w14:textId="77777777" w:rsidR="00375B9D" w:rsidRPr="00375B9D" w:rsidRDefault="00375B9D" w:rsidP="00375B9D">
      <w:pPr>
        <w:rPr>
          <w:noProof/>
          <w:lang w:eastAsia="en-AU"/>
        </w:rPr>
      </w:pPr>
      <w:r w:rsidRPr="00375B9D">
        <w:rPr>
          <w:noProof/>
          <w:lang w:eastAsia="en-AU"/>
        </w:rPr>
        <w:t>A salary sacrifice arrangement refers to an arrangement between an employer and employee where the employee agrees to forego part of his or her future salary or wage in return for another form of non-cash benefit.</w:t>
      </w:r>
    </w:p>
    <w:p w14:paraId="10D8C145" w14:textId="77777777" w:rsidR="00375B9D" w:rsidRPr="00375B9D" w:rsidRDefault="00375B9D" w:rsidP="00375B9D">
      <w:pPr>
        <w:rPr>
          <w:noProof/>
          <w:lang w:eastAsia="en-AU"/>
        </w:rPr>
      </w:pPr>
      <w:r w:rsidRPr="00375B9D">
        <w:rPr>
          <w:noProof/>
          <w:lang w:eastAsia="en-AU"/>
        </w:rPr>
        <w:t>The non-cash benefits provided may include pre-tax superannuation contributions, provision of a motor vehicle, a laptop computer, car parking fees, rent subsidy, payment of school fees, membership fees or similar items.</w:t>
      </w:r>
    </w:p>
    <w:p w14:paraId="667B2B70" w14:textId="77777777" w:rsidR="00375B9D" w:rsidRPr="00375B9D" w:rsidRDefault="00375B9D" w:rsidP="00375B9D">
      <w:pPr>
        <w:rPr>
          <w:noProof/>
          <w:lang w:eastAsia="en-AU"/>
        </w:rPr>
      </w:pPr>
      <w:r w:rsidRPr="00375B9D">
        <w:rPr>
          <w:noProof/>
          <w:lang w:eastAsia="en-AU"/>
        </w:rPr>
        <w:t>Under a salary sacrifice arrangement:</w:t>
      </w:r>
    </w:p>
    <w:p w14:paraId="1E3E4A72" w14:textId="77777777" w:rsidR="00375B9D" w:rsidRPr="00375B9D" w:rsidRDefault="00375B9D" w:rsidP="00AE756D">
      <w:pPr>
        <w:pStyle w:val="DTFBulletlist"/>
      </w:pPr>
      <w:r w:rsidRPr="00375B9D">
        <w:t xml:space="preserve">the employee pays income tax on the reduced salary or wage </w:t>
      </w:r>
    </w:p>
    <w:p w14:paraId="56BABA53" w14:textId="77777777" w:rsidR="00375B9D" w:rsidRPr="00375B9D" w:rsidRDefault="00375B9D" w:rsidP="00AE756D">
      <w:pPr>
        <w:pStyle w:val="DTFBulletlist"/>
      </w:pPr>
      <w:r w:rsidRPr="00375B9D">
        <w:t>salary sacrificed (pre-tax) superannuation contributions are classified as an employer contribution (not employee contributions)</w:t>
      </w:r>
    </w:p>
    <w:p w14:paraId="548AE3DC" w14:textId="77777777" w:rsidR="00375B9D" w:rsidRPr="00375B9D" w:rsidRDefault="00375B9D" w:rsidP="00AE756D">
      <w:pPr>
        <w:pStyle w:val="DTFBulletlist"/>
      </w:pPr>
      <w:r w:rsidRPr="00375B9D">
        <w:t>the employer may be liable to pay fringe benefits tax on the fringe benefits provided.</w:t>
      </w:r>
    </w:p>
    <w:p w14:paraId="6F54435D" w14:textId="77777777" w:rsidR="00375B9D" w:rsidRPr="00375B9D" w:rsidRDefault="00375B9D" w:rsidP="00A73CE7">
      <w:r w:rsidRPr="00375B9D">
        <w:t>The payroll tax treatment under a salary sacrifice arrangement is as follows:</w:t>
      </w:r>
    </w:p>
    <w:p w14:paraId="0EA93BD4" w14:textId="77777777" w:rsidR="00375B9D" w:rsidRPr="00375B9D" w:rsidRDefault="00375B9D" w:rsidP="00AE756D">
      <w:pPr>
        <w:pStyle w:val="DTFBulletlist"/>
      </w:pPr>
      <w:r w:rsidRPr="00375B9D">
        <w:t>the reduced salary or wage on which the employee pays income tax is treated as taxable wages</w:t>
      </w:r>
    </w:p>
    <w:p w14:paraId="0D68DD01" w14:textId="77777777" w:rsidR="00375B9D" w:rsidRPr="00375B9D" w:rsidRDefault="00375B9D" w:rsidP="00AE756D">
      <w:pPr>
        <w:pStyle w:val="DTFBulletlist"/>
      </w:pPr>
      <w:r w:rsidRPr="00375B9D">
        <w:t>any pre-tax superannuation contribution classified as the employer contribution is taxable wages</w:t>
      </w:r>
    </w:p>
    <w:p w14:paraId="0AF3308E" w14:textId="77777777" w:rsidR="00375B9D" w:rsidRPr="00375B9D" w:rsidRDefault="00375B9D" w:rsidP="00AE756D">
      <w:pPr>
        <w:pStyle w:val="DTFBulletlist"/>
      </w:pPr>
      <w:r w:rsidRPr="00375B9D">
        <w:t xml:space="preserve">the taxable value (if any) of the benefit under the </w:t>
      </w:r>
      <w:r w:rsidRPr="00375B9D">
        <w:rPr>
          <w:i/>
        </w:rPr>
        <w:t>Fringe Benefits Tax Assessment Act 19</w:t>
      </w:r>
      <w:r w:rsidR="008775BF">
        <w:rPr>
          <w:i/>
        </w:rPr>
        <w:t>86</w:t>
      </w:r>
      <w:r w:rsidRPr="00375B9D">
        <w:t xml:space="preserve"> (FBTAA), grossed-up by the Type 2 factor as shown on the FBT return is taxable wages (see </w:t>
      </w:r>
      <w:r w:rsidRPr="00375B9D">
        <w:fldChar w:fldCharType="begin"/>
      </w:r>
      <w:r w:rsidRPr="00375B9D">
        <w:instrText xml:space="preserve"> PAGEREF FringeBenefits \p \h </w:instrText>
      </w:r>
      <w:r w:rsidRPr="00375B9D">
        <w:fldChar w:fldCharType="separate"/>
      </w:r>
      <w:r w:rsidR="002A4C93">
        <w:t>on page 28</w:t>
      </w:r>
      <w:r w:rsidRPr="00375B9D">
        <w:fldChar w:fldCharType="end"/>
      </w:r>
      <w:r w:rsidRPr="00375B9D">
        <w:t>).</w:t>
      </w:r>
    </w:p>
    <w:p w14:paraId="2E9A6C1D" w14:textId="77777777" w:rsidR="00375B9D" w:rsidRPr="00375B9D" w:rsidRDefault="00375B9D" w:rsidP="00FD3839">
      <w:pPr>
        <w:rPr>
          <w:noProof/>
        </w:rPr>
      </w:pPr>
      <w:r w:rsidRPr="00375B9D">
        <w:rPr>
          <w:noProof/>
        </w:rPr>
        <w:t>If a benefit provided to the employee is exempt from fringe benefits tax, no payroll tax is payable in respect of the amount sacrificed for that benefit and payroll tax is payable only on the reduced salary on which the employee pays income tax.</w:t>
      </w:r>
    </w:p>
    <w:p w14:paraId="753254AC" w14:textId="77777777" w:rsidR="00375B9D" w:rsidRPr="00375B9D" w:rsidRDefault="00375B9D" w:rsidP="00375B9D">
      <w:pPr>
        <w:rPr>
          <w:noProof/>
          <w:lang w:eastAsia="en-AU"/>
        </w:rPr>
      </w:pPr>
      <w:r w:rsidRPr="00375B9D">
        <w:rPr>
          <w:noProof/>
          <w:lang w:eastAsia="en-AU"/>
        </w:rPr>
        <w:t>The following examples outline the payroll tax treatment of various salary sacrifice arrangements:</w:t>
      </w:r>
    </w:p>
    <w:tbl>
      <w:tblPr>
        <w:tblStyle w:val="DTFpayrolltaxguidestyle1"/>
        <w:tblW w:w="10348" w:type="dxa"/>
        <w:tblLook w:val="04A0" w:firstRow="1" w:lastRow="0" w:firstColumn="1" w:lastColumn="0" w:noHBand="0" w:noVBand="1"/>
        <w:tblDescription w:val="Example 1: An employee has a current salary of $70 000 per annum. The employee negotiates with the employer for the provision of a $30 000 private use car under a $7 000 per annum salary sacrifice arrangement. The arrangement reduces the employee’s taxable salary by $7 000 from $70 000 to $63 000."/>
      </w:tblPr>
      <w:tblGrid>
        <w:gridCol w:w="10348"/>
      </w:tblGrid>
      <w:tr w:rsidR="00375B9D" w:rsidRPr="00375B9D" w14:paraId="21AEE566" w14:textId="77777777" w:rsidTr="005619AF">
        <w:trPr>
          <w:trHeight w:val="3131"/>
          <w:tblHeader/>
        </w:trPr>
        <w:tc>
          <w:tcPr>
            <w:tcW w:w="10348" w:type="dxa"/>
          </w:tcPr>
          <w:p w14:paraId="26E736E8" w14:textId="77777777" w:rsidR="00375B9D" w:rsidRPr="00375B9D" w:rsidRDefault="00375B9D" w:rsidP="00375B9D">
            <w:pPr>
              <w:spacing w:after="200"/>
              <w:rPr>
                <w:noProof/>
                <w:lang w:eastAsia="en-AU"/>
              </w:rPr>
            </w:pPr>
            <w:r w:rsidRPr="00375B9D">
              <w:rPr>
                <w:b/>
                <w:noProof/>
                <w:lang w:eastAsia="en-AU"/>
              </w:rPr>
              <w:t>Example 1</w:t>
            </w:r>
            <w:r w:rsidRPr="00375B9D">
              <w:rPr>
                <w:noProof/>
                <w:lang w:eastAsia="en-AU"/>
              </w:rPr>
              <w:t>: An employee has a current salary of $70</w:t>
            </w:r>
            <w:r w:rsidR="00C65823">
              <w:rPr>
                <w:noProof/>
                <w:lang w:eastAsia="en-AU"/>
              </w:rPr>
              <w:t>,000</w:t>
            </w:r>
            <w:r w:rsidRPr="00375B9D">
              <w:rPr>
                <w:noProof/>
                <w:lang w:eastAsia="en-AU"/>
              </w:rPr>
              <w:t xml:space="preserve"> per annum. The employee negotiates with the employer for the provision of a $30</w:t>
            </w:r>
            <w:r w:rsidR="00C65823">
              <w:rPr>
                <w:noProof/>
                <w:lang w:eastAsia="en-AU"/>
              </w:rPr>
              <w:t>,000</w:t>
            </w:r>
            <w:r w:rsidRPr="00375B9D">
              <w:rPr>
                <w:noProof/>
                <w:lang w:eastAsia="en-AU"/>
              </w:rPr>
              <w:t xml:space="preserve"> private-use car under a $7</w:t>
            </w:r>
            <w:r w:rsidR="00C65823">
              <w:rPr>
                <w:noProof/>
                <w:lang w:eastAsia="en-AU"/>
              </w:rPr>
              <w:t>,</w:t>
            </w:r>
            <w:r w:rsidRPr="00375B9D">
              <w:rPr>
                <w:noProof/>
                <w:lang w:eastAsia="en-AU"/>
              </w:rPr>
              <w:t>000 per annum salary sacrifice arrangement. The arrangement reduces the employee’s taxable salary by $7</w:t>
            </w:r>
            <w:r w:rsidR="00C65823">
              <w:rPr>
                <w:noProof/>
                <w:lang w:eastAsia="en-AU"/>
              </w:rPr>
              <w:t>,</w:t>
            </w:r>
            <w:r w:rsidRPr="00375B9D">
              <w:rPr>
                <w:noProof/>
                <w:lang w:eastAsia="en-AU"/>
              </w:rPr>
              <w:t>000 from $70</w:t>
            </w:r>
            <w:r w:rsidR="00C65823">
              <w:rPr>
                <w:noProof/>
                <w:lang w:eastAsia="en-AU"/>
              </w:rPr>
              <w:t>,000</w:t>
            </w:r>
            <w:r w:rsidRPr="00375B9D">
              <w:rPr>
                <w:noProof/>
                <w:lang w:eastAsia="en-AU"/>
              </w:rPr>
              <w:t xml:space="preserve"> to $63</w:t>
            </w:r>
            <w:r w:rsidR="00C65823">
              <w:rPr>
                <w:noProof/>
                <w:lang w:eastAsia="en-AU"/>
              </w:rPr>
              <w:t>,000</w:t>
            </w:r>
            <w:r w:rsidRPr="00375B9D">
              <w:rPr>
                <w:noProof/>
                <w:lang w:eastAsia="en-AU"/>
              </w:rPr>
              <w:t>.</w:t>
            </w:r>
          </w:p>
          <w:p w14:paraId="0F3235D4" w14:textId="77777777" w:rsidR="00375B9D" w:rsidRPr="00375B9D" w:rsidRDefault="00375B9D" w:rsidP="00375B9D">
            <w:pPr>
              <w:spacing w:after="200"/>
              <w:rPr>
                <w:noProof/>
                <w:lang w:eastAsia="en-AU"/>
              </w:rPr>
            </w:pPr>
            <w:r w:rsidRPr="00375B9D">
              <w:rPr>
                <w:noProof/>
                <w:lang w:eastAsia="en-AU"/>
              </w:rPr>
              <w:t>Under the FBT ‘statutory’ method, taking account of annual kilometres, if the value of the fringe benefit once grossed up by the relevant Type 2 factor is $11</w:t>
            </w:r>
            <w:r w:rsidR="004267E5">
              <w:rPr>
                <w:noProof/>
                <w:lang w:eastAsia="en-AU"/>
              </w:rPr>
              <w:t>,</w:t>
            </w:r>
            <w:r w:rsidRPr="00375B9D">
              <w:rPr>
                <w:noProof/>
                <w:lang w:eastAsia="en-AU"/>
              </w:rPr>
              <w:t>765, the taxable wages associated with the employee (not taking account of superannuation, allowances and other benefits) comprises:</w:t>
            </w:r>
          </w:p>
          <w:p w14:paraId="1447CDCD" w14:textId="77777777" w:rsidR="00375B9D" w:rsidRPr="00375B9D" w:rsidRDefault="00375B9D" w:rsidP="00C65823">
            <w:pPr>
              <w:tabs>
                <w:tab w:val="right" w:pos="2835"/>
              </w:tabs>
              <w:spacing w:after="200"/>
              <w:rPr>
                <w:noProof/>
                <w:lang w:eastAsia="en-AU"/>
              </w:rPr>
            </w:pPr>
            <w:r w:rsidRPr="00375B9D">
              <w:rPr>
                <w:noProof/>
                <w:lang w:eastAsia="en-AU"/>
              </w:rPr>
              <w:t>Salary:</w:t>
            </w:r>
            <w:r w:rsidRPr="00375B9D">
              <w:rPr>
                <w:noProof/>
                <w:lang w:eastAsia="en-AU"/>
              </w:rPr>
              <w:tab/>
              <w:t>$63</w:t>
            </w:r>
            <w:r w:rsidR="00C65823">
              <w:rPr>
                <w:noProof/>
                <w:lang w:eastAsia="en-AU"/>
              </w:rPr>
              <w:t>,000</w:t>
            </w:r>
            <w:r w:rsidRPr="00375B9D">
              <w:rPr>
                <w:noProof/>
                <w:lang w:eastAsia="en-AU"/>
              </w:rPr>
              <w:br/>
              <w:t>Fringe benefits:</w:t>
            </w:r>
            <w:r w:rsidRPr="00375B9D">
              <w:rPr>
                <w:noProof/>
                <w:lang w:eastAsia="en-AU"/>
              </w:rPr>
              <w:tab/>
              <w:t>$11</w:t>
            </w:r>
            <w:r w:rsidR="00C65823">
              <w:rPr>
                <w:noProof/>
                <w:lang w:eastAsia="en-AU"/>
              </w:rPr>
              <w:t>,</w:t>
            </w:r>
            <w:r w:rsidRPr="00375B9D">
              <w:rPr>
                <w:noProof/>
                <w:lang w:eastAsia="en-AU"/>
              </w:rPr>
              <w:t>765</w:t>
            </w:r>
            <w:r w:rsidRPr="00375B9D">
              <w:rPr>
                <w:noProof/>
                <w:lang w:eastAsia="en-AU"/>
              </w:rPr>
              <w:br/>
              <w:t>Total:</w:t>
            </w:r>
            <w:r w:rsidRPr="00375B9D">
              <w:rPr>
                <w:noProof/>
                <w:lang w:eastAsia="en-AU"/>
              </w:rPr>
              <w:tab/>
              <w:t>$74</w:t>
            </w:r>
            <w:r w:rsidR="00C65823">
              <w:rPr>
                <w:noProof/>
                <w:lang w:eastAsia="en-AU"/>
              </w:rPr>
              <w:t>,</w:t>
            </w:r>
            <w:r w:rsidRPr="00375B9D">
              <w:rPr>
                <w:noProof/>
                <w:lang w:eastAsia="en-AU"/>
              </w:rPr>
              <w:t>765</w:t>
            </w:r>
          </w:p>
        </w:tc>
      </w:tr>
    </w:tbl>
    <w:p w14:paraId="4DA34F2C" w14:textId="77777777" w:rsidR="00375B9D" w:rsidRPr="00375B9D" w:rsidRDefault="00375B9D" w:rsidP="00612867">
      <w:pPr>
        <w:spacing w:after="120"/>
        <w:rPr>
          <w:noProof/>
          <w:lang w:eastAsia="en-AU"/>
        </w:rPr>
      </w:pPr>
    </w:p>
    <w:tbl>
      <w:tblPr>
        <w:tblStyle w:val="DTFpayrolltaxguidestyle1"/>
        <w:tblW w:w="10348" w:type="dxa"/>
        <w:tblLook w:val="04A0" w:firstRow="1" w:lastRow="0" w:firstColumn="1" w:lastColumn="0" w:noHBand="0" w:noVBand="1"/>
        <w:tblDescription w:val="Example 2: An employee’s current salary is $65 000 per annum. The employee negotiates with the employer for the purchase of a laptop computer (cost of $3000) that is to be used predominantly for work purposes under a salary sacrifice arrangement."/>
      </w:tblPr>
      <w:tblGrid>
        <w:gridCol w:w="10348"/>
      </w:tblGrid>
      <w:tr w:rsidR="00375B9D" w:rsidRPr="00375B9D" w14:paraId="05E00A4D" w14:textId="77777777" w:rsidTr="005619AF">
        <w:trPr>
          <w:trHeight w:val="1389"/>
          <w:tblHeader/>
        </w:trPr>
        <w:tc>
          <w:tcPr>
            <w:tcW w:w="10348" w:type="dxa"/>
          </w:tcPr>
          <w:p w14:paraId="0D213204" w14:textId="77777777" w:rsidR="00375B9D" w:rsidRPr="00375B9D" w:rsidRDefault="00375B9D" w:rsidP="00375B9D">
            <w:pPr>
              <w:spacing w:after="200"/>
              <w:rPr>
                <w:noProof/>
                <w:lang w:eastAsia="en-AU"/>
              </w:rPr>
            </w:pPr>
            <w:r w:rsidRPr="00375B9D">
              <w:rPr>
                <w:b/>
                <w:noProof/>
                <w:lang w:eastAsia="en-AU"/>
              </w:rPr>
              <w:lastRenderedPageBreak/>
              <w:t>Example 2</w:t>
            </w:r>
            <w:r w:rsidRPr="00375B9D">
              <w:rPr>
                <w:noProof/>
                <w:lang w:eastAsia="en-AU"/>
              </w:rPr>
              <w:t>: An employee’s current salary is $65</w:t>
            </w:r>
            <w:r w:rsidR="00C65823">
              <w:rPr>
                <w:noProof/>
                <w:lang w:eastAsia="en-AU"/>
              </w:rPr>
              <w:t>,000</w:t>
            </w:r>
            <w:r w:rsidRPr="00375B9D">
              <w:rPr>
                <w:noProof/>
                <w:lang w:eastAsia="en-AU"/>
              </w:rPr>
              <w:t xml:space="preserve"> per annum. The employee negotiates with the employer for the purchase of a laptop computer (cost of $3</w:t>
            </w:r>
            <w:r w:rsidR="00C65823">
              <w:rPr>
                <w:noProof/>
                <w:lang w:eastAsia="en-AU"/>
              </w:rPr>
              <w:t>,</w:t>
            </w:r>
            <w:r w:rsidRPr="00375B9D">
              <w:rPr>
                <w:noProof/>
                <w:lang w:eastAsia="en-AU"/>
              </w:rPr>
              <w:t>000) to be used predominantly for work purposes under a salary sacrifice arrangement.</w:t>
            </w:r>
          </w:p>
          <w:p w14:paraId="4D886D90" w14:textId="77777777" w:rsidR="00375B9D" w:rsidRPr="00375B9D" w:rsidRDefault="00375B9D" w:rsidP="00375B9D">
            <w:pPr>
              <w:spacing w:after="200"/>
              <w:rPr>
                <w:noProof/>
                <w:lang w:eastAsia="en-AU"/>
              </w:rPr>
            </w:pPr>
            <w:r w:rsidRPr="00375B9D">
              <w:rPr>
                <w:noProof/>
                <w:lang w:eastAsia="en-AU"/>
              </w:rPr>
              <w:t>The new salary will be reduced to $62</w:t>
            </w:r>
            <w:r w:rsidR="00C65823">
              <w:rPr>
                <w:noProof/>
                <w:lang w:eastAsia="en-AU"/>
              </w:rPr>
              <w:t>,000</w:t>
            </w:r>
            <w:r w:rsidRPr="00375B9D">
              <w:rPr>
                <w:noProof/>
                <w:lang w:eastAsia="en-AU"/>
              </w:rPr>
              <w:t xml:space="preserve"> per annum. The laptop is exempt from FBT. Therefore, payroll tax is payable only on the $62</w:t>
            </w:r>
            <w:r w:rsidR="00C65823">
              <w:rPr>
                <w:noProof/>
                <w:lang w:eastAsia="en-AU"/>
              </w:rPr>
              <w:t>,000</w:t>
            </w:r>
            <w:r w:rsidRPr="00375B9D">
              <w:rPr>
                <w:noProof/>
                <w:lang w:eastAsia="en-AU"/>
              </w:rPr>
              <w:t xml:space="preserve"> salary.</w:t>
            </w:r>
          </w:p>
        </w:tc>
      </w:tr>
    </w:tbl>
    <w:p w14:paraId="7EF7EF68" w14:textId="77777777" w:rsidR="00375B9D" w:rsidRPr="00375B9D" w:rsidRDefault="00375B9D" w:rsidP="00FD3839">
      <w:pPr>
        <w:pStyle w:val="Heading3"/>
        <w:rPr>
          <w:noProof/>
          <w:lang w:eastAsia="en-AU"/>
        </w:rPr>
      </w:pPr>
      <w:r w:rsidRPr="00375B9D">
        <w:rPr>
          <w:noProof/>
          <w:lang w:eastAsia="en-AU"/>
        </w:rPr>
        <w:t xml:space="preserve">Reimbursements </w:t>
      </w:r>
      <w:r w:rsidR="005D26B8">
        <w:rPr>
          <w:noProof/>
          <w:lang w:eastAsia="en-AU"/>
        </w:rPr>
        <w:t>m</w:t>
      </w:r>
      <w:r w:rsidRPr="00375B9D">
        <w:rPr>
          <w:noProof/>
          <w:lang w:eastAsia="en-AU"/>
        </w:rPr>
        <w:t xml:space="preserve">ade to </w:t>
      </w:r>
      <w:r w:rsidR="005D26B8">
        <w:rPr>
          <w:noProof/>
          <w:lang w:eastAsia="en-AU"/>
        </w:rPr>
        <w:t>e</w:t>
      </w:r>
      <w:r w:rsidRPr="00375B9D">
        <w:rPr>
          <w:noProof/>
          <w:lang w:eastAsia="en-AU"/>
        </w:rPr>
        <w:t>mployees</w:t>
      </w:r>
    </w:p>
    <w:p w14:paraId="08A854E8" w14:textId="77777777" w:rsidR="00375B9D" w:rsidRPr="00375B9D" w:rsidRDefault="00375B9D" w:rsidP="00375B9D">
      <w:pPr>
        <w:rPr>
          <w:noProof/>
          <w:lang w:eastAsia="en-AU"/>
        </w:rPr>
      </w:pPr>
      <w:r w:rsidRPr="00375B9D">
        <w:rPr>
          <w:noProof/>
          <w:lang w:eastAsia="en-AU"/>
        </w:rPr>
        <w:t>Reimbursements are not taxable wages unless they are deemed to be fringe benefits under the FBTAA (in which case, the grossed-up value is declared as taxable wages within the ‘Fringe Benefits’ section of the return).</w:t>
      </w:r>
    </w:p>
    <w:p w14:paraId="3CCDFFF4" w14:textId="77777777" w:rsidR="00375B9D" w:rsidRPr="00375B9D" w:rsidRDefault="00375B9D" w:rsidP="00375B9D">
      <w:pPr>
        <w:rPr>
          <w:noProof/>
          <w:lang w:eastAsia="en-AU"/>
        </w:rPr>
      </w:pPr>
      <w:r w:rsidRPr="00375B9D">
        <w:rPr>
          <w:noProof/>
          <w:lang w:eastAsia="en-AU"/>
        </w:rPr>
        <w:t>To qualify as a reimbursement:</w:t>
      </w:r>
    </w:p>
    <w:p w14:paraId="45E10BE8" w14:textId="77777777" w:rsidR="00375B9D" w:rsidRPr="00375B9D" w:rsidRDefault="00375B9D" w:rsidP="00AE756D">
      <w:pPr>
        <w:pStyle w:val="DTFBulletlist"/>
      </w:pPr>
      <w:r w:rsidRPr="00375B9D">
        <w:t>the expense must be work-related; incurred up front by the employee and then reimbursed precisely by the employer</w:t>
      </w:r>
    </w:p>
    <w:p w14:paraId="65929C12" w14:textId="77777777" w:rsidR="00D677EB" w:rsidRPr="00375B9D" w:rsidRDefault="00A73CE7" w:rsidP="00AE756D">
      <w:pPr>
        <w:pStyle w:val="DTFBulletlist"/>
      </w:pPr>
      <w:r>
        <w:t xml:space="preserve">or </w:t>
      </w:r>
      <w:r w:rsidR="00375B9D" w:rsidRPr="00375B9D">
        <w:t>if a cash advance was provided, receipts are provided and any excess is refunded to the employer.</w:t>
      </w:r>
    </w:p>
    <w:p w14:paraId="447A41BF" w14:textId="77777777" w:rsidR="00375B9D" w:rsidRPr="00375B9D" w:rsidRDefault="00375B9D" w:rsidP="00FD3839">
      <w:pPr>
        <w:pStyle w:val="Heading3"/>
        <w:rPr>
          <w:noProof/>
          <w:lang w:eastAsia="en-AU"/>
        </w:rPr>
      </w:pPr>
      <w:bookmarkStart w:id="37" w:name="AllowancesinTaxableWages"/>
      <w:bookmarkEnd w:id="37"/>
      <w:r w:rsidRPr="00375B9D">
        <w:rPr>
          <w:noProof/>
          <w:lang w:eastAsia="en-AU"/>
        </w:rPr>
        <w:t xml:space="preserve">Allowances </w:t>
      </w:r>
      <w:r w:rsidR="005D26B8">
        <w:rPr>
          <w:noProof/>
          <w:lang w:eastAsia="en-AU"/>
        </w:rPr>
        <w:t>a</w:t>
      </w:r>
      <w:r w:rsidRPr="00375B9D">
        <w:rPr>
          <w:noProof/>
          <w:lang w:eastAsia="en-AU"/>
        </w:rPr>
        <w:t xml:space="preserve">re </w:t>
      </w:r>
      <w:r w:rsidR="005D26B8">
        <w:rPr>
          <w:noProof/>
          <w:lang w:eastAsia="en-AU"/>
        </w:rPr>
        <w:t>g</w:t>
      </w:r>
      <w:r w:rsidRPr="00375B9D">
        <w:rPr>
          <w:noProof/>
          <w:lang w:eastAsia="en-AU"/>
        </w:rPr>
        <w:t xml:space="preserve">enerally </w:t>
      </w:r>
      <w:r w:rsidR="005D26B8">
        <w:rPr>
          <w:noProof/>
          <w:lang w:eastAsia="en-AU"/>
        </w:rPr>
        <w:t>t</w:t>
      </w:r>
      <w:r w:rsidRPr="00375B9D">
        <w:rPr>
          <w:noProof/>
          <w:lang w:eastAsia="en-AU"/>
        </w:rPr>
        <w:t xml:space="preserve">axable in </w:t>
      </w:r>
      <w:r w:rsidR="005D26B8">
        <w:rPr>
          <w:noProof/>
          <w:lang w:eastAsia="en-AU"/>
        </w:rPr>
        <w:t>f</w:t>
      </w:r>
      <w:r w:rsidRPr="00375B9D">
        <w:rPr>
          <w:noProof/>
          <w:lang w:eastAsia="en-AU"/>
        </w:rPr>
        <w:t>ull</w:t>
      </w:r>
    </w:p>
    <w:p w14:paraId="213902BF" w14:textId="77777777" w:rsidR="00375B9D" w:rsidRPr="00375B9D" w:rsidRDefault="00375B9D" w:rsidP="00375B9D">
      <w:pPr>
        <w:rPr>
          <w:noProof/>
          <w:lang w:eastAsia="en-AU"/>
        </w:rPr>
      </w:pPr>
      <w:r w:rsidRPr="00375B9D">
        <w:rPr>
          <w:noProof/>
          <w:lang w:eastAsia="en-AU"/>
        </w:rPr>
        <w:t>Generally, all allowances are treated as taxable wages, even if paid to compensate an employee for a work expense (for example, a uniform allowance provided under an award).</w:t>
      </w:r>
    </w:p>
    <w:p w14:paraId="232B225E" w14:textId="77777777" w:rsidR="00375B9D" w:rsidRPr="00375B9D" w:rsidRDefault="00375B9D" w:rsidP="00375B9D">
      <w:pPr>
        <w:rPr>
          <w:noProof/>
          <w:lang w:eastAsia="en-AU"/>
        </w:rPr>
      </w:pPr>
      <w:r w:rsidRPr="00375B9D">
        <w:rPr>
          <w:noProof/>
          <w:lang w:eastAsia="en-AU"/>
        </w:rPr>
        <w:t>The exceptions to the general rule follow below.</w:t>
      </w:r>
    </w:p>
    <w:p w14:paraId="48D246D7" w14:textId="77777777" w:rsidR="00375B9D" w:rsidRPr="00DF3586" w:rsidRDefault="00375B9D" w:rsidP="00DF3586">
      <w:pPr>
        <w:pStyle w:val="DTFHeading5"/>
      </w:pPr>
      <w:r w:rsidRPr="00DF3586">
        <w:t xml:space="preserve">Motor </w:t>
      </w:r>
      <w:r w:rsidR="008D031B">
        <w:t>v</w:t>
      </w:r>
      <w:r w:rsidRPr="00DF3586">
        <w:t xml:space="preserve">ehicle </w:t>
      </w:r>
      <w:r w:rsidR="008D031B">
        <w:t>a</w:t>
      </w:r>
      <w:r w:rsidRPr="00DF3586">
        <w:t>llowance</w:t>
      </w:r>
    </w:p>
    <w:p w14:paraId="45F48603" w14:textId="77777777" w:rsidR="00375B9D" w:rsidRPr="00375B9D" w:rsidRDefault="00375B9D" w:rsidP="00375B9D">
      <w:pPr>
        <w:rPr>
          <w:noProof/>
          <w:lang w:eastAsia="en-AU"/>
        </w:rPr>
      </w:pPr>
      <w:r w:rsidRPr="00375B9D">
        <w:rPr>
          <w:noProof/>
          <w:lang w:eastAsia="en-AU"/>
        </w:rPr>
        <w:t>Motor vehicle allowances are only subject to payroll tax if they exceed the exempt rate set each year by the ATO.</w:t>
      </w:r>
    </w:p>
    <w:p w14:paraId="50C60E1C" w14:textId="77777777" w:rsidR="00375B9D" w:rsidRPr="00375B9D" w:rsidRDefault="00375B9D" w:rsidP="00375B9D">
      <w:pPr>
        <w:rPr>
          <w:noProof/>
          <w:lang w:eastAsia="en-AU"/>
        </w:rPr>
      </w:pPr>
      <w:r w:rsidRPr="00375B9D">
        <w:rPr>
          <w:noProof/>
          <w:lang w:eastAsia="en-AU"/>
        </w:rPr>
        <w:t>From 1 July 2015, the ATO has set one rate for all vehicles (rather than the prior system of a scale of rates according to engine capacity).</w:t>
      </w:r>
    </w:p>
    <w:p w14:paraId="59182D06" w14:textId="77777777" w:rsidR="00375B9D" w:rsidRPr="00375B9D" w:rsidRDefault="00375B9D" w:rsidP="00375B9D">
      <w:pPr>
        <w:rPr>
          <w:noProof/>
          <w:lang w:eastAsia="en-AU"/>
        </w:rPr>
      </w:pPr>
      <w:r w:rsidRPr="00375B9D">
        <w:rPr>
          <w:noProof/>
          <w:lang w:eastAsia="en-AU"/>
        </w:rPr>
        <w:t>The taxable amount is the amount by which the allowance exceeds the ATO rate.</w:t>
      </w:r>
    </w:p>
    <w:p w14:paraId="0F842BC1" w14:textId="77777777" w:rsidR="00375B9D" w:rsidRPr="00375B9D" w:rsidRDefault="00375B9D" w:rsidP="00375B9D">
      <w:pPr>
        <w:rPr>
          <w:b/>
          <w:noProof/>
          <w:u w:val="single"/>
          <w:lang w:eastAsia="en-AU"/>
        </w:rPr>
      </w:pPr>
      <w:r w:rsidRPr="00375B9D">
        <w:rPr>
          <w:noProof/>
          <w:lang w:eastAsia="en-AU"/>
        </w:rPr>
        <w:t xml:space="preserve">For further information refer to </w:t>
      </w:r>
      <w:hyperlink w:anchor="Appendix2" w:history="1">
        <w:r w:rsidRPr="00375B9D">
          <w:rPr>
            <w:rStyle w:val="Hyperlink"/>
            <w:noProof/>
            <w:lang w:eastAsia="en-AU"/>
          </w:rPr>
          <w:t>Appendix 2</w:t>
        </w:r>
      </w:hyperlink>
      <w:r w:rsidRPr="00375B9D">
        <w:rPr>
          <w:noProof/>
          <w:lang w:eastAsia="en-AU"/>
        </w:rPr>
        <w:t>.</w:t>
      </w:r>
    </w:p>
    <w:p w14:paraId="5C8F4628" w14:textId="77777777" w:rsidR="00375B9D" w:rsidRPr="00375B9D" w:rsidRDefault="00375B9D" w:rsidP="00DE067D">
      <w:pPr>
        <w:pStyle w:val="DTFHeading5"/>
      </w:pPr>
      <w:r w:rsidRPr="00375B9D">
        <w:t xml:space="preserve">Accommodation </w:t>
      </w:r>
      <w:r w:rsidR="00057D45">
        <w:t>a</w:t>
      </w:r>
      <w:r w:rsidRPr="00375B9D">
        <w:t>llowance</w:t>
      </w:r>
    </w:p>
    <w:p w14:paraId="7F834B76" w14:textId="77777777" w:rsidR="00375B9D" w:rsidRPr="00375B9D" w:rsidRDefault="00375B9D" w:rsidP="00375B9D">
      <w:pPr>
        <w:rPr>
          <w:noProof/>
          <w:lang w:eastAsia="en-AU"/>
        </w:rPr>
      </w:pPr>
      <w:r w:rsidRPr="00375B9D">
        <w:rPr>
          <w:noProof/>
          <w:lang w:eastAsia="en-AU"/>
        </w:rPr>
        <w:t>Accommodation allowances are only subject to payroll tax if they exceed the exempt rate set each year by the ATO. The rate used by TRO is the ATO rate prescribed for the combination of ‘</w:t>
      </w:r>
      <w:r w:rsidR="008F4FBE" w:rsidRPr="00375B9D">
        <w:rPr>
          <w:noProof/>
          <w:lang w:eastAsia="en-AU"/>
        </w:rPr>
        <w:t>lowest price capital city/lowest salary band’</w:t>
      </w:r>
      <w:r w:rsidR="008775BF">
        <w:rPr>
          <w:noProof/>
          <w:lang w:eastAsia="en-AU"/>
        </w:rPr>
        <w:t>.</w:t>
      </w:r>
    </w:p>
    <w:p w14:paraId="6AF2F363" w14:textId="77777777" w:rsidR="00375B9D" w:rsidRPr="00375B9D" w:rsidRDefault="00375B9D" w:rsidP="00375B9D">
      <w:pPr>
        <w:rPr>
          <w:noProof/>
          <w:lang w:eastAsia="en-AU"/>
        </w:rPr>
      </w:pPr>
      <w:r w:rsidRPr="00375B9D">
        <w:rPr>
          <w:noProof/>
          <w:lang w:eastAsia="en-AU"/>
        </w:rPr>
        <w:t>The taxable amount is the amount by which the allowance exceeds the ATO rate.</w:t>
      </w:r>
    </w:p>
    <w:p w14:paraId="0570112F" w14:textId="77777777" w:rsidR="00375B9D" w:rsidRPr="00375B9D" w:rsidRDefault="00375B9D" w:rsidP="00375B9D">
      <w:pPr>
        <w:rPr>
          <w:b/>
          <w:noProof/>
          <w:u w:val="single"/>
          <w:lang w:eastAsia="en-AU"/>
        </w:rPr>
      </w:pPr>
      <w:r w:rsidRPr="00375B9D">
        <w:rPr>
          <w:noProof/>
          <w:lang w:eastAsia="en-AU"/>
        </w:rPr>
        <w:t xml:space="preserve">For further information refer to </w:t>
      </w:r>
      <w:hyperlink w:anchor="Appendix2" w:history="1">
        <w:r w:rsidRPr="00375B9D">
          <w:rPr>
            <w:rStyle w:val="Hyperlink"/>
            <w:noProof/>
            <w:lang w:eastAsia="en-AU"/>
          </w:rPr>
          <w:t>Appendix 2</w:t>
        </w:r>
      </w:hyperlink>
      <w:r w:rsidRPr="00375B9D">
        <w:rPr>
          <w:noProof/>
          <w:lang w:eastAsia="en-AU"/>
        </w:rPr>
        <w:t>.</w:t>
      </w:r>
    </w:p>
    <w:p w14:paraId="374FE110" w14:textId="77777777" w:rsidR="00375B9D" w:rsidRPr="00375B9D" w:rsidRDefault="00375B9D" w:rsidP="00DE067D">
      <w:pPr>
        <w:pStyle w:val="DTFHeading5"/>
      </w:pPr>
      <w:bookmarkStart w:id="38" w:name="LAFHA"/>
      <w:bookmarkEnd w:id="38"/>
      <w:r w:rsidRPr="00375B9D">
        <w:lastRenderedPageBreak/>
        <w:t xml:space="preserve">Living </w:t>
      </w:r>
      <w:r w:rsidR="005D26B8">
        <w:t>a</w:t>
      </w:r>
      <w:r w:rsidRPr="00375B9D">
        <w:t xml:space="preserve">way </w:t>
      </w:r>
      <w:r w:rsidR="005D26B8">
        <w:t>f</w:t>
      </w:r>
      <w:r w:rsidRPr="00375B9D">
        <w:t xml:space="preserve">rom </w:t>
      </w:r>
      <w:r w:rsidR="005D26B8">
        <w:t>h</w:t>
      </w:r>
      <w:r w:rsidRPr="00375B9D">
        <w:t>ome ‘</w:t>
      </w:r>
      <w:r w:rsidR="005D26B8">
        <w:t>a</w:t>
      </w:r>
      <w:r w:rsidRPr="00375B9D">
        <w:t xml:space="preserve">llowance’ </w:t>
      </w:r>
      <w:r w:rsidR="005D26B8">
        <w:t>i</w:t>
      </w:r>
      <w:r w:rsidRPr="00375B9D">
        <w:t xml:space="preserve">s a </w:t>
      </w:r>
      <w:r w:rsidR="005D26B8">
        <w:t>f</w:t>
      </w:r>
      <w:r w:rsidRPr="00375B9D">
        <w:t xml:space="preserve">ringe </w:t>
      </w:r>
      <w:r w:rsidR="005D26B8">
        <w:t>b</w:t>
      </w:r>
      <w:r w:rsidRPr="00375B9D">
        <w:t xml:space="preserve">enefit, not an </w:t>
      </w:r>
      <w:r w:rsidR="005D26B8">
        <w:t>a</w:t>
      </w:r>
      <w:r w:rsidRPr="00375B9D">
        <w:t>llowance</w:t>
      </w:r>
    </w:p>
    <w:p w14:paraId="0E79E401" w14:textId="77777777" w:rsidR="00375B9D" w:rsidRPr="00375B9D" w:rsidRDefault="00375B9D" w:rsidP="00375B9D">
      <w:pPr>
        <w:rPr>
          <w:noProof/>
          <w:lang w:eastAsia="en-AU"/>
        </w:rPr>
      </w:pPr>
      <w:r w:rsidRPr="00375B9D">
        <w:rPr>
          <w:noProof/>
          <w:lang w:eastAsia="en-AU"/>
        </w:rPr>
        <w:t>LAFHA is paid to compensate an employee for additional expenses incurred as a result of being required to temporarily live away from home for work purposes.</w:t>
      </w:r>
    </w:p>
    <w:p w14:paraId="752CAEE3" w14:textId="77777777" w:rsidR="00375B9D" w:rsidRPr="00375B9D" w:rsidRDefault="00375B9D" w:rsidP="00375B9D">
      <w:pPr>
        <w:rPr>
          <w:noProof/>
          <w:lang w:eastAsia="en-AU"/>
        </w:rPr>
      </w:pPr>
      <w:r w:rsidRPr="00375B9D">
        <w:rPr>
          <w:noProof/>
          <w:lang w:eastAsia="en-AU"/>
        </w:rPr>
        <w:t>LAFHA can be a fringe benefit and is subject to both FBT and payroll tax.</w:t>
      </w:r>
    </w:p>
    <w:p w14:paraId="4E3E20F7" w14:textId="77777777" w:rsidR="00375B9D" w:rsidRPr="00375B9D" w:rsidRDefault="00375B9D" w:rsidP="00375B9D">
      <w:pPr>
        <w:rPr>
          <w:noProof/>
          <w:lang w:eastAsia="en-AU"/>
        </w:rPr>
      </w:pPr>
      <w:r w:rsidRPr="00375B9D">
        <w:rPr>
          <w:noProof/>
          <w:lang w:eastAsia="en-AU"/>
        </w:rPr>
        <w:t>If the LAFHA is subject to FBT, payroll tax is calculated on the LAFHA amount grossed up by the Type 2 rate.</w:t>
      </w:r>
    </w:p>
    <w:p w14:paraId="40839027" w14:textId="77777777" w:rsidR="00375B9D" w:rsidRPr="00375B9D" w:rsidRDefault="00375B9D" w:rsidP="00375B9D">
      <w:pPr>
        <w:rPr>
          <w:noProof/>
          <w:lang w:eastAsia="en-AU"/>
        </w:rPr>
      </w:pPr>
      <w:r w:rsidRPr="00375B9D">
        <w:rPr>
          <w:noProof/>
          <w:lang w:eastAsia="en-AU"/>
        </w:rPr>
        <w:t xml:space="preserve">The payroll tax rules for fringe benefits are fully explained in the </w:t>
      </w:r>
      <w:hyperlink w:anchor="FringeBenefits" w:history="1">
        <w:r w:rsidRPr="00375B9D">
          <w:rPr>
            <w:rStyle w:val="Hyperlink"/>
            <w:noProof/>
            <w:lang w:eastAsia="en-AU"/>
          </w:rPr>
          <w:t xml:space="preserve">Fringe </w:t>
        </w:r>
        <w:r w:rsidR="008F4FBE">
          <w:rPr>
            <w:rStyle w:val="Hyperlink"/>
            <w:noProof/>
            <w:lang w:eastAsia="en-AU"/>
          </w:rPr>
          <w:t>b</w:t>
        </w:r>
        <w:r w:rsidRPr="00375B9D">
          <w:rPr>
            <w:rStyle w:val="Hyperlink"/>
            <w:noProof/>
            <w:lang w:eastAsia="en-AU"/>
          </w:rPr>
          <w:t>enefits</w:t>
        </w:r>
      </w:hyperlink>
      <w:r w:rsidRPr="00375B9D">
        <w:rPr>
          <w:noProof/>
          <w:lang w:eastAsia="en-AU"/>
        </w:rPr>
        <w:t xml:space="preserve"> section of this guide.</w:t>
      </w:r>
    </w:p>
    <w:p w14:paraId="123DFBA4" w14:textId="77777777" w:rsidR="00375B9D" w:rsidRPr="00375B9D" w:rsidRDefault="00375B9D" w:rsidP="00DE067D">
      <w:pPr>
        <w:pStyle w:val="DTFHeading5"/>
      </w:pPr>
      <w:r w:rsidRPr="00375B9D">
        <w:t xml:space="preserve">Travel </w:t>
      </w:r>
      <w:r w:rsidR="004A3F91">
        <w:t>a</w:t>
      </w:r>
      <w:r w:rsidRPr="00375B9D">
        <w:t>llowance</w:t>
      </w:r>
    </w:p>
    <w:p w14:paraId="6EEB8363" w14:textId="77777777" w:rsidR="00375B9D" w:rsidRPr="00375B9D" w:rsidRDefault="00375B9D" w:rsidP="00375B9D">
      <w:pPr>
        <w:rPr>
          <w:noProof/>
          <w:lang w:eastAsia="en-AU"/>
        </w:rPr>
      </w:pPr>
      <w:r w:rsidRPr="00375B9D">
        <w:rPr>
          <w:noProof/>
          <w:lang w:eastAsia="en-AU"/>
        </w:rPr>
        <w:t>A travel allowance (TA) is distinguished from LAFHA. TA compensates an employee for accommodation, meals and incidental expenses while on a short-term assignment not involving a temporary relocation of the place of employment or residence.</w:t>
      </w:r>
    </w:p>
    <w:p w14:paraId="5C1C71BD" w14:textId="77777777" w:rsidR="00375B9D" w:rsidRPr="00375B9D" w:rsidRDefault="00375B9D" w:rsidP="00375B9D">
      <w:pPr>
        <w:rPr>
          <w:noProof/>
          <w:lang w:eastAsia="en-AU"/>
        </w:rPr>
      </w:pPr>
      <w:r w:rsidRPr="00375B9D">
        <w:rPr>
          <w:noProof/>
          <w:lang w:eastAsia="en-AU"/>
        </w:rPr>
        <w:t>TA is to be treated, for payroll tax purposes, as if it were an accommodation allowance (see above).</w:t>
      </w:r>
    </w:p>
    <w:tbl>
      <w:tblPr>
        <w:tblStyle w:val="DTFpayrolltaxguidestyle1"/>
        <w:tblW w:w="10348" w:type="dxa"/>
        <w:tblLook w:val="04A0" w:firstRow="1" w:lastRow="0" w:firstColumn="1" w:lastColumn="0" w:noHBand="0" w:noVBand="1"/>
        <w:tblDescription w:val="For further information on allowances, reimbursements and payroll tax, refer to the following publications:&#10;• PTA005 Exempt allowances –  motor vehicles and accommodation&#10;• PTA011 Allowances and reimbursements&#10;• PTA024 Overnight accommodation allowances paid to truck drivers&#10;• PTA025 Motor vehicle allowances paid to real estate salespersons&#10;"/>
      </w:tblPr>
      <w:tblGrid>
        <w:gridCol w:w="10348"/>
      </w:tblGrid>
      <w:tr w:rsidR="00375B9D" w:rsidRPr="00375B9D" w14:paraId="12956ADF" w14:textId="77777777" w:rsidTr="005619AF">
        <w:trPr>
          <w:trHeight w:val="2634"/>
          <w:tblHeader/>
        </w:trPr>
        <w:tc>
          <w:tcPr>
            <w:tcW w:w="10348" w:type="dxa"/>
          </w:tcPr>
          <w:p w14:paraId="4A443467" w14:textId="77777777" w:rsidR="00375B9D" w:rsidRPr="00375B9D" w:rsidRDefault="00375B9D" w:rsidP="00375B9D">
            <w:pPr>
              <w:spacing w:after="200"/>
              <w:rPr>
                <w:noProof/>
                <w:lang w:eastAsia="en-AU"/>
              </w:rPr>
            </w:pPr>
            <w:r w:rsidRPr="00375B9D">
              <w:rPr>
                <w:noProof/>
                <w:lang w:eastAsia="en-AU"/>
              </w:rPr>
              <w:t>For further information on allowances, reimbursements and payroll tax, refer to the following publications:</w:t>
            </w:r>
          </w:p>
          <w:p w14:paraId="359B3DF8" w14:textId="77777777" w:rsidR="00375B9D" w:rsidRPr="00375B9D" w:rsidRDefault="00375B9D" w:rsidP="00AE756D">
            <w:pPr>
              <w:pStyle w:val="DTFBulletlist"/>
              <w:rPr>
                <w:rStyle w:val="Hyperlink"/>
              </w:rPr>
            </w:pPr>
            <w:r w:rsidRPr="00375B9D">
              <w:fldChar w:fldCharType="begin"/>
            </w:r>
            <w:r w:rsidRPr="00375B9D">
              <w:instrText xml:space="preserve"> HYPERLINK "https://treasury.nt.gov.au/dtf/territory-revenue-office/publications" </w:instrText>
            </w:r>
            <w:r w:rsidRPr="00375B9D">
              <w:fldChar w:fldCharType="separate"/>
            </w:r>
            <w:r w:rsidRPr="00375B9D">
              <w:rPr>
                <w:rStyle w:val="Hyperlink"/>
              </w:rPr>
              <w:t>PTA005 Exempt allowances – motor vehicles and accommodation</w:t>
            </w:r>
          </w:p>
          <w:p w14:paraId="1FA511D0" w14:textId="77777777" w:rsidR="00375B9D" w:rsidRPr="00375B9D" w:rsidRDefault="00375B9D" w:rsidP="00AE756D">
            <w:pPr>
              <w:pStyle w:val="DTFBulletlist"/>
              <w:rPr>
                <w:rStyle w:val="Hyperlink"/>
              </w:rPr>
            </w:pPr>
            <w:r w:rsidRPr="00375B9D">
              <w:fldChar w:fldCharType="end"/>
            </w:r>
            <w:r w:rsidRPr="00375B9D">
              <w:fldChar w:fldCharType="begin"/>
            </w:r>
            <w:r w:rsidRPr="00375B9D">
              <w:instrText xml:space="preserve"> HYPERLINK "https://treasury.nt.gov.au/dtf/territory-revenue-office/publications" </w:instrText>
            </w:r>
            <w:r w:rsidRPr="00375B9D">
              <w:fldChar w:fldCharType="separate"/>
            </w:r>
            <w:r w:rsidRPr="00375B9D">
              <w:rPr>
                <w:rStyle w:val="Hyperlink"/>
              </w:rPr>
              <w:t>PTA011 Allowances and reimbursements</w:t>
            </w:r>
          </w:p>
          <w:p w14:paraId="1AA90D51" w14:textId="77777777" w:rsidR="00375B9D" w:rsidRPr="00375B9D" w:rsidRDefault="00375B9D" w:rsidP="00AE756D">
            <w:pPr>
              <w:pStyle w:val="DTFBulletlist"/>
              <w:rPr>
                <w:rStyle w:val="Hyperlink"/>
              </w:rPr>
            </w:pPr>
            <w:r w:rsidRPr="00375B9D">
              <w:fldChar w:fldCharType="end"/>
            </w:r>
            <w:r w:rsidRPr="00375B9D">
              <w:fldChar w:fldCharType="begin"/>
            </w:r>
            <w:r w:rsidRPr="00375B9D">
              <w:instrText xml:space="preserve"> HYPERLINK "https://treasury.nt.gov.au/dtf/territory-revenue-office/publications" </w:instrText>
            </w:r>
            <w:r w:rsidRPr="00375B9D">
              <w:fldChar w:fldCharType="separate"/>
            </w:r>
            <w:r w:rsidRPr="00375B9D">
              <w:rPr>
                <w:rStyle w:val="Hyperlink"/>
              </w:rPr>
              <w:t>PTA024 Overnight accommodation allowances paid to truck drivers</w:t>
            </w:r>
          </w:p>
          <w:p w14:paraId="62708B1B" w14:textId="77777777" w:rsidR="00375B9D" w:rsidRPr="00375B9D" w:rsidRDefault="00375B9D" w:rsidP="00AE756D">
            <w:pPr>
              <w:pStyle w:val="DTFBulletlist"/>
            </w:pPr>
            <w:r w:rsidRPr="00375B9D">
              <w:fldChar w:fldCharType="end"/>
            </w:r>
            <w:hyperlink r:id="rId33" w:history="1">
              <w:r w:rsidRPr="00375B9D">
                <w:rPr>
                  <w:rStyle w:val="Hyperlink"/>
                </w:rPr>
                <w:t>PTA025 Motor vehicle allowances paid to real estate salespersons</w:t>
              </w:r>
            </w:hyperlink>
          </w:p>
        </w:tc>
      </w:tr>
    </w:tbl>
    <w:p w14:paraId="09319B3F" w14:textId="77777777" w:rsidR="00375B9D" w:rsidRPr="00375B9D" w:rsidRDefault="00375B9D" w:rsidP="00DE067D">
      <w:pPr>
        <w:pStyle w:val="Heading3"/>
        <w:rPr>
          <w:noProof/>
          <w:lang w:eastAsia="en-AU"/>
        </w:rPr>
      </w:pPr>
      <w:r w:rsidRPr="00375B9D">
        <w:rPr>
          <w:noProof/>
          <w:lang w:eastAsia="en-AU"/>
        </w:rPr>
        <w:t xml:space="preserve">Termination </w:t>
      </w:r>
      <w:r w:rsidR="005E0A78">
        <w:rPr>
          <w:noProof/>
          <w:lang w:eastAsia="en-AU"/>
        </w:rPr>
        <w:t>p</w:t>
      </w:r>
      <w:r w:rsidRPr="00375B9D">
        <w:rPr>
          <w:noProof/>
          <w:lang w:eastAsia="en-AU"/>
        </w:rPr>
        <w:t>ayments</w:t>
      </w:r>
    </w:p>
    <w:p w14:paraId="4F1D7622" w14:textId="77777777" w:rsidR="00375B9D" w:rsidRPr="00375B9D" w:rsidRDefault="00375B9D" w:rsidP="00375B9D">
      <w:pPr>
        <w:rPr>
          <w:noProof/>
          <w:lang w:eastAsia="en-AU"/>
        </w:rPr>
      </w:pPr>
      <w:r w:rsidRPr="00375B9D">
        <w:rPr>
          <w:noProof/>
          <w:lang w:eastAsia="en-AU"/>
        </w:rPr>
        <w:t xml:space="preserve">Subject to one exception (see below, </w:t>
      </w:r>
      <w:hyperlink w:anchor="genuineRedundancyPayments" w:history="1">
        <w:r w:rsidRPr="00375B9D">
          <w:rPr>
            <w:rStyle w:val="Hyperlink"/>
            <w:noProof/>
            <w:lang w:eastAsia="en-AU"/>
          </w:rPr>
          <w:t>genuine redundancy payments</w:t>
        </w:r>
      </w:hyperlink>
      <w:r w:rsidRPr="00375B9D">
        <w:rPr>
          <w:noProof/>
          <w:lang w:eastAsia="en-AU"/>
        </w:rPr>
        <w:t>), all payments made to or on behalf of employees at termination are subject to payroll tax.</w:t>
      </w:r>
    </w:p>
    <w:p w14:paraId="3849E3AC" w14:textId="77777777" w:rsidR="00375B9D" w:rsidRPr="00375B9D" w:rsidRDefault="00375B9D" w:rsidP="00375B9D">
      <w:pPr>
        <w:rPr>
          <w:noProof/>
          <w:lang w:eastAsia="en-AU"/>
        </w:rPr>
      </w:pPr>
      <w:r w:rsidRPr="00375B9D">
        <w:rPr>
          <w:noProof/>
          <w:lang w:eastAsia="en-AU"/>
        </w:rPr>
        <w:t>This includes payment for time worked, payment in lieu of notice, payment for any type of leave, and redundancy payments.</w:t>
      </w:r>
    </w:p>
    <w:p w14:paraId="05B017DA" w14:textId="77777777" w:rsidR="00375B9D" w:rsidRPr="00375B9D" w:rsidRDefault="00375B9D" w:rsidP="00375B9D">
      <w:pPr>
        <w:rPr>
          <w:noProof/>
          <w:lang w:eastAsia="en-AU"/>
        </w:rPr>
      </w:pPr>
      <w:r w:rsidRPr="00375B9D">
        <w:rPr>
          <w:noProof/>
          <w:lang w:eastAsia="en-AU"/>
        </w:rPr>
        <w:t xml:space="preserve">In relation to </w:t>
      </w:r>
      <w:bookmarkStart w:id="39" w:name="genuineRedundancyPayments"/>
      <w:r w:rsidRPr="00375B9D">
        <w:rPr>
          <w:noProof/>
          <w:lang w:eastAsia="en-AU"/>
        </w:rPr>
        <w:t>genuine redundancy payments</w:t>
      </w:r>
      <w:bookmarkEnd w:id="39"/>
      <w:r w:rsidRPr="00375B9D">
        <w:rPr>
          <w:noProof/>
          <w:lang w:eastAsia="en-AU"/>
        </w:rPr>
        <w:t>, only the amount in excess of the rate published yearly by the ATO (the income tax-free level) is subject to payroll tax.</w:t>
      </w:r>
    </w:p>
    <w:tbl>
      <w:tblPr>
        <w:tblStyle w:val="DTFpayrolltaxguidestyle1"/>
        <w:tblW w:w="10348" w:type="dxa"/>
        <w:tblLook w:val="04A0" w:firstRow="1" w:lastRow="0" w:firstColumn="1" w:lastColumn="0" w:noHBand="0" w:noVBand="1"/>
        <w:tblDescription w:val="Refer to section 82-130 of the Income Tax Assessment Act (ITAA), and Payroll Tax Ruling PTA004 Termination Payments for further information."/>
      </w:tblPr>
      <w:tblGrid>
        <w:gridCol w:w="10348"/>
      </w:tblGrid>
      <w:tr w:rsidR="00375B9D" w:rsidRPr="00375B9D" w14:paraId="58290946" w14:textId="77777777" w:rsidTr="005619AF">
        <w:trPr>
          <w:tblHeader/>
        </w:trPr>
        <w:tc>
          <w:tcPr>
            <w:tcW w:w="10348" w:type="dxa"/>
          </w:tcPr>
          <w:p w14:paraId="4F8FBBEB" w14:textId="77777777" w:rsidR="00375B9D" w:rsidRPr="00375B9D" w:rsidRDefault="00375B9D" w:rsidP="008F4FBE">
            <w:pPr>
              <w:spacing w:after="200"/>
              <w:rPr>
                <w:noProof/>
                <w:lang w:eastAsia="en-AU"/>
              </w:rPr>
            </w:pPr>
            <w:r w:rsidRPr="00375B9D">
              <w:rPr>
                <w:noProof/>
                <w:lang w:eastAsia="en-AU"/>
              </w:rPr>
              <w:t xml:space="preserve">Refer to section 82-130 of the </w:t>
            </w:r>
            <w:r w:rsidRPr="00375B9D">
              <w:rPr>
                <w:i/>
                <w:noProof/>
                <w:lang w:eastAsia="en-AU"/>
              </w:rPr>
              <w:t xml:space="preserve">Income Tax Assessment Act </w:t>
            </w:r>
            <w:r w:rsidRPr="00375B9D">
              <w:rPr>
                <w:noProof/>
                <w:lang w:eastAsia="en-AU"/>
              </w:rPr>
              <w:t xml:space="preserve">(ITAA), and </w:t>
            </w:r>
            <w:hyperlink r:id="rId34" w:history="1">
              <w:r w:rsidRPr="00375B9D">
                <w:rPr>
                  <w:rStyle w:val="Hyperlink"/>
                  <w:noProof/>
                  <w:lang w:eastAsia="en-AU"/>
                </w:rPr>
                <w:t xml:space="preserve">PTA004 Termination </w:t>
              </w:r>
              <w:r w:rsidR="008F4FBE">
                <w:rPr>
                  <w:rStyle w:val="Hyperlink"/>
                  <w:noProof/>
                  <w:lang w:eastAsia="en-AU"/>
                </w:rPr>
                <w:t>p</w:t>
              </w:r>
              <w:r w:rsidRPr="00375B9D">
                <w:rPr>
                  <w:rStyle w:val="Hyperlink"/>
                  <w:noProof/>
                  <w:lang w:eastAsia="en-AU"/>
                </w:rPr>
                <w:t>ayments</w:t>
              </w:r>
            </w:hyperlink>
            <w:r w:rsidRPr="00375B9D">
              <w:rPr>
                <w:noProof/>
                <w:lang w:eastAsia="en-AU"/>
              </w:rPr>
              <w:t xml:space="preserve"> for further information.</w:t>
            </w:r>
          </w:p>
        </w:tc>
      </w:tr>
    </w:tbl>
    <w:p w14:paraId="3955B9A4" w14:textId="77777777" w:rsidR="00375B9D" w:rsidRPr="00375B9D" w:rsidRDefault="00375B9D" w:rsidP="00375B9D">
      <w:pPr>
        <w:rPr>
          <w:noProof/>
          <w:lang w:eastAsia="en-AU"/>
        </w:rPr>
      </w:pPr>
    </w:p>
    <w:p w14:paraId="28BFA20B" w14:textId="77777777" w:rsidR="00AA5FCB" w:rsidRDefault="00AA5FCB">
      <w:pPr>
        <w:rPr>
          <w:rFonts w:asciiTheme="majorHAnsi" w:hAnsiTheme="majorHAnsi" w:cs="Arial"/>
          <w:bCs/>
          <w:noProof/>
          <w:color w:val="1F1F5F" w:themeColor="text1"/>
          <w:sz w:val="28"/>
          <w:szCs w:val="28"/>
          <w:lang w:eastAsia="en-AU"/>
        </w:rPr>
      </w:pPr>
      <w:bookmarkStart w:id="40" w:name="ManagementFees"/>
      <w:bookmarkEnd w:id="40"/>
      <w:r>
        <w:rPr>
          <w:noProof/>
          <w:lang w:eastAsia="en-AU"/>
        </w:rPr>
        <w:br w:type="page"/>
      </w:r>
    </w:p>
    <w:p w14:paraId="5AB85530" w14:textId="77777777" w:rsidR="00375B9D" w:rsidRPr="00375B9D" w:rsidRDefault="00375B9D" w:rsidP="00DE067D">
      <w:pPr>
        <w:pStyle w:val="Heading3"/>
        <w:rPr>
          <w:noProof/>
          <w:lang w:eastAsia="en-AU"/>
        </w:rPr>
      </w:pPr>
      <w:r w:rsidRPr="00375B9D">
        <w:rPr>
          <w:noProof/>
          <w:lang w:eastAsia="en-AU"/>
        </w:rPr>
        <w:lastRenderedPageBreak/>
        <w:t xml:space="preserve">Management </w:t>
      </w:r>
      <w:r w:rsidR="005E0A78">
        <w:rPr>
          <w:noProof/>
          <w:lang w:eastAsia="en-AU"/>
        </w:rPr>
        <w:t>f</w:t>
      </w:r>
      <w:r w:rsidRPr="00375B9D">
        <w:rPr>
          <w:noProof/>
          <w:lang w:eastAsia="en-AU"/>
        </w:rPr>
        <w:t>ees</w:t>
      </w:r>
    </w:p>
    <w:p w14:paraId="6CA9006E" w14:textId="77777777" w:rsidR="00375B9D" w:rsidRPr="00375B9D" w:rsidRDefault="00375B9D" w:rsidP="00375B9D">
      <w:pPr>
        <w:rPr>
          <w:noProof/>
          <w:lang w:eastAsia="en-AU"/>
        </w:rPr>
      </w:pPr>
      <w:r w:rsidRPr="00375B9D">
        <w:rPr>
          <w:noProof/>
          <w:lang w:eastAsia="en-AU"/>
        </w:rPr>
        <w:t>If an individual working as a sole trader (or through a company, partnership or trust that they own or control) receives a payment for services from the same business, or a related or grouped business, and that service relates to the provision of advice, information or labour by the individual, that payment, excluding any GST component, may be taxable wages for payroll tax purposes.</w:t>
      </w:r>
    </w:p>
    <w:p w14:paraId="2A826EAE" w14:textId="77777777" w:rsidR="00375B9D" w:rsidRPr="00375B9D" w:rsidRDefault="00375B9D" w:rsidP="00375B9D">
      <w:pPr>
        <w:rPr>
          <w:noProof/>
          <w:lang w:eastAsia="en-AU"/>
        </w:rPr>
      </w:pPr>
      <w:r w:rsidRPr="00375B9D">
        <w:rPr>
          <w:noProof/>
          <w:lang w:eastAsia="en-AU"/>
        </w:rPr>
        <w:t>In any case, generally such an arrangement would be a taxable</w:t>
      </w:r>
      <w:r w:rsidR="004267E5">
        <w:rPr>
          <w:noProof/>
          <w:lang w:eastAsia="en-AU"/>
        </w:rPr>
        <w:t xml:space="preserve"> </w:t>
      </w:r>
      <w:r w:rsidRPr="00375B9D">
        <w:rPr>
          <w:noProof/>
          <w:lang w:eastAsia="en-AU"/>
        </w:rPr>
        <w:t>relevant contract.</w:t>
      </w:r>
    </w:p>
    <w:p w14:paraId="68DCC048" w14:textId="77777777" w:rsidR="00375B9D" w:rsidRPr="00375B9D" w:rsidRDefault="00375B9D" w:rsidP="00375B9D">
      <w:pPr>
        <w:rPr>
          <w:noProof/>
          <w:lang w:eastAsia="en-AU"/>
        </w:rPr>
      </w:pPr>
      <w:r w:rsidRPr="00375B9D">
        <w:rPr>
          <w:noProof/>
          <w:lang w:eastAsia="en-AU"/>
        </w:rPr>
        <w:t xml:space="preserve">If in doubt, contact your professional advisor to discuss. </w:t>
      </w:r>
    </w:p>
    <w:p w14:paraId="77C97766" w14:textId="77777777" w:rsidR="00375B9D" w:rsidRPr="00375B9D" w:rsidRDefault="00375B9D" w:rsidP="00375B9D">
      <w:pPr>
        <w:rPr>
          <w:noProof/>
          <w:lang w:eastAsia="en-AU"/>
        </w:rPr>
      </w:pPr>
      <w:r w:rsidRPr="00375B9D">
        <w:rPr>
          <w:noProof/>
          <w:lang w:eastAsia="en-AU"/>
        </w:rPr>
        <w:t>The following examples show circumstances where a management fee is taxable, and where it is not taxable.</w:t>
      </w:r>
    </w:p>
    <w:tbl>
      <w:tblPr>
        <w:tblStyle w:val="DTFpayrolltaxguidestyle1"/>
        <w:tblW w:w="10348" w:type="dxa"/>
        <w:tblLook w:val="04A0" w:firstRow="1" w:lastRow="0" w:firstColumn="1" w:lastColumn="0" w:noHBand="0" w:noVBand="1"/>
        <w:tblDescription w:val="Example: Taxable Management Fee"/>
      </w:tblPr>
      <w:tblGrid>
        <w:gridCol w:w="10348"/>
      </w:tblGrid>
      <w:tr w:rsidR="00375B9D" w:rsidRPr="00375B9D" w14:paraId="2150CD0D" w14:textId="77777777" w:rsidTr="005619AF">
        <w:trPr>
          <w:trHeight w:val="3212"/>
          <w:tblHeader/>
        </w:trPr>
        <w:tc>
          <w:tcPr>
            <w:tcW w:w="10348" w:type="dxa"/>
          </w:tcPr>
          <w:p w14:paraId="06F67DD1" w14:textId="77777777" w:rsidR="00375B9D" w:rsidRPr="00375B9D" w:rsidRDefault="00375B9D" w:rsidP="00375B9D">
            <w:pPr>
              <w:spacing w:after="200"/>
              <w:rPr>
                <w:noProof/>
                <w:lang w:eastAsia="en-AU"/>
              </w:rPr>
            </w:pPr>
            <w:r w:rsidRPr="00375B9D">
              <w:rPr>
                <w:b/>
                <w:noProof/>
                <w:lang w:eastAsia="en-AU"/>
              </w:rPr>
              <w:t>Example</w:t>
            </w:r>
            <w:r w:rsidR="00EA6881">
              <w:rPr>
                <w:b/>
                <w:noProof/>
                <w:lang w:eastAsia="en-AU"/>
              </w:rPr>
              <w:t xml:space="preserve"> 1</w:t>
            </w:r>
            <w:r w:rsidRPr="00375B9D">
              <w:rPr>
                <w:noProof/>
                <w:lang w:eastAsia="en-AU"/>
              </w:rPr>
              <w:t xml:space="preserve">: Taxable </w:t>
            </w:r>
            <w:r w:rsidR="009F600A">
              <w:rPr>
                <w:noProof/>
                <w:lang w:eastAsia="en-AU"/>
              </w:rPr>
              <w:t>m</w:t>
            </w:r>
            <w:r w:rsidRPr="00375B9D">
              <w:rPr>
                <w:noProof/>
                <w:lang w:eastAsia="en-AU"/>
              </w:rPr>
              <w:t xml:space="preserve">anagement </w:t>
            </w:r>
            <w:r w:rsidR="009F600A">
              <w:rPr>
                <w:noProof/>
                <w:lang w:eastAsia="en-AU"/>
              </w:rPr>
              <w:t>f</w:t>
            </w:r>
            <w:r w:rsidRPr="00375B9D">
              <w:rPr>
                <w:noProof/>
                <w:lang w:eastAsia="en-AU"/>
              </w:rPr>
              <w:t>ee</w:t>
            </w:r>
          </w:p>
          <w:p w14:paraId="394574D9" w14:textId="77777777" w:rsidR="00375B9D" w:rsidRPr="00375B9D" w:rsidRDefault="00375B9D" w:rsidP="00375B9D">
            <w:pPr>
              <w:spacing w:after="200"/>
              <w:rPr>
                <w:noProof/>
                <w:lang w:eastAsia="en-AU"/>
              </w:rPr>
            </w:pPr>
            <w:r w:rsidRPr="00375B9D">
              <w:rPr>
                <w:noProof/>
                <w:lang w:eastAsia="en-AU"/>
              </w:rPr>
              <w:t>John is the sole director, sole shareholder and managing director of JM Pty Ltd, which has 25 other employees receiving taxable wages of $1.75 million per year. John spends about 30 hours per week working for JM Pty Ltd. He is also the sole director and sole shareholder of MJ Pty Ltd, which has no other employees and owns the property from which JM Pty Ltd operates.</w:t>
            </w:r>
          </w:p>
          <w:p w14:paraId="38A06BF8" w14:textId="77777777" w:rsidR="00375B9D" w:rsidRPr="00375B9D" w:rsidRDefault="00375B9D" w:rsidP="00375B9D">
            <w:pPr>
              <w:spacing w:after="200"/>
              <w:rPr>
                <w:noProof/>
                <w:lang w:eastAsia="en-AU"/>
              </w:rPr>
            </w:pPr>
            <w:r w:rsidRPr="00375B9D">
              <w:rPr>
                <w:noProof/>
                <w:lang w:eastAsia="en-AU"/>
              </w:rPr>
              <w:t>John does not take a salary or director’s fees from JM Pty Ltd. However, JM Pty Ltd pays MJ Pty Ltd $100</w:t>
            </w:r>
            <w:r w:rsidR="00C65823">
              <w:rPr>
                <w:noProof/>
                <w:lang w:eastAsia="en-AU"/>
              </w:rPr>
              <w:t>,000</w:t>
            </w:r>
            <w:r w:rsidRPr="00375B9D">
              <w:rPr>
                <w:noProof/>
                <w:lang w:eastAsia="en-AU"/>
              </w:rPr>
              <w:t xml:space="preserve"> per annum as a management fee.</w:t>
            </w:r>
          </w:p>
          <w:p w14:paraId="7D5AD957" w14:textId="77777777" w:rsidR="00375B9D" w:rsidRPr="00375B9D" w:rsidRDefault="00375B9D" w:rsidP="00375B9D">
            <w:pPr>
              <w:spacing w:after="200"/>
              <w:rPr>
                <w:noProof/>
                <w:lang w:eastAsia="en-AU"/>
              </w:rPr>
            </w:pPr>
            <w:r w:rsidRPr="00375B9D">
              <w:rPr>
                <w:noProof/>
                <w:lang w:eastAsia="en-AU"/>
              </w:rPr>
              <w:t>This $100</w:t>
            </w:r>
            <w:r w:rsidR="00C65823">
              <w:rPr>
                <w:noProof/>
                <w:lang w:eastAsia="en-AU"/>
              </w:rPr>
              <w:t>,000</w:t>
            </w:r>
            <w:r w:rsidRPr="00375B9D">
              <w:rPr>
                <w:noProof/>
                <w:lang w:eastAsia="en-AU"/>
              </w:rPr>
              <w:t xml:space="preserve"> would be treated as taxable wages paid by JM Pty Ltd, and included in JM Pty Ltd’s payroll tax returns.</w:t>
            </w:r>
          </w:p>
        </w:tc>
      </w:tr>
    </w:tbl>
    <w:p w14:paraId="33D73BAC" w14:textId="77777777" w:rsidR="00375B9D" w:rsidRPr="00375B9D" w:rsidRDefault="00375B9D" w:rsidP="00375B9D">
      <w:pPr>
        <w:rPr>
          <w:b/>
          <w:noProof/>
          <w:lang w:eastAsia="en-AU"/>
        </w:rPr>
      </w:pPr>
    </w:p>
    <w:tbl>
      <w:tblPr>
        <w:tblStyle w:val="DTFpayrolltaxguidestyle1"/>
        <w:tblW w:w="10348" w:type="dxa"/>
        <w:tblLook w:val="04A0" w:firstRow="1" w:lastRow="0" w:firstColumn="1" w:lastColumn="0" w:noHBand="0" w:noVBand="1"/>
        <w:tblDescription w:val="Example: Non-Taxable Management Fee"/>
      </w:tblPr>
      <w:tblGrid>
        <w:gridCol w:w="10348"/>
      </w:tblGrid>
      <w:tr w:rsidR="00375B9D" w:rsidRPr="00375B9D" w14:paraId="75E29BAA" w14:textId="77777777" w:rsidTr="005619AF">
        <w:trPr>
          <w:trHeight w:val="2760"/>
          <w:tblHeader/>
        </w:trPr>
        <w:tc>
          <w:tcPr>
            <w:tcW w:w="10348" w:type="dxa"/>
          </w:tcPr>
          <w:p w14:paraId="6319080E" w14:textId="77777777" w:rsidR="00375B9D" w:rsidRPr="00375B9D" w:rsidRDefault="00375B9D" w:rsidP="00375B9D">
            <w:pPr>
              <w:spacing w:after="200"/>
              <w:rPr>
                <w:noProof/>
                <w:lang w:eastAsia="en-AU"/>
              </w:rPr>
            </w:pPr>
            <w:r w:rsidRPr="00375B9D">
              <w:rPr>
                <w:b/>
                <w:noProof/>
                <w:lang w:eastAsia="en-AU"/>
              </w:rPr>
              <w:t>Example</w:t>
            </w:r>
            <w:r w:rsidR="00EA6881">
              <w:rPr>
                <w:b/>
                <w:noProof/>
                <w:lang w:eastAsia="en-AU"/>
              </w:rPr>
              <w:t xml:space="preserve"> 2</w:t>
            </w:r>
            <w:r w:rsidRPr="00375B9D">
              <w:rPr>
                <w:noProof/>
                <w:lang w:eastAsia="en-AU"/>
              </w:rPr>
              <w:t>: Non-</w:t>
            </w:r>
            <w:r w:rsidR="009F600A">
              <w:rPr>
                <w:noProof/>
                <w:lang w:eastAsia="en-AU"/>
              </w:rPr>
              <w:t>t</w:t>
            </w:r>
            <w:r w:rsidRPr="00375B9D">
              <w:rPr>
                <w:noProof/>
                <w:lang w:eastAsia="en-AU"/>
              </w:rPr>
              <w:t xml:space="preserve">axable </w:t>
            </w:r>
            <w:r w:rsidR="009F600A">
              <w:rPr>
                <w:noProof/>
                <w:lang w:eastAsia="en-AU"/>
              </w:rPr>
              <w:t>m</w:t>
            </w:r>
            <w:r w:rsidRPr="00375B9D">
              <w:rPr>
                <w:noProof/>
                <w:lang w:eastAsia="en-AU"/>
              </w:rPr>
              <w:t xml:space="preserve">anagement </w:t>
            </w:r>
            <w:r w:rsidR="009F600A">
              <w:rPr>
                <w:noProof/>
                <w:lang w:eastAsia="en-AU"/>
              </w:rPr>
              <w:t>f</w:t>
            </w:r>
            <w:r w:rsidRPr="00375B9D">
              <w:rPr>
                <w:noProof/>
                <w:lang w:eastAsia="en-AU"/>
              </w:rPr>
              <w:t>ee</w:t>
            </w:r>
          </w:p>
          <w:p w14:paraId="5256E15E" w14:textId="77777777" w:rsidR="00375B9D" w:rsidRPr="00375B9D" w:rsidRDefault="00375B9D" w:rsidP="00375B9D">
            <w:pPr>
              <w:spacing w:after="200"/>
              <w:rPr>
                <w:noProof/>
                <w:lang w:eastAsia="en-AU"/>
              </w:rPr>
            </w:pPr>
            <w:r w:rsidRPr="00375B9D">
              <w:rPr>
                <w:noProof/>
                <w:lang w:eastAsia="en-AU"/>
              </w:rPr>
              <w:t>AAA Pty Ltd and BBB Pty Ltd are grouped businesses with common directors and shareholders. They share office premises and employees. Office accommodation costs and staff wages and on-costs are all paid by AAA Pty Ltd.</w:t>
            </w:r>
          </w:p>
          <w:p w14:paraId="6A10BCA5" w14:textId="77777777" w:rsidR="00375B9D" w:rsidRPr="00375B9D" w:rsidRDefault="00375B9D" w:rsidP="00375B9D">
            <w:pPr>
              <w:spacing w:after="200"/>
              <w:rPr>
                <w:noProof/>
                <w:lang w:eastAsia="en-AU"/>
              </w:rPr>
            </w:pPr>
            <w:r w:rsidRPr="00375B9D">
              <w:rPr>
                <w:noProof/>
                <w:lang w:eastAsia="en-AU"/>
              </w:rPr>
              <w:t>Total annual wages paid by AAA Pty Ltd are $3 million. AAA Pty Ltd lodges payroll tax returns on behalf of the group. BBB Pty Ltd pays AAA Pty Ltd an annual management fee of $500</w:t>
            </w:r>
            <w:r w:rsidR="00C65823">
              <w:rPr>
                <w:noProof/>
                <w:lang w:eastAsia="en-AU"/>
              </w:rPr>
              <w:t>,000</w:t>
            </w:r>
            <w:r w:rsidRPr="00375B9D">
              <w:rPr>
                <w:noProof/>
                <w:lang w:eastAsia="en-AU"/>
              </w:rPr>
              <w:t xml:space="preserve"> as a contribution towards staff and office costs.</w:t>
            </w:r>
          </w:p>
          <w:p w14:paraId="1F21FC8E" w14:textId="77777777" w:rsidR="00375B9D" w:rsidRPr="00375B9D" w:rsidRDefault="00375B9D" w:rsidP="00375B9D">
            <w:pPr>
              <w:spacing w:after="200"/>
              <w:rPr>
                <w:noProof/>
                <w:lang w:eastAsia="en-AU"/>
              </w:rPr>
            </w:pPr>
            <w:r w:rsidRPr="00375B9D">
              <w:rPr>
                <w:noProof/>
                <w:lang w:eastAsia="en-AU"/>
              </w:rPr>
              <w:t>This is not a taxable management fee, as AAA Pty Ltd has already paid payroll tax on the wages, which are partly reimbursed by BBB Pty Ltd.</w:t>
            </w:r>
          </w:p>
        </w:tc>
      </w:tr>
    </w:tbl>
    <w:p w14:paraId="117ABEEC" w14:textId="77777777" w:rsidR="005264A4" w:rsidRDefault="005264A4">
      <w:pPr>
        <w:rPr>
          <w:b/>
          <w:noProof/>
          <w:lang w:eastAsia="en-AU"/>
        </w:rPr>
      </w:pPr>
    </w:p>
    <w:p w14:paraId="2CFB2872" w14:textId="77777777" w:rsidR="00691F42" w:rsidRDefault="00691F42">
      <w:pPr>
        <w:rPr>
          <w:b/>
          <w:noProof/>
          <w:lang w:eastAsia="en-AU"/>
        </w:rPr>
      </w:pPr>
      <w:r>
        <w:rPr>
          <w:b/>
          <w:noProof/>
          <w:lang w:eastAsia="en-AU"/>
        </w:rPr>
        <w:br w:type="page"/>
      </w:r>
    </w:p>
    <w:p w14:paraId="3A4B668B" w14:textId="77777777" w:rsidR="00375B9D" w:rsidRPr="00375B9D" w:rsidRDefault="00375B9D" w:rsidP="00B671FF">
      <w:pPr>
        <w:pStyle w:val="Heading1"/>
        <w:rPr>
          <w:noProof/>
          <w:lang w:eastAsia="en-AU"/>
        </w:rPr>
      </w:pPr>
      <w:bookmarkStart w:id="41" w:name="FringeBenefits"/>
      <w:bookmarkStart w:id="42" w:name="_Toc467842742"/>
      <w:bookmarkStart w:id="43" w:name="_Toc108789569"/>
      <w:bookmarkEnd w:id="41"/>
      <w:r w:rsidRPr="00375B9D">
        <w:rPr>
          <w:noProof/>
          <w:lang w:eastAsia="en-AU"/>
        </w:rPr>
        <w:lastRenderedPageBreak/>
        <w:t xml:space="preserve">Fringe </w:t>
      </w:r>
      <w:bookmarkEnd w:id="42"/>
      <w:r w:rsidR="008E4171" w:rsidRPr="00B671FF">
        <w:t>benefits</w:t>
      </w:r>
      <w:bookmarkEnd w:id="43"/>
      <w:r w:rsidRPr="00375B9D">
        <w:rPr>
          <w:noProof/>
          <w:lang w:eastAsia="en-AU"/>
        </w:rPr>
        <w:t xml:space="preserve"> </w:t>
      </w:r>
    </w:p>
    <w:p w14:paraId="79A9C71F" w14:textId="77777777" w:rsidR="00375B9D" w:rsidRPr="00375B9D" w:rsidRDefault="00375B9D" w:rsidP="00A7303B">
      <w:pPr>
        <w:pStyle w:val="Heading2"/>
      </w:pPr>
      <w:bookmarkStart w:id="44" w:name="_Toc467842743"/>
      <w:bookmarkStart w:id="45" w:name="_Toc108789570"/>
      <w:r w:rsidRPr="00375B9D">
        <w:t>Introduction</w:t>
      </w:r>
      <w:bookmarkEnd w:id="44"/>
      <w:bookmarkEnd w:id="45"/>
      <w:r w:rsidRPr="00375B9D">
        <w:t xml:space="preserve"> </w:t>
      </w:r>
    </w:p>
    <w:p w14:paraId="0148EE4C" w14:textId="77777777" w:rsidR="00375B9D" w:rsidRPr="00375B9D" w:rsidRDefault="00375B9D" w:rsidP="00375B9D">
      <w:pPr>
        <w:rPr>
          <w:noProof/>
          <w:lang w:eastAsia="en-AU"/>
        </w:rPr>
      </w:pPr>
      <w:r w:rsidRPr="00375B9D">
        <w:rPr>
          <w:noProof/>
          <w:lang w:eastAsia="en-AU"/>
        </w:rPr>
        <w:t>Wages for payroll tax purposes includes the grossed-up value of any fringe benefits as defined in the FBTAA.</w:t>
      </w:r>
    </w:p>
    <w:tbl>
      <w:tblPr>
        <w:tblStyle w:val="DTFpayrolltaxguidestyle1"/>
        <w:tblW w:w="10348" w:type="dxa"/>
        <w:tblLook w:val="04A0" w:firstRow="1" w:lastRow="0" w:firstColumn="1" w:lastColumn="0" w:noHBand="0" w:noVBand="1"/>
        <w:tblDescription w:val="Note: The only exception to this general rule is a tax-exempt body entertainment fringe benefit as defined in the FBTAA. Although tax-exempt body fringe benefits are subject to FBT, they are specifically exempt for payroll tax purposes. "/>
      </w:tblPr>
      <w:tblGrid>
        <w:gridCol w:w="10348"/>
      </w:tblGrid>
      <w:tr w:rsidR="00375B9D" w:rsidRPr="00375B9D" w14:paraId="6F75F638" w14:textId="77777777" w:rsidTr="005619AF">
        <w:trPr>
          <w:trHeight w:val="639"/>
          <w:tblHeader/>
        </w:trPr>
        <w:tc>
          <w:tcPr>
            <w:tcW w:w="10348" w:type="dxa"/>
          </w:tcPr>
          <w:p w14:paraId="65EA7ACD" w14:textId="77777777" w:rsidR="00375B9D" w:rsidRPr="00375B9D" w:rsidRDefault="00375B9D" w:rsidP="00375B9D">
            <w:pPr>
              <w:spacing w:after="200"/>
              <w:rPr>
                <w:noProof/>
                <w:lang w:eastAsia="en-AU"/>
              </w:rPr>
            </w:pPr>
            <w:r w:rsidRPr="00375B9D">
              <w:rPr>
                <w:b/>
                <w:noProof/>
                <w:lang w:eastAsia="en-AU"/>
              </w:rPr>
              <w:t>Note</w:t>
            </w:r>
            <w:r w:rsidRPr="00375B9D">
              <w:rPr>
                <w:noProof/>
                <w:lang w:eastAsia="en-AU"/>
              </w:rPr>
              <w:t xml:space="preserve">: The only exception to this general rule is a tax-exempt body entertainment fringe benefit as defined in the FBTAA. Although tax-exempt body fringe benefits are subject to FBT, they are specifically exempt for payroll tax purposes. </w:t>
            </w:r>
          </w:p>
        </w:tc>
      </w:tr>
    </w:tbl>
    <w:p w14:paraId="1B73AF4B" w14:textId="77777777" w:rsidR="00AF1606" w:rsidRDefault="00AF1606" w:rsidP="00375B9D">
      <w:pPr>
        <w:rPr>
          <w:noProof/>
          <w:lang w:eastAsia="en-AU"/>
        </w:rPr>
      </w:pPr>
    </w:p>
    <w:p w14:paraId="401887EB" w14:textId="77777777" w:rsidR="00375B9D" w:rsidRPr="00375B9D" w:rsidRDefault="00375B9D" w:rsidP="00375B9D">
      <w:pPr>
        <w:rPr>
          <w:noProof/>
          <w:lang w:eastAsia="en-AU"/>
        </w:rPr>
      </w:pPr>
      <w:r w:rsidRPr="00375B9D">
        <w:rPr>
          <w:noProof/>
          <w:lang w:eastAsia="en-AU"/>
        </w:rPr>
        <w:t xml:space="preserve">If a benefit is exempt under the FBTAA it is also exempt from payroll tax unless it is a deposit under the </w:t>
      </w:r>
      <w:r w:rsidRPr="00375B9D">
        <w:rPr>
          <w:i/>
          <w:iCs/>
          <w:noProof/>
          <w:lang w:eastAsia="en-AU"/>
        </w:rPr>
        <w:t>Small Superannuation Accounts Act 1995</w:t>
      </w:r>
      <w:r w:rsidRPr="00375B9D">
        <w:rPr>
          <w:noProof/>
          <w:lang w:eastAsia="en-AU"/>
        </w:rPr>
        <w:t xml:space="preserve"> (Cth). These deposits are an exempt benefit under section 58W of the FBTAA but are subject to payroll tax as a superannuation contribution (refer to </w:t>
      </w:r>
      <w:hyperlink w:anchor="SuperContributions" w:history="1">
        <w:r w:rsidRPr="00375B9D">
          <w:rPr>
            <w:rStyle w:val="Hyperlink"/>
            <w:noProof/>
            <w:lang w:eastAsia="en-AU"/>
          </w:rPr>
          <w:t>Superannuation Contributions made by Employer</w:t>
        </w:r>
      </w:hyperlink>
      <w:r w:rsidRPr="00375B9D">
        <w:rPr>
          <w:noProof/>
          <w:lang w:eastAsia="en-AU"/>
        </w:rPr>
        <w:t xml:space="preserve"> for further details).</w:t>
      </w:r>
    </w:p>
    <w:p w14:paraId="08231AA4" w14:textId="77777777" w:rsidR="00375B9D" w:rsidRPr="00375B9D" w:rsidRDefault="00375B9D" w:rsidP="00375B9D">
      <w:pPr>
        <w:rPr>
          <w:noProof/>
          <w:lang w:eastAsia="en-AU"/>
        </w:rPr>
      </w:pPr>
      <w:r w:rsidRPr="00375B9D">
        <w:rPr>
          <w:noProof/>
          <w:lang w:eastAsia="en-AU"/>
        </w:rPr>
        <w:t xml:space="preserve">In addition, if a fringe benefit has a nil taxable value for FBT purposes, it also has a nil value for payroll tax purposes. </w:t>
      </w:r>
    </w:p>
    <w:p w14:paraId="45C1B801" w14:textId="77777777" w:rsidR="00375B9D" w:rsidRPr="00375B9D" w:rsidRDefault="00375B9D" w:rsidP="00375B9D">
      <w:pPr>
        <w:rPr>
          <w:noProof/>
          <w:lang w:eastAsia="en-AU"/>
        </w:rPr>
      </w:pPr>
      <w:r w:rsidRPr="00375B9D">
        <w:rPr>
          <w:noProof/>
          <w:lang w:eastAsia="en-AU"/>
        </w:rPr>
        <w:t>For example, when the taxable value is reduced to nil under the ‘otherwise deductible’ rule, or the employee makes a post-income tax contribution to match the cost of the fringe benefit, the benefit also has a nil taxable value for payroll tax purposes.</w:t>
      </w:r>
    </w:p>
    <w:p w14:paraId="33BCE192" w14:textId="77777777" w:rsidR="00375B9D" w:rsidRPr="00375B9D" w:rsidRDefault="00375B9D" w:rsidP="00375B9D">
      <w:pPr>
        <w:rPr>
          <w:noProof/>
          <w:lang w:eastAsia="en-AU"/>
        </w:rPr>
      </w:pPr>
      <w:r w:rsidRPr="00375B9D">
        <w:rPr>
          <w:noProof/>
          <w:lang w:eastAsia="en-AU"/>
        </w:rPr>
        <w:t xml:space="preserve">An employer may be providing fringe benefits to employees or directors without being aware of the fact, and as a consequence, be underpaying both fringe benefits tax and payroll tax. </w:t>
      </w:r>
    </w:p>
    <w:p w14:paraId="70266465" w14:textId="77777777" w:rsidR="00375B9D" w:rsidRPr="00375B9D" w:rsidRDefault="00375B9D" w:rsidP="00375B9D">
      <w:pPr>
        <w:rPr>
          <w:noProof/>
          <w:lang w:eastAsia="en-AU"/>
        </w:rPr>
      </w:pPr>
      <w:r w:rsidRPr="00375B9D">
        <w:rPr>
          <w:noProof/>
          <w:lang w:eastAsia="en-AU"/>
        </w:rPr>
        <w:t xml:space="preserve">As payroll tax is payable on taxable wages that have been paid </w:t>
      </w:r>
      <w:r w:rsidRPr="00375B9D">
        <w:rPr>
          <w:b/>
          <w:noProof/>
          <w:lang w:eastAsia="en-AU"/>
        </w:rPr>
        <w:t>or are payable</w:t>
      </w:r>
      <w:r w:rsidRPr="00375B9D">
        <w:rPr>
          <w:noProof/>
          <w:lang w:eastAsia="en-AU"/>
        </w:rPr>
        <w:t>, an employer will be liable for payment of payroll tax on the taxable value of a fringe benefit, even if they have not lodged fringe benefits tax returns with the ATO and paid the relevant fringe benefits tax.</w:t>
      </w:r>
    </w:p>
    <w:tbl>
      <w:tblPr>
        <w:tblStyle w:val="DTFpayrolltaxguidestyle1"/>
        <w:tblW w:w="10348" w:type="dxa"/>
        <w:tblLook w:val="04A0" w:firstRow="1" w:lastRow="0" w:firstColumn="1" w:lastColumn="0" w:noHBand="0" w:noVBand="1"/>
        <w:tblDescription w:val="Example 1: Employee A is provided with a fringe benefit where the employer directly pays the childrens’ private school fees of $5 000 p.a. The current Type 2 FBT Gross-Up Rate is 1.9608. For payroll tax purposes, taxable wages are $5 000 x 1.9608, or $9 804, which would incur additional payroll tax of $9 804 x 5.5%, or $539."/>
      </w:tblPr>
      <w:tblGrid>
        <w:gridCol w:w="10348"/>
      </w:tblGrid>
      <w:tr w:rsidR="00375B9D" w:rsidRPr="00375B9D" w14:paraId="20E53E1D" w14:textId="77777777" w:rsidTr="005619AF">
        <w:trPr>
          <w:trHeight w:val="852"/>
          <w:tblHeader/>
        </w:trPr>
        <w:tc>
          <w:tcPr>
            <w:tcW w:w="10348" w:type="dxa"/>
          </w:tcPr>
          <w:p w14:paraId="0BE6660A" w14:textId="77777777" w:rsidR="00375B9D" w:rsidRPr="00375B9D" w:rsidRDefault="00375B9D" w:rsidP="008775BF">
            <w:pPr>
              <w:spacing w:after="200"/>
              <w:rPr>
                <w:noProof/>
                <w:lang w:eastAsia="en-AU"/>
              </w:rPr>
            </w:pPr>
            <w:r w:rsidRPr="00375B9D">
              <w:rPr>
                <w:b/>
                <w:noProof/>
                <w:lang w:eastAsia="en-AU"/>
              </w:rPr>
              <w:t>Example 1</w:t>
            </w:r>
            <w:r w:rsidRPr="00375B9D">
              <w:rPr>
                <w:noProof/>
                <w:lang w:eastAsia="en-AU"/>
              </w:rPr>
              <w:t xml:space="preserve">: Employee A is provided with a fringe benefit where </w:t>
            </w:r>
            <w:r w:rsidR="008775BF">
              <w:rPr>
                <w:noProof/>
                <w:lang w:eastAsia="en-AU"/>
              </w:rPr>
              <w:t>her</w:t>
            </w:r>
            <w:r w:rsidRPr="00375B9D">
              <w:rPr>
                <w:noProof/>
                <w:lang w:eastAsia="en-AU"/>
              </w:rPr>
              <w:t xml:space="preserve"> employer directly pays </w:t>
            </w:r>
            <w:r w:rsidR="008775BF">
              <w:rPr>
                <w:noProof/>
                <w:lang w:eastAsia="en-AU"/>
              </w:rPr>
              <w:t>her</w:t>
            </w:r>
            <w:r w:rsidRPr="00375B9D">
              <w:rPr>
                <w:noProof/>
                <w:lang w:eastAsia="en-AU"/>
              </w:rPr>
              <w:t xml:space="preserve"> childrens’ private school fees of $5</w:t>
            </w:r>
            <w:r w:rsidR="00C65823">
              <w:rPr>
                <w:noProof/>
                <w:lang w:eastAsia="en-AU"/>
              </w:rPr>
              <w:t>,000</w:t>
            </w:r>
            <w:r w:rsidRPr="00375B9D">
              <w:rPr>
                <w:noProof/>
                <w:lang w:eastAsia="en-AU"/>
              </w:rPr>
              <w:t xml:space="preserve"> per annum. Once the value of the benefit is grossed-up by the Type 2 FBT factor the full value of the benefit is to be included in the employer's payroll tax return.</w:t>
            </w:r>
          </w:p>
        </w:tc>
      </w:tr>
    </w:tbl>
    <w:p w14:paraId="158CA605" w14:textId="77777777" w:rsidR="00BA46A6" w:rsidRDefault="00BA46A6" w:rsidP="00375B9D">
      <w:pPr>
        <w:rPr>
          <w:noProof/>
          <w:lang w:eastAsia="en-AU"/>
        </w:rPr>
      </w:pPr>
    </w:p>
    <w:p w14:paraId="4FC9CC3B" w14:textId="77777777" w:rsidR="00375B9D" w:rsidRPr="00375B9D" w:rsidRDefault="00375B9D" w:rsidP="00375B9D">
      <w:pPr>
        <w:rPr>
          <w:noProof/>
          <w:lang w:eastAsia="en-AU"/>
        </w:rPr>
      </w:pPr>
      <w:r w:rsidRPr="00375B9D">
        <w:rPr>
          <w:noProof/>
          <w:lang w:eastAsia="en-AU"/>
        </w:rPr>
        <w:t>A fringe benefit will be taxable whether provided to a future employee, current employee, or former employee. In this context, ‘employee’ includes a director, or an associate of the employee or director, such as a family member or family-owned company, trust or partnership.</w:t>
      </w:r>
    </w:p>
    <w:tbl>
      <w:tblPr>
        <w:tblStyle w:val="DTFpayrolltaxguidestyle1"/>
        <w:tblW w:w="10348" w:type="dxa"/>
        <w:tblLook w:val="04A0" w:firstRow="1" w:lastRow="0" w:firstColumn="1" w:lastColumn="0" w:noHBand="0" w:noVBand="1"/>
        <w:tblDescription w:val="Example: Fringe Benefit Provided to a Future Employee"/>
      </w:tblPr>
      <w:tblGrid>
        <w:gridCol w:w="10348"/>
      </w:tblGrid>
      <w:tr w:rsidR="00375B9D" w:rsidRPr="00375B9D" w14:paraId="0F6B1DCE" w14:textId="77777777" w:rsidTr="005619AF">
        <w:trPr>
          <w:cantSplit/>
          <w:trHeight w:val="781"/>
          <w:tblHeader/>
        </w:trPr>
        <w:tc>
          <w:tcPr>
            <w:tcW w:w="10348" w:type="dxa"/>
          </w:tcPr>
          <w:p w14:paraId="0BACD90A" w14:textId="77777777" w:rsidR="00375B9D" w:rsidRPr="00375B9D" w:rsidRDefault="00375B9D" w:rsidP="00375B9D">
            <w:pPr>
              <w:spacing w:after="200"/>
              <w:rPr>
                <w:noProof/>
                <w:lang w:eastAsia="en-AU"/>
              </w:rPr>
            </w:pPr>
            <w:r w:rsidRPr="00375B9D">
              <w:rPr>
                <w:b/>
                <w:noProof/>
                <w:lang w:eastAsia="en-AU"/>
              </w:rPr>
              <w:lastRenderedPageBreak/>
              <w:t>Example</w:t>
            </w:r>
            <w:r w:rsidR="00EA6881">
              <w:rPr>
                <w:b/>
                <w:noProof/>
                <w:lang w:eastAsia="en-AU"/>
              </w:rPr>
              <w:t xml:space="preserve"> 2</w:t>
            </w:r>
            <w:r w:rsidRPr="00375B9D">
              <w:rPr>
                <w:noProof/>
                <w:lang w:eastAsia="en-AU"/>
              </w:rPr>
              <w:t xml:space="preserve">: Fringe </w:t>
            </w:r>
            <w:r w:rsidR="008F4FBE" w:rsidRPr="00375B9D">
              <w:rPr>
                <w:noProof/>
                <w:lang w:eastAsia="en-AU"/>
              </w:rPr>
              <w:t>benefit provided to a future employee</w:t>
            </w:r>
          </w:p>
          <w:p w14:paraId="010F13CD" w14:textId="77777777" w:rsidR="00375B9D" w:rsidRPr="00375B9D" w:rsidRDefault="00375B9D" w:rsidP="00375B9D">
            <w:pPr>
              <w:spacing w:after="200"/>
              <w:rPr>
                <w:noProof/>
                <w:lang w:eastAsia="en-AU"/>
              </w:rPr>
            </w:pPr>
            <w:r w:rsidRPr="00375B9D">
              <w:rPr>
                <w:noProof/>
                <w:lang w:eastAsia="en-AU"/>
              </w:rPr>
              <w:t>John is headhunted by LM Developments. As a sweetener to change jobs, John is provided with a ‘golden hello’ of a $10</w:t>
            </w:r>
            <w:r w:rsidR="00C65823">
              <w:rPr>
                <w:noProof/>
                <w:lang w:eastAsia="en-AU"/>
              </w:rPr>
              <w:t>,000</w:t>
            </w:r>
            <w:r w:rsidRPr="00375B9D">
              <w:rPr>
                <w:noProof/>
                <w:lang w:eastAsia="en-AU"/>
              </w:rPr>
              <w:t xml:space="preserve"> family holiday paid by LM Developments, which he takes before commencing employment. This would be classified as a fringe benefit provided to a future employee and subject to both FBT and payroll tax.</w:t>
            </w:r>
          </w:p>
          <w:p w14:paraId="3A7757AB" w14:textId="77777777" w:rsidR="00375B9D" w:rsidRPr="00375B9D" w:rsidRDefault="00375B9D" w:rsidP="00532301">
            <w:pPr>
              <w:spacing w:after="200"/>
              <w:rPr>
                <w:noProof/>
                <w:lang w:eastAsia="en-AU"/>
              </w:rPr>
            </w:pPr>
            <w:r w:rsidRPr="00375B9D">
              <w:rPr>
                <w:noProof/>
                <w:lang w:eastAsia="en-AU"/>
              </w:rPr>
              <w:t>For payroll tax purposes, the $10</w:t>
            </w:r>
            <w:r w:rsidR="00C65823">
              <w:rPr>
                <w:noProof/>
                <w:lang w:eastAsia="en-AU"/>
              </w:rPr>
              <w:t>,000</w:t>
            </w:r>
            <w:r w:rsidRPr="00375B9D">
              <w:rPr>
                <w:noProof/>
                <w:lang w:eastAsia="en-AU"/>
              </w:rPr>
              <w:t xml:space="preserve"> would be grossed up by the Type 2 rate (see Appendix 3 for </w:t>
            </w:r>
            <w:r w:rsidR="00532301">
              <w:rPr>
                <w:noProof/>
                <w:lang w:eastAsia="en-AU"/>
              </w:rPr>
              <w:t xml:space="preserve">the </w:t>
            </w:r>
            <w:r w:rsidRPr="00375B9D">
              <w:rPr>
                <w:noProof/>
                <w:lang w:eastAsia="en-AU"/>
              </w:rPr>
              <w:t>current rate) in order to calculate taxable wages.</w:t>
            </w:r>
          </w:p>
        </w:tc>
      </w:tr>
    </w:tbl>
    <w:p w14:paraId="1B632F3F" w14:textId="77777777" w:rsidR="00375B9D" w:rsidRPr="00375B9D" w:rsidRDefault="00375B9D" w:rsidP="00A7303B">
      <w:pPr>
        <w:pStyle w:val="Heading2"/>
      </w:pPr>
      <w:bookmarkStart w:id="46" w:name="_Toc108789571"/>
      <w:r w:rsidRPr="00375B9D">
        <w:t xml:space="preserve">Why are </w:t>
      </w:r>
      <w:r w:rsidR="006C43E9">
        <w:t>f</w:t>
      </w:r>
      <w:r w:rsidRPr="00375B9D">
        <w:t xml:space="preserve">ringe </w:t>
      </w:r>
      <w:r w:rsidR="006C43E9">
        <w:t>b</w:t>
      </w:r>
      <w:r w:rsidRPr="00375B9D">
        <w:t xml:space="preserve">enefits </w:t>
      </w:r>
      <w:r w:rsidR="006C43E9">
        <w:t>g</w:t>
      </w:r>
      <w:r w:rsidRPr="00375B9D">
        <w:t>rossed-</w:t>
      </w:r>
      <w:r w:rsidR="006C43E9">
        <w:t>u</w:t>
      </w:r>
      <w:r w:rsidRPr="00375B9D">
        <w:t>p?</w:t>
      </w:r>
      <w:bookmarkEnd w:id="46"/>
    </w:p>
    <w:p w14:paraId="47183B55" w14:textId="77777777" w:rsidR="00375B9D" w:rsidRPr="00375B9D" w:rsidRDefault="00375B9D" w:rsidP="00375B9D">
      <w:pPr>
        <w:rPr>
          <w:noProof/>
          <w:lang w:val="en-GB" w:eastAsia="en-AU"/>
        </w:rPr>
      </w:pPr>
      <w:r w:rsidRPr="00375B9D">
        <w:rPr>
          <w:noProof/>
          <w:lang w:val="en-GB" w:eastAsia="en-AU"/>
        </w:rPr>
        <w:t>A fringe benefit provides an employee with a product or service before income tax. That is, the value of the fringe benefit is not taxable income on the employee’s PAYG Payment Summary (also called a Group Certificate).</w:t>
      </w:r>
    </w:p>
    <w:p w14:paraId="07A9159B" w14:textId="77777777" w:rsidR="00375B9D" w:rsidRPr="00375B9D" w:rsidRDefault="00375B9D" w:rsidP="00375B9D">
      <w:pPr>
        <w:rPr>
          <w:noProof/>
          <w:lang w:val="en-GB" w:eastAsia="en-AU"/>
        </w:rPr>
      </w:pPr>
      <w:r w:rsidRPr="00375B9D">
        <w:rPr>
          <w:noProof/>
          <w:lang w:val="en-GB" w:eastAsia="en-AU"/>
        </w:rPr>
        <w:t>If the employee had purchased the product or service from his or her after-tax income, he or she would have had to earn approximately twice as much as the product’s or service’s price in order to have the same purchasing power.</w:t>
      </w:r>
    </w:p>
    <w:p w14:paraId="7CAE9A18" w14:textId="77777777" w:rsidR="00375B9D" w:rsidRPr="00375B9D" w:rsidRDefault="00375B9D" w:rsidP="00375B9D">
      <w:pPr>
        <w:rPr>
          <w:noProof/>
          <w:lang w:val="en-GB" w:eastAsia="en-AU"/>
        </w:rPr>
      </w:pPr>
      <w:r w:rsidRPr="00375B9D">
        <w:rPr>
          <w:noProof/>
          <w:lang w:val="en-GB" w:eastAsia="en-AU"/>
        </w:rPr>
        <w:t>The effect of grossing-up is therefore to bring equity to the overall Australian tax system through the amount of tax (income tax and/or fringe benefits tax, as well as payroll tax) generated by an employment relationship, regardless of whether or not an employee is in receipt of fringe benefits.</w:t>
      </w:r>
    </w:p>
    <w:p w14:paraId="515A932A" w14:textId="77777777" w:rsidR="00375B9D" w:rsidRPr="00375B9D" w:rsidRDefault="00375B9D" w:rsidP="00AF1606">
      <w:pPr>
        <w:pStyle w:val="Heading3"/>
        <w:rPr>
          <w:noProof/>
          <w:lang w:eastAsia="en-AU"/>
        </w:rPr>
      </w:pPr>
      <w:bookmarkStart w:id="47" w:name="RecordKeeping"/>
      <w:r w:rsidRPr="00375B9D">
        <w:rPr>
          <w:noProof/>
          <w:lang w:eastAsia="en-AU"/>
        </w:rPr>
        <w:t xml:space="preserve">Record </w:t>
      </w:r>
      <w:r w:rsidR="00F168DF">
        <w:rPr>
          <w:noProof/>
          <w:lang w:eastAsia="en-AU"/>
        </w:rPr>
        <w:t>k</w:t>
      </w:r>
      <w:r w:rsidRPr="00375B9D">
        <w:rPr>
          <w:noProof/>
          <w:lang w:eastAsia="en-AU"/>
        </w:rPr>
        <w:t>eeping</w:t>
      </w:r>
      <w:bookmarkEnd w:id="47"/>
    </w:p>
    <w:p w14:paraId="1ACC8342" w14:textId="77777777" w:rsidR="00375B9D" w:rsidRDefault="00375B9D" w:rsidP="00375B9D">
      <w:pPr>
        <w:rPr>
          <w:noProof/>
          <w:lang w:eastAsia="en-AU"/>
        </w:rPr>
      </w:pPr>
      <w:r w:rsidRPr="00375B9D">
        <w:rPr>
          <w:noProof/>
          <w:lang w:eastAsia="en-AU"/>
        </w:rPr>
        <w:t>Records required by the ATO to substantiate FBT claims are also acceptable for payroll tax purposes.</w:t>
      </w:r>
    </w:p>
    <w:p w14:paraId="32D43C04" w14:textId="77777777" w:rsidR="00375B9D" w:rsidRPr="00375B9D" w:rsidRDefault="00375B9D" w:rsidP="00A7303B">
      <w:pPr>
        <w:pStyle w:val="Heading2"/>
      </w:pPr>
      <w:bookmarkStart w:id="48" w:name="_Toc108789572"/>
      <w:r w:rsidRPr="00375B9D">
        <w:t xml:space="preserve">Common </w:t>
      </w:r>
      <w:r w:rsidR="00F168DF">
        <w:t>t</w:t>
      </w:r>
      <w:r w:rsidRPr="00375B9D">
        <w:t xml:space="preserve">ypes of </w:t>
      </w:r>
      <w:r w:rsidR="00F168DF">
        <w:t>f</w:t>
      </w:r>
      <w:r w:rsidRPr="00375B9D">
        <w:t xml:space="preserve">ringe </w:t>
      </w:r>
      <w:r w:rsidR="00F168DF">
        <w:t>b</w:t>
      </w:r>
      <w:r w:rsidRPr="00375B9D">
        <w:t>enefits</w:t>
      </w:r>
      <w:bookmarkEnd w:id="48"/>
    </w:p>
    <w:p w14:paraId="130F3268" w14:textId="77777777" w:rsidR="00375B9D" w:rsidRPr="00375B9D" w:rsidRDefault="00375B9D" w:rsidP="00375B9D">
      <w:pPr>
        <w:rPr>
          <w:noProof/>
          <w:lang w:eastAsia="en-AU"/>
        </w:rPr>
      </w:pPr>
      <w:r w:rsidRPr="00375B9D">
        <w:rPr>
          <w:noProof/>
          <w:lang w:eastAsia="en-AU"/>
        </w:rPr>
        <w:t xml:space="preserve">While not exhaustive, the following are some examples of the more common types of fringe benefits, the provision of which may result in a payroll tax liability. </w:t>
      </w:r>
    </w:p>
    <w:p w14:paraId="490D8829" w14:textId="77777777" w:rsidR="00375B9D" w:rsidRPr="00375B9D" w:rsidRDefault="00375B9D" w:rsidP="00AE756D">
      <w:pPr>
        <w:pStyle w:val="DTFBulletlist"/>
      </w:pPr>
      <w:r w:rsidRPr="00375B9D">
        <w:t>Passenger cars for the whole or partial private use of an employee, director or family member.</w:t>
      </w:r>
    </w:p>
    <w:p w14:paraId="272D7891" w14:textId="77777777" w:rsidR="00375B9D" w:rsidRPr="00375B9D" w:rsidRDefault="00375B9D" w:rsidP="00AE756D">
      <w:pPr>
        <w:pStyle w:val="DTFBulletlist"/>
      </w:pPr>
      <w:r w:rsidRPr="00375B9D">
        <w:t>Passenger cars home garaged by an employee, director or family member.</w:t>
      </w:r>
    </w:p>
    <w:p w14:paraId="16772D31" w14:textId="77777777" w:rsidR="00375B9D" w:rsidRPr="00375B9D" w:rsidRDefault="00375B9D" w:rsidP="00AE756D">
      <w:pPr>
        <w:pStyle w:val="DTFBulletlist"/>
      </w:pPr>
      <w:r w:rsidRPr="00375B9D">
        <w:t>Use of business property for private purposes (such as free or subsidised family member travel on company-owned aircraft).</w:t>
      </w:r>
    </w:p>
    <w:p w14:paraId="750D7475" w14:textId="77777777" w:rsidR="00375B9D" w:rsidRPr="00375B9D" w:rsidRDefault="00375B9D" w:rsidP="00AE756D">
      <w:pPr>
        <w:pStyle w:val="DTFBulletlist"/>
      </w:pPr>
      <w:r w:rsidRPr="00375B9D">
        <w:t>Free or subsidised employee or director accommodation.</w:t>
      </w:r>
    </w:p>
    <w:p w14:paraId="2039AD88" w14:textId="77777777" w:rsidR="00375B9D" w:rsidRPr="00375B9D" w:rsidRDefault="00375B9D" w:rsidP="00AE756D">
      <w:pPr>
        <w:pStyle w:val="DTFBulletlist"/>
      </w:pPr>
      <w:r w:rsidRPr="00375B9D">
        <w:t>The employer meeting the cost of a spouse or partner accompanying an employee or director to a business conference.</w:t>
      </w:r>
    </w:p>
    <w:p w14:paraId="5FC30C27" w14:textId="77777777" w:rsidR="00375B9D" w:rsidRPr="00375B9D" w:rsidRDefault="00375B9D" w:rsidP="00AE756D">
      <w:pPr>
        <w:pStyle w:val="DTFBulletlist"/>
      </w:pPr>
      <w:r w:rsidRPr="00375B9D">
        <w:t>Payment of employee or director personal expenses from pre-tax income – these could include items such as credit card debts, school fees and family holiday costs.</w:t>
      </w:r>
    </w:p>
    <w:p w14:paraId="58B61486" w14:textId="77777777" w:rsidR="00375B9D" w:rsidRPr="00375B9D" w:rsidRDefault="00375B9D" w:rsidP="00AE756D">
      <w:pPr>
        <w:pStyle w:val="DTFBulletlist"/>
      </w:pPr>
      <w:r w:rsidRPr="00375B9D">
        <w:t>Waiving of a debt to the employer incurred by a director or employee.</w:t>
      </w:r>
    </w:p>
    <w:p w14:paraId="5C3E4925" w14:textId="77777777" w:rsidR="00375B9D" w:rsidRPr="00375B9D" w:rsidRDefault="00375B9D" w:rsidP="00AE756D">
      <w:pPr>
        <w:pStyle w:val="DTFBulletlist"/>
      </w:pPr>
      <w:r w:rsidRPr="00375B9D">
        <w:t>Paying certain expenses that are not work related, for example, providing free music concert tickets or club membership to employees and or their family members.</w:t>
      </w:r>
    </w:p>
    <w:p w14:paraId="5C8902EE" w14:textId="77777777" w:rsidR="00375B9D" w:rsidRPr="00375B9D" w:rsidRDefault="00375B9D" w:rsidP="00AE756D">
      <w:pPr>
        <w:pStyle w:val="DTFBulletlist"/>
      </w:pPr>
      <w:r w:rsidRPr="00375B9D">
        <w:lastRenderedPageBreak/>
        <w:t>Providing a loan to an employee or director either interest free or at a lower than market rate.</w:t>
      </w:r>
    </w:p>
    <w:p w14:paraId="0F425348" w14:textId="77777777" w:rsidR="00375B9D" w:rsidRPr="00375B9D" w:rsidRDefault="00375B9D" w:rsidP="00AE756D">
      <w:pPr>
        <w:pStyle w:val="DTFBulletlist"/>
      </w:pPr>
      <w:r w:rsidRPr="00375B9D">
        <w:t xml:space="preserve">Transferring property owned by the employer to an employee or director at less than a fair open market value. </w:t>
      </w:r>
    </w:p>
    <w:p w14:paraId="7E81BD6E" w14:textId="77777777" w:rsidR="00375B9D" w:rsidRPr="00375B9D" w:rsidRDefault="00375B9D" w:rsidP="00AE756D">
      <w:pPr>
        <w:pStyle w:val="DTFBulletlist"/>
      </w:pPr>
      <w:r w:rsidRPr="00375B9D">
        <w:t>Providing a fringe benefit to an associate of an employee or director. This could include allowing the managing director’s son to purchase a home unit owned by the business at less than market value.</w:t>
      </w:r>
    </w:p>
    <w:p w14:paraId="524D21B7" w14:textId="77777777" w:rsidR="00375B9D" w:rsidRPr="00375B9D" w:rsidRDefault="00375B9D" w:rsidP="00AE756D">
      <w:pPr>
        <w:pStyle w:val="DTFBulletlist"/>
      </w:pPr>
      <w:r w:rsidRPr="00375B9D">
        <w:t xml:space="preserve">Granting a share or option to an employee or director that does not qualify as an employee share scheme (ESS) under section 83-10 of the ITAA (if it does qualify as an ESS, it is taxable on its face value, not its grossed-up value). See also </w:t>
      </w:r>
      <w:hyperlink w:anchor="SharesandOptions" w:history="1">
        <w:r w:rsidRPr="00375B9D">
          <w:rPr>
            <w:rStyle w:val="Hyperlink"/>
          </w:rPr>
          <w:softHyphen/>
          <w:t>Shares and Options</w:t>
        </w:r>
      </w:hyperlink>
      <w:r w:rsidRPr="00375B9D">
        <w:t>.</w:t>
      </w:r>
    </w:p>
    <w:p w14:paraId="741353F3" w14:textId="77777777" w:rsidR="00375B9D" w:rsidRPr="00375B9D" w:rsidRDefault="00375B9D" w:rsidP="00AE756D">
      <w:pPr>
        <w:pStyle w:val="DTFBulletlist"/>
      </w:pPr>
      <w:r w:rsidRPr="00375B9D">
        <w:t>The granting to a director or employee (or their associate) of units in a unit trust (or the rights to acquire such units).</w:t>
      </w:r>
    </w:p>
    <w:p w14:paraId="248895C1" w14:textId="77777777" w:rsidR="00375B9D" w:rsidRPr="00375B9D" w:rsidRDefault="00375B9D" w:rsidP="00A7303B">
      <w:pPr>
        <w:pStyle w:val="Heading2"/>
      </w:pPr>
      <w:bookmarkStart w:id="49" w:name="_Toc108789573"/>
      <w:r w:rsidRPr="00375B9D">
        <w:t xml:space="preserve">Sole </w:t>
      </w:r>
      <w:r w:rsidR="000A13D0">
        <w:t>t</w:t>
      </w:r>
      <w:r w:rsidRPr="00375B9D">
        <w:t xml:space="preserve">rader </w:t>
      </w:r>
      <w:r w:rsidR="000A13D0">
        <w:t>c</w:t>
      </w:r>
      <w:r w:rsidRPr="00375B9D">
        <w:t xml:space="preserve">ontractors and </w:t>
      </w:r>
      <w:r w:rsidR="000A13D0">
        <w:t>f</w:t>
      </w:r>
      <w:r w:rsidRPr="00375B9D">
        <w:t xml:space="preserve">ringe </w:t>
      </w:r>
      <w:r w:rsidR="000A13D0">
        <w:t>b</w:t>
      </w:r>
      <w:r w:rsidRPr="00375B9D">
        <w:t>enefits</w:t>
      </w:r>
      <w:bookmarkEnd w:id="49"/>
    </w:p>
    <w:p w14:paraId="26E5C5FC" w14:textId="77777777" w:rsidR="00375B9D" w:rsidRPr="00375B9D" w:rsidRDefault="00375B9D" w:rsidP="00375B9D">
      <w:pPr>
        <w:rPr>
          <w:noProof/>
          <w:lang w:eastAsia="en-AU"/>
        </w:rPr>
      </w:pPr>
      <w:r w:rsidRPr="00375B9D">
        <w:rPr>
          <w:noProof/>
          <w:lang w:eastAsia="en-AU"/>
        </w:rPr>
        <w:t>If a sole trader contractor performs significant work for a business during a financial year, it is possible they would be considered an employee.</w:t>
      </w:r>
    </w:p>
    <w:p w14:paraId="57E92937" w14:textId="77777777" w:rsidR="00375B9D" w:rsidRPr="00375B9D" w:rsidRDefault="00375B9D" w:rsidP="00375B9D">
      <w:pPr>
        <w:rPr>
          <w:noProof/>
          <w:lang w:eastAsia="en-AU"/>
        </w:rPr>
      </w:pPr>
      <w:r w:rsidRPr="00375B9D">
        <w:rPr>
          <w:noProof/>
          <w:lang w:eastAsia="en-AU"/>
        </w:rPr>
        <w:t>If the business engaging the sole trader contractor subsequently satisfies all or part of the sole trader contractor’s invoices by transferring to them the title to property (such as real estate), this may constitute a fringe benefit.</w:t>
      </w:r>
    </w:p>
    <w:tbl>
      <w:tblPr>
        <w:tblStyle w:val="DTFpayrolltaxguidestyle1"/>
        <w:tblW w:w="10348" w:type="dxa"/>
        <w:tblLook w:val="04A0" w:firstRow="1" w:lastRow="0" w:firstColumn="1" w:lastColumn="0" w:noHBand="0" w:noVBand="1"/>
        <w:tblDescription w:val="Example: Jack Jackson, sole trader, trading as Jack’s Painting Service (JPS) agrees to provide painting services to ATSB Developments Pty Ltd over the next 12 months. ATSB will provide the paint and remunerate JPS $10 000 per unit painted. During that time, JPS paints 60 home units for ATSB Developments."/>
      </w:tblPr>
      <w:tblGrid>
        <w:gridCol w:w="10348"/>
      </w:tblGrid>
      <w:tr w:rsidR="00375B9D" w:rsidRPr="00375B9D" w14:paraId="56A7ECD5" w14:textId="77777777" w:rsidTr="005619AF">
        <w:trPr>
          <w:trHeight w:val="5929"/>
          <w:tblHeader/>
        </w:trPr>
        <w:tc>
          <w:tcPr>
            <w:tcW w:w="10348" w:type="dxa"/>
          </w:tcPr>
          <w:p w14:paraId="26DF0690" w14:textId="77777777" w:rsidR="00375B9D" w:rsidRPr="00375B9D" w:rsidRDefault="00375B9D" w:rsidP="00375B9D">
            <w:pPr>
              <w:spacing w:after="200"/>
              <w:rPr>
                <w:noProof/>
                <w:lang w:eastAsia="en-AU"/>
              </w:rPr>
            </w:pPr>
            <w:r w:rsidRPr="00375B9D">
              <w:rPr>
                <w:b/>
                <w:noProof/>
                <w:lang w:eastAsia="en-AU"/>
              </w:rPr>
              <w:t>Example</w:t>
            </w:r>
            <w:r w:rsidR="008F4FBE">
              <w:rPr>
                <w:b/>
                <w:noProof/>
                <w:lang w:eastAsia="en-AU"/>
              </w:rPr>
              <w:t xml:space="preserve"> 3</w:t>
            </w:r>
            <w:r w:rsidRPr="00375B9D">
              <w:rPr>
                <w:noProof/>
                <w:lang w:eastAsia="en-AU"/>
              </w:rPr>
              <w:t>: Jack Jackson, sole trader, trading as Jack’s Painting Service (JPS) agrees to provide painting services to ATSB Developments Pty Ltd over the next 12 months. ATSB will provide the paint and remunerate JPS $10</w:t>
            </w:r>
            <w:r w:rsidR="00C65823">
              <w:rPr>
                <w:noProof/>
                <w:lang w:eastAsia="en-AU"/>
              </w:rPr>
              <w:t>,000</w:t>
            </w:r>
            <w:r w:rsidRPr="00375B9D">
              <w:rPr>
                <w:noProof/>
                <w:lang w:eastAsia="en-AU"/>
              </w:rPr>
              <w:t xml:space="preserve"> per unit painted. During that time, JPS paints </w:t>
            </w:r>
            <w:r w:rsidR="00532301">
              <w:rPr>
                <w:noProof/>
                <w:lang w:eastAsia="en-AU"/>
              </w:rPr>
              <w:t>3</w:t>
            </w:r>
            <w:r w:rsidRPr="00375B9D">
              <w:rPr>
                <w:noProof/>
                <w:lang w:eastAsia="en-AU"/>
              </w:rPr>
              <w:t>0 home units for ATSB Developments.</w:t>
            </w:r>
          </w:p>
          <w:p w14:paraId="550B8526" w14:textId="77777777" w:rsidR="00375B9D" w:rsidRPr="00375B9D" w:rsidRDefault="00375B9D" w:rsidP="00375B9D">
            <w:pPr>
              <w:spacing w:after="200"/>
              <w:rPr>
                <w:noProof/>
                <w:lang w:eastAsia="en-AU"/>
              </w:rPr>
            </w:pPr>
            <w:r w:rsidRPr="00375B9D">
              <w:rPr>
                <w:noProof/>
                <w:lang w:eastAsia="en-AU"/>
              </w:rPr>
              <w:t xml:space="preserve">Because of cash constraints, ATSB offers to pay JPS through transferring the title to </w:t>
            </w:r>
            <w:r w:rsidR="00532301">
              <w:rPr>
                <w:noProof/>
                <w:lang w:eastAsia="en-AU"/>
              </w:rPr>
              <w:t>a</w:t>
            </w:r>
            <w:r w:rsidRPr="00375B9D">
              <w:rPr>
                <w:noProof/>
                <w:lang w:eastAsia="en-AU"/>
              </w:rPr>
              <w:t xml:space="preserve"> home unit, which ha</w:t>
            </w:r>
            <w:r w:rsidR="00532301">
              <w:rPr>
                <w:noProof/>
                <w:lang w:eastAsia="en-AU"/>
              </w:rPr>
              <w:t>s</w:t>
            </w:r>
            <w:r w:rsidRPr="00375B9D">
              <w:rPr>
                <w:noProof/>
                <w:lang w:eastAsia="en-AU"/>
              </w:rPr>
              <w:t xml:space="preserve"> market value of $430</w:t>
            </w:r>
            <w:r w:rsidR="00C65823">
              <w:rPr>
                <w:noProof/>
                <w:lang w:eastAsia="en-AU"/>
              </w:rPr>
              <w:t>,000</w:t>
            </w:r>
            <w:r w:rsidRPr="00375B9D">
              <w:rPr>
                <w:noProof/>
                <w:lang w:eastAsia="en-AU"/>
              </w:rPr>
              <w:t xml:space="preserve">. The offer is accepted by JPS, and the title </w:t>
            </w:r>
            <w:r w:rsidR="00532301">
              <w:rPr>
                <w:noProof/>
                <w:lang w:eastAsia="en-AU"/>
              </w:rPr>
              <w:t>to</w:t>
            </w:r>
            <w:r w:rsidRPr="00375B9D">
              <w:rPr>
                <w:noProof/>
                <w:lang w:eastAsia="en-AU"/>
              </w:rPr>
              <w:t xml:space="preserve"> the </w:t>
            </w:r>
            <w:r w:rsidR="00532301">
              <w:rPr>
                <w:noProof/>
                <w:lang w:eastAsia="en-AU"/>
              </w:rPr>
              <w:t>unit</w:t>
            </w:r>
            <w:r w:rsidRPr="00375B9D">
              <w:rPr>
                <w:noProof/>
                <w:lang w:eastAsia="en-AU"/>
              </w:rPr>
              <w:t xml:space="preserve"> </w:t>
            </w:r>
            <w:r w:rsidR="00532301">
              <w:rPr>
                <w:noProof/>
                <w:lang w:eastAsia="en-AU"/>
              </w:rPr>
              <w:t>is</w:t>
            </w:r>
            <w:r w:rsidRPr="00375B9D">
              <w:rPr>
                <w:noProof/>
                <w:lang w:eastAsia="en-AU"/>
              </w:rPr>
              <w:t xml:space="preserve"> transferred to JPS. Simultaneously, JPS invoices ATSB Developments for $</w:t>
            </w:r>
            <w:r w:rsidR="00532301">
              <w:rPr>
                <w:noProof/>
                <w:lang w:eastAsia="en-AU"/>
              </w:rPr>
              <w:t>3</w:t>
            </w:r>
            <w:r w:rsidRPr="00375B9D">
              <w:rPr>
                <w:noProof/>
                <w:lang w:eastAsia="en-AU"/>
              </w:rPr>
              <w:t>00</w:t>
            </w:r>
            <w:r w:rsidR="00C65823">
              <w:rPr>
                <w:noProof/>
                <w:lang w:eastAsia="en-AU"/>
              </w:rPr>
              <w:t>,000</w:t>
            </w:r>
            <w:r w:rsidRPr="00375B9D">
              <w:rPr>
                <w:noProof/>
                <w:lang w:eastAsia="en-AU"/>
              </w:rPr>
              <w:t xml:space="preserve"> for painting services.</w:t>
            </w:r>
          </w:p>
          <w:p w14:paraId="35FFDD8B" w14:textId="77777777" w:rsidR="00375B9D" w:rsidRPr="00AF1606" w:rsidRDefault="00375B9D" w:rsidP="00AF1606">
            <w:pPr>
              <w:pStyle w:val="DTFTableHeading1"/>
            </w:pPr>
            <w:r w:rsidRPr="00AF1606">
              <w:t>What ar</w:t>
            </w:r>
            <w:r w:rsidR="008775BF">
              <w:t xml:space="preserve">e the payroll tax implications </w:t>
            </w:r>
            <w:r w:rsidRPr="00AF1606">
              <w:t>of this transaction?</w:t>
            </w:r>
          </w:p>
          <w:p w14:paraId="33E2F610" w14:textId="77777777" w:rsidR="00375B9D" w:rsidRPr="00375B9D" w:rsidRDefault="00375B9D" w:rsidP="00375B9D">
            <w:pPr>
              <w:spacing w:after="200"/>
              <w:rPr>
                <w:noProof/>
                <w:lang w:eastAsia="en-AU"/>
              </w:rPr>
            </w:pPr>
            <w:r w:rsidRPr="00375B9D">
              <w:rPr>
                <w:noProof/>
                <w:lang w:eastAsia="en-AU"/>
              </w:rPr>
              <w:t xml:space="preserve">In </w:t>
            </w:r>
            <w:r w:rsidR="00532301">
              <w:rPr>
                <w:noProof/>
                <w:lang w:eastAsia="en-AU"/>
              </w:rPr>
              <w:t xml:space="preserve">the </w:t>
            </w:r>
            <w:r w:rsidR="008775BF">
              <w:rPr>
                <w:noProof/>
                <w:lang w:eastAsia="en-AU"/>
              </w:rPr>
              <w:t>alternative to</w:t>
            </w:r>
            <w:r w:rsidRPr="00375B9D">
              <w:rPr>
                <w:noProof/>
                <w:lang w:eastAsia="en-AU"/>
              </w:rPr>
              <w:t xml:space="preserve"> providing services under a taxable relevant contract as a sole trader working for one business (which supplies the major materials) and being paid at a piece rate (rate per unit of production), Jack Jackson </w:t>
            </w:r>
            <w:r w:rsidR="00532301">
              <w:rPr>
                <w:noProof/>
                <w:lang w:eastAsia="en-AU"/>
              </w:rPr>
              <w:t>may</w:t>
            </w:r>
            <w:r w:rsidRPr="00375B9D">
              <w:rPr>
                <w:noProof/>
                <w:lang w:eastAsia="en-AU"/>
              </w:rPr>
              <w:t xml:space="preserve"> be an employee</w:t>
            </w:r>
            <w:r w:rsidR="008775BF">
              <w:rPr>
                <w:noProof/>
                <w:lang w:eastAsia="en-AU"/>
              </w:rPr>
              <w:t xml:space="preserve"> at common law</w:t>
            </w:r>
            <w:r w:rsidRPr="00375B9D">
              <w:rPr>
                <w:noProof/>
                <w:lang w:eastAsia="en-AU"/>
              </w:rPr>
              <w:t>. In th</w:t>
            </w:r>
            <w:r w:rsidR="00713A7C">
              <w:rPr>
                <w:noProof/>
                <w:lang w:eastAsia="en-AU"/>
              </w:rPr>
              <w:t>is</w:t>
            </w:r>
            <w:r w:rsidRPr="00375B9D">
              <w:rPr>
                <w:noProof/>
                <w:lang w:eastAsia="en-AU"/>
              </w:rPr>
              <w:t xml:space="preserve"> case, he would be treated in the same manner as a PAYG employee for payroll tax, superannuation and fringe benefits tax.</w:t>
            </w:r>
          </w:p>
          <w:p w14:paraId="2506921D" w14:textId="77777777" w:rsidR="00375B9D" w:rsidRPr="00375B9D" w:rsidRDefault="00375B9D" w:rsidP="00375B9D">
            <w:pPr>
              <w:spacing w:after="200"/>
              <w:rPr>
                <w:noProof/>
                <w:lang w:eastAsia="en-AU"/>
              </w:rPr>
            </w:pPr>
            <w:r w:rsidRPr="00375B9D">
              <w:rPr>
                <w:noProof/>
                <w:lang w:eastAsia="en-AU"/>
              </w:rPr>
              <w:t>From a fringe benefits tax perspective, ATSB Developments has provided an employee with a non-cash benefit with a market value of $</w:t>
            </w:r>
            <w:r w:rsidR="00EC4988">
              <w:rPr>
                <w:noProof/>
                <w:lang w:eastAsia="en-AU"/>
              </w:rPr>
              <w:t>43</w:t>
            </w:r>
            <w:r w:rsidRPr="00375B9D">
              <w:rPr>
                <w:noProof/>
                <w:lang w:eastAsia="en-AU"/>
              </w:rPr>
              <w:t>0</w:t>
            </w:r>
            <w:r w:rsidR="00C65823">
              <w:rPr>
                <w:noProof/>
                <w:lang w:eastAsia="en-AU"/>
              </w:rPr>
              <w:t>,000</w:t>
            </w:r>
            <w:r w:rsidRPr="00375B9D">
              <w:rPr>
                <w:noProof/>
                <w:lang w:eastAsia="en-AU"/>
              </w:rPr>
              <w:t xml:space="preserve"> for no cash contribution by the employee. This equates to a fringe benefit of $</w:t>
            </w:r>
            <w:r w:rsidR="00EC4988">
              <w:rPr>
                <w:noProof/>
                <w:lang w:eastAsia="en-AU"/>
              </w:rPr>
              <w:t>43</w:t>
            </w:r>
            <w:r w:rsidRPr="00375B9D">
              <w:rPr>
                <w:noProof/>
                <w:lang w:eastAsia="en-AU"/>
              </w:rPr>
              <w:t>0</w:t>
            </w:r>
            <w:r w:rsidR="00C65823">
              <w:rPr>
                <w:noProof/>
                <w:lang w:eastAsia="en-AU"/>
              </w:rPr>
              <w:t>,000</w:t>
            </w:r>
            <w:r w:rsidR="00A73CE7">
              <w:rPr>
                <w:noProof/>
                <w:lang w:eastAsia="en-AU"/>
              </w:rPr>
              <w:t>,</w:t>
            </w:r>
            <w:r w:rsidRPr="00375B9D">
              <w:rPr>
                <w:noProof/>
                <w:lang w:eastAsia="en-AU"/>
              </w:rPr>
              <w:t xml:space="preserve"> which is then grossed up by the </w:t>
            </w:r>
            <w:r w:rsidR="008F4FBE">
              <w:rPr>
                <w:noProof/>
                <w:lang w:eastAsia="en-AU"/>
              </w:rPr>
              <w:t>T</w:t>
            </w:r>
            <w:r w:rsidRPr="00375B9D">
              <w:rPr>
                <w:noProof/>
                <w:lang w:eastAsia="en-AU"/>
              </w:rPr>
              <w:t>ype 2 rate to determine the amount to be declared as taxable wages for payroll tax purposes.</w:t>
            </w:r>
          </w:p>
          <w:p w14:paraId="08203542" w14:textId="77777777" w:rsidR="00375B9D" w:rsidRPr="00375B9D" w:rsidRDefault="00375B9D" w:rsidP="00EC4988">
            <w:pPr>
              <w:spacing w:after="200"/>
              <w:rPr>
                <w:noProof/>
                <w:lang w:eastAsia="en-AU"/>
              </w:rPr>
            </w:pPr>
            <w:r w:rsidRPr="00375B9D">
              <w:rPr>
                <w:noProof/>
                <w:lang w:eastAsia="en-AU"/>
              </w:rPr>
              <w:t xml:space="preserve">If the invoice had been settled in the normal way (by cheque or by transfer to JPS’s bank account), the taxable wages value of the transaction would have been the same as the invoice value – that is, </w:t>
            </w:r>
            <w:r w:rsidR="00872F53">
              <w:rPr>
                <w:noProof/>
                <w:lang w:eastAsia="en-AU"/>
              </w:rPr>
              <w:br/>
            </w:r>
            <w:r w:rsidRPr="00375B9D">
              <w:rPr>
                <w:noProof/>
                <w:lang w:eastAsia="en-AU"/>
              </w:rPr>
              <w:t>$</w:t>
            </w:r>
            <w:r w:rsidR="00EC4988">
              <w:rPr>
                <w:noProof/>
                <w:lang w:eastAsia="en-AU"/>
              </w:rPr>
              <w:t>3</w:t>
            </w:r>
            <w:r w:rsidRPr="00375B9D">
              <w:rPr>
                <w:noProof/>
                <w:lang w:eastAsia="en-AU"/>
              </w:rPr>
              <w:t>00</w:t>
            </w:r>
            <w:r w:rsidR="00C65823">
              <w:rPr>
                <w:noProof/>
                <w:lang w:eastAsia="en-AU"/>
              </w:rPr>
              <w:t>,000</w:t>
            </w:r>
            <w:r w:rsidRPr="00375B9D">
              <w:rPr>
                <w:noProof/>
                <w:lang w:eastAsia="en-AU"/>
              </w:rPr>
              <w:t xml:space="preserve"> (less any GST and contractor deduction).</w:t>
            </w:r>
          </w:p>
        </w:tc>
      </w:tr>
    </w:tbl>
    <w:p w14:paraId="033588A4" w14:textId="77777777" w:rsidR="00BA46A6" w:rsidRDefault="00BA46A6" w:rsidP="00375B9D">
      <w:pPr>
        <w:rPr>
          <w:noProof/>
          <w:lang w:eastAsia="en-AU"/>
        </w:rPr>
      </w:pPr>
    </w:p>
    <w:p w14:paraId="37C7A637" w14:textId="77777777" w:rsidR="00375B9D" w:rsidRPr="00375B9D" w:rsidRDefault="00375B9D" w:rsidP="00A7303B">
      <w:pPr>
        <w:pStyle w:val="Heading2"/>
      </w:pPr>
      <w:bookmarkStart w:id="50" w:name="_Toc108789574"/>
      <w:r w:rsidRPr="00375B9D">
        <w:lastRenderedPageBreak/>
        <w:t xml:space="preserve">Calculating </w:t>
      </w:r>
      <w:r w:rsidR="00A65799">
        <w:t>f</w:t>
      </w:r>
      <w:r w:rsidRPr="00375B9D">
        <w:t xml:space="preserve">ringe </w:t>
      </w:r>
      <w:r w:rsidR="00A65799">
        <w:t>b</w:t>
      </w:r>
      <w:r w:rsidRPr="00375B9D">
        <w:t xml:space="preserve">enefit </w:t>
      </w:r>
      <w:r w:rsidR="00A65799">
        <w:t>v</w:t>
      </w:r>
      <w:r w:rsidRPr="00375B9D">
        <w:t>alue</w:t>
      </w:r>
      <w:bookmarkEnd w:id="50"/>
    </w:p>
    <w:p w14:paraId="01404D06" w14:textId="77777777" w:rsidR="00375B9D" w:rsidRPr="00375B9D" w:rsidRDefault="00375B9D" w:rsidP="00375B9D">
      <w:pPr>
        <w:rPr>
          <w:noProof/>
          <w:lang w:eastAsia="en-AU"/>
        </w:rPr>
      </w:pPr>
      <w:r w:rsidRPr="00375B9D">
        <w:rPr>
          <w:noProof/>
          <w:lang w:eastAsia="en-AU"/>
        </w:rPr>
        <w:t>Under the FBTAA, fringe benefits are categorised into two types depending on the GST treatment of the benefit. The Type 1 fringe benefits for which the employer can claim a GST input tax credit are grossed-up by the Type 1 factor, and Type 2 fringe benefits for which the employer cannot claim a GST input tax credit are grossed-up by the Type 2 factor.</w:t>
      </w:r>
    </w:p>
    <w:p w14:paraId="1AD79CC6" w14:textId="77777777" w:rsidR="00375B9D" w:rsidRPr="00375B9D" w:rsidRDefault="00D67B91" w:rsidP="00375B9D">
      <w:pPr>
        <w:rPr>
          <w:b/>
          <w:noProof/>
          <w:lang w:eastAsia="en-AU"/>
        </w:rPr>
      </w:pPr>
      <w:r>
        <w:rPr>
          <w:b/>
          <w:noProof/>
          <w:lang w:eastAsia="en-AU"/>
        </w:rPr>
        <w:t>F</w:t>
      </w:r>
      <w:r w:rsidR="00375B9D" w:rsidRPr="00375B9D">
        <w:rPr>
          <w:b/>
          <w:noProof/>
          <w:lang w:eastAsia="en-AU"/>
        </w:rPr>
        <w:t>or payroll tax purposes, only the lower Type 2 gross-up rate is used, even where the benefit is in the ‘Type 1’ category.</w:t>
      </w:r>
    </w:p>
    <w:tbl>
      <w:tblPr>
        <w:tblStyle w:val="DTFpayrolltaxguidestyle1"/>
        <w:tblW w:w="10348" w:type="dxa"/>
        <w:tblLook w:val="04A0" w:firstRow="1" w:lastRow="0" w:firstColumn="1" w:lastColumn="0" w:noHBand="0" w:noVBand="1"/>
        <w:tblDescription w:val="Example: On 30 June 2015, an employer provides an end-of-year ‘bonus’ to an employee in the form of $5 000 worth of pre-paid airline tickets for the private use of the employee and his family. This is a fringe benefit. The taxable wages value for payroll tax purposes is $5 000 grossed up by the then applicable Type 2 gross-up rate of 1.9608.&#10;$5 000 x 1.9608 = $9 804.&#10;"/>
      </w:tblPr>
      <w:tblGrid>
        <w:gridCol w:w="10348"/>
      </w:tblGrid>
      <w:tr w:rsidR="00375B9D" w:rsidRPr="00375B9D" w14:paraId="4665E05E" w14:textId="77777777" w:rsidTr="005619AF">
        <w:trPr>
          <w:trHeight w:val="1425"/>
          <w:tblHeader/>
        </w:trPr>
        <w:tc>
          <w:tcPr>
            <w:tcW w:w="10348" w:type="dxa"/>
          </w:tcPr>
          <w:p w14:paraId="5CA6173E" w14:textId="77777777" w:rsidR="00375B9D" w:rsidRPr="00375B9D" w:rsidRDefault="00375B9D" w:rsidP="00375B9D">
            <w:pPr>
              <w:spacing w:after="200"/>
              <w:rPr>
                <w:noProof/>
                <w:lang w:eastAsia="en-AU"/>
              </w:rPr>
            </w:pPr>
            <w:r w:rsidRPr="00375B9D">
              <w:rPr>
                <w:b/>
                <w:noProof/>
                <w:lang w:eastAsia="en-AU"/>
              </w:rPr>
              <w:t>Example</w:t>
            </w:r>
            <w:r w:rsidRPr="00375B9D">
              <w:rPr>
                <w:noProof/>
                <w:lang w:eastAsia="en-AU"/>
              </w:rPr>
              <w:t xml:space="preserve">: On 30 June </w:t>
            </w:r>
            <w:r w:rsidR="004267E5">
              <w:rPr>
                <w:noProof/>
                <w:lang w:eastAsia="en-AU"/>
              </w:rPr>
              <w:t>2022</w:t>
            </w:r>
            <w:r w:rsidRPr="00375B9D">
              <w:rPr>
                <w:noProof/>
                <w:lang w:eastAsia="en-AU"/>
              </w:rPr>
              <w:t>, an employer provides an end-of-year ‘bonus’ to an employee in the form of $5</w:t>
            </w:r>
            <w:r w:rsidR="00C65823">
              <w:rPr>
                <w:noProof/>
                <w:lang w:eastAsia="en-AU"/>
              </w:rPr>
              <w:t>,000</w:t>
            </w:r>
            <w:r w:rsidRPr="00375B9D">
              <w:rPr>
                <w:noProof/>
                <w:lang w:eastAsia="en-AU"/>
              </w:rPr>
              <w:t xml:space="preserve"> worth of pre-paid airline tickets for the private use of the employee and his family. This is a fringe benefit. The taxable wages value for payroll tax purposes is $5</w:t>
            </w:r>
            <w:r w:rsidR="00D67B91">
              <w:rPr>
                <w:noProof/>
                <w:lang w:eastAsia="en-AU"/>
              </w:rPr>
              <w:t>,</w:t>
            </w:r>
            <w:r w:rsidRPr="00375B9D">
              <w:rPr>
                <w:noProof/>
                <w:lang w:eastAsia="en-AU"/>
              </w:rPr>
              <w:t>000 grossed up by the then applicable Type 2 gross-up rate.</w:t>
            </w:r>
          </w:p>
          <w:p w14:paraId="6AD69D85" w14:textId="77777777" w:rsidR="00375B9D" w:rsidRPr="00375B9D" w:rsidRDefault="00D67B91" w:rsidP="00D67B91">
            <w:pPr>
              <w:spacing w:after="200"/>
              <w:rPr>
                <w:noProof/>
                <w:lang w:eastAsia="en-AU"/>
              </w:rPr>
            </w:pPr>
            <w:r>
              <w:rPr>
                <w:noProof/>
                <w:lang w:eastAsia="en-AU"/>
              </w:rPr>
              <w:t>The c</w:t>
            </w:r>
            <w:r w:rsidR="00375B9D" w:rsidRPr="00375B9D">
              <w:rPr>
                <w:noProof/>
                <w:lang w:eastAsia="en-AU"/>
              </w:rPr>
              <w:t>urrent FBT rate</w:t>
            </w:r>
            <w:r>
              <w:rPr>
                <w:noProof/>
                <w:lang w:eastAsia="en-AU"/>
              </w:rPr>
              <w:t xml:space="preserve"> i</w:t>
            </w:r>
            <w:r w:rsidR="00375B9D" w:rsidRPr="00375B9D">
              <w:rPr>
                <w:noProof/>
                <w:lang w:eastAsia="en-AU"/>
              </w:rPr>
              <w:t xml:space="preserve">s available at </w:t>
            </w:r>
            <w:hyperlink w:anchor="Appendix3" w:history="1">
              <w:r w:rsidR="00375B9D" w:rsidRPr="00375B9D">
                <w:rPr>
                  <w:rStyle w:val="Hyperlink"/>
                  <w:noProof/>
                  <w:lang w:eastAsia="en-AU"/>
                </w:rPr>
                <w:t>Appendix 3</w:t>
              </w:r>
            </w:hyperlink>
            <w:r w:rsidR="00375B9D" w:rsidRPr="00375B9D">
              <w:rPr>
                <w:noProof/>
                <w:lang w:eastAsia="en-AU"/>
              </w:rPr>
              <w:t xml:space="preserve">. </w:t>
            </w:r>
          </w:p>
        </w:tc>
      </w:tr>
    </w:tbl>
    <w:p w14:paraId="4D5D4319" w14:textId="77777777" w:rsidR="00E35E8F" w:rsidRDefault="00E35E8F" w:rsidP="00375B9D">
      <w:pPr>
        <w:rPr>
          <w:noProof/>
          <w:lang w:eastAsia="en-AU"/>
        </w:rPr>
      </w:pPr>
    </w:p>
    <w:p w14:paraId="0DE404D4" w14:textId="77777777" w:rsidR="00375B9D" w:rsidRPr="00375B9D" w:rsidRDefault="00375B9D" w:rsidP="00375B9D">
      <w:pPr>
        <w:rPr>
          <w:noProof/>
          <w:lang w:eastAsia="en-AU"/>
        </w:rPr>
      </w:pPr>
      <w:r w:rsidRPr="00375B9D">
        <w:rPr>
          <w:noProof/>
          <w:lang w:eastAsia="en-AU"/>
        </w:rPr>
        <w:t>Please note that the ATO requires certain fringe benefits, referred to as the ‘reportable fringe benefits amount’, to be shown on the employee’s payment summary if the benefit amount exceeds $1</w:t>
      </w:r>
      <w:r w:rsidR="00D67B91">
        <w:rPr>
          <w:noProof/>
          <w:lang w:eastAsia="en-AU"/>
        </w:rPr>
        <w:t>,000</w:t>
      </w:r>
      <w:r w:rsidRPr="00375B9D">
        <w:rPr>
          <w:noProof/>
          <w:lang w:eastAsia="en-AU"/>
        </w:rPr>
        <w:t>. These reportable fringe benefits may not include the value of all fringe benefits provided to employees and may understate the amount required to be declared for payroll tax and FBT purposes. For that reason, the FBT return, rather than employee payment summaries, should be used when declaring payroll tax taxable wages associated with fringe benefits.</w:t>
      </w:r>
    </w:p>
    <w:p w14:paraId="7F99FE52" w14:textId="77777777" w:rsidR="00375B9D" w:rsidRPr="00375B9D" w:rsidRDefault="00375B9D" w:rsidP="005264A4">
      <w:pPr>
        <w:pStyle w:val="Heading3"/>
        <w:rPr>
          <w:noProof/>
          <w:lang w:eastAsia="en-AU"/>
        </w:rPr>
      </w:pPr>
      <w:r w:rsidRPr="00375B9D">
        <w:rPr>
          <w:noProof/>
          <w:lang w:eastAsia="en-AU"/>
        </w:rPr>
        <w:t xml:space="preserve">Declaring </w:t>
      </w:r>
      <w:r w:rsidR="00483791">
        <w:rPr>
          <w:noProof/>
          <w:lang w:eastAsia="en-AU"/>
        </w:rPr>
        <w:t>f</w:t>
      </w:r>
      <w:r w:rsidRPr="00375B9D">
        <w:rPr>
          <w:noProof/>
          <w:lang w:eastAsia="en-AU"/>
        </w:rPr>
        <w:t xml:space="preserve">ringe </w:t>
      </w:r>
      <w:r w:rsidR="00483791">
        <w:rPr>
          <w:noProof/>
          <w:lang w:eastAsia="en-AU"/>
        </w:rPr>
        <w:t>b</w:t>
      </w:r>
      <w:r w:rsidRPr="00375B9D">
        <w:rPr>
          <w:noProof/>
          <w:lang w:eastAsia="en-AU"/>
        </w:rPr>
        <w:t xml:space="preserve">enefit </w:t>
      </w:r>
      <w:r w:rsidR="00483791">
        <w:rPr>
          <w:noProof/>
          <w:lang w:eastAsia="en-AU"/>
        </w:rPr>
        <w:t>v</w:t>
      </w:r>
      <w:r w:rsidRPr="00375B9D">
        <w:rPr>
          <w:noProof/>
          <w:lang w:eastAsia="en-AU"/>
        </w:rPr>
        <w:t>alue</w:t>
      </w:r>
    </w:p>
    <w:p w14:paraId="51BE90AA" w14:textId="77777777" w:rsidR="00375B9D" w:rsidRPr="00375B9D" w:rsidRDefault="00375B9D" w:rsidP="00375B9D">
      <w:pPr>
        <w:rPr>
          <w:noProof/>
          <w:lang w:eastAsia="en-AU"/>
        </w:rPr>
      </w:pPr>
      <w:r w:rsidRPr="00375B9D">
        <w:rPr>
          <w:noProof/>
          <w:lang w:eastAsia="en-AU"/>
        </w:rPr>
        <w:t xml:space="preserve">Where the information is available, employers are required to declare in their monthly returns the </w:t>
      </w:r>
      <w:r w:rsidRPr="00375B9D">
        <w:rPr>
          <w:b/>
          <w:noProof/>
          <w:lang w:eastAsia="en-AU"/>
        </w:rPr>
        <w:t>actual</w:t>
      </w:r>
      <w:r w:rsidRPr="00375B9D">
        <w:rPr>
          <w:noProof/>
          <w:lang w:eastAsia="en-AU"/>
        </w:rPr>
        <w:t xml:space="preserve"> value of fringe benefits provided in each month. However, for administrative ease, the PRTA allows employers to formally elect to adopt an alternative method, whereby the amounts declared are based on the immediately preceding FBT annual return submitted to the ATO. </w:t>
      </w:r>
    </w:p>
    <w:tbl>
      <w:tblPr>
        <w:tblStyle w:val="DTFpayrolltaxguidestyle1"/>
        <w:tblW w:w="10348" w:type="dxa"/>
        <w:tblLook w:val="04A0" w:firstRow="1" w:lastRow="0" w:firstColumn="1" w:lastColumn="0" w:noHBand="0" w:noVBand="1"/>
        <w:tblDescription w:val="See the relevant election form: &#10;• F-PRT-004 Fringe Benefits Estimated Basis for Election&#10;"/>
      </w:tblPr>
      <w:tblGrid>
        <w:gridCol w:w="10348"/>
      </w:tblGrid>
      <w:tr w:rsidR="00375B9D" w:rsidRPr="00375B9D" w14:paraId="79BDDA51" w14:textId="77777777" w:rsidTr="005619AF">
        <w:trPr>
          <w:tblHeader/>
        </w:trPr>
        <w:tc>
          <w:tcPr>
            <w:tcW w:w="10348" w:type="dxa"/>
          </w:tcPr>
          <w:p w14:paraId="16C0B3C9" w14:textId="77777777" w:rsidR="00375B9D" w:rsidRPr="00375B9D" w:rsidRDefault="00375B9D" w:rsidP="00375B9D">
            <w:pPr>
              <w:spacing w:after="200"/>
              <w:rPr>
                <w:noProof/>
                <w:lang w:eastAsia="en-AU"/>
              </w:rPr>
            </w:pPr>
            <w:r w:rsidRPr="00375B9D">
              <w:rPr>
                <w:noProof/>
                <w:lang w:eastAsia="en-AU"/>
              </w:rPr>
              <w:t xml:space="preserve">See the relevant election form </w:t>
            </w:r>
            <w:hyperlink r:id="rId35" w:history="1">
              <w:r w:rsidRPr="00375B9D">
                <w:rPr>
                  <w:rStyle w:val="Hyperlink"/>
                  <w:noProof/>
                  <w:lang w:eastAsia="en-AU"/>
                </w:rPr>
                <w:t>F-PRT-004 Fringe</w:t>
              </w:r>
              <w:r w:rsidR="00451124" w:rsidRPr="00375B9D">
                <w:rPr>
                  <w:rStyle w:val="Hyperlink"/>
                  <w:noProof/>
                  <w:lang w:eastAsia="en-AU"/>
                </w:rPr>
                <w:t xml:space="preserve"> benefits estimated basis for ele</w:t>
              </w:r>
              <w:r w:rsidRPr="00375B9D">
                <w:rPr>
                  <w:rStyle w:val="Hyperlink"/>
                  <w:noProof/>
                  <w:lang w:eastAsia="en-AU"/>
                </w:rPr>
                <w:t>ction</w:t>
              </w:r>
            </w:hyperlink>
            <w:r w:rsidRPr="00375B9D">
              <w:rPr>
                <w:noProof/>
                <w:lang w:eastAsia="en-AU"/>
              </w:rPr>
              <w:t>.</w:t>
            </w:r>
          </w:p>
        </w:tc>
      </w:tr>
    </w:tbl>
    <w:p w14:paraId="036D4D64" w14:textId="77777777" w:rsidR="00E35E8F" w:rsidRDefault="00E35E8F" w:rsidP="00375B9D">
      <w:pPr>
        <w:rPr>
          <w:noProof/>
          <w:lang w:eastAsia="en-AU"/>
        </w:rPr>
      </w:pPr>
    </w:p>
    <w:p w14:paraId="133EA177" w14:textId="77777777" w:rsidR="00375B9D" w:rsidRPr="00375B9D" w:rsidRDefault="00375B9D" w:rsidP="00375B9D">
      <w:pPr>
        <w:rPr>
          <w:noProof/>
          <w:lang w:eastAsia="en-AU"/>
        </w:rPr>
      </w:pPr>
      <w:r w:rsidRPr="00375B9D">
        <w:rPr>
          <w:noProof/>
          <w:lang w:eastAsia="en-AU"/>
        </w:rPr>
        <w:t xml:space="preserve">Where such an election is made, employers must include in each monthly payroll tax return from July to May, one-twelfth of the taxable value (grossed up by the Type 2 factor) of fringe benefits using the FBT return for the year ending 31 March immediately preceding the start of each financial year. The </w:t>
      </w:r>
      <w:r w:rsidR="00451124" w:rsidRPr="00375B9D">
        <w:rPr>
          <w:noProof/>
          <w:lang w:eastAsia="en-AU"/>
        </w:rPr>
        <w:t xml:space="preserve">annual adjustment </w:t>
      </w:r>
      <w:r w:rsidRPr="00375B9D">
        <w:rPr>
          <w:noProof/>
          <w:lang w:eastAsia="en-AU"/>
        </w:rPr>
        <w:t xml:space="preserve">return for each financial year will include the grossed-up value (for payroll tax purposes) of fringe benefits declared in the FBT return ending 31 March immediately before the </w:t>
      </w:r>
      <w:r w:rsidR="00451124" w:rsidRPr="00375B9D">
        <w:rPr>
          <w:noProof/>
          <w:lang w:eastAsia="en-AU"/>
        </w:rPr>
        <w:t xml:space="preserve">annual adjustment </w:t>
      </w:r>
      <w:r w:rsidRPr="00375B9D">
        <w:rPr>
          <w:noProof/>
          <w:lang w:eastAsia="en-AU"/>
        </w:rPr>
        <w:t>return.</w:t>
      </w:r>
    </w:p>
    <w:p w14:paraId="64C5052E" w14:textId="77777777" w:rsidR="00375B9D" w:rsidRPr="00375B9D" w:rsidRDefault="00375B9D" w:rsidP="00375B9D">
      <w:pPr>
        <w:rPr>
          <w:noProof/>
          <w:lang w:eastAsia="en-AU"/>
        </w:rPr>
      </w:pPr>
      <w:r w:rsidRPr="00375B9D">
        <w:rPr>
          <w:noProof/>
          <w:lang w:eastAsia="en-AU"/>
        </w:rPr>
        <w:t>Once an election is made, an employer may not revert to declaring the actual value of fringe benefits in monthly payroll tax returns, unless cleared with TRO.</w:t>
      </w:r>
    </w:p>
    <w:p w14:paraId="7564A354" w14:textId="77777777" w:rsidR="00375B9D" w:rsidRDefault="00375B9D" w:rsidP="00375B9D">
      <w:pPr>
        <w:rPr>
          <w:noProof/>
          <w:lang w:eastAsia="en-AU"/>
        </w:rPr>
      </w:pPr>
      <w:r w:rsidRPr="00375B9D">
        <w:rPr>
          <w:noProof/>
          <w:lang w:eastAsia="en-AU"/>
        </w:rPr>
        <w:t>An employer must not use a combination of methods in a particular financial year.</w:t>
      </w:r>
    </w:p>
    <w:p w14:paraId="30DAC3C1" w14:textId="77777777" w:rsidR="00AD6133" w:rsidRDefault="00AD6133" w:rsidP="00375B9D">
      <w:pPr>
        <w:rPr>
          <w:noProof/>
          <w:lang w:eastAsia="en-AU"/>
        </w:rPr>
      </w:pPr>
    </w:p>
    <w:p w14:paraId="53948EDD" w14:textId="77777777" w:rsidR="00AD6133" w:rsidRPr="00375B9D" w:rsidRDefault="00AD6133" w:rsidP="00375B9D">
      <w:pPr>
        <w:rPr>
          <w:noProof/>
          <w:lang w:eastAsia="en-AU"/>
        </w:rPr>
      </w:pPr>
    </w:p>
    <w:p w14:paraId="0539A6A1" w14:textId="77777777" w:rsidR="00375B9D" w:rsidRPr="00375B9D" w:rsidRDefault="00375B9D" w:rsidP="005264A4">
      <w:pPr>
        <w:pStyle w:val="Heading3"/>
        <w:rPr>
          <w:noProof/>
          <w:lang w:eastAsia="en-AU"/>
        </w:rPr>
      </w:pPr>
      <w:r w:rsidRPr="00375B9D">
        <w:rPr>
          <w:noProof/>
          <w:lang w:eastAsia="en-AU"/>
        </w:rPr>
        <w:lastRenderedPageBreak/>
        <w:t>Adjustments</w:t>
      </w:r>
    </w:p>
    <w:p w14:paraId="0FBA2903" w14:textId="77777777" w:rsidR="00375B9D" w:rsidRDefault="00375B9D" w:rsidP="00375B9D">
      <w:pPr>
        <w:rPr>
          <w:noProof/>
          <w:lang w:eastAsia="en-AU"/>
        </w:rPr>
      </w:pPr>
      <w:r w:rsidRPr="00375B9D">
        <w:rPr>
          <w:noProof/>
          <w:lang w:eastAsia="en-AU"/>
        </w:rPr>
        <w:t>Where the ATO has issued an assessment or an amended assessment in respect of fringe benefits, employers should also advise TRO immediately so appropriate adjustments can be made to their payroll tax liability.</w:t>
      </w:r>
    </w:p>
    <w:p w14:paraId="73C4063E" w14:textId="77777777" w:rsidR="00375B9D" w:rsidRPr="00375B9D" w:rsidRDefault="00375B9D" w:rsidP="005264A4">
      <w:pPr>
        <w:pStyle w:val="Heading3"/>
        <w:rPr>
          <w:noProof/>
          <w:lang w:eastAsia="en-AU"/>
        </w:rPr>
      </w:pPr>
      <w:r w:rsidRPr="00375B9D">
        <w:rPr>
          <w:noProof/>
          <w:lang w:eastAsia="en-AU"/>
        </w:rPr>
        <w:t xml:space="preserve">In </w:t>
      </w:r>
      <w:r w:rsidR="00C43392">
        <w:rPr>
          <w:noProof/>
          <w:lang w:eastAsia="en-AU"/>
        </w:rPr>
        <w:t>k</w:t>
      </w:r>
      <w:r w:rsidRPr="00375B9D">
        <w:rPr>
          <w:noProof/>
          <w:lang w:eastAsia="en-AU"/>
        </w:rPr>
        <w:t xml:space="preserve">ind </w:t>
      </w:r>
      <w:r w:rsidR="00C43392">
        <w:rPr>
          <w:noProof/>
          <w:lang w:eastAsia="en-AU"/>
        </w:rPr>
        <w:t>b</w:t>
      </w:r>
      <w:r w:rsidRPr="00375B9D">
        <w:rPr>
          <w:noProof/>
          <w:lang w:eastAsia="en-AU"/>
        </w:rPr>
        <w:t xml:space="preserve">enefits </w:t>
      </w:r>
      <w:r w:rsidR="00C43392">
        <w:rPr>
          <w:noProof/>
          <w:lang w:eastAsia="en-AU"/>
        </w:rPr>
        <w:t>p</w:t>
      </w:r>
      <w:r w:rsidR="009E4EAB">
        <w:rPr>
          <w:noProof/>
          <w:lang w:eastAsia="en-AU"/>
        </w:rPr>
        <w:t xml:space="preserve">rovided to </w:t>
      </w:r>
      <w:r w:rsidR="00C43392">
        <w:rPr>
          <w:noProof/>
          <w:lang w:eastAsia="en-AU"/>
        </w:rPr>
        <w:t>d</w:t>
      </w:r>
      <w:r w:rsidRPr="00375B9D">
        <w:rPr>
          <w:noProof/>
          <w:lang w:eastAsia="en-AU"/>
        </w:rPr>
        <w:t xml:space="preserve">eemed </w:t>
      </w:r>
      <w:r w:rsidR="00C43392">
        <w:rPr>
          <w:noProof/>
          <w:lang w:eastAsia="en-AU"/>
        </w:rPr>
        <w:t>e</w:t>
      </w:r>
      <w:r w:rsidR="009E4EAB">
        <w:rPr>
          <w:noProof/>
          <w:lang w:eastAsia="en-AU"/>
        </w:rPr>
        <w:t>mployees</w:t>
      </w:r>
    </w:p>
    <w:p w14:paraId="42307488" w14:textId="77777777" w:rsidR="00375B9D" w:rsidRPr="00375B9D" w:rsidRDefault="00375B9D" w:rsidP="00375B9D">
      <w:pPr>
        <w:rPr>
          <w:noProof/>
          <w:lang w:eastAsia="en-AU"/>
        </w:rPr>
      </w:pPr>
      <w:r w:rsidRPr="00375B9D">
        <w:rPr>
          <w:noProof/>
          <w:lang w:eastAsia="en-AU"/>
        </w:rPr>
        <w:t>If a taxpayer has engaged a worker via a partnership, trust or family company, and the conditions of engagement mean payments are taxable under the relevant contract provisions, any additional non-cash benefit (that would be a fringe benefit if provided to a PAYG employee) will also be taxable wages.</w:t>
      </w:r>
    </w:p>
    <w:tbl>
      <w:tblPr>
        <w:tblStyle w:val="DTFpayrolltaxguidestyle1"/>
        <w:tblW w:w="10348" w:type="dxa"/>
        <w:tblLook w:val="04A0" w:firstRow="1" w:lastRow="0" w:firstColumn="1" w:lastColumn="0" w:noHBand="0" w:noVBand="1"/>
        <w:tblDescription w:val="For further information on fringe benefits, refer to the following publications:&#10;• PTA003 Fringe benefits&#10;"/>
      </w:tblPr>
      <w:tblGrid>
        <w:gridCol w:w="10348"/>
      </w:tblGrid>
      <w:tr w:rsidR="00375B9D" w:rsidRPr="00375B9D" w14:paraId="2C665EE8" w14:textId="77777777" w:rsidTr="005619AF">
        <w:trPr>
          <w:trHeight w:val="155"/>
          <w:tblHeader/>
        </w:trPr>
        <w:tc>
          <w:tcPr>
            <w:tcW w:w="10348" w:type="dxa"/>
          </w:tcPr>
          <w:p w14:paraId="57F3508F" w14:textId="77777777" w:rsidR="00375B9D" w:rsidRPr="00375B9D" w:rsidRDefault="00375B9D" w:rsidP="00451124">
            <w:pPr>
              <w:spacing w:after="200"/>
              <w:rPr>
                <w:noProof/>
                <w:lang w:eastAsia="en-AU"/>
              </w:rPr>
            </w:pPr>
            <w:r w:rsidRPr="00375B9D">
              <w:rPr>
                <w:noProof/>
                <w:lang w:eastAsia="en-AU"/>
              </w:rPr>
              <w:t xml:space="preserve">For further information on fringe benefits, refer to </w:t>
            </w:r>
            <w:hyperlink r:id="rId36" w:history="1">
              <w:r w:rsidRPr="00375B9D">
                <w:rPr>
                  <w:rStyle w:val="Hyperlink"/>
                  <w:noProof/>
                  <w:lang w:eastAsia="en-AU"/>
                </w:rPr>
                <w:t xml:space="preserve">PTA003 Fringe </w:t>
              </w:r>
              <w:r w:rsidR="00451124">
                <w:rPr>
                  <w:rStyle w:val="Hyperlink"/>
                  <w:noProof/>
                  <w:lang w:eastAsia="en-AU"/>
                </w:rPr>
                <w:t>b</w:t>
              </w:r>
              <w:r w:rsidRPr="00375B9D">
                <w:rPr>
                  <w:rStyle w:val="Hyperlink"/>
                  <w:noProof/>
                  <w:lang w:eastAsia="en-AU"/>
                </w:rPr>
                <w:t>enefits</w:t>
              </w:r>
            </w:hyperlink>
            <w:r w:rsidRPr="00375B9D">
              <w:rPr>
                <w:noProof/>
                <w:lang w:eastAsia="en-AU"/>
              </w:rPr>
              <w:t>.</w:t>
            </w:r>
          </w:p>
        </w:tc>
      </w:tr>
    </w:tbl>
    <w:p w14:paraId="6E53C5C4" w14:textId="77777777" w:rsidR="00375B9D" w:rsidRPr="00375B9D" w:rsidRDefault="00375B9D" w:rsidP="00375B9D">
      <w:pPr>
        <w:rPr>
          <w:noProof/>
          <w:lang w:eastAsia="en-AU"/>
        </w:rPr>
      </w:pPr>
    </w:p>
    <w:p w14:paraId="1ED6E817" w14:textId="77777777" w:rsidR="00375B9D" w:rsidRPr="00375B9D" w:rsidRDefault="00375B9D" w:rsidP="00375B9D">
      <w:pPr>
        <w:rPr>
          <w:noProof/>
          <w:lang w:eastAsia="en-AU"/>
        </w:rPr>
      </w:pPr>
      <w:r w:rsidRPr="00375B9D">
        <w:rPr>
          <w:noProof/>
          <w:lang w:eastAsia="en-AU"/>
        </w:rPr>
        <w:br w:type="page"/>
      </w:r>
    </w:p>
    <w:p w14:paraId="359285CF" w14:textId="77777777" w:rsidR="00375B9D" w:rsidRPr="00375B9D" w:rsidRDefault="00375B9D" w:rsidP="00D033AC">
      <w:pPr>
        <w:pStyle w:val="Heading1"/>
        <w:rPr>
          <w:noProof/>
          <w:lang w:eastAsia="en-AU"/>
        </w:rPr>
      </w:pPr>
      <w:bookmarkStart w:id="51" w:name="SharesandOptions"/>
      <w:bookmarkStart w:id="52" w:name="_Toc467842744"/>
      <w:bookmarkStart w:id="53" w:name="_Toc108789575"/>
      <w:r w:rsidRPr="00375B9D">
        <w:rPr>
          <w:noProof/>
          <w:lang w:eastAsia="en-AU"/>
        </w:rPr>
        <w:lastRenderedPageBreak/>
        <w:t xml:space="preserve">Shares and </w:t>
      </w:r>
      <w:r w:rsidR="00D053CB">
        <w:t>o</w:t>
      </w:r>
      <w:r w:rsidRPr="00D033AC">
        <w:t>ptions</w:t>
      </w:r>
      <w:bookmarkEnd w:id="51"/>
      <w:bookmarkEnd w:id="52"/>
      <w:bookmarkEnd w:id="53"/>
    </w:p>
    <w:p w14:paraId="51242CAA" w14:textId="77777777" w:rsidR="00375B9D" w:rsidRPr="00375B9D" w:rsidRDefault="00375B9D" w:rsidP="00A7303B">
      <w:pPr>
        <w:pStyle w:val="Heading2"/>
      </w:pPr>
      <w:bookmarkStart w:id="54" w:name="_Toc467842745"/>
      <w:bookmarkStart w:id="55" w:name="_Toc108789576"/>
      <w:r w:rsidRPr="00D033AC">
        <w:t>Principles</w:t>
      </w:r>
      <w:bookmarkEnd w:id="54"/>
      <w:bookmarkEnd w:id="55"/>
    </w:p>
    <w:p w14:paraId="73D2671F" w14:textId="77777777" w:rsidR="00375B9D" w:rsidRPr="00375B9D" w:rsidRDefault="00375B9D" w:rsidP="00375B9D">
      <w:pPr>
        <w:rPr>
          <w:noProof/>
          <w:lang w:eastAsia="en-AU"/>
        </w:rPr>
      </w:pPr>
      <w:r w:rsidRPr="00375B9D">
        <w:rPr>
          <w:noProof/>
          <w:lang w:eastAsia="en-AU"/>
        </w:rPr>
        <w:t>The value of an employer’s contribution to any grant of a share or option to an employee or deemed employee, a director or former director, member or former member of the governing body of the company, is subject to payroll tax.</w:t>
      </w:r>
    </w:p>
    <w:p w14:paraId="69CB09A5" w14:textId="77777777" w:rsidR="00375B9D" w:rsidRPr="00375B9D" w:rsidRDefault="00375B9D" w:rsidP="00375B9D">
      <w:pPr>
        <w:rPr>
          <w:noProof/>
          <w:lang w:eastAsia="en-AU"/>
        </w:rPr>
      </w:pPr>
      <w:r w:rsidRPr="00375B9D">
        <w:rPr>
          <w:noProof/>
          <w:lang w:eastAsia="en-AU"/>
        </w:rPr>
        <w:t>The granting of a share or an option occurs if a person acquires a share, or in the case of an option, a right to the share.</w:t>
      </w:r>
    </w:p>
    <w:p w14:paraId="2D3DE2AC" w14:textId="77777777" w:rsidR="00375B9D" w:rsidRPr="00375B9D" w:rsidRDefault="00375B9D" w:rsidP="00375B9D">
      <w:pPr>
        <w:rPr>
          <w:noProof/>
          <w:lang w:eastAsia="en-AU"/>
        </w:rPr>
      </w:pPr>
      <w:r w:rsidRPr="00375B9D">
        <w:rPr>
          <w:noProof/>
          <w:lang w:eastAsia="en-AU"/>
        </w:rPr>
        <w:t>From 1 July 2011, the provisions were amended to align the payroll tax laws (insofar as they determine the taxable status of a grant of a share or option) with the ITAA.</w:t>
      </w:r>
    </w:p>
    <w:p w14:paraId="3A2DB142" w14:textId="77777777" w:rsidR="00375B9D" w:rsidRPr="00375B9D" w:rsidRDefault="00375B9D" w:rsidP="00375B9D">
      <w:pPr>
        <w:rPr>
          <w:noProof/>
          <w:lang w:eastAsia="en-AU"/>
        </w:rPr>
      </w:pPr>
      <w:r w:rsidRPr="00375B9D">
        <w:rPr>
          <w:noProof/>
          <w:lang w:eastAsia="en-AU"/>
        </w:rPr>
        <w:t>From 1 July 2011, the value of the grant of a share or option by an employer to an employee is taxable wages if the share or option is in respect of services performed by the employee, is an ESS interest within the meaning of section 83-10 of the ITAA and is granted to the employee under an employee share scheme within the meaning of that section. Where such a grant is not an ESS interest, it will be treated as a fringe benefit for payroll tax purposes.</w:t>
      </w:r>
    </w:p>
    <w:p w14:paraId="05F6037A" w14:textId="77777777" w:rsidR="00375B9D" w:rsidRPr="00375B9D" w:rsidRDefault="00375B9D" w:rsidP="00A7303B">
      <w:pPr>
        <w:pStyle w:val="Heading2"/>
      </w:pPr>
      <w:bookmarkStart w:id="56" w:name="_Toc108789577"/>
      <w:r w:rsidRPr="00375B9D">
        <w:t xml:space="preserve">Election – </w:t>
      </w:r>
      <w:r w:rsidR="004337B5">
        <w:t>d</w:t>
      </w:r>
      <w:r w:rsidRPr="00375B9D">
        <w:t xml:space="preserve">ate </w:t>
      </w:r>
      <w:r w:rsidR="00D053CB">
        <w:t>s</w:t>
      </w:r>
      <w:r w:rsidRPr="00375B9D">
        <w:t xml:space="preserve">hare or </w:t>
      </w:r>
      <w:r w:rsidR="00D053CB">
        <w:t>o</w:t>
      </w:r>
      <w:r w:rsidRPr="00375B9D">
        <w:t xml:space="preserve">ption is </w:t>
      </w:r>
      <w:r w:rsidR="00D053CB">
        <w:t>g</w:t>
      </w:r>
      <w:r w:rsidRPr="00375B9D">
        <w:t xml:space="preserve">ranted or </w:t>
      </w:r>
      <w:r w:rsidR="00D053CB">
        <w:t>v</w:t>
      </w:r>
      <w:r w:rsidRPr="00375B9D">
        <w:t>ested</w:t>
      </w:r>
      <w:bookmarkEnd w:id="56"/>
    </w:p>
    <w:p w14:paraId="49F01245" w14:textId="77777777" w:rsidR="00375B9D" w:rsidRPr="00375B9D" w:rsidRDefault="00375B9D" w:rsidP="00375B9D">
      <w:pPr>
        <w:rPr>
          <w:noProof/>
          <w:lang w:eastAsia="en-AU"/>
        </w:rPr>
      </w:pPr>
      <w:r w:rsidRPr="00375B9D">
        <w:rPr>
          <w:noProof/>
          <w:lang w:eastAsia="en-AU"/>
        </w:rPr>
        <w:t>A value of the share or option becomes liable as taxable wages on the ‘relevant day’. The employer can elect to treat the relevant day as either the date the share or option is granted to the employee, or the ‘vesting date’.</w:t>
      </w:r>
    </w:p>
    <w:p w14:paraId="19F9CEB0" w14:textId="77777777" w:rsidR="00375B9D" w:rsidRPr="00375B9D" w:rsidRDefault="00375B9D" w:rsidP="00375B9D">
      <w:pPr>
        <w:rPr>
          <w:noProof/>
          <w:lang w:eastAsia="en-AU"/>
        </w:rPr>
      </w:pPr>
      <w:r w:rsidRPr="00375B9D">
        <w:rPr>
          <w:noProof/>
          <w:lang w:eastAsia="en-AU"/>
        </w:rPr>
        <w:t>The vesting date for a share is the earlier of the following two dates:</w:t>
      </w:r>
    </w:p>
    <w:p w14:paraId="1F7B05D0" w14:textId="77777777" w:rsidR="00375B9D" w:rsidRPr="00375B9D" w:rsidRDefault="00375B9D" w:rsidP="00AE756D">
      <w:pPr>
        <w:pStyle w:val="DTFBulletlist"/>
      </w:pPr>
      <w:r w:rsidRPr="00375B9D">
        <w:t xml:space="preserve">the date on which all conditions applying to the grant of the share have been met and the employee’s legal or beneficial interest in the share cannot be rescinded </w:t>
      </w:r>
    </w:p>
    <w:p w14:paraId="4D9AC82A" w14:textId="77777777" w:rsidR="00375B9D" w:rsidRPr="00375B9D" w:rsidRDefault="00A73CE7" w:rsidP="00AE756D">
      <w:pPr>
        <w:pStyle w:val="DTFBulletlist"/>
      </w:pPr>
      <w:r>
        <w:t xml:space="preserve">or </w:t>
      </w:r>
      <w:r w:rsidR="00375B9D" w:rsidRPr="00375B9D">
        <w:t>seven years after the share is granted.</w:t>
      </w:r>
    </w:p>
    <w:p w14:paraId="45FDD7A9" w14:textId="77777777" w:rsidR="00375B9D" w:rsidRPr="00375B9D" w:rsidRDefault="00375B9D" w:rsidP="00A73CE7">
      <w:r w:rsidRPr="00375B9D">
        <w:t>The vesting date for an option is the earlier of the following three dates:</w:t>
      </w:r>
    </w:p>
    <w:p w14:paraId="36475785" w14:textId="77777777" w:rsidR="00375B9D" w:rsidRPr="00375B9D" w:rsidRDefault="00375B9D" w:rsidP="00AE756D">
      <w:pPr>
        <w:pStyle w:val="DTFBulletlist"/>
      </w:pPr>
      <w:r w:rsidRPr="00375B9D">
        <w:t xml:space="preserve">when the share to which the option relates is granted to the employee </w:t>
      </w:r>
    </w:p>
    <w:p w14:paraId="69F55D16" w14:textId="77777777" w:rsidR="00375B9D" w:rsidRPr="00375B9D" w:rsidRDefault="00375B9D" w:rsidP="00AE756D">
      <w:pPr>
        <w:pStyle w:val="DTFBulletlist"/>
      </w:pPr>
      <w:r w:rsidRPr="00375B9D">
        <w:t>when the right under the option to have the relevant share transferred, allotted or vested is exercised by the employee</w:t>
      </w:r>
    </w:p>
    <w:p w14:paraId="0500F1AF" w14:textId="77777777" w:rsidR="00375B9D" w:rsidRPr="00375B9D" w:rsidRDefault="00A73CE7" w:rsidP="00AE756D">
      <w:pPr>
        <w:pStyle w:val="DTFBulletlist"/>
      </w:pPr>
      <w:r>
        <w:t xml:space="preserve">or </w:t>
      </w:r>
      <w:r w:rsidR="00375B9D" w:rsidRPr="00375B9D">
        <w:t>seven years after the option is granted.</w:t>
      </w:r>
    </w:p>
    <w:p w14:paraId="10446E24" w14:textId="77777777" w:rsidR="00375B9D" w:rsidRPr="00375B9D" w:rsidRDefault="00375B9D" w:rsidP="00375B9D">
      <w:pPr>
        <w:rPr>
          <w:noProof/>
          <w:lang w:eastAsia="en-AU"/>
        </w:rPr>
      </w:pPr>
      <w:r w:rsidRPr="00375B9D">
        <w:rPr>
          <w:noProof/>
          <w:lang w:eastAsia="en-AU"/>
        </w:rPr>
        <w:t>Where the value of a share or option is not included in the wages of an employer for the financial year in which the shares or options were granted, the employer will be taken to have elected to treat the value of the share or option as taxable wages calculated at the vesting date. Where the share or option has no value at the date it was granted, and therefore would not be liable to payroll tax, the employer is taken to have made an election at that time.</w:t>
      </w:r>
    </w:p>
    <w:p w14:paraId="2C420AF5" w14:textId="77777777" w:rsidR="00451124" w:rsidRDefault="00451124">
      <w:pPr>
        <w:rPr>
          <w:rFonts w:asciiTheme="majorHAnsi" w:hAnsiTheme="majorHAnsi" w:cs="Arial"/>
          <w:bCs/>
          <w:noProof/>
          <w:color w:val="1F1F5F" w:themeColor="text1"/>
          <w:sz w:val="28"/>
          <w:szCs w:val="28"/>
          <w:lang w:eastAsia="en-AU"/>
        </w:rPr>
      </w:pPr>
      <w:r>
        <w:rPr>
          <w:noProof/>
          <w:lang w:eastAsia="en-AU"/>
        </w:rPr>
        <w:br w:type="page"/>
      </w:r>
    </w:p>
    <w:p w14:paraId="7CAB3576" w14:textId="77777777" w:rsidR="00375B9D" w:rsidRPr="00375B9D" w:rsidRDefault="00375B9D" w:rsidP="00A7303B">
      <w:pPr>
        <w:pStyle w:val="Heading2"/>
      </w:pPr>
      <w:bookmarkStart w:id="57" w:name="_Toc108789578"/>
      <w:r w:rsidRPr="00375B9D">
        <w:lastRenderedPageBreak/>
        <w:t xml:space="preserve">Taxable </w:t>
      </w:r>
      <w:r w:rsidR="00AB78AF">
        <w:t>v</w:t>
      </w:r>
      <w:r w:rsidRPr="00375B9D">
        <w:t xml:space="preserve">alue of a </w:t>
      </w:r>
      <w:r w:rsidR="00AB78AF">
        <w:t>s</w:t>
      </w:r>
      <w:r w:rsidRPr="00375B9D">
        <w:t xml:space="preserve">hare or </w:t>
      </w:r>
      <w:r w:rsidR="00AB78AF">
        <w:t>o</w:t>
      </w:r>
      <w:r w:rsidRPr="00375B9D">
        <w:t>ption</w:t>
      </w:r>
      <w:bookmarkEnd w:id="57"/>
    </w:p>
    <w:p w14:paraId="4F2EF59D" w14:textId="77777777" w:rsidR="00375B9D" w:rsidRPr="00375B9D" w:rsidRDefault="00375B9D" w:rsidP="00375B9D">
      <w:pPr>
        <w:rPr>
          <w:noProof/>
          <w:lang w:eastAsia="en-AU"/>
        </w:rPr>
      </w:pPr>
      <w:r w:rsidRPr="00375B9D">
        <w:rPr>
          <w:noProof/>
          <w:lang w:eastAsia="en-AU"/>
        </w:rPr>
        <w:t>With effect from 1 July 2011, if the grant of a share or option constitutes wages, the amount paid or payable as wages is taken to be its value on the relevant day, less any consideration by the employee for the share or option (but not consideration in the form of services provided by the employee to the employer).</w:t>
      </w:r>
    </w:p>
    <w:p w14:paraId="57916AB7" w14:textId="77777777" w:rsidR="00375B9D" w:rsidRPr="00375B9D" w:rsidRDefault="00375B9D" w:rsidP="00501652">
      <w:pPr>
        <w:pStyle w:val="Heading3"/>
        <w:rPr>
          <w:noProof/>
          <w:lang w:eastAsia="en-AU"/>
        </w:rPr>
      </w:pPr>
      <w:r w:rsidRPr="00375B9D">
        <w:rPr>
          <w:noProof/>
          <w:lang w:eastAsia="en-AU"/>
        </w:rPr>
        <w:t xml:space="preserve">Reducing </w:t>
      </w:r>
      <w:r w:rsidR="00A9121A">
        <w:rPr>
          <w:noProof/>
          <w:lang w:eastAsia="en-AU"/>
        </w:rPr>
        <w:t>t</w:t>
      </w:r>
      <w:r w:rsidRPr="00375B9D">
        <w:rPr>
          <w:noProof/>
          <w:lang w:eastAsia="en-AU"/>
        </w:rPr>
        <w:t xml:space="preserve">axable </w:t>
      </w:r>
      <w:r w:rsidR="00A9121A">
        <w:rPr>
          <w:noProof/>
          <w:lang w:eastAsia="en-AU"/>
        </w:rPr>
        <w:t>w</w:t>
      </w:r>
      <w:r w:rsidRPr="00375B9D">
        <w:rPr>
          <w:noProof/>
          <w:lang w:eastAsia="en-AU"/>
        </w:rPr>
        <w:t xml:space="preserve">ages </w:t>
      </w:r>
      <w:r w:rsidR="00A9121A">
        <w:rPr>
          <w:noProof/>
          <w:lang w:eastAsia="en-AU"/>
        </w:rPr>
        <w:t>d</w:t>
      </w:r>
      <w:r w:rsidRPr="00375B9D">
        <w:rPr>
          <w:noProof/>
          <w:lang w:eastAsia="en-AU"/>
        </w:rPr>
        <w:t xml:space="preserve">ue to </w:t>
      </w:r>
      <w:r w:rsidR="00A9121A">
        <w:rPr>
          <w:noProof/>
          <w:lang w:eastAsia="en-AU"/>
        </w:rPr>
        <w:t>r</w:t>
      </w:r>
      <w:r w:rsidRPr="00375B9D">
        <w:rPr>
          <w:noProof/>
          <w:lang w:eastAsia="en-AU"/>
        </w:rPr>
        <w:t>escission</w:t>
      </w:r>
    </w:p>
    <w:p w14:paraId="00B7D0CA" w14:textId="77777777" w:rsidR="00375B9D" w:rsidRPr="00375B9D" w:rsidRDefault="00375B9D" w:rsidP="00375B9D">
      <w:pPr>
        <w:rPr>
          <w:noProof/>
          <w:lang w:eastAsia="en-AU"/>
        </w:rPr>
      </w:pPr>
      <w:r w:rsidRPr="00375B9D">
        <w:rPr>
          <w:noProof/>
          <w:lang w:eastAsia="en-AU"/>
        </w:rPr>
        <w:t>An employer may reduce the taxable wages declared by the value of any previously declared share or option if the grant of a share or option was rescinded because the vesting conditions have not been met. However, this reduction does not apply in circumstances where the employee decided not to exercise the option or the grant of the share or option occurred prior to 1 July 2008.</w:t>
      </w:r>
    </w:p>
    <w:p w14:paraId="26D194D9" w14:textId="77777777" w:rsidR="00375B9D" w:rsidRPr="00375B9D" w:rsidRDefault="00375B9D" w:rsidP="00375B9D">
      <w:pPr>
        <w:rPr>
          <w:noProof/>
          <w:lang w:eastAsia="en-AU"/>
        </w:rPr>
      </w:pPr>
      <w:r w:rsidRPr="00375B9D">
        <w:rPr>
          <w:noProof/>
          <w:lang w:eastAsia="en-AU"/>
        </w:rPr>
        <w:t>If the grant of a share or option is withdrawn, cancelled or exchanged before the vesting date for some valuable consideration other than a share or option, the date on which that occurs is deemed to be the vesting date and the taxable amount is taken to be the value of the consideration.</w:t>
      </w:r>
    </w:p>
    <w:p w14:paraId="51481CE7" w14:textId="77777777" w:rsidR="00375B9D" w:rsidRPr="00375B9D" w:rsidRDefault="00375B9D" w:rsidP="00501652">
      <w:pPr>
        <w:pStyle w:val="Heading3"/>
        <w:rPr>
          <w:noProof/>
          <w:lang w:eastAsia="en-AU"/>
        </w:rPr>
      </w:pPr>
      <w:r w:rsidRPr="00375B9D">
        <w:rPr>
          <w:noProof/>
          <w:lang w:eastAsia="en-AU"/>
        </w:rPr>
        <w:t xml:space="preserve">Determining the </w:t>
      </w:r>
      <w:r w:rsidR="00A9121A">
        <w:rPr>
          <w:noProof/>
          <w:lang w:eastAsia="en-AU"/>
        </w:rPr>
        <w:t>s</w:t>
      </w:r>
      <w:r w:rsidRPr="00375B9D">
        <w:rPr>
          <w:noProof/>
          <w:lang w:eastAsia="en-AU"/>
        </w:rPr>
        <w:t xml:space="preserve">tate in which a </w:t>
      </w:r>
      <w:r w:rsidR="00A9121A">
        <w:rPr>
          <w:noProof/>
          <w:lang w:eastAsia="en-AU"/>
        </w:rPr>
        <w:t>g</w:t>
      </w:r>
      <w:r w:rsidRPr="00375B9D">
        <w:rPr>
          <w:noProof/>
          <w:lang w:eastAsia="en-AU"/>
        </w:rPr>
        <w:t xml:space="preserve">rant is </w:t>
      </w:r>
      <w:r w:rsidR="00A9121A">
        <w:rPr>
          <w:noProof/>
          <w:lang w:eastAsia="en-AU"/>
        </w:rPr>
        <w:t>d</w:t>
      </w:r>
      <w:r w:rsidRPr="00375B9D">
        <w:rPr>
          <w:noProof/>
          <w:lang w:eastAsia="en-AU"/>
        </w:rPr>
        <w:t xml:space="preserve">eemed to have been </w:t>
      </w:r>
      <w:r w:rsidR="00A9121A">
        <w:rPr>
          <w:noProof/>
          <w:lang w:eastAsia="en-AU"/>
        </w:rPr>
        <w:t>p</w:t>
      </w:r>
      <w:r w:rsidRPr="00375B9D">
        <w:rPr>
          <w:noProof/>
          <w:lang w:eastAsia="en-AU"/>
        </w:rPr>
        <w:t>aid</w:t>
      </w:r>
    </w:p>
    <w:p w14:paraId="5689A79D" w14:textId="77777777" w:rsidR="00375B9D" w:rsidRPr="00375B9D" w:rsidRDefault="00375B9D" w:rsidP="00375B9D">
      <w:pPr>
        <w:rPr>
          <w:noProof/>
          <w:lang w:eastAsia="en-AU"/>
        </w:rPr>
      </w:pPr>
      <w:r w:rsidRPr="00375B9D">
        <w:rPr>
          <w:noProof/>
          <w:lang w:eastAsia="en-AU"/>
        </w:rPr>
        <w:t>It is sometimes necessary to determine the correct jurisdiction for payroll tax liability in the case of employment in multiple jurisdictions. In respect of shares or options, the payment is deemed to be made in the state of registration or incorporation of the company in which the share or option is granted.</w:t>
      </w:r>
    </w:p>
    <w:p w14:paraId="79F02486" w14:textId="77777777" w:rsidR="00375B9D" w:rsidRPr="00375B9D" w:rsidRDefault="00375B9D" w:rsidP="00501652">
      <w:pPr>
        <w:pStyle w:val="Heading3"/>
        <w:rPr>
          <w:noProof/>
          <w:lang w:eastAsia="en-AU"/>
        </w:rPr>
      </w:pPr>
      <w:r w:rsidRPr="00375B9D">
        <w:rPr>
          <w:noProof/>
          <w:lang w:eastAsia="en-AU"/>
        </w:rPr>
        <w:t xml:space="preserve">When is a </w:t>
      </w:r>
      <w:r w:rsidR="00A9121A">
        <w:rPr>
          <w:noProof/>
          <w:lang w:eastAsia="en-AU"/>
        </w:rPr>
        <w:t>g</w:t>
      </w:r>
      <w:r w:rsidRPr="00375B9D">
        <w:rPr>
          <w:noProof/>
          <w:lang w:eastAsia="en-AU"/>
        </w:rPr>
        <w:t xml:space="preserve">rant </w:t>
      </w:r>
      <w:r w:rsidR="00A9121A">
        <w:rPr>
          <w:noProof/>
          <w:lang w:eastAsia="en-AU"/>
        </w:rPr>
        <w:t>t</w:t>
      </w:r>
      <w:r w:rsidRPr="00375B9D">
        <w:rPr>
          <w:noProof/>
          <w:lang w:eastAsia="en-AU"/>
        </w:rPr>
        <w:t xml:space="preserve">reated as a </w:t>
      </w:r>
      <w:r w:rsidR="00A9121A">
        <w:rPr>
          <w:noProof/>
          <w:lang w:eastAsia="en-AU"/>
        </w:rPr>
        <w:t>f</w:t>
      </w:r>
      <w:r w:rsidRPr="00375B9D">
        <w:rPr>
          <w:noProof/>
          <w:lang w:eastAsia="en-AU"/>
        </w:rPr>
        <w:t xml:space="preserve">ringe </w:t>
      </w:r>
      <w:r w:rsidR="00A9121A">
        <w:rPr>
          <w:noProof/>
          <w:lang w:eastAsia="en-AU"/>
        </w:rPr>
        <w:t>b</w:t>
      </w:r>
      <w:r w:rsidRPr="00375B9D">
        <w:rPr>
          <w:noProof/>
          <w:lang w:eastAsia="en-AU"/>
        </w:rPr>
        <w:t>enefit?</w:t>
      </w:r>
    </w:p>
    <w:p w14:paraId="0CB61781" w14:textId="77777777" w:rsidR="00375B9D" w:rsidRPr="00375B9D" w:rsidRDefault="00375B9D" w:rsidP="00375B9D">
      <w:pPr>
        <w:rPr>
          <w:noProof/>
          <w:lang w:eastAsia="en-AU"/>
        </w:rPr>
      </w:pPr>
      <w:r w:rsidRPr="00375B9D">
        <w:rPr>
          <w:noProof/>
          <w:lang w:eastAsia="en-AU"/>
        </w:rPr>
        <w:t xml:space="preserve">With effect from 1 July 2011, where the grant of a share or option by an employer to an employee is not an ESS interest within the meaning of section 83-10 of the ITAA and is not granted to the employee under an employee share scheme, the value of the grant is to be treated as a fringe benefit. </w:t>
      </w:r>
    </w:p>
    <w:p w14:paraId="40B055DA" w14:textId="77777777" w:rsidR="00375B9D" w:rsidRPr="00375B9D" w:rsidRDefault="00375B9D" w:rsidP="00482CC4">
      <w:pPr>
        <w:pStyle w:val="Heading3"/>
        <w:rPr>
          <w:noProof/>
          <w:lang w:eastAsia="en-AU"/>
        </w:rPr>
      </w:pPr>
      <w:r w:rsidRPr="00375B9D">
        <w:rPr>
          <w:noProof/>
          <w:lang w:eastAsia="en-AU"/>
        </w:rPr>
        <w:t xml:space="preserve">Grants of </w:t>
      </w:r>
      <w:r w:rsidR="00A9121A">
        <w:rPr>
          <w:noProof/>
          <w:lang w:eastAsia="en-AU"/>
        </w:rPr>
        <w:t>u</w:t>
      </w:r>
      <w:r w:rsidRPr="00375B9D">
        <w:rPr>
          <w:noProof/>
          <w:lang w:eastAsia="en-AU"/>
        </w:rPr>
        <w:t xml:space="preserve">nits in </w:t>
      </w:r>
      <w:r w:rsidR="00A9121A">
        <w:rPr>
          <w:noProof/>
          <w:lang w:eastAsia="en-AU"/>
        </w:rPr>
        <w:t>u</w:t>
      </w:r>
      <w:r w:rsidRPr="00375B9D">
        <w:rPr>
          <w:noProof/>
          <w:lang w:eastAsia="en-AU"/>
        </w:rPr>
        <w:t xml:space="preserve">nit </w:t>
      </w:r>
      <w:r w:rsidR="00A9121A">
        <w:rPr>
          <w:noProof/>
          <w:lang w:eastAsia="en-AU"/>
        </w:rPr>
        <w:t>t</w:t>
      </w:r>
      <w:r w:rsidRPr="00375B9D">
        <w:rPr>
          <w:noProof/>
          <w:lang w:eastAsia="en-AU"/>
        </w:rPr>
        <w:t xml:space="preserve">rust </w:t>
      </w:r>
      <w:r w:rsidR="00A9121A">
        <w:rPr>
          <w:noProof/>
          <w:lang w:eastAsia="en-AU"/>
        </w:rPr>
        <w:t>s</w:t>
      </w:r>
      <w:r w:rsidRPr="00375B9D">
        <w:rPr>
          <w:noProof/>
          <w:lang w:eastAsia="en-AU"/>
        </w:rPr>
        <w:t xml:space="preserve">chemes are </w:t>
      </w:r>
      <w:r w:rsidR="00A9121A">
        <w:rPr>
          <w:noProof/>
          <w:lang w:eastAsia="en-AU"/>
        </w:rPr>
        <w:t>f</w:t>
      </w:r>
      <w:r w:rsidRPr="00375B9D">
        <w:rPr>
          <w:noProof/>
          <w:lang w:eastAsia="en-AU"/>
        </w:rPr>
        <w:t xml:space="preserve">ringe </w:t>
      </w:r>
      <w:r w:rsidR="00A9121A">
        <w:rPr>
          <w:noProof/>
          <w:lang w:eastAsia="en-AU"/>
        </w:rPr>
        <w:t>b</w:t>
      </w:r>
      <w:r w:rsidRPr="00375B9D">
        <w:rPr>
          <w:noProof/>
          <w:lang w:eastAsia="en-AU"/>
        </w:rPr>
        <w:t>enefits</w:t>
      </w:r>
    </w:p>
    <w:p w14:paraId="47DA698E" w14:textId="77777777" w:rsidR="00375B9D" w:rsidRPr="00375B9D" w:rsidRDefault="00375B9D" w:rsidP="00375B9D">
      <w:pPr>
        <w:rPr>
          <w:noProof/>
          <w:lang w:eastAsia="en-AU"/>
        </w:rPr>
      </w:pPr>
      <w:r w:rsidRPr="00375B9D">
        <w:rPr>
          <w:noProof/>
          <w:lang w:eastAsia="en-AU"/>
        </w:rPr>
        <w:t>The granting by an employer to a director or employee (or to an associate of a director or employee) of units in a unit trust (or rights to acquire units) is a fringe benefit and is not taken to be wages in the same manner as a share or option.</w:t>
      </w:r>
    </w:p>
    <w:tbl>
      <w:tblPr>
        <w:tblStyle w:val="DTFpayrolltaxguidestyle1"/>
        <w:tblW w:w="10348" w:type="dxa"/>
        <w:tblLook w:val="04A0" w:firstRow="1" w:lastRow="0" w:firstColumn="1" w:lastColumn="0" w:noHBand="0" w:noVBand="1"/>
        <w:tblDescription w:val="See also Fringe Benefits."/>
      </w:tblPr>
      <w:tblGrid>
        <w:gridCol w:w="10348"/>
      </w:tblGrid>
      <w:tr w:rsidR="00375B9D" w:rsidRPr="00375B9D" w14:paraId="0A47BFCE" w14:textId="77777777" w:rsidTr="005619AF">
        <w:trPr>
          <w:trHeight w:val="137"/>
          <w:tblHeader/>
        </w:trPr>
        <w:tc>
          <w:tcPr>
            <w:tcW w:w="10348" w:type="dxa"/>
          </w:tcPr>
          <w:p w14:paraId="211052DE" w14:textId="77777777" w:rsidR="00375B9D" w:rsidRPr="00375B9D" w:rsidRDefault="00375B9D" w:rsidP="00D67B91">
            <w:pPr>
              <w:spacing w:after="200"/>
              <w:rPr>
                <w:noProof/>
                <w:lang w:eastAsia="en-AU"/>
              </w:rPr>
            </w:pPr>
            <w:r w:rsidRPr="00375B9D">
              <w:rPr>
                <w:noProof/>
                <w:lang w:eastAsia="en-AU"/>
              </w:rPr>
              <w:t xml:space="preserve">See also </w:t>
            </w:r>
            <w:hyperlink w:anchor="FringeBenefits" w:history="1">
              <w:r w:rsidRPr="00375B9D">
                <w:rPr>
                  <w:rStyle w:val="Hyperlink"/>
                  <w:noProof/>
                  <w:lang w:eastAsia="en-AU"/>
                </w:rPr>
                <w:t xml:space="preserve">Fringe </w:t>
              </w:r>
              <w:r w:rsidR="00D67B91">
                <w:rPr>
                  <w:rStyle w:val="Hyperlink"/>
                  <w:noProof/>
                  <w:lang w:eastAsia="en-AU"/>
                </w:rPr>
                <w:t>b</w:t>
              </w:r>
              <w:r w:rsidRPr="00375B9D">
                <w:rPr>
                  <w:rStyle w:val="Hyperlink"/>
                  <w:noProof/>
                  <w:lang w:eastAsia="en-AU"/>
                </w:rPr>
                <w:t>enefits</w:t>
              </w:r>
            </w:hyperlink>
            <w:r w:rsidRPr="00375B9D">
              <w:rPr>
                <w:noProof/>
                <w:lang w:eastAsia="en-AU"/>
              </w:rPr>
              <w:t>.</w:t>
            </w:r>
          </w:p>
        </w:tc>
      </w:tr>
    </w:tbl>
    <w:p w14:paraId="7D95FB4D" w14:textId="77777777" w:rsidR="00375B9D" w:rsidRPr="00375B9D" w:rsidRDefault="00375B9D" w:rsidP="00482CC4">
      <w:pPr>
        <w:pStyle w:val="Heading3"/>
        <w:rPr>
          <w:noProof/>
          <w:lang w:eastAsia="en-AU"/>
        </w:rPr>
      </w:pPr>
      <w:r w:rsidRPr="00375B9D">
        <w:rPr>
          <w:noProof/>
          <w:lang w:eastAsia="en-AU"/>
        </w:rPr>
        <w:t xml:space="preserve">Determining the </w:t>
      </w:r>
      <w:r w:rsidR="00A9121A">
        <w:rPr>
          <w:noProof/>
          <w:lang w:eastAsia="en-AU"/>
        </w:rPr>
        <w:t>v</w:t>
      </w:r>
      <w:r w:rsidRPr="00375B9D">
        <w:rPr>
          <w:noProof/>
          <w:lang w:eastAsia="en-AU"/>
        </w:rPr>
        <w:t xml:space="preserve">alue of the </w:t>
      </w:r>
      <w:r w:rsidR="00A9121A">
        <w:rPr>
          <w:noProof/>
          <w:lang w:eastAsia="en-AU"/>
        </w:rPr>
        <w:t>g</w:t>
      </w:r>
      <w:r w:rsidRPr="00375B9D">
        <w:rPr>
          <w:noProof/>
          <w:lang w:eastAsia="en-AU"/>
        </w:rPr>
        <w:t xml:space="preserve">rant for </w:t>
      </w:r>
      <w:r w:rsidR="00A9121A">
        <w:rPr>
          <w:noProof/>
          <w:lang w:eastAsia="en-AU"/>
        </w:rPr>
        <w:t>p</w:t>
      </w:r>
      <w:r w:rsidRPr="00375B9D">
        <w:rPr>
          <w:noProof/>
          <w:lang w:eastAsia="en-AU"/>
        </w:rPr>
        <w:t xml:space="preserve">ayroll </w:t>
      </w:r>
      <w:r w:rsidR="00A9121A">
        <w:rPr>
          <w:noProof/>
          <w:lang w:eastAsia="en-AU"/>
        </w:rPr>
        <w:t>t</w:t>
      </w:r>
      <w:r w:rsidRPr="00375B9D">
        <w:rPr>
          <w:noProof/>
          <w:lang w:eastAsia="en-AU"/>
        </w:rPr>
        <w:t xml:space="preserve">ax </w:t>
      </w:r>
      <w:r w:rsidR="00A9121A">
        <w:rPr>
          <w:noProof/>
          <w:lang w:eastAsia="en-AU"/>
        </w:rPr>
        <w:t>p</w:t>
      </w:r>
      <w:r w:rsidRPr="00375B9D">
        <w:rPr>
          <w:noProof/>
          <w:lang w:eastAsia="en-AU"/>
        </w:rPr>
        <w:t>urposes</w:t>
      </w:r>
    </w:p>
    <w:p w14:paraId="7DD6C563" w14:textId="77777777" w:rsidR="00375B9D" w:rsidRPr="00375B9D" w:rsidRDefault="00375B9D" w:rsidP="00375B9D">
      <w:pPr>
        <w:rPr>
          <w:noProof/>
          <w:lang w:eastAsia="en-AU"/>
        </w:rPr>
      </w:pPr>
      <w:r w:rsidRPr="00375B9D">
        <w:rPr>
          <w:noProof/>
          <w:lang w:eastAsia="en-AU"/>
        </w:rPr>
        <w:t>Provided the taxable wages value of the grant is included as declared wages in the applicable payroll tax return, the employer may elect to set the value of the grant at either its market value or the value determined under section 83-15 of the ITAA. Notwithstanding any conditions to the contrary, the value of the grant is to be determined as if it were a right to acquire a beneficial interest in a share.</w:t>
      </w:r>
    </w:p>
    <w:p w14:paraId="335F5017" w14:textId="77777777" w:rsidR="00375B9D" w:rsidRPr="00375B9D" w:rsidRDefault="00375B9D" w:rsidP="00375B9D">
      <w:pPr>
        <w:rPr>
          <w:noProof/>
          <w:lang w:eastAsia="en-AU"/>
        </w:rPr>
      </w:pPr>
      <w:r w:rsidRPr="00375B9D">
        <w:rPr>
          <w:noProof/>
          <w:lang w:eastAsia="en-AU"/>
        </w:rPr>
        <w:t>However, where the taxable wages value of the grant has not been included by the employer as declared wages in the applicable payroll tax return, the Commissioner may determine the method of valuation in any subsequent assessment.</w:t>
      </w:r>
    </w:p>
    <w:p w14:paraId="6A905633" w14:textId="77777777" w:rsidR="00451124" w:rsidRDefault="00451124">
      <w:pPr>
        <w:rPr>
          <w:rFonts w:asciiTheme="majorHAnsi" w:hAnsiTheme="majorHAnsi" w:cs="Arial"/>
          <w:bCs/>
          <w:noProof/>
          <w:color w:val="1F1F5F" w:themeColor="text1"/>
          <w:sz w:val="28"/>
          <w:szCs w:val="28"/>
          <w:lang w:eastAsia="en-AU"/>
        </w:rPr>
      </w:pPr>
      <w:r>
        <w:rPr>
          <w:noProof/>
          <w:lang w:eastAsia="en-AU"/>
        </w:rPr>
        <w:br w:type="page"/>
      </w:r>
    </w:p>
    <w:p w14:paraId="3E47C62F" w14:textId="77777777" w:rsidR="00375B9D" w:rsidRPr="00375B9D" w:rsidRDefault="00375B9D" w:rsidP="00F35F8B">
      <w:pPr>
        <w:pStyle w:val="Heading3"/>
        <w:rPr>
          <w:noProof/>
          <w:lang w:eastAsia="en-AU"/>
        </w:rPr>
      </w:pPr>
      <w:r w:rsidRPr="00375B9D">
        <w:rPr>
          <w:noProof/>
          <w:lang w:eastAsia="en-AU"/>
        </w:rPr>
        <w:lastRenderedPageBreak/>
        <w:t xml:space="preserve">Grants of </w:t>
      </w:r>
      <w:r w:rsidR="00A9121A">
        <w:rPr>
          <w:noProof/>
          <w:lang w:eastAsia="en-AU"/>
        </w:rPr>
        <w:t>s</w:t>
      </w:r>
      <w:r w:rsidRPr="00375B9D">
        <w:rPr>
          <w:noProof/>
          <w:lang w:eastAsia="en-AU"/>
        </w:rPr>
        <w:t xml:space="preserve">hares and </w:t>
      </w:r>
      <w:r w:rsidR="00A9121A">
        <w:rPr>
          <w:noProof/>
          <w:lang w:eastAsia="en-AU"/>
        </w:rPr>
        <w:t>o</w:t>
      </w:r>
      <w:r w:rsidRPr="00375B9D">
        <w:rPr>
          <w:noProof/>
          <w:lang w:eastAsia="en-AU"/>
        </w:rPr>
        <w:t xml:space="preserve">ptions to </w:t>
      </w:r>
      <w:r w:rsidR="00A9121A">
        <w:rPr>
          <w:noProof/>
          <w:lang w:eastAsia="en-AU"/>
        </w:rPr>
        <w:t>d</w:t>
      </w:r>
      <w:r w:rsidRPr="00375B9D">
        <w:rPr>
          <w:noProof/>
          <w:lang w:eastAsia="en-AU"/>
        </w:rPr>
        <w:t>irectors</w:t>
      </w:r>
    </w:p>
    <w:p w14:paraId="628AC2E0" w14:textId="77777777" w:rsidR="00375B9D" w:rsidRPr="00375B9D" w:rsidRDefault="00375B9D" w:rsidP="00375B9D">
      <w:pPr>
        <w:rPr>
          <w:noProof/>
          <w:lang w:eastAsia="en-AU"/>
        </w:rPr>
      </w:pPr>
      <w:r w:rsidRPr="00375B9D">
        <w:rPr>
          <w:noProof/>
          <w:lang w:eastAsia="en-AU"/>
        </w:rPr>
        <w:t>The granting of shares and options to directors (regardless of whether or not the director works in the business) constitutes wages.</w:t>
      </w:r>
    </w:p>
    <w:p w14:paraId="0063085C" w14:textId="77777777" w:rsidR="00375B9D" w:rsidRPr="00375B9D" w:rsidRDefault="00375B9D" w:rsidP="00375B9D">
      <w:pPr>
        <w:rPr>
          <w:noProof/>
          <w:lang w:eastAsia="en-AU"/>
        </w:rPr>
      </w:pPr>
      <w:r w:rsidRPr="00375B9D">
        <w:rPr>
          <w:noProof/>
          <w:lang w:eastAsia="en-AU"/>
        </w:rPr>
        <w:t>The same general provisions also apply to persons who are granted shares and options before being appointed as a director, or after they have ceased to be a director.</w:t>
      </w:r>
    </w:p>
    <w:p w14:paraId="724463FF" w14:textId="77777777" w:rsidR="00375B9D" w:rsidRPr="00375B9D" w:rsidRDefault="00375B9D" w:rsidP="00375B9D">
      <w:pPr>
        <w:rPr>
          <w:noProof/>
          <w:lang w:eastAsia="en-AU"/>
        </w:rPr>
      </w:pPr>
      <w:r w:rsidRPr="00375B9D">
        <w:rPr>
          <w:noProof/>
          <w:lang w:eastAsia="en-AU"/>
        </w:rPr>
        <w:t>In other respects, the provisions applying to employees, including method of valuation, apply to future, current and former directors.</w:t>
      </w:r>
    </w:p>
    <w:p w14:paraId="44BD1EC8" w14:textId="77777777" w:rsidR="00375B9D" w:rsidRPr="00375B9D" w:rsidRDefault="00375B9D" w:rsidP="00482CC4">
      <w:pPr>
        <w:pStyle w:val="Heading3"/>
        <w:rPr>
          <w:noProof/>
          <w:lang w:eastAsia="en-AU"/>
        </w:rPr>
      </w:pPr>
      <w:r w:rsidRPr="00375B9D">
        <w:rPr>
          <w:noProof/>
          <w:lang w:eastAsia="en-AU"/>
        </w:rPr>
        <w:t xml:space="preserve">Grants of </w:t>
      </w:r>
      <w:r w:rsidR="006836F0">
        <w:rPr>
          <w:noProof/>
          <w:lang w:eastAsia="en-AU"/>
        </w:rPr>
        <w:t>s</w:t>
      </w:r>
      <w:r w:rsidRPr="00375B9D">
        <w:rPr>
          <w:noProof/>
          <w:lang w:eastAsia="en-AU"/>
        </w:rPr>
        <w:t xml:space="preserve">hares and </w:t>
      </w:r>
      <w:r w:rsidR="006836F0">
        <w:rPr>
          <w:noProof/>
          <w:lang w:eastAsia="en-AU"/>
        </w:rPr>
        <w:t>o</w:t>
      </w:r>
      <w:r w:rsidRPr="00375B9D">
        <w:rPr>
          <w:noProof/>
          <w:lang w:eastAsia="en-AU"/>
        </w:rPr>
        <w:t xml:space="preserve">ptions through </w:t>
      </w:r>
      <w:r w:rsidR="006836F0">
        <w:rPr>
          <w:noProof/>
          <w:lang w:eastAsia="en-AU"/>
        </w:rPr>
        <w:t>i</w:t>
      </w:r>
      <w:r w:rsidRPr="00375B9D">
        <w:rPr>
          <w:noProof/>
          <w:lang w:eastAsia="en-AU"/>
        </w:rPr>
        <w:t xml:space="preserve">nterposed </w:t>
      </w:r>
      <w:r w:rsidR="006836F0">
        <w:rPr>
          <w:noProof/>
          <w:lang w:eastAsia="en-AU"/>
        </w:rPr>
        <w:t>e</w:t>
      </w:r>
      <w:r w:rsidRPr="00375B9D">
        <w:rPr>
          <w:noProof/>
          <w:lang w:eastAsia="en-AU"/>
        </w:rPr>
        <w:t xml:space="preserve">ntities and to </w:t>
      </w:r>
      <w:r w:rsidR="006836F0">
        <w:rPr>
          <w:noProof/>
          <w:lang w:eastAsia="en-AU"/>
        </w:rPr>
        <w:t>t</w:t>
      </w:r>
      <w:r w:rsidRPr="00375B9D">
        <w:rPr>
          <w:noProof/>
          <w:lang w:eastAsia="en-AU"/>
        </w:rPr>
        <w:t xml:space="preserve">hird </w:t>
      </w:r>
      <w:r w:rsidR="006836F0">
        <w:rPr>
          <w:noProof/>
          <w:lang w:eastAsia="en-AU"/>
        </w:rPr>
        <w:t>p</w:t>
      </w:r>
      <w:r w:rsidRPr="00375B9D">
        <w:rPr>
          <w:noProof/>
          <w:lang w:eastAsia="en-AU"/>
        </w:rPr>
        <w:t>arties</w:t>
      </w:r>
    </w:p>
    <w:p w14:paraId="2652AB29" w14:textId="77777777" w:rsidR="00375B9D" w:rsidRDefault="00375B9D" w:rsidP="00375B9D">
      <w:pPr>
        <w:rPr>
          <w:noProof/>
          <w:lang w:eastAsia="en-AU"/>
        </w:rPr>
      </w:pPr>
      <w:r w:rsidRPr="00375B9D">
        <w:rPr>
          <w:noProof/>
          <w:lang w:eastAsia="en-AU"/>
        </w:rPr>
        <w:t xml:space="preserve">Where shares or options are not provided directly to the employee or director concerned, but to an entity or person associated with the employee or director (such as a family company, family partnership or family trust, or spouse, parent, child or other relative), the taxable wages value of the shares and options must be declared as if it were provided directly to the employee or director. </w:t>
      </w:r>
    </w:p>
    <w:p w14:paraId="4C7D08D4" w14:textId="77777777" w:rsidR="00D033AC" w:rsidRDefault="00D033AC" w:rsidP="00375B9D">
      <w:pPr>
        <w:rPr>
          <w:noProof/>
          <w:lang w:eastAsia="en-AU"/>
        </w:rPr>
      </w:pPr>
    </w:p>
    <w:p w14:paraId="73C88B0C" w14:textId="77777777" w:rsidR="00D033AC" w:rsidRDefault="00D033AC">
      <w:pPr>
        <w:rPr>
          <w:noProof/>
          <w:lang w:eastAsia="en-AU"/>
        </w:rPr>
      </w:pPr>
      <w:r>
        <w:rPr>
          <w:noProof/>
          <w:lang w:eastAsia="en-AU"/>
        </w:rPr>
        <w:br w:type="page"/>
      </w:r>
    </w:p>
    <w:p w14:paraId="6F8B49FC" w14:textId="77777777" w:rsidR="00375B9D" w:rsidRPr="00375B9D" w:rsidRDefault="00375B9D" w:rsidP="00375B9D">
      <w:pPr>
        <w:rPr>
          <w:noProof/>
          <w:lang w:eastAsia="en-AU"/>
        </w:rPr>
      </w:pPr>
      <w:bookmarkStart w:id="58" w:name="ContractorsSubcontractorsConsultants"/>
      <w:bookmarkStart w:id="59" w:name="_Toc467842746"/>
      <w:bookmarkStart w:id="60" w:name="_Toc108789579"/>
      <w:bookmarkEnd w:id="58"/>
      <w:r w:rsidRPr="00375B9D">
        <w:rPr>
          <w:noProof/>
          <w:lang w:eastAsia="en-AU"/>
        </w:rPr>
        <w:lastRenderedPageBreak/>
        <w:t xml:space="preserve">Contractors, </w:t>
      </w:r>
      <w:r w:rsidR="00EB42C8">
        <w:rPr>
          <w:noProof/>
          <w:lang w:eastAsia="en-AU"/>
        </w:rPr>
        <w:t>s</w:t>
      </w:r>
      <w:r w:rsidRPr="00375B9D">
        <w:rPr>
          <w:noProof/>
          <w:lang w:eastAsia="en-AU"/>
        </w:rPr>
        <w:t xml:space="preserve">ubcontractors, </w:t>
      </w:r>
      <w:r w:rsidR="00EB42C8">
        <w:rPr>
          <w:noProof/>
          <w:lang w:eastAsia="en-AU"/>
        </w:rPr>
        <w:t>c</w:t>
      </w:r>
      <w:r w:rsidRPr="00375B9D">
        <w:rPr>
          <w:noProof/>
          <w:lang w:eastAsia="en-AU"/>
        </w:rPr>
        <w:t xml:space="preserve">onsultants and </w:t>
      </w:r>
      <w:r w:rsidR="00EB42C8">
        <w:rPr>
          <w:noProof/>
          <w:lang w:eastAsia="en-AU"/>
        </w:rPr>
        <w:t>p</w:t>
      </w:r>
      <w:r w:rsidRPr="00375B9D">
        <w:rPr>
          <w:noProof/>
          <w:lang w:eastAsia="en-AU"/>
        </w:rPr>
        <w:t>ayroll </w:t>
      </w:r>
      <w:r w:rsidR="00EB42C8">
        <w:rPr>
          <w:noProof/>
          <w:lang w:eastAsia="en-AU"/>
        </w:rPr>
        <w:t>t</w:t>
      </w:r>
      <w:r w:rsidRPr="00375B9D">
        <w:rPr>
          <w:noProof/>
          <w:lang w:eastAsia="en-AU"/>
        </w:rPr>
        <w:t>ax</w:t>
      </w:r>
      <w:bookmarkEnd w:id="59"/>
      <w:bookmarkEnd w:id="60"/>
      <w:r w:rsidRPr="00375B9D">
        <w:rPr>
          <w:noProof/>
          <w:lang w:eastAsia="en-AU"/>
        </w:rPr>
        <w:t xml:space="preserve"> </w:t>
      </w:r>
    </w:p>
    <w:p w14:paraId="4DA247D9" w14:textId="77777777" w:rsidR="00375B9D" w:rsidRPr="00375B9D" w:rsidRDefault="00D67B91" w:rsidP="00375B9D">
      <w:pPr>
        <w:rPr>
          <w:noProof/>
          <w:lang w:eastAsia="en-AU"/>
        </w:rPr>
      </w:pPr>
      <w:r w:rsidRPr="00375B9D">
        <w:rPr>
          <w:noProof/>
          <w:lang w:eastAsia="en-AU"/>
        </w:rPr>
        <w:t xml:space="preserve">Payments </w:t>
      </w:r>
      <w:r w:rsidR="00375B9D" w:rsidRPr="00375B9D">
        <w:rPr>
          <w:noProof/>
          <w:lang w:eastAsia="en-AU"/>
        </w:rPr>
        <w:t xml:space="preserve">that businesses make to contractors, consultants and suppliers may be subject to payroll tax. </w:t>
      </w:r>
    </w:p>
    <w:p w14:paraId="65AB410C" w14:textId="77777777" w:rsidR="00375B9D" w:rsidRPr="00375B9D" w:rsidRDefault="00375B9D" w:rsidP="00375B9D">
      <w:pPr>
        <w:rPr>
          <w:noProof/>
          <w:lang w:eastAsia="en-AU"/>
        </w:rPr>
      </w:pPr>
      <w:r w:rsidRPr="00375B9D">
        <w:rPr>
          <w:noProof/>
          <w:lang w:eastAsia="en-AU"/>
        </w:rPr>
        <w:t>Most businesses operate with a mixture of employees and contractors.</w:t>
      </w:r>
    </w:p>
    <w:p w14:paraId="75EB54CE" w14:textId="77777777" w:rsidR="00375B9D" w:rsidRPr="00375B9D" w:rsidRDefault="00375B9D" w:rsidP="00375B9D">
      <w:pPr>
        <w:rPr>
          <w:noProof/>
          <w:lang w:eastAsia="en-AU"/>
        </w:rPr>
      </w:pPr>
      <w:r w:rsidRPr="00375B9D">
        <w:rPr>
          <w:noProof/>
          <w:lang w:eastAsia="en-AU"/>
        </w:rPr>
        <w:t>The word ‘contractor’ is used in this guide to describe any person or other business that provides products and or services using an ABN and tax invoice, regardless of how your business refers to them (for example, contractor, subcontractor, consultant, supplier) and the word ‘principal’ is used to describe the business engaging the contractor.</w:t>
      </w:r>
    </w:p>
    <w:p w14:paraId="60214ECE" w14:textId="77777777" w:rsidR="00375B9D" w:rsidRPr="00375B9D" w:rsidRDefault="00375B9D" w:rsidP="00375B9D">
      <w:pPr>
        <w:rPr>
          <w:noProof/>
          <w:lang w:eastAsia="en-AU"/>
        </w:rPr>
      </w:pPr>
      <w:r w:rsidRPr="00375B9D">
        <w:rPr>
          <w:noProof/>
          <w:lang w:eastAsia="en-AU"/>
        </w:rPr>
        <w:t xml:space="preserve">While it is generally well understood that payments made and benefits provided to employees and directors are subject to payroll tax, not all businesses recognise that in many cases, payments made to contractors (apart from the GST component) are also subject to payroll tax. </w:t>
      </w:r>
    </w:p>
    <w:p w14:paraId="78D92B4B" w14:textId="77777777" w:rsidR="00375B9D" w:rsidRPr="00375B9D" w:rsidRDefault="00375B9D" w:rsidP="00375B9D">
      <w:pPr>
        <w:rPr>
          <w:noProof/>
          <w:lang w:eastAsia="en-AU"/>
        </w:rPr>
      </w:pPr>
      <w:r w:rsidRPr="00375B9D">
        <w:rPr>
          <w:noProof/>
          <w:lang w:eastAsia="en-AU"/>
        </w:rPr>
        <w:t>Subject to some exceptions (which are outlined later in this guide), contractor payments are likely to be subject to payroll tax where the contractor:</w:t>
      </w:r>
    </w:p>
    <w:p w14:paraId="3E5EE31E" w14:textId="77777777" w:rsidR="00375B9D" w:rsidRPr="00375B9D" w:rsidRDefault="00375B9D" w:rsidP="00AE756D">
      <w:pPr>
        <w:pStyle w:val="DTFBulletlist"/>
      </w:pPr>
      <w:r w:rsidRPr="00375B9D">
        <w:t>provides services that are a normal ongoing part of your busines</w:t>
      </w:r>
      <w:r w:rsidR="00D67B91">
        <w:t xml:space="preserve">s for the majority of the year </w:t>
      </w:r>
    </w:p>
    <w:p w14:paraId="593BCDF0" w14:textId="77777777" w:rsidR="00375B9D" w:rsidRPr="00375B9D" w:rsidRDefault="00375B9D" w:rsidP="00AE756D">
      <w:pPr>
        <w:pStyle w:val="DTFBulletlist"/>
      </w:pPr>
      <w:r w:rsidRPr="00375B9D">
        <w:t xml:space="preserve">has no employees or subcontractors of its own </w:t>
      </w:r>
    </w:p>
    <w:p w14:paraId="66585A6F" w14:textId="77777777" w:rsidR="00375B9D" w:rsidRPr="00375B9D" w:rsidRDefault="00375B9D" w:rsidP="00AE756D">
      <w:pPr>
        <w:pStyle w:val="DTFBulletlist"/>
      </w:pPr>
      <w:r w:rsidRPr="00375B9D">
        <w:t>invoices you for more than 90 days’ work in the year (whether continuous or not does not matter)</w:t>
      </w:r>
    </w:p>
    <w:p w14:paraId="669243E4" w14:textId="77777777" w:rsidR="00375B9D" w:rsidRPr="00375B9D" w:rsidRDefault="00375B9D" w:rsidP="00AE756D">
      <w:pPr>
        <w:pStyle w:val="DTFBulletlist"/>
      </w:pPr>
      <w:r w:rsidRPr="00375B9D">
        <w:t xml:space="preserve">averages more than 10 days’ work per month in the months that they work for you </w:t>
      </w:r>
    </w:p>
    <w:p w14:paraId="14436D6E" w14:textId="77777777" w:rsidR="00375B9D" w:rsidRPr="00375B9D" w:rsidRDefault="00375B9D" w:rsidP="00AE756D">
      <w:pPr>
        <w:pStyle w:val="DTFBulletlist"/>
      </w:pPr>
      <w:r w:rsidRPr="00375B9D">
        <w:t>provides services where the labour component exceeds 50</w:t>
      </w:r>
      <w:r w:rsidR="00A73CE7">
        <w:t>%</w:t>
      </w:r>
      <w:r w:rsidRPr="00375B9D">
        <w:t xml:space="preserve"> of the value of the contract.</w:t>
      </w:r>
    </w:p>
    <w:p w14:paraId="79C9C224" w14:textId="77777777" w:rsidR="00375B9D" w:rsidRPr="00375B9D" w:rsidRDefault="00375B9D" w:rsidP="00375B9D">
      <w:pPr>
        <w:rPr>
          <w:noProof/>
          <w:lang w:eastAsia="en-AU"/>
        </w:rPr>
      </w:pPr>
      <w:r w:rsidRPr="00375B9D">
        <w:rPr>
          <w:noProof/>
          <w:lang w:eastAsia="en-AU"/>
        </w:rPr>
        <w:t>It does not matter whether the contractor:</w:t>
      </w:r>
    </w:p>
    <w:p w14:paraId="4C29CD39" w14:textId="77777777" w:rsidR="00375B9D" w:rsidRPr="00375B9D" w:rsidRDefault="00375B9D" w:rsidP="00AE756D">
      <w:pPr>
        <w:pStyle w:val="DTFBulletlist"/>
      </w:pPr>
      <w:r w:rsidRPr="00375B9D">
        <w:t xml:space="preserve">is a sole trader, partnership, company or trustee of a trust </w:t>
      </w:r>
    </w:p>
    <w:p w14:paraId="7AB2DE24" w14:textId="77777777" w:rsidR="00375B9D" w:rsidRPr="00375B9D" w:rsidRDefault="00375B9D" w:rsidP="00AE756D">
      <w:pPr>
        <w:pStyle w:val="DTFBulletlist"/>
      </w:pPr>
      <w:r w:rsidRPr="00375B9D">
        <w:t>works at an hourly or daily rate or under a fixed price contract</w:t>
      </w:r>
    </w:p>
    <w:p w14:paraId="3B01147F" w14:textId="77777777" w:rsidR="00375B9D" w:rsidRPr="00375B9D" w:rsidRDefault="00A73CE7" w:rsidP="00AE756D">
      <w:pPr>
        <w:pStyle w:val="DTFBulletlist"/>
      </w:pPr>
      <w:r>
        <w:t xml:space="preserve">or </w:t>
      </w:r>
      <w:r w:rsidR="00375B9D" w:rsidRPr="00375B9D">
        <w:t>has signed an agreement with the principal specifically denying they are an employee and or</w:t>
      </w:r>
      <w:r w:rsidR="00040599">
        <w:t xml:space="preserve"> </w:t>
      </w:r>
      <w:r w:rsidR="00375B9D" w:rsidRPr="00375B9D">
        <w:t>specifically excluding any payments subject to payroll tax or similar liabilities.</w:t>
      </w:r>
    </w:p>
    <w:p w14:paraId="337C2B12" w14:textId="77777777" w:rsidR="00375B9D" w:rsidRPr="00375B9D" w:rsidRDefault="00375B9D" w:rsidP="00375B9D">
      <w:pPr>
        <w:rPr>
          <w:noProof/>
          <w:lang w:eastAsia="en-AU"/>
        </w:rPr>
      </w:pPr>
      <w:r w:rsidRPr="00375B9D">
        <w:rPr>
          <w:noProof/>
          <w:lang w:eastAsia="en-AU"/>
        </w:rPr>
        <w:t>If your business engages contractors, either permanently or occasionally, you should carefully read this section of this guide and references to the PRTA and Payroll Tax Rulings.</w:t>
      </w:r>
    </w:p>
    <w:p w14:paraId="3D8D30B3" w14:textId="77777777" w:rsidR="00375B9D" w:rsidRPr="00375B9D" w:rsidRDefault="00375B9D" w:rsidP="00A7303B">
      <w:pPr>
        <w:pStyle w:val="Heading2"/>
      </w:pPr>
      <w:bookmarkStart w:id="61" w:name="_Toc467842747"/>
      <w:bookmarkStart w:id="62" w:name="_Toc108789580"/>
      <w:r w:rsidRPr="00375B9D">
        <w:t xml:space="preserve">What is a </w:t>
      </w:r>
      <w:r w:rsidR="00924A32">
        <w:t>r</w:t>
      </w:r>
      <w:r w:rsidRPr="00375B9D">
        <w:t xml:space="preserve">elevant </w:t>
      </w:r>
      <w:r w:rsidR="00924A32">
        <w:t>c</w:t>
      </w:r>
      <w:r w:rsidRPr="00375B9D">
        <w:t>ontract?</w:t>
      </w:r>
      <w:bookmarkEnd w:id="61"/>
      <w:bookmarkEnd w:id="62"/>
    </w:p>
    <w:p w14:paraId="6C9210BA" w14:textId="77777777" w:rsidR="00375B9D" w:rsidRDefault="00375B9D" w:rsidP="00375B9D">
      <w:pPr>
        <w:rPr>
          <w:noProof/>
          <w:lang w:eastAsia="en-AU"/>
        </w:rPr>
      </w:pPr>
      <w:r w:rsidRPr="00375B9D">
        <w:rPr>
          <w:noProof/>
          <w:lang w:eastAsia="en-AU"/>
        </w:rPr>
        <w:t>In practical terms, in almost all circumstances where your business receives products and services that are paid for using a tax invoice, (apart from simple purchases of materials or equipment), the contract is referred to as a ‘relevant contract’.</w:t>
      </w:r>
    </w:p>
    <w:p w14:paraId="3A989746" w14:textId="77777777" w:rsidR="008775BF" w:rsidRPr="00375B9D" w:rsidRDefault="008775BF" w:rsidP="00375B9D">
      <w:pPr>
        <w:rPr>
          <w:noProof/>
          <w:lang w:eastAsia="en-AU"/>
        </w:rPr>
      </w:pPr>
      <w:r>
        <w:rPr>
          <w:noProof/>
          <w:lang w:eastAsia="en-AU"/>
        </w:rPr>
        <w:t>You need to pay payroll tax on payments made to contractors engaged under a relevant contract unless an exclusion applies.</w:t>
      </w:r>
    </w:p>
    <w:tbl>
      <w:tblPr>
        <w:tblStyle w:val="DTFpayrolltaxguidestyle1"/>
        <w:tblW w:w="10348" w:type="dxa"/>
        <w:tblLook w:val="04A0" w:firstRow="1" w:lastRow="0" w:firstColumn="1" w:lastColumn="0" w:noHBand="0" w:noVBand="1"/>
        <w:tblDescription w:val="Example: Your business is family company involved in home construction and renovation within the NT only. You have 8 part-time and full time employees (including 2 directors – the husband and wife associated with the family company), 2 office workers and 4 tradespeople with a carpentry background, one of whom is known as your building supervisor."/>
      </w:tblPr>
      <w:tblGrid>
        <w:gridCol w:w="10348"/>
      </w:tblGrid>
      <w:tr w:rsidR="00375B9D" w:rsidRPr="00375B9D" w14:paraId="138CEF10" w14:textId="77777777" w:rsidTr="005619AF">
        <w:trPr>
          <w:trHeight w:val="6036"/>
          <w:tblHeader/>
        </w:trPr>
        <w:tc>
          <w:tcPr>
            <w:tcW w:w="10348" w:type="dxa"/>
          </w:tcPr>
          <w:p w14:paraId="0AF01AE5" w14:textId="77777777" w:rsidR="00375B9D" w:rsidRPr="00375B9D" w:rsidRDefault="00375B9D" w:rsidP="00375B9D">
            <w:pPr>
              <w:spacing w:after="200"/>
              <w:rPr>
                <w:noProof/>
                <w:lang w:eastAsia="en-AU"/>
              </w:rPr>
            </w:pPr>
            <w:r w:rsidRPr="00375B9D">
              <w:rPr>
                <w:b/>
                <w:noProof/>
                <w:lang w:eastAsia="en-AU"/>
              </w:rPr>
              <w:lastRenderedPageBreak/>
              <w:t>Example</w:t>
            </w:r>
            <w:r w:rsidR="008F4FBE">
              <w:rPr>
                <w:b/>
                <w:noProof/>
                <w:lang w:eastAsia="en-AU"/>
              </w:rPr>
              <w:t xml:space="preserve"> 1</w:t>
            </w:r>
            <w:r w:rsidRPr="00375B9D">
              <w:rPr>
                <w:noProof/>
                <w:lang w:eastAsia="en-AU"/>
              </w:rPr>
              <w:t>: Your business is a family company involved in home construction and renovation within the NT only. You have eight part-time and full-time employees including two directors – the husband and wife associated with the family company, two office workers and four tradespeople with a carpentry background, one of whom is known as your building supervisor.</w:t>
            </w:r>
          </w:p>
          <w:p w14:paraId="38447B17" w14:textId="77777777" w:rsidR="00375B9D" w:rsidRPr="00375B9D" w:rsidRDefault="00375B9D" w:rsidP="00375B9D">
            <w:pPr>
              <w:spacing w:after="200"/>
              <w:rPr>
                <w:noProof/>
                <w:lang w:eastAsia="en-AU"/>
              </w:rPr>
            </w:pPr>
            <w:r w:rsidRPr="00375B9D">
              <w:rPr>
                <w:noProof/>
                <w:lang w:eastAsia="en-AU"/>
              </w:rPr>
              <w:t xml:space="preserve">Depending on your workload, you engage various other tradespeople from time to time to help complete your home construction and renovation contracts. </w:t>
            </w:r>
          </w:p>
          <w:p w14:paraId="3632E82A" w14:textId="77777777" w:rsidR="00375B9D" w:rsidRPr="00375B9D" w:rsidRDefault="00375B9D" w:rsidP="00375B9D">
            <w:pPr>
              <w:spacing w:after="200"/>
              <w:rPr>
                <w:noProof/>
                <w:lang w:eastAsia="en-AU"/>
              </w:rPr>
            </w:pPr>
            <w:r w:rsidRPr="00375B9D">
              <w:rPr>
                <w:noProof/>
                <w:lang w:eastAsia="en-AU"/>
              </w:rPr>
              <w:t>Each of these contracts with tradespeople is a relevant contract.</w:t>
            </w:r>
          </w:p>
          <w:p w14:paraId="5A015FAF" w14:textId="77777777" w:rsidR="00375B9D" w:rsidRPr="00375B9D" w:rsidRDefault="00375B9D" w:rsidP="00375B9D">
            <w:pPr>
              <w:spacing w:after="200"/>
              <w:rPr>
                <w:noProof/>
                <w:lang w:eastAsia="en-AU"/>
              </w:rPr>
            </w:pPr>
            <w:r w:rsidRPr="00375B9D">
              <w:rPr>
                <w:noProof/>
                <w:lang w:eastAsia="en-AU"/>
              </w:rPr>
              <w:t>Whether or not payments to these tradespeople are subject to payroll tax (that is, ‘taxable wages’ under a ‘taxable relevant contract’) requires various tests to be applied. These tests are detailed later in this guide, but include factors such as how long they work for you during the financial year, how many days a month, what proportion of their contract value represents their own labour, and whether they work as an individual or engage their own employees or subcontractors.</w:t>
            </w:r>
          </w:p>
          <w:p w14:paraId="01C0A0E8" w14:textId="77777777" w:rsidR="00375B9D" w:rsidRPr="00375B9D" w:rsidRDefault="00375B9D" w:rsidP="00375B9D">
            <w:pPr>
              <w:spacing w:after="200"/>
              <w:rPr>
                <w:noProof/>
                <w:lang w:eastAsia="en-AU"/>
              </w:rPr>
            </w:pPr>
            <w:r w:rsidRPr="00375B9D">
              <w:rPr>
                <w:noProof/>
                <w:lang w:eastAsia="en-AU"/>
              </w:rPr>
              <w:t>You also obtain supplies from other businesses, such as timber and paint.</w:t>
            </w:r>
          </w:p>
          <w:p w14:paraId="55E9A013" w14:textId="77777777" w:rsidR="00375B9D" w:rsidRPr="00375B9D" w:rsidRDefault="00375B9D" w:rsidP="00375B9D">
            <w:pPr>
              <w:spacing w:after="200"/>
              <w:rPr>
                <w:noProof/>
                <w:lang w:eastAsia="en-AU"/>
              </w:rPr>
            </w:pPr>
            <w:r w:rsidRPr="00375B9D">
              <w:rPr>
                <w:noProof/>
                <w:lang w:eastAsia="en-AU"/>
              </w:rPr>
              <w:t>A contract to simply purchase goods or materials is not a relevant contract and no payroll tax will apply.</w:t>
            </w:r>
          </w:p>
          <w:p w14:paraId="7EAED0CB" w14:textId="77777777" w:rsidR="00375B9D" w:rsidRPr="00375B9D" w:rsidRDefault="00375B9D" w:rsidP="00E9641C">
            <w:pPr>
              <w:spacing w:after="200"/>
              <w:rPr>
                <w:noProof/>
                <w:lang w:eastAsia="en-AU"/>
              </w:rPr>
            </w:pPr>
            <w:r w:rsidRPr="00375B9D">
              <w:rPr>
                <w:noProof/>
                <w:lang w:eastAsia="en-AU"/>
              </w:rPr>
              <w:t>Your business also uses other services such as earthmovers, transport companies (for delivering materials to the worksite), and concrete pumping services. While these are relevant contracts, they would be likely to be excluded as the labour component is probably ‘incidental’, that is, less than 50% of the value of the contract.</w:t>
            </w:r>
          </w:p>
        </w:tc>
      </w:tr>
    </w:tbl>
    <w:p w14:paraId="20BC0145" w14:textId="77777777" w:rsidR="00375B9D" w:rsidRPr="00375B9D" w:rsidRDefault="00375B9D" w:rsidP="00A7303B">
      <w:pPr>
        <w:pStyle w:val="Heading2"/>
      </w:pPr>
      <w:bookmarkStart w:id="63" w:name="_Toc108789581"/>
      <w:r w:rsidRPr="00375B9D">
        <w:t xml:space="preserve">Calculating the </w:t>
      </w:r>
      <w:r w:rsidR="006514C6">
        <w:t>t</w:t>
      </w:r>
      <w:r w:rsidRPr="00375B9D">
        <w:t xml:space="preserve">axable </w:t>
      </w:r>
      <w:r w:rsidR="006514C6">
        <w:t>w</w:t>
      </w:r>
      <w:r w:rsidRPr="00375B9D">
        <w:t xml:space="preserve">age </w:t>
      </w:r>
      <w:r w:rsidR="006514C6">
        <w:t>v</w:t>
      </w:r>
      <w:r w:rsidRPr="00375B9D">
        <w:t xml:space="preserve">alue for a </w:t>
      </w:r>
      <w:r w:rsidR="00E9641C">
        <w:t>c</w:t>
      </w:r>
      <w:r w:rsidRPr="00375B9D">
        <w:t>ontractor</w:t>
      </w:r>
      <w:bookmarkEnd w:id="63"/>
    </w:p>
    <w:p w14:paraId="67898057" w14:textId="77777777" w:rsidR="00375B9D" w:rsidRPr="00375B9D" w:rsidRDefault="00375B9D" w:rsidP="00375B9D">
      <w:pPr>
        <w:rPr>
          <w:noProof/>
          <w:lang w:eastAsia="en-AU"/>
        </w:rPr>
      </w:pPr>
      <w:r w:rsidRPr="00375B9D">
        <w:rPr>
          <w:noProof/>
          <w:lang w:eastAsia="en-AU"/>
        </w:rPr>
        <w:t>Where payments to a contractor are found to represent taxable wages under a relevant contract, the value of the taxable wages (for payroll tax purposes) consists of:</w:t>
      </w:r>
    </w:p>
    <w:p w14:paraId="210D865D" w14:textId="77777777" w:rsidR="00375B9D" w:rsidRPr="00375B9D" w:rsidRDefault="00375B9D" w:rsidP="00AE756D">
      <w:pPr>
        <w:pStyle w:val="DTFBulletlist"/>
      </w:pPr>
      <w:r w:rsidRPr="00375B9D">
        <w:t>the value of tax invoices paid by the principal for work performed; less</w:t>
      </w:r>
    </w:p>
    <w:p w14:paraId="1EE861D3" w14:textId="77777777" w:rsidR="00375B9D" w:rsidRPr="00375B9D" w:rsidRDefault="00375B9D" w:rsidP="00AE756D">
      <w:pPr>
        <w:pStyle w:val="DTFBulletlist"/>
      </w:pPr>
      <w:r w:rsidRPr="00375B9D">
        <w:t>the value of GST included in the tax invoices; less</w:t>
      </w:r>
    </w:p>
    <w:p w14:paraId="53FD8C6E" w14:textId="77777777" w:rsidR="00375B9D" w:rsidRPr="00375B9D" w:rsidRDefault="00375B9D" w:rsidP="00AE756D">
      <w:pPr>
        <w:pStyle w:val="DTFBulletlist"/>
      </w:pPr>
      <w:r w:rsidRPr="00375B9D">
        <w:t>the calculated contractor deduction, which generally varies between 5</w:t>
      </w:r>
      <w:r w:rsidR="00A73CE7">
        <w:t>%</w:t>
      </w:r>
      <w:r w:rsidRPr="00375B9D">
        <w:t xml:space="preserve"> and 37</w:t>
      </w:r>
      <w:r w:rsidR="00A73CE7">
        <w:t>%</w:t>
      </w:r>
      <w:r w:rsidRPr="00375B9D">
        <w:t xml:space="preserve"> depending on the trade (see payroll tax ruling </w:t>
      </w:r>
      <w:hyperlink r:id="rId37" w:history="1">
        <w:r w:rsidRPr="00375B9D">
          <w:rPr>
            <w:rStyle w:val="Hyperlink"/>
          </w:rPr>
          <w:t xml:space="preserve">PTA018 Contractor </w:t>
        </w:r>
        <w:r w:rsidR="00451124">
          <w:rPr>
            <w:rStyle w:val="Hyperlink"/>
          </w:rPr>
          <w:t>d</w:t>
        </w:r>
        <w:r w:rsidRPr="00375B9D">
          <w:rPr>
            <w:rStyle w:val="Hyperlink"/>
          </w:rPr>
          <w:t>eductions</w:t>
        </w:r>
      </w:hyperlink>
      <w:r w:rsidRPr="00375B9D">
        <w:t>); plus</w:t>
      </w:r>
    </w:p>
    <w:p w14:paraId="41013B51" w14:textId="77777777" w:rsidR="00375B9D" w:rsidRPr="00375B9D" w:rsidRDefault="00375B9D" w:rsidP="00AE756D">
      <w:pPr>
        <w:pStyle w:val="DTFBulletlist"/>
      </w:pPr>
      <w:r w:rsidRPr="00375B9D">
        <w:t>where the contractor is a sole trader, the value of superannuation entitlements (whether paid or not) to which the contractor may be entitled in law (you may wish to refer to the ATO’s Contractor Tool); plus</w:t>
      </w:r>
    </w:p>
    <w:p w14:paraId="674D66B8" w14:textId="77777777" w:rsidR="00375B9D" w:rsidRPr="00375B9D" w:rsidRDefault="00375B9D" w:rsidP="00AE756D">
      <w:pPr>
        <w:pStyle w:val="DTFBulletlist"/>
      </w:pPr>
      <w:r w:rsidRPr="00375B9D">
        <w:t>the taxable value of any other taxable allowances, benefits or fringe benefits that would be taxable if the contractor had been engaged as a PAYG employee.</w:t>
      </w:r>
    </w:p>
    <w:tbl>
      <w:tblPr>
        <w:tblStyle w:val="DTFpayrolltaxguidestyle1"/>
        <w:tblW w:w="10348" w:type="dxa"/>
        <w:tblLook w:val="04A0" w:firstRow="1" w:lastRow="0" w:firstColumn="1" w:lastColumn="0" w:noHBand="0" w:noVBand="1"/>
        <w:tblDescription w:val="Note: A labourer engaged as a contractor is not entitled to any ‘contractor deduction’ – i.e. all payments apart from GST will be taxable wages for payroll tax purposes."/>
      </w:tblPr>
      <w:tblGrid>
        <w:gridCol w:w="10348"/>
      </w:tblGrid>
      <w:tr w:rsidR="00375B9D" w:rsidRPr="00375B9D" w14:paraId="54EE265B" w14:textId="77777777" w:rsidTr="00937629">
        <w:trPr>
          <w:trHeight w:val="490"/>
          <w:tblHeader/>
        </w:trPr>
        <w:tc>
          <w:tcPr>
            <w:tcW w:w="10348" w:type="dxa"/>
          </w:tcPr>
          <w:p w14:paraId="1F6A87F3" w14:textId="77777777" w:rsidR="00375B9D" w:rsidRPr="00375B9D" w:rsidRDefault="00375B9D" w:rsidP="00375B9D">
            <w:pPr>
              <w:spacing w:after="200"/>
              <w:rPr>
                <w:noProof/>
                <w:lang w:eastAsia="en-AU"/>
              </w:rPr>
            </w:pPr>
            <w:r w:rsidRPr="00375B9D">
              <w:rPr>
                <w:b/>
                <w:noProof/>
                <w:lang w:eastAsia="en-AU"/>
              </w:rPr>
              <w:t>Note</w:t>
            </w:r>
            <w:r w:rsidRPr="00375B9D">
              <w:rPr>
                <w:noProof/>
                <w:lang w:eastAsia="en-AU"/>
              </w:rPr>
              <w:t>: A labourer engaged as a contractor is not entitled to any ‘contractor deduction’ – all payments apart from GST will be taxable wages for payroll tax purposes.</w:t>
            </w:r>
          </w:p>
        </w:tc>
      </w:tr>
    </w:tbl>
    <w:p w14:paraId="4F4249EC" w14:textId="77777777" w:rsidR="00451124" w:rsidRDefault="00451124" w:rsidP="00C60CBD">
      <w:pPr>
        <w:pStyle w:val="Heading3"/>
        <w:rPr>
          <w:noProof/>
          <w:lang w:eastAsia="en-AU"/>
        </w:rPr>
      </w:pPr>
      <w:bookmarkStart w:id="64" w:name="ExcludedContracts"/>
      <w:bookmarkStart w:id="65" w:name="_Ref108096852"/>
      <w:bookmarkEnd w:id="64"/>
    </w:p>
    <w:p w14:paraId="3D1ACCE9" w14:textId="77777777" w:rsidR="00451124" w:rsidRDefault="00451124" w:rsidP="00451124">
      <w:pPr>
        <w:rPr>
          <w:rFonts w:asciiTheme="majorHAnsi" w:hAnsiTheme="majorHAnsi" w:cs="Arial"/>
          <w:noProof/>
          <w:color w:val="1F1F5F" w:themeColor="text1"/>
          <w:sz w:val="28"/>
          <w:szCs w:val="28"/>
          <w:lang w:eastAsia="en-AU"/>
        </w:rPr>
      </w:pPr>
      <w:r>
        <w:rPr>
          <w:noProof/>
          <w:lang w:eastAsia="en-AU"/>
        </w:rPr>
        <w:br w:type="page"/>
      </w:r>
    </w:p>
    <w:p w14:paraId="4833C8E2" w14:textId="77777777" w:rsidR="00375B9D" w:rsidRPr="00375B9D" w:rsidRDefault="00375B9D" w:rsidP="00A7303B">
      <w:pPr>
        <w:pStyle w:val="Heading2"/>
      </w:pPr>
      <w:bookmarkStart w:id="66" w:name="_Toc108789582"/>
      <w:r w:rsidRPr="00375B9D">
        <w:lastRenderedPageBreak/>
        <w:t xml:space="preserve">Which </w:t>
      </w:r>
      <w:r w:rsidR="006514C6">
        <w:t>p</w:t>
      </w:r>
      <w:r w:rsidRPr="00375B9D">
        <w:t xml:space="preserve">ayments under </w:t>
      </w:r>
      <w:r w:rsidR="006514C6">
        <w:t>r</w:t>
      </w:r>
      <w:r w:rsidRPr="00375B9D">
        <w:t xml:space="preserve">elevant </w:t>
      </w:r>
      <w:r w:rsidR="006514C6">
        <w:t>c</w:t>
      </w:r>
      <w:r w:rsidRPr="00375B9D">
        <w:t xml:space="preserve">ontracts are </w:t>
      </w:r>
      <w:r w:rsidR="006514C6">
        <w:t>t</w:t>
      </w:r>
      <w:r w:rsidRPr="00375B9D">
        <w:t xml:space="preserve">axable, and which are </w:t>
      </w:r>
      <w:r w:rsidR="006514C6">
        <w:t>e</w:t>
      </w:r>
      <w:r w:rsidRPr="00375B9D">
        <w:t>xcluded?</w:t>
      </w:r>
      <w:bookmarkEnd w:id="65"/>
      <w:bookmarkEnd w:id="66"/>
    </w:p>
    <w:p w14:paraId="05AE4F76" w14:textId="77777777" w:rsidR="00375B9D" w:rsidRPr="00375B9D" w:rsidRDefault="00375B9D" w:rsidP="00375B9D">
      <w:pPr>
        <w:rPr>
          <w:noProof/>
          <w:lang w:eastAsia="en-AU"/>
        </w:rPr>
      </w:pPr>
      <w:r w:rsidRPr="00375B9D">
        <w:rPr>
          <w:noProof/>
          <w:lang w:eastAsia="en-AU"/>
        </w:rPr>
        <w:t>Initially, almost all payments made to contractors (except for contracts involving the simple purchase of materials or equipment, such as paint or timber) are listed as relevant contracts.</w:t>
      </w:r>
    </w:p>
    <w:p w14:paraId="0B2B0EAE" w14:textId="77777777" w:rsidR="00375B9D" w:rsidRPr="00375B9D" w:rsidRDefault="00375B9D" w:rsidP="00375B9D">
      <w:pPr>
        <w:rPr>
          <w:noProof/>
          <w:lang w:eastAsia="en-AU"/>
        </w:rPr>
      </w:pPr>
      <w:r w:rsidRPr="00375B9D">
        <w:rPr>
          <w:noProof/>
          <w:lang w:eastAsia="en-AU"/>
        </w:rPr>
        <w:t>To determine which payments are not taxable, a series of ‘exclusion tests’ is carried out.</w:t>
      </w:r>
    </w:p>
    <w:p w14:paraId="0DDECE27" w14:textId="77777777" w:rsidR="00375B9D" w:rsidRPr="00375B9D" w:rsidRDefault="00375B9D" w:rsidP="00375B9D">
      <w:pPr>
        <w:rPr>
          <w:noProof/>
          <w:lang w:eastAsia="en-AU"/>
        </w:rPr>
      </w:pPr>
      <w:r w:rsidRPr="00375B9D">
        <w:rPr>
          <w:noProof/>
          <w:lang w:eastAsia="en-AU"/>
        </w:rPr>
        <w:t>As a general principle, payments under relevant contracts will be excluded from taxable wages where any one or more of the following conditions apply:</w:t>
      </w:r>
    </w:p>
    <w:p w14:paraId="379776B3" w14:textId="77777777" w:rsidR="00375B9D" w:rsidRPr="00375B9D" w:rsidRDefault="00375B9D" w:rsidP="00AE756D">
      <w:pPr>
        <w:pStyle w:val="DTFBulletlist"/>
      </w:pPr>
      <w:r w:rsidRPr="00375B9D">
        <w:t xml:space="preserve">the contractor has engaged and made payments to others (employees or sub-contractors) to assist in completing the contract </w:t>
      </w:r>
    </w:p>
    <w:p w14:paraId="48B18446" w14:textId="77777777" w:rsidR="00375B9D" w:rsidRPr="00375B9D" w:rsidRDefault="00375B9D" w:rsidP="00AE756D">
      <w:pPr>
        <w:pStyle w:val="DTFBulletlist"/>
      </w:pPr>
      <w:r w:rsidRPr="00375B9D">
        <w:t xml:space="preserve">the services were provided by the contractor for less than 90 days during the financial year </w:t>
      </w:r>
    </w:p>
    <w:p w14:paraId="5D2C43B3" w14:textId="77777777" w:rsidR="00375B9D" w:rsidRPr="00375B9D" w:rsidRDefault="00375B9D" w:rsidP="00AE756D">
      <w:pPr>
        <w:pStyle w:val="DTFBulletlist"/>
      </w:pPr>
      <w:r w:rsidRPr="00375B9D">
        <w:t xml:space="preserve">the services were provided by the contractor for more than 90 days in the year, but the contractor averaged 10 days or less of services in each of the months during which work was performed for your business </w:t>
      </w:r>
    </w:p>
    <w:p w14:paraId="062E14CE" w14:textId="77777777" w:rsidR="00375B9D" w:rsidRPr="00375B9D" w:rsidRDefault="00375B9D" w:rsidP="00AE756D">
      <w:pPr>
        <w:pStyle w:val="DTFBulletlist"/>
      </w:pPr>
      <w:r w:rsidRPr="00375B9D">
        <w:t xml:space="preserve">the services provided to the principal were of a type required only on a one-off basis, or on an ongoing or occasional basis but for less than 180 days of the year </w:t>
      </w:r>
    </w:p>
    <w:p w14:paraId="30E0D018" w14:textId="77777777" w:rsidR="00375B9D" w:rsidRPr="00375B9D" w:rsidRDefault="00375B9D" w:rsidP="00AE756D">
      <w:pPr>
        <w:pStyle w:val="DTFBulletlist"/>
      </w:pPr>
      <w:r w:rsidRPr="00375B9D">
        <w:t>the services provided to the principal were of a type where the labour component of the contract was less than half its total value</w:t>
      </w:r>
    </w:p>
    <w:p w14:paraId="3B9BF778" w14:textId="77777777" w:rsidR="00375B9D" w:rsidRPr="00375B9D" w:rsidRDefault="00A73CE7" w:rsidP="00AE756D">
      <w:pPr>
        <w:pStyle w:val="DTFBulletlist"/>
      </w:pPr>
      <w:r>
        <w:t xml:space="preserve">or </w:t>
      </w:r>
      <w:r w:rsidR="00375B9D" w:rsidRPr="00375B9D">
        <w:t>the contractor is an owner-driver who provides delivery services only (does not apply if the contractor delivers and installs).</w:t>
      </w:r>
    </w:p>
    <w:p w14:paraId="69718CC2" w14:textId="77777777" w:rsidR="00375B9D" w:rsidRPr="00375B9D" w:rsidRDefault="00375B9D" w:rsidP="00375B9D">
      <w:pPr>
        <w:rPr>
          <w:noProof/>
          <w:lang w:eastAsia="en-AU"/>
        </w:rPr>
      </w:pPr>
      <w:r w:rsidRPr="00375B9D">
        <w:rPr>
          <w:noProof/>
          <w:lang w:eastAsia="en-AU"/>
        </w:rPr>
        <w:t>The pre-GST labour component of any other contract, less a percentage ‘contractor deduction allowance’ to compensate for equipment and materials, will generally be subject to payroll tax.</w:t>
      </w:r>
    </w:p>
    <w:p w14:paraId="4431EA55" w14:textId="77777777" w:rsidR="00375B9D" w:rsidRPr="00375B9D" w:rsidRDefault="00375B9D" w:rsidP="00375B9D">
      <w:pPr>
        <w:rPr>
          <w:noProof/>
          <w:lang w:eastAsia="en-AU"/>
        </w:rPr>
      </w:pPr>
      <w:r w:rsidRPr="00375B9D">
        <w:rPr>
          <w:noProof/>
          <w:lang w:eastAsia="en-AU"/>
        </w:rPr>
        <w:t xml:space="preserve">The contractor deduction allowance percentage varies according to the nature of the trade or service provided. Refer to </w:t>
      </w:r>
      <w:hyperlink r:id="rId38" w:history="1">
        <w:r w:rsidRPr="00375B9D">
          <w:rPr>
            <w:rStyle w:val="Hyperlink"/>
            <w:noProof/>
            <w:lang w:eastAsia="en-AU"/>
          </w:rPr>
          <w:t xml:space="preserve">PTA018 Contractor </w:t>
        </w:r>
        <w:r w:rsidR="00451124">
          <w:rPr>
            <w:rStyle w:val="Hyperlink"/>
            <w:noProof/>
            <w:lang w:eastAsia="en-AU"/>
          </w:rPr>
          <w:t>d</w:t>
        </w:r>
        <w:r w:rsidRPr="00375B9D">
          <w:rPr>
            <w:rStyle w:val="Hyperlink"/>
            <w:noProof/>
            <w:lang w:eastAsia="en-AU"/>
          </w:rPr>
          <w:t>eductions</w:t>
        </w:r>
      </w:hyperlink>
      <w:r w:rsidRPr="00375B9D">
        <w:rPr>
          <w:noProof/>
          <w:lang w:eastAsia="en-AU"/>
        </w:rPr>
        <w:t xml:space="preserve"> for details.</w:t>
      </w:r>
    </w:p>
    <w:p w14:paraId="49F7A262" w14:textId="77777777" w:rsidR="00375B9D" w:rsidRPr="00375B9D" w:rsidRDefault="00000000" w:rsidP="00375B9D">
      <w:pPr>
        <w:rPr>
          <w:noProof/>
          <w:lang w:eastAsia="en-AU"/>
        </w:rPr>
      </w:pPr>
      <w:hyperlink r:id="rId39" w:history="1">
        <w:r w:rsidR="00375B9D" w:rsidRPr="00375B9D">
          <w:rPr>
            <w:rStyle w:val="Hyperlink"/>
            <w:noProof/>
            <w:lang w:eastAsia="en-AU"/>
          </w:rPr>
          <w:t>Appendix 4</w:t>
        </w:r>
      </w:hyperlink>
      <w:r w:rsidR="00375B9D" w:rsidRPr="00375B9D">
        <w:rPr>
          <w:noProof/>
          <w:lang w:eastAsia="en-AU"/>
        </w:rPr>
        <w:t xml:space="preserve"> is a schedule that taxpayers may find of assistance in understanding how taxable wages can arise from contractor payments in various circumstances.</w:t>
      </w:r>
    </w:p>
    <w:p w14:paraId="3C1D6BD5" w14:textId="77777777" w:rsidR="00375B9D" w:rsidRPr="00375B9D" w:rsidRDefault="00375B9D" w:rsidP="00B16992">
      <w:pPr>
        <w:pStyle w:val="Heading3"/>
        <w:rPr>
          <w:noProof/>
          <w:lang w:eastAsia="en-AU"/>
        </w:rPr>
      </w:pPr>
      <w:r w:rsidRPr="00375B9D">
        <w:rPr>
          <w:noProof/>
          <w:lang w:eastAsia="en-AU"/>
        </w:rPr>
        <w:t xml:space="preserve">Contracts </w:t>
      </w:r>
      <w:r w:rsidR="009125F3">
        <w:rPr>
          <w:noProof/>
          <w:lang w:eastAsia="en-AU"/>
        </w:rPr>
        <w:t>p</w:t>
      </w:r>
      <w:r w:rsidRPr="00375B9D">
        <w:rPr>
          <w:noProof/>
          <w:lang w:eastAsia="en-AU"/>
        </w:rPr>
        <w:t xml:space="preserve">artly for </w:t>
      </w:r>
      <w:r w:rsidR="009125F3">
        <w:rPr>
          <w:noProof/>
          <w:lang w:eastAsia="en-AU"/>
        </w:rPr>
        <w:t>e</w:t>
      </w:r>
      <w:r w:rsidRPr="00375B9D">
        <w:rPr>
          <w:noProof/>
          <w:lang w:eastAsia="en-AU"/>
        </w:rPr>
        <w:t xml:space="preserve">xcluded </w:t>
      </w:r>
      <w:r w:rsidR="009125F3">
        <w:rPr>
          <w:noProof/>
          <w:lang w:eastAsia="en-AU"/>
        </w:rPr>
        <w:t>s</w:t>
      </w:r>
      <w:r w:rsidRPr="00375B9D">
        <w:rPr>
          <w:noProof/>
          <w:lang w:eastAsia="en-AU"/>
        </w:rPr>
        <w:t xml:space="preserve">ervices and </w:t>
      </w:r>
      <w:r w:rsidR="009125F3">
        <w:rPr>
          <w:noProof/>
          <w:lang w:eastAsia="en-AU"/>
        </w:rPr>
        <w:t>p</w:t>
      </w:r>
      <w:r w:rsidRPr="00375B9D">
        <w:rPr>
          <w:noProof/>
          <w:lang w:eastAsia="en-AU"/>
        </w:rPr>
        <w:t xml:space="preserve">artly for </w:t>
      </w:r>
      <w:r w:rsidR="009125F3">
        <w:rPr>
          <w:noProof/>
          <w:lang w:eastAsia="en-AU"/>
        </w:rPr>
        <w:t>n</w:t>
      </w:r>
      <w:r w:rsidRPr="00375B9D">
        <w:rPr>
          <w:noProof/>
          <w:lang w:eastAsia="en-AU"/>
        </w:rPr>
        <w:t>on-</w:t>
      </w:r>
      <w:r w:rsidR="009125F3">
        <w:rPr>
          <w:noProof/>
          <w:lang w:eastAsia="en-AU"/>
        </w:rPr>
        <w:t>e</w:t>
      </w:r>
      <w:r w:rsidRPr="00375B9D">
        <w:rPr>
          <w:noProof/>
          <w:lang w:eastAsia="en-AU"/>
        </w:rPr>
        <w:t xml:space="preserve">xcluded </w:t>
      </w:r>
      <w:r w:rsidR="009125F3">
        <w:rPr>
          <w:noProof/>
          <w:lang w:eastAsia="en-AU"/>
        </w:rPr>
        <w:t>s</w:t>
      </w:r>
      <w:r w:rsidRPr="00375B9D">
        <w:rPr>
          <w:noProof/>
          <w:lang w:eastAsia="en-AU"/>
        </w:rPr>
        <w:t>ervices</w:t>
      </w:r>
    </w:p>
    <w:p w14:paraId="4FBEA93D" w14:textId="77777777" w:rsidR="00375B9D" w:rsidRDefault="00375B9D" w:rsidP="00375B9D">
      <w:pPr>
        <w:rPr>
          <w:noProof/>
          <w:lang w:eastAsia="en-AU"/>
        </w:rPr>
      </w:pPr>
      <w:r w:rsidRPr="00375B9D">
        <w:rPr>
          <w:noProof/>
          <w:lang w:eastAsia="en-AU"/>
        </w:rPr>
        <w:t>The exclusions under the relevant contract provisions are not available on an apportionment basis</w:t>
      </w:r>
      <w:r w:rsidR="00E9641C">
        <w:rPr>
          <w:noProof/>
          <w:lang w:eastAsia="en-AU"/>
        </w:rPr>
        <w:t>,</w:t>
      </w:r>
      <w:r w:rsidRPr="00375B9D">
        <w:rPr>
          <w:noProof/>
          <w:lang w:eastAsia="en-AU"/>
        </w:rPr>
        <w:t xml:space="preserve"> that is, if a contract is partly for excluded services and partly for non-excluded services, the exclusions do not apply and payments under the contract will be taxable wages (unless some other form of exclusion applies).</w:t>
      </w:r>
    </w:p>
    <w:p w14:paraId="606F6159" w14:textId="77777777" w:rsidR="00BB00C5" w:rsidRDefault="00BB00C5">
      <w:pPr>
        <w:rPr>
          <w:noProof/>
          <w:lang w:eastAsia="en-AU"/>
        </w:rPr>
      </w:pPr>
      <w:r>
        <w:rPr>
          <w:noProof/>
          <w:lang w:eastAsia="en-AU"/>
        </w:rPr>
        <w:br w:type="page"/>
      </w:r>
    </w:p>
    <w:p w14:paraId="2BF68B85" w14:textId="77777777" w:rsidR="00375B9D" w:rsidRPr="00375B9D" w:rsidRDefault="008F4FBE" w:rsidP="00707B63">
      <w:pPr>
        <w:pStyle w:val="Heading3"/>
        <w:rPr>
          <w:noProof/>
          <w:lang w:eastAsia="en-AU"/>
        </w:rPr>
      </w:pPr>
      <w:r>
        <w:rPr>
          <w:noProof/>
          <w:lang w:eastAsia="en-AU"/>
        </w:rPr>
        <w:lastRenderedPageBreak/>
        <w:t>C</w:t>
      </w:r>
      <w:r w:rsidR="00375B9D" w:rsidRPr="00375B9D">
        <w:rPr>
          <w:noProof/>
          <w:lang w:eastAsia="en-AU"/>
        </w:rPr>
        <w:t xml:space="preserve">ontractor </w:t>
      </w:r>
      <w:r w:rsidR="009202DE">
        <w:rPr>
          <w:noProof/>
          <w:lang w:eastAsia="en-AU"/>
        </w:rPr>
        <w:t>p</w:t>
      </w:r>
      <w:r w:rsidR="00375B9D" w:rsidRPr="00375B9D">
        <w:rPr>
          <w:noProof/>
          <w:lang w:eastAsia="en-AU"/>
        </w:rPr>
        <w:t xml:space="preserve">ayments and </w:t>
      </w:r>
      <w:r w:rsidR="009202DE">
        <w:rPr>
          <w:noProof/>
          <w:lang w:eastAsia="en-AU"/>
        </w:rPr>
        <w:t>p</w:t>
      </w:r>
      <w:r w:rsidR="00375B9D" w:rsidRPr="00375B9D">
        <w:rPr>
          <w:noProof/>
          <w:lang w:eastAsia="en-AU"/>
        </w:rPr>
        <w:t xml:space="preserve">ayroll </w:t>
      </w:r>
      <w:r w:rsidR="009202DE">
        <w:rPr>
          <w:noProof/>
          <w:lang w:eastAsia="en-AU"/>
        </w:rPr>
        <w:t>t</w:t>
      </w:r>
      <w:r w:rsidR="00BD7D7B">
        <w:rPr>
          <w:noProof/>
          <w:lang w:eastAsia="en-AU"/>
        </w:rPr>
        <w:t>ax</w:t>
      </w:r>
    </w:p>
    <w:tbl>
      <w:tblPr>
        <w:tblStyle w:val="DTFpayrolltaxguidestyle1"/>
        <w:tblW w:w="10348" w:type="dxa"/>
        <w:tblLook w:val="04A0" w:firstRow="1" w:lastRow="0" w:firstColumn="1" w:lastColumn="0" w:noHBand="0" w:noVBand="1"/>
        <w:tblDescription w:val="Example 1: XYZ Constructions Pty Ltd is a medium sized building company with 20 permanent PAYG employees, with wage and superannuation costs of $1.4 million per year (just under the $1.5 million tax-free threshold after which payroll tax is payable at 5.5 per cent of wages). XYZ also engages a range of subcontractors who are carpenters, bricklayers, painters, plasterers and concrete finishers. These subcontractors are a mix of sole traders and individuals working through family partnerships. The subcontractors have their own work vehicles and tools, but generally XYZ supplies materials and major equipment. Total payments to these workers are around $1.2 million per year, excluding GST. XYZ has never been registered as an employer for payroll tax purposes."/>
      </w:tblPr>
      <w:tblGrid>
        <w:gridCol w:w="10348"/>
      </w:tblGrid>
      <w:tr w:rsidR="00375B9D" w:rsidRPr="00375B9D" w14:paraId="725B2FD8" w14:textId="77777777" w:rsidTr="00937629">
        <w:trPr>
          <w:trHeight w:val="5352"/>
          <w:tblHeader/>
        </w:trPr>
        <w:tc>
          <w:tcPr>
            <w:tcW w:w="10348" w:type="dxa"/>
          </w:tcPr>
          <w:p w14:paraId="2C532E48" w14:textId="77777777" w:rsidR="00375B9D" w:rsidRPr="00375B9D" w:rsidRDefault="00375B9D" w:rsidP="00375B9D">
            <w:pPr>
              <w:spacing w:after="200"/>
              <w:rPr>
                <w:noProof/>
                <w:lang w:eastAsia="en-AU"/>
              </w:rPr>
            </w:pPr>
            <w:r w:rsidRPr="00375B9D">
              <w:rPr>
                <w:b/>
                <w:noProof/>
                <w:lang w:eastAsia="en-AU"/>
              </w:rPr>
              <w:t xml:space="preserve">Example </w:t>
            </w:r>
            <w:r w:rsidR="008F4FBE">
              <w:rPr>
                <w:b/>
                <w:noProof/>
                <w:lang w:eastAsia="en-AU"/>
              </w:rPr>
              <w:t>2</w:t>
            </w:r>
            <w:r w:rsidRPr="00375B9D">
              <w:rPr>
                <w:noProof/>
                <w:lang w:eastAsia="en-AU"/>
              </w:rPr>
              <w:t>: XYZ Constructions Pty Ltd is a medium-sized building company with 20 permanent PAYG employees, with wage and superannuation costs of $1.4 million per year (just under the $1.5 million tax</w:t>
            </w:r>
            <w:r w:rsidR="00E9641C">
              <w:rPr>
                <w:noProof/>
                <w:lang w:eastAsia="en-AU"/>
              </w:rPr>
              <w:noBreakHyphen/>
            </w:r>
            <w:r w:rsidRPr="00375B9D">
              <w:rPr>
                <w:noProof/>
                <w:lang w:eastAsia="en-AU"/>
              </w:rPr>
              <w:t>free threshold, after which payroll tax is payable at 5.5% of wages). XYZ also engages a range of subcontractors who are carpenters, bricklayers, painters, plasterers and concrete finishers. These subcontractors are a mix of sole traders and individuals working through family partnerships. The subcontractors have their own work vehicles and tools, but generally XYZ supplies materials and major equipment. Total payments to these workers are around $1.2 million per year, excluding GST. XYZ has never been registered as an employer for payroll tax purposes.</w:t>
            </w:r>
          </w:p>
          <w:p w14:paraId="0E234625" w14:textId="77777777" w:rsidR="00375B9D" w:rsidRPr="00375B9D" w:rsidRDefault="00375B9D" w:rsidP="00375B9D">
            <w:pPr>
              <w:spacing w:after="200"/>
              <w:rPr>
                <w:noProof/>
                <w:lang w:eastAsia="en-AU"/>
              </w:rPr>
            </w:pPr>
            <w:r w:rsidRPr="00375B9D">
              <w:rPr>
                <w:noProof/>
                <w:lang w:eastAsia="en-AU"/>
              </w:rPr>
              <w:t>TRO became aware of XYZ making large subcontractor payments through its data sharing arrangements with the ATO. TRO conducted a payroll tax investigation of XYZ, going back three years, and found that a significant proportion (around half) of payments to its subcontractors were in fact taxable wages for payroll tax purposes.</w:t>
            </w:r>
          </w:p>
          <w:p w14:paraId="7A469F94" w14:textId="77777777" w:rsidR="00375B9D" w:rsidRPr="00375B9D" w:rsidRDefault="00375B9D" w:rsidP="00375B9D">
            <w:pPr>
              <w:spacing w:after="200"/>
              <w:rPr>
                <w:noProof/>
                <w:lang w:eastAsia="en-AU"/>
              </w:rPr>
            </w:pPr>
            <w:r w:rsidRPr="00375B9D">
              <w:rPr>
                <w:noProof/>
                <w:lang w:eastAsia="en-AU"/>
              </w:rPr>
              <w:t>XYZ was issued with a payroll tax assessment going back three years, which came to $140</w:t>
            </w:r>
            <w:r w:rsidR="00C65823">
              <w:rPr>
                <w:noProof/>
                <w:lang w:eastAsia="en-AU"/>
              </w:rPr>
              <w:t>,000</w:t>
            </w:r>
            <w:r w:rsidRPr="00375B9D">
              <w:rPr>
                <w:noProof/>
                <w:lang w:eastAsia="en-AU"/>
              </w:rPr>
              <w:t>. XYZ was also required to register as an employer and start making monthly returns and payments of payroll tax, which included taxable wages arising from both PAYG employees and several of XYZ’s contractors.</w:t>
            </w:r>
          </w:p>
          <w:p w14:paraId="0264DC11" w14:textId="77777777" w:rsidR="00375B9D" w:rsidRPr="00375B9D" w:rsidRDefault="00375B9D" w:rsidP="00E9641C">
            <w:pPr>
              <w:spacing w:after="200"/>
              <w:rPr>
                <w:noProof/>
                <w:lang w:eastAsia="en-AU"/>
              </w:rPr>
            </w:pPr>
            <w:r w:rsidRPr="00375B9D">
              <w:rPr>
                <w:noProof/>
                <w:lang w:eastAsia="en-AU"/>
              </w:rPr>
              <w:t xml:space="preserve">Had XYZ undertaken its own review of those contractors and made application for registration to TRO before the investigation commenced, the </w:t>
            </w:r>
            <w:r w:rsidR="00E9641C">
              <w:rPr>
                <w:noProof/>
                <w:lang w:eastAsia="en-AU"/>
              </w:rPr>
              <w:t>amount</w:t>
            </w:r>
            <w:r w:rsidRPr="00375B9D">
              <w:rPr>
                <w:noProof/>
                <w:lang w:eastAsia="en-AU"/>
              </w:rPr>
              <w:t xml:space="preserve"> of the assessment would have been significantly reduced or eliminated.</w:t>
            </w:r>
          </w:p>
        </w:tc>
      </w:tr>
    </w:tbl>
    <w:p w14:paraId="2F47701A" w14:textId="77777777" w:rsidR="00375B9D" w:rsidRPr="00375B9D" w:rsidRDefault="00375B9D" w:rsidP="00375B9D">
      <w:pPr>
        <w:rPr>
          <w:noProof/>
          <w:lang w:eastAsia="en-AU"/>
        </w:rPr>
      </w:pPr>
    </w:p>
    <w:p w14:paraId="62A45EF3" w14:textId="77777777" w:rsidR="00375B9D" w:rsidRPr="00375B9D" w:rsidRDefault="00375B9D" w:rsidP="00375B9D">
      <w:pPr>
        <w:rPr>
          <w:noProof/>
          <w:lang w:eastAsia="en-AU"/>
        </w:rPr>
      </w:pPr>
      <w:r w:rsidRPr="00375B9D">
        <w:rPr>
          <w:noProof/>
          <w:lang w:eastAsia="en-AU"/>
        </w:rPr>
        <w:br w:type="page"/>
      </w:r>
    </w:p>
    <w:tbl>
      <w:tblPr>
        <w:tblStyle w:val="DTFpayrolltaxguidestyle1"/>
        <w:tblW w:w="10348" w:type="dxa"/>
        <w:tblLook w:val="04A0" w:firstRow="1" w:lastRow="0" w:firstColumn="1" w:lastColumn="0" w:noHBand="0" w:noVBand="1"/>
        <w:tblDescription w:val="Example 2: Your business provides maintenance services to the mining industry and operates in the Northern Territory and South Australia. You are already registered for payroll tax in South Australia, but not in the Northern Territory where you have a small team of employees. You pay $2 000 000 per year in wages and superannuation to PAYG employees in South Australia, and $300 000 in the NT. There are no contractors engaged in South Australia."/>
      </w:tblPr>
      <w:tblGrid>
        <w:gridCol w:w="10348"/>
      </w:tblGrid>
      <w:tr w:rsidR="00375B9D" w:rsidRPr="00375B9D" w14:paraId="35340399" w14:textId="77777777" w:rsidTr="00937629">
        <w:trPr>
          <w:trHeight w:val="11143"/>
          <w:tblHeader/>
        </w:trPr>
        <w:tc>
          <w:tcPr>
            <w:tcW w:w="10348" w:type="dxa"/>
          </w:tcPr>
          <w:p w14:paraId="56DB7162" w14:textId="77777777" w:rsidR="00375B9D" w:rsidRPr="00375B9D" w:rsidRDefault="00375B9D" w:rsidP="00F8474D">
            <w:pPr>
              <w:spacing w:after="200"/>
              <w:rPr>
                <w:noProof/>
                <w:lang w:eastAsia="en-AU"/>
              </w:rPr>
            </w:pPr>
            <w:r w:rsidRPr="00375B9D">
              <w:rPr>
                <w:b/>
                <w:noProof/>
                <w:lang w:eastAsia="en-AU"/>
              </w:rPr>
              <w:lastRenderedPageBreak/>
              <w:t xml:space="preserve">Example </w:t>
            </w:r>
            <w:r w:rsidR="00FA672F">
              <w:rPr>
                <w:b/>
                <w:noProof/>
                <w:lang w:eastAsia="en-AU"/>
              </w:rPr>
              <w:t>3</w:t>
            </w:r>
            <w:r w:rsidRPr="00375B9D">
              <w:rPr>
                <w:noProof/>
                <w:lang w:eastAsia="en-AU"/>
              </w:rPr>
              <w:t>: Your business provides maintenance services to the mining industry and operates in the NT and SA. You are already registered for payroll tax in SA, but not in the NT where you have a small team of employees. You pay $2</w:t>
            </w:r>
            <w:r w:rsidR="00C65823">
              <w:rPr>
                <w:noProof/>
                <w:lang w:eastAsia="en-AU"/>
              </w:rPr>
              <w:t>,000,000</w:t>
            </w:r>
            <w:r w:rsidRPr="00375B9D">
              <w:rPr>
                <w:noProof/>
                <w:lang w:eastAsia="en-AU"/>
              </w:rPr>
              <w:t xml:space="preserve"> per year in wages and superannuation to PAYG employees in SA, and $300</w:t>
            </w:r>
            <w:r w:rsidR="00C65823">
              <w:rPr>
                <w:noProof/>
                <w:lang w:eastAsia="en-AU"/>
              </w:rPr>
              <w:t>,000</w:t>
            </w:r>
            <w:r w:rsidRPr="00375B9D">
              <w:rPr>
                <w:noProof/>
                <w:lang w:eastAsia="en-AU"/>
              </w:rPr>
              <w:t xml:space="preserve"> in the NT. There are no contractors engaged in SA.</w:t>
            </w:r>
          </w:p>
          <w:p w14:paraId="3B99A607" w14:textId="77777777" w:rsidR="00375B9D" w:rsidRPr="00375B9D" w:rsidRDefault="00375B9D" w:rsidP="00F8474D">
            <w:pPr>
              <w:spacing w:after="200"/>
              <w:rPr>
                <w:noProof/>
                <w:lang w:eastAsia="en-AU"/>
              </w:rPr>
            </w:pPr>
            <w:r w:rsidRPr="00375B9D">
              <w:rPr>
                <w:noProof/>
                <w:lang w:eastAsia="en-AU"/>
              </w:rPr>
              <w:t xml:space="preserve">Your business’s maintenance work in the NT is done by a group (varying in number between 8 and 10 from time to time) of contractors. Some of those contractors work for other mining maintenance companies as well, and some work for you most of the year. These contractors operate as a variety of sole traders, family partnerships, companies and family trusts. </w:t>
            </w:r>
          </w:p>
          <w:p w14:paraId="108323D3" w14:textId="77777777" w:rsidR="00375B9D" w:rsidRPr="00375B9D" w:rsidRDefault="00375B9D" w:rsidP="00F8474D">
            <w:pPr>
              <w:spacing w:after="200"/>
              <w:rPr>
                <w:noProof/>
                <w:lang w:eastAsia="en-AU"/>
              </w:rPr>
            </w:pPr>
            <w:r w:rsidRPr="00375B9D">
              <w:rPr>
                <w:noProof/>
                <w:lang w:eastAsia="en-AU"/>
              </w:rPr>
              <w:t>The individual contractors work for your business for between 120 and 289 days per year. All contractors provide their own labour, tools and vehicles. The total payments you make to these workers for the year is $900</w:t>
            </w:r>
            <w:r w:rsidR="00C65823">
              <w:rPr>
                <w:noProof/>
                <w:lang w:eastAsia="en-AU"/>
              </w:rPr>
              <w:t>,000</w:t>
            </w:r>
            <w:r w:rsidRPr="00375B9D">
              <w:rPr>
                <w:noProof/>
                <w:lang w:eastAsia="en-AU"/>
              </w:rPr>
              <w:t xml:space="preserve"> plus GST. Because these contractors:</w:t>
            </w:r>
          </w:p>
          <w:p w14:paraId="120221DC" w14:textId="77777777" w:rsidR="00375B9D" w:rsidRPr="00375B9D" w:rsidRDefault="00375B9D" w:rsidP="00AE756D">
            <w:pPr>
              <w:pStyle w:val="DTFBulletlist"/>
            </w:pPr>
            <w:r w:rsidRPr="00375B9D">
              <w:t xml:space="preserve">provide services that are a fundamental and ongoing part of your business model </w:t>
            </w:r>
          </w:p>
          <w:p w14:paraId="76D99DFB" w14:textId="77777777" w:rsidR="00375B9D" w:rsidRPr="00375B9D" w:rsidRDefault="00375B9D" w:rsidP="00AE756D">
            <w:pPr>
              <w:pStyle w:val="DTFBulletlist"/>
            </w:pPr>
            <w:r w:rsidRPr="00375B9D">
              <w:t>all work for your business for more than 90 days per year</w:t>
            </w:r>
          </w:p>
          <w:p w14:paraId="158E94B5" w14:textId="77777777" w:rsidR="00375B9D" w:rsidRPr="00375B9D" w:rsidRDefault="00375B9D" w:rsidP="00AE756D">
            <w:pPr>
              <w:pStyle w:val="DTFBulletlist"/>
            </w:pPr>
            <w:r w:rsidRPr="00375B9D">
              <w:t xml:space="preserve">in the months they do provide services to you, are likely to average more than 10 days’ work </w:t>
            </w:r>
          </w:p>
          <w:p w14:paraId="19EB943C" w14:textId="77777777" w:rsidR="00375B9D" w:rsidRPr="00375B9D" w:rsidRDefault="00375B9D" w:rsidP="00AE756D">
            <w:pPr>
              <w:pStyle w:val="DTFBulletlist"/>
            </w:pPr>
            <w:r w:rsidRPr="00375B9D">
              <w:t>provide services of which the majority (greater than 50%) of the value of the payments to them are for their labour</w:t>
            </w:r>
          </w:p>
          <w:p w14:paraId="7DA28946" w14:textId="77777777" w:rsidR="00375B9D" w:rsidRPr="00375B9D" w:rsidRDefault="00375B9D" w:rsidP="00AE756D">
            <w:pPr>
              <w:pStyle w:val="DTFBulletlist"/>
            </w:pPr>
            <w:r w:rsidRPr="00375B9D">
              <w:t>work for themselves (and do not have PAYG employees or subcontractors of their own),</w:t>
            </w:r>
          </w:p>
          <w:p w14:paraId="5F794D92" w14:textId="77777777" w:rsidR="00375B9D" w:rsidRPr="00375B9D" w:rsidRDefault="00375B9D" w:rsidP="00F8474D">
            <w:pPr>
              <w:spacing w:after="200"/>
              <w:rPr>
                <w:noProof/>
                <w:lang w:eastAsia="en-AU"/>
              </w:rPr>
            </w:pPr>
            <w:r w:rsidRPr="00375B9D">
              <w:rPr>
                <w:noProof/>
                <w:lang w:eastAsia="en-AU"/>
              </w:rPr>
              <w:t>it is likely that all or the majority of the $900</w:t>
            </w:r>
            <w:r w:rsidR="00C65823">
              <w:rPr>
                <w:noProof/>
                <w:lang w:eastAsia="en-AU"/>
              </w:rPr>
              <w:t>,000</w:t>
            </w:r>
            <w:r w:rsidRPr="00375B9D">
              <w:rPr>
                <w:noProof/>
                <w:lang w:eastAsia="en-AU"/>
              </w:rPr>
              <w:t xml:space="preserve"> paid would be taxable wages subject to payroll tax. </w:t>
            </w:r>
          </w:p>
          <w:p w14:paraId="4BA1BFB7" w14:textId="77777777" w:rsidR="00375B9D" w:rsidRPr="00375B9D" w:rsidRDefault="00375B9D" w:rsidP="00F8474D">
            <w:pPr>
              <w:spacing w:after="200"/>
              <w:rPr>
                <w:noProof/>
                <w:lang w:eastAsia="en-AU"/>
              </w:rPr>
            </w:pPr>
            <w:r w:rsidRPr="00375B9D">
              <w:rPr>
                <w:noProof/>
                <w:lang w:eastAsia="en-AU"/>
              </w:rPr>
              <w:t>Whether they operate as sole traders, or use another business structure does not matter. The taxable wages may be reduced by a set percentage depending on the nature of the work undertaken.</w:t>
            </w:r>
          </w:p>
          <w:p w14:paraId="1744BBFB" w14:textId="77777777" w:rsidR="00375B9D" w:rsidRPr="00375B9D" w:rsidRDefault="00375B9D" w:rsidP="00F8474D">
            <w:pPr>
              <w:spacing w:after="200"/>
              <w:rPr>
                <w:noProof/>
                <w:lang w:eastAsia="en-AU"/>
              </w:rPr>
            </w:pPr>
            <w:r w:rsidRPr="00375B9D">
              <w:rPr>
                <w:noProof/>
                <w:lang w:eastAsia="en-AU"/>
              </w:rPr>
              <w:t>As your business’s total Australian wages exceed $1</w:t>
            </w:r>
            <w:r w:rsidR="00C65823">
              <w:rPr>
                <w:noProof/>
                <w:lang w:eastAsia="en-AU"/>
              </w:rPr>
              <w:t>,</w:t>
            </w:r>
            <w:r w:rsidRPr="00375B9D">
              <w:rPr>
                <w:noProof/>
                <w:lang w:eastAsia="en-AU"/>
              </w:rPr>
              <w:t>500</w:t>
            </w:r>
            <w:r w:rsidR="00C65823">
              <w:rPr>
                <w:noProof/>
                <w:lang w:eastAsia="en-AU"/>
              </w:rPr>
              <w:t>,000</w:t>
            </w:r>
            <w:r w:rsidRPr="00375B9D">
              <w:rPr>
                <w:noProof/>
                <w:lang w:eastAsia="en-AU"/>
              </w:rPr>
              <w:t xml:space="preserve"> per year and you pay taxable wages in the NT, you will be liable for NT payroll tax.</w:t>
            </w:r>
          </w:p>
          <w:p w14:paraId="42EC4042" w14:textId="77777777" w:rsidR="00375B9D" w:rsidRPr="00375B9D" w:rsidRDefault="00375B9D" w:rsidP="00F8474D">
            <w:pPr>
              <w:spacing w:after="200"/>
              <w:rPr>
                <w:noProof/>
                <w:lang w:eastAsia="en-AU"/>
              </w:rPr>
            </w:pPr>
            <w:r w:rsidRPr="00375B9D">
              <w:rPr>
                <w:noProof/>
                <w:lang w:eastAsia="en-AU"/>
              </w:rPr>
              <w:t>Assuming that $800</w:t>
            </w:r>
            <w:r w:rsidR="00C65823">
              <w:rPr>
                <w:noProof/>
                <w:lang w:eastAsia="en-AU"/>
              </w:rPr>
              <w:t>,000</w:t>
            </w:r>
            <w:r w:rsidRPr="00375B9D">
              <w:rPr>
                <w:noProof/>
                <w:lang w:eastAsia="en-AU"/>
              </w:rPr>
              <w:t xml:space="preserve"> of the $900</w:t>
            </w:r>
            <w:r w:rsidR="00C65823">
              <w:rPr>
                <w:noProof/>
                <w:lang w:eastAsia="en-AU"/>
              </w:rPr>
              <w:t>,000</w:t>
            </w:r>
            <w:r w:rsidRPr="00375B9D">
              <w:rPr>
                <w:noProof/>
                <w:lang w:eastAsia="en-AU"/>
              </w:rPr>
              <w:t xml:space="preserve"> paid to contractors is taxable wages, your NT payroll tax liability would be calculated as follows:</w:t>
            </w:r>
          </w:p>
          <w:p w14:paraId="7C6A0707" w14:textId="77777777" w:rsidR="00095310" w:rsidRDefault="00095310" w:rsidP="001D13DC">
            <w:pPr>
              <w:tabs>
                <w:tab w:val="right" w:pos="6804"/>
                <w:tab w:val="right" w:pos="8813"/>
              </w:tabs>
            </w:pPr>
            <w:r w:rsidRPr="00375B9D">
              <w:rPr>
                <w:noProof/>
              </w:rPr>
              <w:t>SA wages, superannuation, etc.:</w:t>
            </w:r>
            <w:r w:rsidRPr="00375B9D">
              <w:rPr>
                <w:noProof/>
              </w:rPr>
              <w:tab/>
              <w:t>$2</w:t>
            </w:r>
            <w:r w:rsidR="00C65823">
              <w:rPr>
                <w:noProof/>
              </w:rPr>
              <w:t>,000,000</w:t>
            </w:r>
            <w:r w:rsidRPr="00375B9D">
              <w:rPr>
                <w:noProof/>
              </w:rPr>
              <w:br/>
              <w:t>NT wages:</w:t>
            </w:r>
            <w:r w:rsidRPr="00375B9D">
              <w:rPr>
                <w:noProof/>
              </w:rPr>
              <w:br/>
              <w:t>PAYG employees – wages, superannuation, etc.</w:t>
            </w:r>
            <w:r w:rsidRPr="00375B9D">
              <w:rPr>
                <w:noProof/>
              </w:rPr>
              <w:tab/>
              <w:t>$300</w:t>
            </w:r>
            <w:r w:rsidR="00C65823">
              <w:rPr>
                <w:noProof/>
              </w:rPr>
              <w:t>,000</w:t>
            </w:r>
            <w:r w:rsidRPr="00375B9D">
              <w:rPr>
                <w:noProof/>
              </w:rPr>
              <w:br/>
              <w:t>Taxable contractor payments</w:t>
            </w:r>
            <w:r w:rsidRPr="00375B9D">
              <w:rPr>
                <w:noProof/>
              </w:rPr>
              <w:tab/>
              <w:t>$800</w:t>
            </w:r>
            <w:r w:rsidR="00C65823">
              <w:rPr>
                <w:noProof/>
              </w:rPr>
              <w:t>,000</w:t>
            </w:r>
            <w:r w:rsidRPr="00375B9D">
              <w:rPr>
                <w:noProof/>
              </w:rPr>
              <w:br/>
              <w:t>NT taxable wages</w:t>
            </w:r>
            <w:r w:rsidRPr="00375B9D">
              <w:rPr>
                <w:noProof/>
              </w:rPr>
              <w:tab/>
              <w:t>$1</w:t>
            </w:r>
            <w:r w:rsidR="00C65823">
              <w:rPr>
                <w:noProof/>
              </w:rPr>
              <w:t>,</w:t>
            </w:r>
            <w:r w:rsidRPr="00375B9D">
              <w:rPr>
                <w:noProof/>
              </w:rPr>
              <w:t>100</w:t>
            </w:r>
            <w:r w:rsidR="00C65823">
              <w:rPr>
                <w:noProof/>
              </w:rPr>
              <w:t>,000</w:t>
            </w:r>
            <w:r w:rsidRPr="00375B9D">
              <w:rPr>
                <w:noProof/>
              </w:rPr>
              <w:br/>
              <w:t>Total Australian taxable wages</w:t>
            </w:r>
            <w:r w:rsidRPr="00375B9D">
              <w:rPr>
                <w:noProof/>
              </w:rPr>
              <w:tab/>
              <w:t>$3</w:t>
            </w:r>
            <w:r w:rsidR="00C65823">
              <w:rPr>
                <w:noProof/>
              </w:rPr>
              <w:t>,</w:t>
            </w:r>
            <w:r w:rsidRPr="00375B9D">
              <w:rPr>
                <w:noProof/>
              </w:rPr>
              <w:t>100</w:t>
            </w:r>
            <w:r w:rsidR="00C65823">
              <w:rPr>
                <w:noProof/>
              </w:rPr>
              <w:t>,000</w:t>
            </w:r>
            <w:r w:rsidRPr="00375B9D">
              <w:rPr>
                <w:noProof/>
              </w:rPr>
              <w:br/>
              <w:t>Tax-free entitlement</w:t>
            </w:r>
            <w:r>
              <w:rPr>
                <w:noProof/>
              </w:rPr>
              <w:t xml:space="preserve"> (annual deductible amount (ADA</w:t>
            </w:r>
            <w:r w:rsidRPr="00375B9D">
              <w:rPr>
                <w:noProof/>
              </w:rPr>
              <w:t>)</w:t>
            </w:r>
            <w:r>
              <w:rPr>
                <w:noProof/>
              </w:rPr>
              <w:tab/>
            </w:r>
            <w:r w:rsidRPr="00375B9D">
              <w:rPr>
                <w:noProof/>
              </w:rPr>
              <w:t>$390</w:t>
            </w:r>
            <w:r w:rsidR="00C65823">
              <w:rPr>
                <w:noProof/>
              </w:rPr>
              <w:t>,</w:t>
            </w:r>
            <w:r w:rsidRPr="00375B9D">
              <w:rPr>
                <w:noProof/>
              </w:rPr>
              <w:t>322</w:t>
            </w:r>
            <w:r>
              <w:rPr>
                <w:noProof/>
              </w:rPr>
              <w:tab/>
            </w:r>
            <w:r w:rsidRPr="00375B9D">
              <w:rPr>
                <w:noProof/>
              </w:rPr>
              <w:t xml:space="preserve"> (</w:t>
            </w:r>
            <w:r w:rsidR="008775BF">
              <w:rPr>
                <w:noProof/>
              </w:rPr>
              <w:t>See note below</w:t>
            </w:r>
            <w:r w:rsidRPr="00375B9D">
              <w:rPr>
                <w:noProof/>
              </w:rPr>
              <w:t>)</w:t>
            </w:r>
            <w:r w:rsidRPr="00375B9D">
              <w:rPr>
                <w:noProof/>
                <w:vertAlign w:val="superscript"/>
              </w:rPr>
              <w:br/>
            </w:r>
            <w:r w:rsidRPr="00375B9D">
              <w:rPr>
                <w:noProof/>
              </w:rPr>
              <w:t>NT net taxable wages ($1</w:t>
            </w:r>
            <w:r w:rsidR="00AC3E38">
              <w:rPr>
                <w:noProof/>
              </w:rPr>
              <w:t>,100</w:t>
            </w:r>
            <w:r w:rsidR="00C65823">
              <w:rPr>
                <w:noProof/>
              </w:rPr>
              <w:t>,000</w:t>
            </w:r>
            <w:r w:rsidRPr="00375B9D">
              <w:rPr>
                <w:noProof/>
              </w:rPr>
              <w:t xml:space="preserve"> - $390</w:t>
            </w:r>
            <w:r w:rsidR="00E9641C">
              <w:rPr>
                <w:noProof/>
              </w:rPr>
              <w:t>,</w:t>
            </w:r>
            <w:r w:rsidRPr="00375B9D">
              <w:rPr>
                <w:noProof/>
              </w:rPr>
              <w:t>322)</w:t>
            </w:r>
            <w:r w:rsidRPr="00375B9D">
              <w:rPr>
                <w:noProof/>
              </w:rPr>
              <w:tab/>
              <w:t>$709</w:t>
            </w:r>
            <w:r w:rsidR="00C65823">
              <w:rPr>
                <w:noProof/>
              </w:rPr>
              <w:t>,</w:t>
            </w:r>
            <w:r w:rsidRPr="00375B9D">
              <w:rPr>
                <w:noProof/>
              </w:rPr>
              <w:t>678</w:t>
            </w:r>
            <w:r w:rsidRPr="00375B9D">
              <w:rPr>
                <w:noProof/>
              </w:rPr>
              <w:br/>
              <w:t>NT payroll tax liability ($709</w:t>
            </w:r>
            <w:r w:rsidR="00E9641C">
              <w:rPr>
                <w:noProof/>
              </w:rPr>
              <w:t>,</w:t>
            </w:r>
            <w:r w:rsidRPr="00375B9D">
              <w:rPr>
                <w:noProof/>
              </w:rPr>
              <w:t>678 x 5.5%)</w:t>
            </w:r>
            <w:r w:rsidRPr="00375B9D">
              <w:rPr>
                <w:noProof/>
              </w:rPr>
              <w:tab/>
              <w:t>$39</w:t>
            </w:r>
            <w:r w:rsidR="00C65823">
              <w:rPr>
                <w:noProof/>
              </w:rPr>
              <w:t>,</w:t>
            </w:r>
            <w:r w:rsidRPr="00375B9D">
              <w:rPr>
                <w:noProof/>
              </w:rPr>
              <w:t>032</w:t>
            </w:r>
          </w:p>
          <w:p w14:paraId="0A9C9CB2" w14:textId="77777777" w:rsidR="00375B9D" w:rsidRPr="00375B9D" w:rsidRDefault="00375B9D" w:rsidP="00F8474D">
            <w:pPr>
              <w:rPr>
                <w:noProof/>
              </w:rPr>
            </w:pPr>
          </w:p>
        </w:tc>
      </w:tr>
    </w:tbl>
    <w:p w14:paraId="277AE17F" w14:textId="77777777" w:rsidR="00375B9D" w:rsidRPr="00375B9D" w:rsidRDefault="00375B9D" w:rsidP="00375B9D">
      <w:pPr>
        <w:rPr>
          <w:noProof/>
          <w:lang w:eastAsia="en-AU"/>
        </w:rPr>
      </w:pPr>
    </w:p>
    <w:tbl>
      <w:tblPr>
        <w:tblStyle w:val="DTFpayrolltaxguidestyle1"/>
        <w:tblW w:w="10348" w:type="dxa"/>
        <w:tblLook w:val="04A0" w:firstRow="1" w:lastRow="0" w:firstColumn="1" w:lastColumn="0" w:noHBand="0" w:noVBand="1"/>
        <w:tblDescription w:val="Note 1: The $356 896 ADA is calculated automatically for you by the TRMer returns system. It takes into account the following values – Australian wages, Northern Territory wages and the relativity between NT wages and total Australian wages. "/>
      </w:tblPr>
      <w:tblGrid>
        <w:gridCol w:w="10348"/>
      </w:tblGrid>
      <w:tr w:rsidR="00375B9D" w:rsidRPr="00375B9D" w14:paraId="435DE130" w14:textId="77777777" w:rsidTr="00937629">
        <w:trPr>
          <w:trHeight w:val="883"/>
          <w:tblHeader/>
        </w:trPr>
        <w:tc>
          <w:tcPr>
            <w:tcW w:w="10348" w:type="dxa"/>
          </w:tcPr>
          <w:p w14:paraId="3029819B" w14:textId="77777777" w:rsidR="00375B9D" w:rsidRPr="00375B9D" w:rsidRDefault="00FA672F" w:rsidP="00FA672F">
            <w:pPr>
              <w:spacing w:after="200"/>
              <w:rPr>
                <w:noProof/>
                <w:lang w:eastAsia="en-AU"/>
              </w:rPr>
            </w:pPr>
            <w:r>
              <w:rPr>
                <w:b/>
                <w:noProof/>
                <w:lang w:eastAsia="en-AU"/>
              </w:rPr>
              <w:t>Note</w:t>
            </w:r>
            <w:r w:rsidR="00375B9D" w:rsidRPr="00375B9D">
              <w:rPr>
                <w:noProof/>
                <w:lang w:eastAsia="en-AU"/>
              </w:rPr>
              <w:t>: The $390</w:t>
            </w:r>
            <w:r w:rsidR="00C65823">
              <w:rPr>
                <w:noProof/>
                <w:lang w:eastAsia="en-AU"/>
              </w:rPr>
              <w:t>,</w:t>
            </w:r>
            <w:r w:rsidR="00375B9D" w:rsidRPr="00375B9D">
              <w:rPr>
                <w:noProof/>
                <w:lang w:eastAsia="en-AU"/>
              </w:rPr>
              <w:t xml:space="preserve">322 ADA is calculated automatically for you when entering returns through INTRA. It takes into account the following values – Australian wages, NT wages and the relativity between NT wages and total Australian wages. </w:t>
            </w:r>
          </w:p>
        </w:tc>
      </w:tr>
    </w:tbl>
    <w:p w14:paraId="0394CC07" w14:textId="77777777" w:rsidR="00375B9D" w:rsidRPr="00375B9D" w:rsidRDefault="00375B9D" w:rsidP="00B16992">
      <w:pPr>
        <w:pStyle w:val="Heading3"/>
        <w:rPr>
          <w:noProof/>
          <w:lang w:eastAsia="en-AU"/>
        </w:rPr>
      </w:pPr>
      <w:r w:rsidRPr="00375B9D">
        <w:rPr>
          <w:noProof/>
          <w:lang w:eastAsia="en-AU"/>
        </w:rPr>
        <w:lastRenderedPageBreak/>
        <w:t xml:space="preserve">Contractors and the </w:t>
      </w:r>
      <w:r w:rsidR="00740862">
        <w:rPr>
          <w:noProof/>
          <w:lang w:eastAsia="en-AU"/>
        </w:rPr>
        <w:t>c</w:t>
      </w:r>
      <w:r w:rsidRPr="00375B9D">
        <w:rPr>
          <w:noProof/>
          <w:lang w:eastAsia="en-AU"/>
        </w:rPr>
        <w:t xml:space="preserve">ommon </w:t>
      </w:r>
      <w:r w:rsidR="00740862">
        <w:rPr>
          <w:noProof/>
          <w:lang w:eastAsia="en-AU"/>
        </w:rPr>
        <w:t>l</w:t>
      </w:r>
      <w:r w:rsidRPr="00375B9D">
        <w:rPr>
          <w:noProof/>
          <w:lang w:eastAsia="en-AU"/>
        </w:rPr>
        <w:t>aw</w:t>
      </w:r>
    </w:p>
    <w:p w14:paraId="7E63D6FF" w14:textId="77777777" w:rsidR="00375B9D" w:rsidRPr="00375B9D" w:rsidRDefault="00375B9D" w:rsidP="00375B9D">
      <w:pPr>
        <w:rPr>
          <w:noProof/>
          <w:lang w:eastAsia="en-AU"/>
        </w:rPr>
      </w:pPr>
      <w:r w:rsidRPr="00375B9D">
        <w:rPr>
          <w:noProof/>
          <w:lang w:eastAsia="en-AU"/>
        </w:rPr>
        <w:t>In common law, the pre-GST value of payments made to a sole trader providing labour-based services to a principal may be subject to payroll tax in the form of ‘common law wages’.</w:t>
      </w:r>
    </w:p>
    <w:p w14:paraId="573BE627" w14:textId="77777777" w:rsidR="00375B9D" w:rsidRPr="00375B9D" w:rsidRDefault="00375B9D" w:rsidP="00375B9D">
      <w:pPr>
        <w:rPr>
          <w:noProof/>
          <w:lang w:eastAsia="en-AU"/>
        </w:rPr>
      </w:pPr>
      <w:r w:rsidRPr="00375B9D">
        <w:rPr>
          <w:noProof/>
          <w:lang w:eastAsia="en-AU"/>
        </w:rPr>
        <w:t xml:space="preserve">The factors that determine whether payments are common law wages have been developed by the courts over the years and were not replaced by the relevant contract provisions when introduced on 1 July 2009. </w:t>
      </w:r>
    </w:p>
    <w:p w14:paraId="2FF94734" w14:textId="77777777" w:rsidR="00375B9D" w:rsidRPr="00375B9D" w:rsidRDefault="00375B9D" w:rsidP="00375B9D">
      <w:pPr>
        <w:rPr>
          <w:noProof/>
          <w:lang w:eastAsia="en-AU"/>
        </w:rPr>
      </w:pPr>
      <w:r w:rsidRPr="00375B9D">
        <w:rPr>
          <w:noProof/>
          <w:lang w:eastAsia="en-AU"/>
        </w:rPr>
        <w:t xml:space="preserve">As the common law has not been replaced by the relevant contract provisions, they both operate with the effect that even if a sole trader contractor is deemed not to be operating under a taxable relevant contract, it is possible the contractor may still be a common law employee, with payments subject to payroll tax. </w:t>
      </w:r>
    </w:p>
    <w:p w14:paraId="092D51FD" w14:textId="77777777" w:rsidR="00375B9D" w:rsidRPr="00375B9D" w:rsidRDefault="00375B9D" w:rsidP="00095310">
      <w:pPr>
        <w:pStyle w:val="Heading3"/>
        <w:rPr>
          <w:noProof/>
          <w:lang w:eastAsia="en-AU"/>
        </w:rPr>
      </w:pPr>
      <w:r w:rsidRPr="00375B9D">
        <w:rPr>
          <w:noProof/>
          <w:lang w:eastAsia="en-AU"/>
        </w:rPr>
        <w:t xml:space="preserve">Contractors </w:t>
      </w:r>
      <w:r w:rsidR="00740862">
        <w:rPr>
          <w:noProof/>
          <w:lang w:eastAsia="en-AU"/>
        </w:rPr>
        <w:t>p</w:t>
      </w:r>
      <w:r w:rsidR="009E4EAB">
        <w:rPr>
          <w:noProof/>
          <w:lang w:eastAsia="en-AU"/>
        </w:rPr>
        <w:t xml:space="preserve">aid via </w:t>
      </w:r>
      <w:r w:rsidR="00740862">
        <w:rPr>
          <w:noProof/>
          <w:lang w:eastAsia="en-AU"/>
        </w:rPr>
        <w:t>i</w:t>
      </w:r>
      <w:r w:rsidRPr="00375B9D">
        <w:rPr>
          <w:noProof/>
          <w:lang w:eastAsia="en-AU"/>
        </w:rPr>
        <w:t xml:space="preserve">nterposed </w:t>
      </w:r>
      <w:r w:rsidR="00740862">
        <w:rPr>
          <w:noProof/>
          <w:lang w:eastAsia="en-AU"/>
        </w:rPr>
        <w:t>e</w:t>
      </w:r>
      <w:r w:rsidR="009E4EAB">
        <w:rPr>
          <w:noProof/>
          <w:lang w:eastAsia="en-AU"/>
        </w:rPr>
        <w:t>ntities</w:t>
      </w:r>
    </w:p>
    <w:p w14:paraId="2AAEFDF3" w14:textId="77777777" w:rsidR="00375B9D" w:rsidRPr="00375B9D" w:rsidRDefault="00375B9D" w:rsidP="00375B9D">
      <w:pPr>
        <w:rPr>
          <w:noProof/>
          <w:lang w:eastAsia="en-AU"/>
        </w:rPr>
      </w:pPr>
      <w:r w:rsidRPr="00375B9D">
        <w:rPr>
          <w:noProof/>
          <w:lang w:eastAsia="en-AU"/>
        </w:rPr>
        <w:t xml:space="preserve">An ‘interposed entity’ situation exists where an individual person provides services under a contract but where the contract is, on paper, performed by a non-natural person associated with the individual – usually a husband and wife partnership, family trust or family company. The company, partnership or trust is said to be ‘interposed’ between the individual doing the actual work and the principal for whom the work is performed. The invoice is issued in the name of the interposed entity, not the individual. </w:t>
      </w:r>
    </w:p>
    <w:p w14:paraId="16511F1C" w14:textId="77777777" w:rsidR="00375B9D" w:rsidRPr="00375B9D" w:rsidRDefault="00375B9D" w:rsidP="00375B9D">
      <w:pPr>
        <w:rPr>
          <w:noProof/>
          <w:lang w:eastAsia="en-AU"/>
        </w:rPr>
      </w:pPr>
      <w:r w:rsidRPr="00375B9D">
        <w:rPr>
          <w:noProof/>
          <w:lang w:eastAsia="en-AU"/>
        </w:rPr>
        <w:t>The PRTA generally treats the payments as having been made to the individual doing the work and are</w:t>
      </w:r>
      <w:r w:rsidR="00BD7D7B">
        <w:rPr>
          <w:noProof/>
          <w:lang w:eastAsia="en-AU"/>
        </w:rPr>
        <w:t> </w:t>
      </w:r>
      <w:r w:rsidRPr="00375B9D">
        <w:rPr>
          <w:noProof/>
          <w:lang w:eastAsia="en-AU"/>
        </w:rPr>
        <w:t>therefore subject to payroll tax, either through the relevant contract provisions or the general anti</w:t>
      </w:r>
      <w:r w:rsidR="00BD7D7B">
        <w:rPr>
          <w:noProof/>
          <w:lang w:eastAsia="en-AU"/>
        </w:rPr>
        <w:noBreakHyphen/>
      </w:r>
      <w:r w:rsidRPr="00375B9D">
        <w:rPr>
          <w:noProof/>
          <w:lang w:eastAsia="en-AU"/>
        </w:rPr>
        <w:t>avoidance provisions (section 47) of the PRTA.</w:t>
      </w:r>
    </w:p>
    <w:p w14:paraId="412321C1" w14:textId="77777777" w:rsidR="00375B9D" w:rsidRPr="00375B9D" w:rsidRDefault="00375B9D" w:rsidP="00095310">
      <w:pPr>
        <w:pStyle w:val="Heading3"/>
        <w:rPr>
          <w:noProof/>
          <w:lang w:eastAsia="en-AU"/>
        </w:rPr>
      </w:pPr>
      <w:r w:rsidRPr="00375B9D">
        <w:rPr>
          <w:noProof/>
          <w:lang w:eastAsia="en-AU"/>
        </w:rPr>
        <w:t xml:space="preserve">Commissioner’s </w:t>
      </w:r>
      <w:r w:rsidR="006137E1">
        <w:rPr>
          <w:noProof/>
          <w:lang w:eastAsia="en-AU"/>
        </w:rPr>
        <w:t>d</w:t>
      </w:r>
      <w:r w:rsidRPr="00375B9D">
        <w:rPr>
          <w:noProof/>
          <w:lang w:eastAsia="en-AU"/>
        </w:rPr>
        <w:t xml:space="preserve">iscretionary </w:t>
      </w:r>
      <w:r w:rsidR="006137E1">
        <w:rPr>
          <w:noProof/>
          <w:lang w:eastAsia="en-AU"/>
        </w:rPr>
        <w:t>p</w:t>
      </w:r>
      <w:r w:rsidRPr="00375B9D">
        <w:rPr>
          <w:noProof/>
          <w:lang w:eastAsia="en-AU"/>
        </w:rPr>
        <w:t xml:space="preserve">ower to </w:t>
      </w:r>
      <w:r w:rsidR="006137E1">
        <w:rPr>
          <w:noProof/>
          <w:lang w:eastAsia="en-AU"/>
        </w:rPr>
        <w:t>e</w:t>
      </w:r>
      <w:r w:rsidRPr="00375B9D">
        <w:rPr>
          <w:noProof/>
          <w:lang w:eastAsia="en-AU"/>
        </w:rPr>
        <w:t xml:space="preserve">xclude </w:t>
      </w:r>
      <w:r w:rsidR="006137E1">
        <w:rPr>
          <w:noProof/>
          <w:lang w:eastAsia="en-AU"/>
        </w:rPr>
        <w:t>p</w:t>
      </w:r>
      <w:r w:rsidRPr="00375B9D">
        <w:rPr>
          <w:noProof/>
          <w:lang w:eastAsia="en-AU"/>
        </w:rPr>
        <w:t xml:space="preserve">ayments made to some </w:t>
      </w:r>
      <w:r w:rsidR="006137E1">
        <w:rPr>
          <w:noProof/>
          <w:lang w:eastAsia="en-AU"/>
        </w:rPr>
        <w:t>c</w:t>
      </w:r>
      <w:r w:rsidRPr="00375B9D">
        <w:rPr>
          <w:noProof/>
          <w:lang w:eastAsia="en-AU"/>
        </w:rPr>
        <w:t>ontractors</w:t>
      </w:r>
    </w:p>
    <w:p w14:paraId="7BD2C5DF" w14:textId="77777777" w:rsidR="00375B9D" w:rsidRPr="00375B9D" w:rsidRDefault="00375B9D" w:rsidP="00375B9D">
      <w:pPr>
        <w:rPr>
          <w:noProof/>
          <w:lang w:eastAsia="en-AU"/>
        </w:rPr>
      </w:pPr>
      <w:r w:rsidRPr="00375B9D">
        <w:rPr>
          <w:noProof/>
          <w:lang w:eastAsia="en-AU"/>
        </w:rPr>
        <w:t xml:space="preserve">In addition to the ‘automatic’ exclusion categories (see </w:t>
      </w:r>
      <w:r w:rsidR="00DB1467">
        <w:rPr>
          <w:noProof/>
          <w:lang w:eastAsia="en-AU"/>
        </w:rPr>
        <w:t xml:space="preserve">excluded payments, </w:t>
      </w:r>
      <w:r w:rsidRPr="00375B9D">
        <w:rPr>
          <w:noProof/>
          <w:lang w:eastAsia="en-AU"/>
        </w:rPr>
        <w:t>page</w:t>
      </w:r>
      <w:r w:rsidR="00E9641C">
        <w:rPr>
          <w:noProof/>
          <w:lang w:eastAsia="en-AU"/>
        </w:rPr>
        <w:t xml:space="preserve"> </w:t>
      </w:r>
      <w:r w:rsidR="00E9641C">
        <w:rPr>
          <w:noProof/>
          <w:lang w:eastAsia="en-AU"/>
        </w:rPr>
        <w:fldChar w:fldCharType="begin"/>
      </w:r>
      <w:r w:rsidR="00E9641C">
        <w:rPr>
          <w:noProof/>
          <w:lang w:eastAsia="en-AU"/>
        </w:rPr>
        <w:instrText xml:space="preserve"> PAGEREF _Ref108096852 \h </w:instrText>
      </w:r>
      <w:r w:rsidR="00E9641C">
        <w:rPr>
          <w:noProof/>
          <w:lang w:eastAsia="en-AU"/>
        </w:rPr>
      </w:r>
      <w:r w:rsidR="00E9641C">
        <w:rPr>
          <w:noProof/>
          <w:lang w:eastAsia="en-AU"/>
        </w:rPr>
        <w:fldChar w:fldCharType="separate"/>
      </w:r>
      <w:r w:rsidR="002A4C93">
        <w:rPr>
          <w:noProof/>
          <w:lang w:eastAsia="en-AU"/>
        </w:rPr>
        <w:t>38</w:t>
      </w:r>
      <w:r w:rsidR="00E9641C">
        <w:rPr>
          <w:noProof/>
          <w:lang w:eastAsia="en-AU"/>
        </w:rPr>
        <w:fldChar w:fldCharType="end"/>
      </w:r>
      <w:r w:rsidR="00E9641C">
        <w:rPr>
          <w:noProof/>
          <w:lang w:eastAsia="en-AU"/>
        </w:rPr>
        <w:t>), the</w:t>
      </w:r>
      <w:r w:rsidRPr="00375B9D">
        <w:rPr>
          <w:noProof/>
          <w:lang w:eastAsia="en-AU"/>
        </w:rPr>
        <w:t xml:space="preserve"> Commissioner may exercise discretion to exclude a contract in various other circumstances. </w:t>
      </w:r>
    </w:p>
    <w:p w14:paraId="5FFDF744" w14:textId="77777777" w:rsidR="00375B9D" w:rsidRPr="00375B9D" w:rsidRDefault="00375B9D" w:rsidP="00375B9D">
      <w:pPr>
        <w:rPr>
          <w:noProof/>
          <w:lang w:eastAsia="en-AU"/>
        </w:rPr>
      </w:pPr>
      <w:r w:rsidRPr="00375B9D">
        <w:rPr>
          <w:noProof/>
          <w:lang w:eastAsia="en-AU"/>
        </w:rPr>
        <w:t>It is a fundamental aspect of the relevant contract provisions that the onus is on the principal to provide information and evidence justifying the exclusion of any contract.</w:t>
      </w:r>
    </w:p>
    <w:p w14:paraId="2D03E444" w14:textId="77777777" w:rsidR="00375B9D" w:rsidRPr="00375B9D" w:rsidRDefault="00375B9D" w:rsidP="00375B9D">
      <w:pPr>
        <w:rPr>
          <w:noProof/>
          <w:lang w:eastAsia="en-AU"/>
        </w:rPr>
      </w:pPr>
      <w:r w:rsidRPr="00375B9D">
        <w:rPr>
          <w:noProof/>
          <w:lang w:eastAsia="en-AU"/>
        </w:rPr>
        <w:t>To seek the Commissioner’s discretion, a taxpayer (that is, the principal) needs to lodge a written request with TRO, following the guidelines in the applicable payroll tax ruling.</w:t>
      </w:r>
    </w:p>
    <w:p w14:paraId="0958C226" w14:textId="77777777" w:rsidR="00375B9D" w:rsidRPr="00375B9D" w:rsidRDefault="00375B9D" w:rsidP="00375B9D">
      <w:pPr>
        <w:rPr>
          <w:noProof/>
          <w:lang w:eastAsia="en-AU"/>
        </w:rPr>
      </w:pPr>
      <w:r w:rsidRPr="00375B9D">
        <w:rPr>
          <w:noProof/>
          <w:lang w:eastAsia="en-AU"/>
        </w:rPr>
        <w:t xml:space="preserve">The most common reason for seeking the Commissioner’s discretion to be exercised is when the taxpayer believes the contractor may satisfy the ‘ordinarily renders services to the public’ test (refer to </w:t>
      </w:r>
      <w:hyperlink r:id="rId40" w:history="1">
        <w:r w:rsidRPr="00375B9D">
          <w:rPr>
            <w:rStyle w:val="Hyperlink"/>
            <w:noProof/>
            <w:lang w:eastAsia="en-AU"/>
          </w:rPr>
          <w:t xml:space="preserve">PTA021 Exemption for </w:t>
        </w:r>
        <w:r w:rsidR="00BD7D7B" w:rsidRPr="00375B9D">
          <w:rPr>
            <w:rStyle w:val="Hyperlink"/>
            <w:noProof/>
            <w:lang w:eastAsia="en-AU"/>
          </w:rPr>
          <w:t>contractors ordinarily rendering services to the public</w:t>
        </w:r>
      </w:hyperlink>
      <w:r w:rsidRPr="00375B9D">
        <w:rPr>
          <w:noProof/>
          <w:lang w:eastAsia="en-AU"/>
        </w:rPr>
        <w:t>).</w:t>
      </w:r>
    </w:p>
    <w:tbl>
      <w:tblPr>
        <w:tblStyle w:val="DTFpayrolltaxguidestyle1"/>
        <w:tblW w:w="10348" w:type="dxa"/>
        <w:tblLook w:val="04A0" w:firstRow="1" w:lastRow="0" w:firstColumn="1" w:lastColumn="0" w:noHBand="0" w:noVBand="1"/>
        <w:tblDescription w:val="Note: The Commissioner will accept a ‘self-declaration’ by the taxpayer (without the need to lodge a submission to TRO) that a contractor working for the business for more than 90 days in the year is excluded where the taxpayer holds written evidence that the contractor also works for one or more other businesses during the year and works for your business for no more than an average of 10 days in each month in which services are provided to you."/>
      </w:tblPr>
      <w:tblGrid>
        <w:gridCol w:w="10348"/>
      </w:tblGrid>
      <w:tr w:rsidR="00375B9D" w:rsidRPr="00375B9D" w14:paraId="475E2273" w14:textId="77777777" w:rsidTr="00937629">
        <w:trPr>
          <w:trHeight w:val="1265"/>
          <w:tblHeader/>
        </w:trPr>
        <w:tc>
          <w:tcPr>
            <w:tcW w:w="10348" w:type="dxa"/>
          </w:tcPr>
          <w:p w14:paraId="2D1CDD2F" w14:textId="77777777" w:rsidR="00375B9D" w:rsidRPr="00375B9D" w:rsidRDefault="00375B9D" w:rsidP="00375B9D">
            <w:pPr>
              <w:spacing w:after="200"/>
              <w:rPr>
                <w:noProof/>
                <w:lang w:eastAsia="en-AU"/>
              </w:rPr>
            </w:pPr>
            <w:r w:rsidRPr="00375B9D">
              <w:rPr>
                <w:b/>
                <w:noProof/>
                <w:lang w:eastAsia="en-AU"/>
              </w:rPr>
              <w:t>Note</w:t>
            </w:r>
            <w:r w:rsidRPr="00375B9D">
              <w:rPr>
                <w:noProof/>
                <w:lang w:eastAsia="en-AU"/>
              </w:rPr>
              <w:t xml:space="preserve">: The Commissioner will accept a ‘self-declaration’ by the taxpayer (without the need to lodge a submission to TRO) that a contractor working for the business for more than 90 days in the year is excluded where the taxpayer holds written evidence that the contractor also works for one or more other businesses during the year </w:t>
            </w:r>
            <w:r w:rsidRPr="00375B9D">
              <w:rPr>
                <w:b/>
                <w:noProof/>
                <w:lang w:eastAsia="en-AU"/>
              </w:rPr>
              <w:t>and</w:t>
            </w:r>
            <w:r w:rsidRPr="00375B9D">
              <w:rPr>
                <w:noProof/>
                <w:lang w:eastAsia="en-AU"/>
              </w:rPr>
              <w:t xml:space="preserve"> works for your business for no more than an average of 10 days in each month in which services are provided to you.</w:t>
            </w:r>
          </w:p>
        </w:tc>
      </w:tr>
    </w:tbl>
    <w:p w14:paraId="015C6F78" w14:textId="77777777" w:rsidR="00DB1467" w:rsidRDefault="00DB1467" w:rsidP="00375B9D">
      <w:pPr>
        <w:rPr>
          <w:noProof/>
          <w:lang w:eastAsia="en-AU"/>
        </w:rPr>
      </w:pPr>
    </w:p>
    <w:p w14:paraId="522D1254" w14:textId="77777777" w:rsidR="00375B9D" w:rsidRPr="00375B9D" w:rsidRDefault="00375B9D" w:rsidP="00375B9D">
      <w:pPr>
        <w:rPr>
          <w:noProof/>
          <w:lang w:eastAsia="en-AU"/>
        </w:rPr>
      </w:pPr>
      <w:r w:rsidRPr="00375B9D">
        <w:rPr>
          <w:noProof/>
          <w:lang w:eastAsia="en-AU"/>
        </w:rPr>
        <w:t xml:space="preserve">A non-exhaustive list of the types of factors that the Commissioner will consider when exercising discretion can be found on page 2 of </w:t>
      </w:r>
      <w:hyperlink r:id="rId41" w:history="1">
        <w:r w:rsidRPr="00375B9D">
          <w:rPr>
            <w:rStyle w:val="Hyperlink"/>
            <w:noProof/>
            <w:lang w:eastAsia="en-AU"/>
          </w:rPr>
          <w:t xml:space="preserve">PTA021 Exemption for </w:t>
        </w:r>
        <w:r w:rsidR="00BD7D7B" w:rsidRPr="00375B9D">
          <w:rPr>
            <w:rStyle w:val="Hyperlink"/>
            <w:noProof/>
            <w:lang w:eastAsia="en-AU"/>
          </w:rPr>
          <w:t>contractors ordinarily rendering services t</w:t>
        </w:r>
        <w:r w:rsidRPr="00375B9D">
          <w:rPr>
            <w:rStyle w:val="Hyperlink"/>
            <w:noProof/>
            <w:lang w:eastAsia="en-AU"/>
          </w:rPr>
          <w:t xml:space="preserve">o the </w:t>
        </w:r>
        <w:r w:rsidR="00BD7D7B" w:rsidRPr="00375B9D">
          <w:rPr>
            <w:rStyle w:val="Hyperlink"/>
            <w:noProof/>
            <w:lang w:eastAsia="en-AU"/>
          </w:rPr>
          <w:t>pub</w:t>
        </w:r>
        <w:r w:rsidRPr="00375B9D">
          <w:rPr>
            <w:rStyle w:val="Hyperlink"/>
            <w:noProof/>
            <w:lang w:eastAsia="en-AU"/>
          </w:rPr>
          <w:t>lic</w:t>
        </w:r>
      </w:hyperlink>
      <w:r w:rsidRPr="00375B9D">
        <w:rPr>
          <w:noProof/>
          <w:lang w:eastAsia="en-AU"/>
        </w:rPr>
        <w:t>.</w:t>
      </w:r>
    </w:p>
    <w:p w14:paraId="26250226" w14:textId="77777777" w:rsidR="00375B9D" w:rsidRPr="00375B9D" w:rsidRDefault="001D13DC" w:rsidP="00375B9D">
      <w:pPr>
        <w:rPr>
          <w:noProof/>
          <w:lang w:eastAsia="en-AU"/>
        </w:rPr>
      </w:pPr>
      <w:r w:rsidRPr="00375B9D">
        <w:rPr>
          <w:noProof/>
          <w:lang w:eastAsia="en-AU"/>
        </w:rPr>
        <w:lastRenderedPageBreak/>
        <w:t xml:space="preserve">The </w:t>
      </w:r>
      <w:r w:rsidR="00375B9D" w:rsidRPr="00375B9D">
        <w:rPr>
          <w:noProof/>
          <w:lang w:eastAsia="en-AU"/>
        </w:rPr>
        <w:t>Commissioner will be looking for evidence that:</w:t>
      </w:r>
    </w:p>
    <w:p w14:paraId="74D044BE" w14:textId="77777777" w:rsidR="00375B9D" w:rsidRPr="00375B9D" w:rsidRDefault="00375B9D" w:rsidP="00AE756D">
      <w:pPr>
        <w:pStyle w:val="DTFBulletlist"/>
      </w:pPr>
      <w:r w:rsidRPr="00375B9D">
        <w:t xml:space="preserve">the contractor is operating a bona fide independent business </w:t>
      </w:r>
    </w:p>
    <w:p w14:paraId="74EA1E2A" w14:textId="77777777" w:rsidR="00375B9D" w:rsidRPr="00375B9D" w:rsidRDefault="00375B9D" w:rsidP="00AE756D">
      <w:pPr>
        <w:pStyle w:val="DTFBulletlist"/>
      </w:pPr>
      <w:r w:rsidRPr="00375B9D">
        <w:t>is remunerated purely for results (and not time worked)</w:t>
      </w:r>
    </w:p>
    <w:p w14:paraId="549415E3" w14:textId="77777777" w:rsidR="00375B9D" w:rsidRPr="00375B9D" w:rsidRDefault="00375B9D" w:rsidP="00AE756D">
      <w:pPr>
        <w:pStyle w:val="DTFBulletlist"/>
      </w:pPr>
      <w:r w:rsidRPr="00375B9D">
        <w:t>actively seeks to provide services to the general public</w:t>
      </w:r>
    </w:p>
    <w:p w14:paraId="50187D35" w14:textId="77777777" w:rsidR="00375B9D" w:rsidRPr="00375B9D" w:rsidRDefault="00375B9D" w:rsidP="00AE756D">
      <w:pPr>
        <w:pStyle w:val="DTFBulletlist"/>
      </w:pPr>
      <w:r w:rsidRPr="00375B9D">
        <w:t xml:space="preserve">carries normal commercial risks. </w:t>
      </w:r>
    </w:p>
    <w:p w14:paraId="568828A1" w14:textId="77777777" w:rsidR="00375B9D" w:rsidRPr="00375B9D" w:rsidRDefault="00375B9D" w:rsidP="00375B9D">
      <w:pPr>
        <w:rPr>
          <w:noProof/>
          <w:lang w:eastAsia="en-AU"/>
        </w:rPr>
      </w:pPr>
      <w:r w:rsidRPr="00375B9D">
        <w:rPr>
          <w:noProof/>
          <w:lang w:eastAsia="en-AU"/>
        </w:rPr>
        <w:t>The Commissioner will also consider:</w:t>
      </w:r>
    </w:p>
    <w:p w14:paraId="408B822E" w14:textId="77777777" w:rsidR="00375B9D" w:rsidRPr="00375B9D" w:rsidRDefault="00375B9D" w:rsidP="00AE756D">
      <w:pPr>
        <w:pStyle w:val="DTFBulletlist"/>
      </w:pPr>
      <w:r w:rsidRPr="00375B9D">
        <w:t xml:space="preserve">the extent of the contractor’s client list </w:t>
      </w:r>
    </w:p>
    <w:p w14:paraId="430DE272" w14:textId="77777777" w:rsidR="00375B9D" w:rsidRPr="00375B9D" w:rsidRDefault="00375B9D" w:rsidP="00AE756D">
      <w:pPr>
        <w:pStyle w:val="DTFBulletlist"/>
      </w:pPr>
      <w:r w:rsidRPr="00375B9D">
        <w:t>the types of services provided by the contractor in relation to the nature of services provided by the principal to the general public or business community.</w:t>
      </w:r>
    </w:p>
    <w:p w14:paraId="06B5110D" w14:textId="77777777" w:rsidR="00375B9D" w:rsidRPr="00375B9D" w:rsidRDefault="00375B9D" w:rsidP="00A7303B">
      <w:pPr>
        <w:pStyle w:val="Heading2"/>
      </w:pPr>
      <w:bookmarkStart w:id="67" w:name="_Toc108789583"/>
      <w:r w:rsidRPr="00375B9D">
        <w:t xml:space="preserve">Monthly and </w:t>
      </w:r>
      <w:r w:rsidR="002004BA">
        <w:t>a</w:t>
      </w:r>
      <w:r w:rsidRPr="00375B9D">
        <w:t xml:space="preserve">nnual </w:t>
      </w:r>
      <w:r w:rsidR="002004BA">
        <w:t>p</w:t>
      </w:r>
      <w:r w:rsidRPr="00375B9D">
        <w:t xml:space="preserve">ayroll </w:t>
      </w:r>
      <w:r w:rsidR="002004BA">
        <w:t>t</w:t>
      </w:r>
      <w:r w:rsidRPr="00375B9D">
        <w:t xml:space="preserve">ax </w:t>
      </w:r>
      <w:r w:rsidR="002004BA">
        <w:t>r</w:t>
      </w:r>
      <w:r w:rsidRPr="00375B9D">
        <w:t xml:space="preserve">eturns and </w:t>
      </w:r>
      <w:r w:rsidR="002004BA">
        <w:t>c</w:t>
      </w:r>
      <w:r w:rsidRPr="00375B9D">
        <w:t xml:space="preserve">ontractor </w:t>
      </w:r>
      <w:r w:rsidR="002004BA">
        <w:t>p</w:t>
      </w:r>
      <w:r w:rsidRPr="00375B9D">
        <w:t>ayments</w:t>
      </w:r>
      <w:bookmarkEnd w:id="67"/>
    </w:p>
    <w:p w14:paraId="6B5BC6D5" w14:textId="77777777" w:rsidR="00375B9D" w:rsidRPr="00375B9D" w:rsidRDefault="00375B9D" w:rsidP="00375B9D">
      <w:pPr>
        <w:rPr>
          <w:noProof/>
          <w:lang w:eastAsia="en-AU"/>
        </w:rPr>
      </w:pPr>
      <w:r w:rsidRPr="00375B9D">
        <w:rPr>
          <w:noProof/>
          <w:lang w:eastAsia="en-AU"/>
        </w:rPr>
        <w:t>Because of the basis of classification of relevant contracts into taxable or non-taxable categories, TRO is fully aware that taxpayers will often need to make use of projections and estimates when preparing a monthly return that includes taxable wages generated by a relevant contract.</w:t>
      </w:r>
    </w:p>
    <w:p w14:paraId="3AE7D28A" w14:textId="77777777" w:rsidR="00375B9D" w:rsidRPr="00375B9D" w:rsidRDefault="00375B9D" w:rsidP="00375B9D">
      <w:pPr>
        <w:rPr>
          <w:noProof/>
          <w:lang w:eastAsia="en-AU"/>
        </w:rPr>
      </w:pPr>
      <w:r w:rsidRPr="00375B9D">
        <w:rPr>
          <w:noProof/>
          <w:lang w:eastAsia="en-AU"/>
        </w:rPr>
        <w:t>In some cases, it may only be at the end of a financial year (when lodging the June and Annual Return in July) that a taxpayer will be able to provide definitively accurate taxable wage values resulting from taxable-relevant contracts.</w:t>
      </w:r>
    </w:p>
    <w:p w14:paraId="6A84C708" w14:textId="77777777" w:rsidR="00375B9D" w:rsidRPr="00375B9D" w:rsidRDefault="00375B9D" w:rsidP="00375B9D">
      <w:pPr>
        <w:rPr>
          <w:noProof/>
          <w:lang w:eastAsia="en-AU"/>
        </w:rPr>
      </w:pPr>
      <w:r w:rsidRPr="00375B9D">
        <w:rPr>
          <w:noProof/>
          <w:lang w:eastAsia="en-AU"/>
        </w:rPr>
        <w:t>The major reason for this situation is that payments to a contractor will not move from the non-taxable to a taxable status until 90 days of actual services (continuous or non-continuous) have been provided within a single financial year (providing that no other bases for exclusion exist).</w:t>
      </w:r>
    </w:p>
    <w:p w14:paraId="02D46204" w14:textId="77777777" w:rsidR="00375B9D" w:rsidRPr="00375B9D" w:rsidRDefault="00375B9D" w:rsidP="00375B9D">
      <w:pPr>
        <w:rPr>
          <w:noProof/>
          <w:lang w:eastAsia="en-AU"/>
        </w:rPr>
      </w:pPr>
      <w:r w:rsidRPr="00375B9D">
        <w:rPr>
          <w:noProof/>
          <w:lang w:eastAsia="en-AU"/>
        </w:rPr>
        <w:t>For example, Contract Carpenter A commences working for XYZ Builders on 18 July 20</w:t>
      </w:r>
      <w:r w:rsidR="00DB1467">
        <w:rPr>
          <w:noProof/>
          <w:lang w:eastAsia="en-AU"/>
        </w:rPr>
        <w:t>21</w:t>
      </w:r>
      <w:r w:rsidRPr="00375B9D">
        <w:rPr>
          <w:noProof/>
          <w:lang w:eastAsia="en-AU"/>
        </w:rPr>
        <w:t xml:space="preserve"> on a frequent but not continuous basis, averaging around 15 days each month at $400 per day. It would therefore not be until mid-January </w:t>
      </w:r>
      <w:r w:rsidR="004267E5">
        <w:rPr>
          <w:noProof/>
          <w:lang w:eastAsia="en-AU"/>
        </w:rPr>
        <w:t>2022</w:t>
      </w:r>
      <w:r w:rsidRPr="00375B9D">
        <w:rPr>
          <w:noProof/>
          <w:lang w:eastAsia="en-AU"/>
        </w:rPr>
        <w:t xml:space="preserve"> that Contract Carpenter A reached the ‘taxable threshold’ of 90 days (six months at an average of 15 days), having earned around $6</w:t>
      </w:r>
      <w:r w:rsidR="00C65823">
        <w:rPr>
          <w:noProof/>
          <w:lang w:eastAsia="en-AU"/>
        </w:rPr>
        <w:t>,</w:t>
      </w:r>
      <w:r w:rsidRPr="00375B9D">
        <w:rPr>
          <w:noProof/>
          <w:lang w:eastAsia="en-AU"/>
        </w:rPr>
        <w:t>000 in each month or a total of around $36</w:t>
      </w:r>
      <w:r w:rsidR="00C65823">
        <w:rPr>
          <w:noProof/>
          <w:lang w:eastAsia="en-AU"/>
        </w:rPr>
        <w:t>,000</w:t>
      </w:r>
      <w:r w:rsidRPr="00375B9D">
        <w:rPr>
          <w:noProof/>
          <w:lang w:eastAsia="en-AU"/>
        </w:rPr>
        <w:t xml:space="preserve"> (plus GST) for the 90 days.</w:t>
      </w:r>
    </w:p>
    <w:p w14:paraId="28C0DA58" w14:textId="77777777" w:rsidR="00375B9D" w:rsidRPr="00375B9D" w:rsidRDefault="00375B9D" w:rsidP="00375B9D">
      <w:pPr>
        <w:rPr>
          <w:noProof/>
          <w:lang w:eastAsia="en-AU"/>
        </w:rPr>
      </w:pPr>
      <w:r w:rsidRPr="00375B9D">
        <w:rPr>
          <w:noProof/>
          <w:lang w:eastAsia="en-AU"/>
        </w:rPr>
        <w:t>For the last five months of the financial year (the 90-day threshold having been reached), assuming that Contractor Carpenter A continues to provide services to XYZ Builders, all pre-GST payments, less any allowable deductions, would be declared in each month’s return.</w:t>
      </w:r>
    </w:p>
    <w:p w14:paraId="09851FDE" w14:textId="77777777" w:rsidR="00375B9D" w:rsidRPr="00375B9D" w:rsidRDefault="00375B9D" w:rsidP="00375B9D">
      <w:pPr>
        <w:rPr>
          <w:noProof/>
          <w:lang w:eastAsia="en-AU"/>
        </w:rPr>
      </w:pPr>
      <w:r w:rsidRPr="00375B9D">
        <w:rPr>
          <w:noProof/>
          <w:lang w:eastAsia="en-AU"/>
        </w:rPr>
        <w:t xml:space="preserve">In order to ‘even out’ the payroll tax associated with this contractor, the taxpayer may wish to project the probability of the contractor continuing to provide services up to and beyond the 90-days threshold, and include an estimated monthly value of taxable wages from July </w:t>
      </w:r>
      <w:r w:rsidR="004267E5">
        <w:rPr>
          <w:noProof/>
          <w:lang w:eastAsia="en-AU"/>
        </w:rPr>
        <w:t>2022</w:t>
      </w:r>
      <w:r w:rsidRPr="00375B9D">
        <w:rPr>
          <w:noProof/>
          <w:lang w:eastAsia="en-AU"/>
        </w:rPr>
        <w:t xml:space="preserve"> return onwards, rather than being required to meet a significant accumulated liability at the end of the 90 days.</w:t>
      </w:r>
    </w:p>
    <w:p w14:paraId="53242D1D" w14:textId="77777777" w:rsidR="00375B9D" w:rsidRPr="00375B9D" w:rsidRDefault="00375B9D" w:rsidP="00375B9D">
      <w:pPr>
        <w:rPr>
          <w:noProof/>
          <w:lang w:eastAsia="en-AU"/>
        </w:rPr>
      </w:pPr>
      <w:r w:rsidRPr="00375B9D">
        <w:rPr>
          <w:noProof/>
          <w:lang w:eastAsia="en-AU"/>
        </w:rPr>
        <w:t>It should also be considered that the 90-day test ‘clock’ resets to ‘zero days worked’ at midnight on 30</w:t>
      </w:r>
      <w:r w:rsidR="00DB1467">
        <w:rPr>
          <w:noProof/>
          <w:lang w:eastAsia="en-AU"/>
        </w:rPr>
        <w:t> </w:t>
      </w:r>
      <w:r w:rsidRPr="00375B9D">
        <w:rPr>
          <w:noProof/>
          <w:lang w:eastAsia="en-AU"/>
        </w:rPr>
        <w:t xml:space="preserve">June each year. This means that, for example, if a contractor works 40 days in the 2 months leading up to 30 June </w:t>
      </w:r>
      <w:r w:rsidR="004267E5">
        <w:rPr>
          <w:noProof/>
          <w:lang w:eastAsia="en-AU"/>
        </w:rPr>
        <w:t>2022</w:t>
      </w:r>
      <w:r w:rsidRPr="00375B9D">
        <w:rPr>
          <w:noProof/>
          <w:lang w:eastAsia="en-AU"/>
        </w:rPr>
        <w:t xml:space="preserve">, and only 60 days during </w:t>
      </w:r>
      <w:r w:rsidR="004267E5">
        <w:rPr>
          <w:noProof/>
          <w:lang w:eastAsia="en-AU"/>
        </w:rPr>
        <w:t>2022</w:t>
      </w:r>
      <w:r w:rsidRPr="00375B9D">
        <w:rPr>
          <w:noProof/>
          <w:lang w:eastAsia="en-AU"/>
        </w:rPr>
        <w:t>-</w:t>
      </w:r>
      <w:r w:rsidR="004267E5">
        <w:rPr>
          <w:noProof/>
          <w:lang w:eastAsia="en-AU"/>
        </w:rPr>
        <w:t>23</w:t>
      </w:r>
      <w:r w:rsidRPr="00375B9D">
        <w:rPr>
          <w:noProof/>
          <w:lang w:eastAsia="en-AU"/>
        </w:rPr>
        <w:t>, no taxable wages would have been created in either financial year, as the 90-day test has not been satisfied in either financial year.</w:t>
      </w:r>
    </w:p>
    <w:p w14:paraId="2DE3847B" w14:textId="77777777" w:rsidR="00375B9D" w:rsidRPr="00375B9D" w:rsidRDefault="00375B9D" w:rsidP="00A7303B">
      <w:pPr>
        <w:pStyle w:val="Heading2"/>
      </w:pPr>
      <w:bookmarkStart w:id="68" w:name="_Toc108789584"/>
      <w:r w:rsidRPr="00375B9D">
        <w:lastRenderedPageBreak/>
        <w:t xml:space="preserve">Myths about </w:t>
      </w:r>
      <w:r w:rsidR="001258EC">
        <w:t>c</w:t>
      </w:r>
      <w:r w:rsidRPr="00375B9D">
        <w:t>ontractors</w:t>
      </w:r>
      <w:bookmarkEnd w:id="68"/>
    </w:p>
    <w:p w14:paraId="0C5E3F73" w14:textId="77777777" w:rsidR="00375B9D" w:rsidRPr="00375B9D" w:rsidRDefault="00375B9D" w:rsidP="00375B9D">
      <w:pPr>
        <w:rPr>
          <w:noProof/>
          <w:lang w:eastAsia="en-AU"/>
        </w:rPr>
      </w:pPr>
      <w:r w:rsidRPr="00375B9D">
        <w:rPr>
          <w:noProof/>
          <w:lang w:eastAsia="en-AU"/>
        </w:rPr>
        <w:t>In the business community there are several myths regarding the status of ‘contractors’ as opposed to ‘employees’.</w:t>
      </w:r>
    </w:p>
    <w:p w14:paraId="16B4CD50" w14:textId="77777777" w:rsidR="00375B9D" w:rsidRPr="00375B9D" w:rsidRDefault="00375B9D" w:rsidP="00375B9D">
      <w:pPr>
        <w:rPr>
          <w:noProof/>
          <w:lang w:eastAsia="en-AU"/>
        </w:rPr>
      </w:pPr>
      <w:r w:rsidRPr="00375B9D">
        <w:rPr>
          <w:noProof/>
          <w:lang w:eastAsia="en-AU"/>
        </w:rPr>
        <w:t>These myths incorrectly suggest that because a worker meets one or more of the listed conditions, payments to them are not subject to payroll tax.</w:t>
      </w:r>
    </w:p>
    <w:p w14:paraId="313521D2" w14:textId="77777777" w:rsidR="00375B9D" w:rsidRPr="00375B9D" w:rsidRDefault="00375B9D" w:rsidP="00375B9D">
      <w:pPr>
        <w:rPr>
          <w:noProof/>
          <w:lang w:eastAsia="en-AU"/>
        </w:rPr>
      </w:pPr>
      <w:r w:rsidRPr="00375B9D">
        <w:rPr>
          <w:noProof/>
          <w:lang w:eastAsia="en-AU"/>
        </w:rPr>
        <w:t>The most common of these myths are as follows:</w:t>
      </w:r>
    </w:p>
    <w:p w14:paraId="5E5F5220" w14:textId="77777777" w:rsidR="00375B9D" w:rsidRPr="00095310" w:rsidRDefault="00375B9D" w:rsidP="009619C5">
      <w:pPr>
        <w:pStyle w:val="DTFNumberedlist"/>
        <w:numPr>
          <w:ilvl w:val="0"/>
          <w:numId w:val="29"/>
        </w:numPr>
        <w:rPr>
          <w:b/>
        </w:rPr>
      </w:pPr>
      <w:r w:rsidRPr="00095310">
        <w:rPr>
          <w:b/>
        </w:rPr>
        <w:t xml:space="preserve">The 80/20 </w:t>
      </w:r>
      <w:r w:rsidR="00A9249B">
        <w:rPr>
          <w:b/>
        </w:rPr>
        <w:t>m</w:t>
      </w:r>
      <w:r w:rsidRPr="00095310">
        <w:rPr>
          <w:b/>
        </w:rPr>
        <w:t>yth</w:t>
      </w:r>
    </w:p>
    <w:p w14:paraId="09DE717E" w14:textId="77777777" w:rsidR="00375B9D" w:rsidRPr="00375B9D" w:rsidRDefault="00375B9D" w:rsidP="00095310">
      <w:pPr>
        <w:ind w:left="624"/>
        <w:rPr>
          <w:noProof/>
          <w:lang w:eastAsia="en-AU"/>
        </w:rPr>
      </w:pPr>
      <w:r w:rsidRPr="00375B9D">
        <w:rPr>
          <w:noProof/>
          <w:lang w:eastAsia="en-AU"/>
        </w:rPr>
        <w:t>‘As long as I don’t work more than 80</w:t>
      </w:r>
      <w:r w:rsidR="00A73CE7">
        <w:rPr>
          <w:noProof/>
          <w:lang w:eastAsia="en-AU"/>
        </w:rPr>
        <w:t>%</w:t>
      </w:r>
      <w:r w:rsidRPr="00375B9D">
        <w:rPr>
          <w:noProof/>
          <w:lang w:eastAsia="en-AU"/>
        </w:rPr>
        <w:t xml:space="preserve"> of my time for one business, I will be regarded as an independent contractor’.</w:t>
      </w:r>
    </w:p>
    <w:p w14:paraId="35B49669" w14:textId="77777777" w:rsidR="00375B9D" w:rsidRPr="00375B9D" w:rsidRDefault="00375B9D" w:rsidP="00095310">
      <w:pPr>
        <w:ind w:left="624"/>
        <w:rPr>
          <w:noProof/>
          <w:lang w:eastAsia="en-AU"/>
        </w:rPr>
      </w:pPr>
      <w:r w:rsidRPr="00375B9D">
        <w:rPr>
          <w:noProof/>
          <w:lang w:eastAsia="en-AU"/>
        </w:rPr>
        <w:t>This is incorrect. The 80/20 rule has nothing to do with whether a worker is considered to be an ‘employee’ or an ‘independent contractor’. The 80/20 rule relates to the way in which these workers prepare their income tax returns.</w:t>
      </w:r>
    </w:p>
    <w:p w14:paraId="6BFB175A" w14:textId="77777777" w:rsidR="00375B9D" w:rsidRPr="00095310" w:rsidRDefault="00375B9D" w:rsidP="00095310">
      <w:pPr>
        <w:pStyle w:val="DTFNumberedlist"/>
        <w:rPr>
          <w:b/>
        </w:rPr>
      </w:pPr>
      <w:r w:rsidRPr="00095310">
        <w:rPr>
          <w:b/>
        </w:rPr>
        <w:t xml:space="preserve">The ‘I have an ABN’ </w:t>
      </w:r>
      <w:r w:rsidR="00A9249B">
        <w:rPr>
          <w:b/>
        </w:rPr>
        <w:t>m</w:t>
      </w:r>
      <w:r w:rsidRPr="00095310">
        <w:rPr>
          <w:b/>
        </w:rPr>
        <w:t>yth</w:t>
      </w:r>
    </w:p>
    <w:p w14:paraId="1ABBD667" w14:textId="77777777" w:rsidR="00375B9D" w:rsidRPr="00375B9D" w:rsidRDefault="00375B9D" w:rsidP="00095310">
      <w:pPr>
        <w:ind w:left="624"/>
        <w:rPr>
          <w:noProof/>
          <w:lang w:eastAsia="en-AU"/>
        </w:rPr>
      </w:pPr>
      <w:r w:rsidRPr="00375B9D">
        <w:rPr>
          <w:noProof/>
          <w:lang w:eastAsia="en-AU"/>
        </w:rPr>
        <w:t>‘As long as I have an ABN and get paid using a tax invoice, I will be regarded as an independent contractor’.</w:t>
      </w:r>
    </w:p>
    <w:p w14:paraId="331CE6E4" w14:textId="77777777" w:rsidR="00375B9D" w:rsidRPr="00375B9D" w:rsidRDefault="00375B9D" w:rsidP="00095310">
      <w:pPr>
        <w:ind w:left="624"/>
        <w:rPr>
          <w:noProof/>
          <w:lang w:eastAsia="en-AU"/>
        </w:rPr>
      </w:pPr>
      <w:r w:rsidRPr="00375B9D">
        <w:rPr>
          <w:noProof/>
          <w:lang w:eastAsia="en-AU"/>
        </w:rPr>
        <w:t>This is incorrect. Having an ABN makes no difference if the remainder of the relationship indicates that payments are taxable under the relevant contract provisions.</w:t>
      </w:r>
    </w:p>
    <w:p w14:paraId="76D27884" w14:textId="77777777" w:rsidR="00375B9D" w:rsidRPr="00095310" w:rsidRDefault="00375B9D" w:rsidP="00095310">
      <w:pPr>
        <w:pStyle w:val="DTFNumberedlist"/>
        <w:rPr>
          <w:b/>
        </w:rPr>
      </w:pPr>
      <w:r w:rsidRPr="00095310">
        <w:rPr>
          <w:b/>
        </w:rPr>
        <w:t xml:space="preserve">The ‘I call myself a contractor, therefore I am one’ </w:t>
      </w:r>
      <w:r w:rsidR="00A9249B">
        <w:rPr>
          <w:b/>
        </w:rPr>
        <w:t>m</w:t>
      </w:r>
      <w:r w:rsidRPr="00095310">
        <w:rPr>
          <w:b/>
        </w:rPr>
        <w:t>yth</w:t>
      </w:r>
    </w:p>
    <w:p w14:paraId="036648EF" w14:textId="77777777" w:rsidR="00375B9D" w:rsidRPr="00375B9D" w:rsidRDefault="00375B9D" w:rsidP="00095310">
      <w:pPr>
        <w:pStyle w:val="DTFNormalnumberedlist"/>
      </w:pPr>
      <w:r w:rsidRPr="00375B9D">
        <w:t>‘As long as I refer to myself as a contractor, I will be regarded as a contractor in law’.</w:t>
      </w:r>
    </w:p>
    <w:p w14:paraId="0608985F" w14:textId="77777777" w:rsidR="00375B9D" w:rsidRPr="00375B9D" w:rsidRDefault="00375B9D" w:rsidP="00095310">
      <w:pPr>
        <w:pStyle w:val="DTFNormalnumberedlist"/>
      </w:pPr>
      <w:r w:rsidRPr="00375B9D">
        <w:t>This is incorrect. Calling oneself a contractor is irrelevant if the remainder of the relationship indicates that payments would be taxable under the relevant contract provisions.</w:t>
      </w:r>
    </w:p>
    <w:p w14:paraId="12CA3A0C" w14:textId="77777777" w:rsidR="00375B9D" w:rsidRPr="00095310" w:rsidRDefault="00375B9D" w:rsidP="00095310">
      <w:pPr>
        <w:pStyle w:val="DTFNumberedlist"/>
        <w:rPr>
          <w:b/>
        </w:rPr>
      </w:pPr>
      <w:r w:rsidRPr="00375B9D">
        <w:t xml:space="preserve"> </w:t>
      </w:r>
      <w:r w:rsidRPr="00095310">
        <w:rPr>
          <w:b/>
        </w:rPr>
        <w:t xml:space="preserve">‘The boss refers to me as a contractor, therefore I am one’ </w:t>
      </w:r>
      <w:r w:rsidR="00A9249B">
        <w:rPr>
          <w:b/>
        </w:rPr>
        <w:t>m</w:t>
      </w:r>
      <w:r w:rsidRPr="00095310">
        <w:rPr>
          <w:b/>
        </w:rPr>
        <w:t>yth</w:t>
      </w:r>
    </w:p>
    <w:p w14:paraId="7321A769" w14:textId="77777777" w:rsidR="00375B9D" w:rsidRPr="00375B9D" w:rsidRDefault="00375B9D" w:rsidP="00095310">
      <w:pPr>
        <w:pStyle w:val="DTFNormalnumberedlist"/>
      </w:pPr>
      <w:r w:rsidRPr="00375B9D">
        <w:t>‘The boss says that I am a contractor, therefore I am not an employee’.</w:t>
      </w:r>
    </w:p>
    <w:p w14:paraId="6D206B2A" w14:textId="77777777" w:rsidR="00375B9D" w:rsidRPr="00375B9D" w:rsidRDefault="00375B9D" w:rsidP="00095310">
      <w:pPr>
        <w:pStyle w:val="DTFNormalnumberedlist"/>
      </w:pPr>
      <w:r w:rsidRPr="00375B9D">
        <w:t>This is incorrect. How the worker is referred to by the principal is irrelevant if the remainder of the relationship indicates that payments would be taxable under the relevant contract provisions.</w:t>
      </w:r>
    </w:p>
    <w:p w14:paraId="0FBC2C90" w14:textId="77777777" w:rsidR="00375B9D" w:rsidRPr="00095310" w:rsidRDefault="00375B9D" w:rsidP="00095310">
      <w:pPr>
        <w:pStyle w:val="DTFNumberedlist"/>
        <w:rPr>
          <w:b/>
        </w:rPr>
      </w:pPr>
      <w:r w:rsidRPr="00095310">
        <w:rPr>
          <w:b/>
        </w:rPr>
        <w:t>The ‘</w:t>
      </w:r>
      <w:r w:rsidR="007E5105">
        <w:rPr>
          <w:b/>
        </w:rPr>
        <w:t>s</w:t>
      </w:r>
      <w:r w:rsidRPr="00095310">
        <w:rPr>
          <w:b/>
        </w:rPr>
        <w:t xml:space="preserve">igned </w:t>
      </w:r>
      <w:r w:rsidR="007E5105">
        <w:rPr>
          <w:b/>
        </w:rPr>
        <w:t>a</w:t>
      </w:r>
      <w:r w:rsidRPr="00095310">
        <w:rPr>
          <w:b/>
        </w:rPr>
        <w:t xml:space="preserve">greement’ </w:t>
      </w:r>
      <w:r w:rsidR="00A9249B">
        <w:rPr>
          <w:b/>
        </w:rPr>
        <w:t>m</w:t>
      </w:r>
      <w:r w:rsidRPr="00095310">
        <w:rPr>
          <w:b/>
        </w:rPr>
        <w:t>yth</w:t>
      </w:r>
    </w:p>
    <w:p w14:paraId="41063EFE" w14:textId="77777777" w:rsidR="00375B9D" w:rsidRPr="00375B9D" w:rsidRDefault="00375B9D" w:rsidP="00095310">
      <w:pPr>
        <w:pStyle w:val="DTFNormalnumberedlist"/>
      </w:pPr>
      <w:r w:rsidRPr="00375B9D">
        <w:t>‘I have signed an official agreement that says that I am not an employee, therefore I am not an employee’.</w:t>
      </w:r>
    </w:p>
    <w:p w14:paraId="27AB7655" w14:textId="77777777" w:rsidR="00375B9D" w:rsidRPr="00375B9D" w:rsidRDefault="00375B9D" w:rsidP="00095310">
      <w:pPr>
        <w:pStyle w:val="DTFNormalnumberedlist"/>
      </w:pPr>
      <w:r w:rsidRPr="00375B9D">
        <w:t>This is incorrect. Any clauses in an agreement are irrelevant if the remainder of the relationship indicates that payments would be taxable under the relevant contract provisions.</w:t>
      </w:r>
    </w:p>
    <w:p w14:paraId="77E76F78" w14:textId="77777777" w:rsidR="00375B9D" w:rsidRPr="00375B9D" w:rsidRDefault="00375B9D" w:rsidP="00095310">
      <w:pPr>
        <w:pStyle w:val="DTFNormalnumberedlist"/>
      </w:pPr>
      <w:r w:rsidRPr="00375B9D">
        <w:t>This includes standard or proforma agreements supplied by business associations to their members.</w:t>
      </w:r>
    </w:p>
    <w:p w14:paraId="04AC5193" w14:textId="77777777" w:rsidR="001D13DC" w:rsidRDefault="001D13DC">
      <w:pPr>
        <w:rPr>
          <w:rFonts w:eastAsiaTheme="minorEastAsia"/>
          <w:b/>
          <w:iCs/>
          <w:noProof/>
          <w:lang w:eastAsia="en-AU"/>
        </w:rPr>
      </w:pPr>
      <w:r>
        <w:rPr>
          <w:b/>
        </w:rPr>
        <w:br w:type="page"/>
      </w:r>
    </w:p>
    <w:p w14:paraId="61C214FF" w14:textId="77777777" w:rsidR="00375B9D" w:rsidRPr="00095310" w:rsidRDefault="00375B9D" w:rsidP="00095310">
      <w:pPr>
        <w:pStyle w:val="DTFNumberedlist"/>
        <w:rPr>
          <w:b/>
        </w:rPr>
      </w:pPr>
      <w:r w:rsidRPr="00095310">
        <w:rPr>
          <w:b/>
        </w:rPr>
        <w:lastRenderedPageBreak/>
        <w:t xml:space="preserve">The ‘I have a registered business name’ </w:t>
      </w:r>
      <w:r w:rsidR="00F16B6C">
        <w:rPr>
          <w:b/>
        </w:rPr>
        <w:t>m</w:t>
      </w:r>
      <w:r w:rsidRPr="00095310">
        <w:rPr>
          <w:b/>
        </w:rPr>
        <w:t>yth</w:t>
      </w:r>
    </w:p>
    <w:p w14:paraId="6DAC54FF" w14:textId="77777777" w:rsidR="00375B9D" w:rsidRPr="00375B9D" w:rsidRDefault="00375B9D" w:rsidP="00095310">
      <w:pPr>
        <w:pStyle w:val="DTFNormalnumberedlist"/>
      </w:pPr>
      <w:r w:rsidRPr="00375B9D">
        <w:t>‘I work through a registered business name, which appears on my invoices, therefore I am an independent contractor and not an employee’.</w:t>
      </w:r>
    </w:p>
    <w:p w14:paraId="0745BD17" w14:textId="77777777" w:rsidR="00375B9D" w:rsidRPr="00375B9D" w:rsidRDefault="00375B9D" w:rsidP="00B727FD">
      <w:pPr>
        <w:pStyle w:val="DTFNormalnumberedlist"/>
      </w:pPr>
      <w:r w:rsidRPr="00375B9D">
        <w:t>This is incorrect. Whether or not the worker uses a business name is irrelevant if the remainder of the relationship indicates that payments would be taxable under the relevant contract provisions.</w:t>
      </w:r>
    </w:p>
    <w:p w14:paraId="1973D7FA" w14:textId="77777777" w:rsidR="00375B9D" w:rsidRPr="00095310" w:rsidRDefault="00375B9D" w:rsidP="00095310">
      <w:pPr>
        <w:pStyle w:val="DTFNumberedlist"/>
        <w:rPr>
          <w:b/>
        </w:rPr>
      </w:pPr>
      <w:r w:rsidRPr="00095310">
        <w:rPr>
          <w:b/>
        </w:rPr>
        <w:t xml:space="preserve">The ‘I work through a family trust (or family partnership or family company)’ </w:t>
      </w:r>
      <w:r w:rsidR="00695244">
        <w:rPr>
          <w:b/>
        </w:rPr>
        <w:t>m</w:t>
      </w:r>
      <w:r w:rsidRPr="00095310">
        <w:rPr>
          <w:b/>
        </w:rPr>
        <w:t>yth</w:t>
      </w:r>
    </w:p>
    <w:p w14:paraId="0C314347" w14:textId="77777777" w:rsidR="00375B9D" w:rsidRPr="00375B9D" w:rsidRDefault="00375B9D" w:rsidP="00B727FD">
      <w:pPr>
        <w:pStyle w:val="DTFNormalnumberedlist"/>
      </w:pPr>
      <w:r w:rsidRPr="00375B9D">
        <w:t>‘I work through my family trust (or family company or family partnership), which appears on my invoices, therefore I am an independent contractor and not an employee’.</w:t>
      </w:r>
    </w:p>
    <w:p w14:paraId="58EEA9C6" w14:textId="77777777" w:rsidR="00375B9D" w:rsidRPr="00375B9D" w:rsidRDefault="00375B9D" w:rsidP="00B727FD">
      <w:pPr>
        <w:pStyle w:val="DTFNormalnumberedlist"/>
      </w:pPr>
      <w:r w:rsidRPr="00375B9D">
        <w:t>This is incorrect. Whether or not the worker works as a sole trader, or through a family trust, family partnership or family company is irrelevant if the remainder of the relationship indicates that payments would be taxable under the relevant contract provisions.</w:t>
      </w:r>
    </w:p>
    <w:p w14:paraId="56F3E67F" w14:textId="77777777" w:rsidR="00375B9D" w:rsidRPr="00375B9D" w:rsidRDefault="00375B9D" w:rsidP="00B727FD">
      <w:pPr>
        <w:pStyle w:val="DTFNormalnumberedlist"/>
      </w:pPr>
      <w:r w:rsidRPr="00375B9D">
        <w:t>In fact, under the relevant contract provisions, an individual working in this way is deemed by law to be an employee (and the principal is deemed to be the employer).</w:t>
      </w:r>
    </w:p>
    <w:p w14:paraId="65DE809C" w14:textId="77777777" w:rsidR="00375B9D" w:rsidRPr="00095310" w:rsidRDefault="00375B9D" w:rsidP="00095310">
      <w:pPr>
        <w:pStyle w:val="DTFNumberedlist"/>
        <w:rPr>
          <w:b/>
        </w:rPr>
      </w:pPr>
      <w:r w:rsidRPr="00095310">
        <w:rPr>
          <w:b/>
        </w:rPr>
        <w:t xml:space="preserve">The ‘I work under fixed price contracts’ </w:t>
      </w:r>
      <w:r w:rsidR="00695244">
        <w:rPr>
          <w:b/>
        </w:rPr>
        <w:t>m</w:t>
      </w:r>
      <w:r w:rsidRPr="00095310">
        <w:rPr>
          <w:b/>
        </w:rPr>
        <w:t>yth</w:t>
      </w:r>
    </w:p>
    <w:p w14:paraId="23F8BEC9" w14:textId="77777777" w:rsidR="00375B9D" w:rsidRPr="00375B9D" w:rsidRDefault="00375B9D" w:rsidP="00B727FD">
      <w:pPr>
        <w:pStyle w:val="DTFNormalnumberedlist"/>
      </w:pPr>
      <w:r w:rsidRPr="00375B9D">
        <w:t>‘I work under fixed price contracts only; therefore payments to me cannot be taxable wages’.</w:t>
      </w:r>
    </w:p>
    <w:p w14:paraId="18BBDDE5" w14:textId="77777777" w:rsidR="00375B9D" w:rsidRPr="00375B9D" w:rsidRDefault="00375B9D" w:rsidP="00B727FD">
      <w:pPr>
        <w:pStyle w:val="DTFNormalnumberedlist"/>
      </w:pPr>
      <w:r w:rsidRPr="00375B9D">
        <w:t xml:space="preserve">This is incorrect. </w:t>
      </w:r>
    </w:p>
    <w:p w14:paraId="7A3C487E" w14:textId="77777777" w:rsidR="00375B9D" w:rsidRPr="00375B9D" w:rsidRDefault="00375B9D" w:rsidP="00B727FD">
      <w:pPr>
        <w:pStyle w:val="DTFNormalnumberedlist"/>
      </w:pPr>
      <w:r w:rsidRPr="00375B9D">
        <w:t>Firstly, if the labour component of the contract exceeds 50</w:t>
      </w:r>
      <w:r w:rsidR="00A73CE7">
        <w:t>%</w:t>
      </w:r>
      <w:r w:rsidRPr="00375B9D">
        <w:t>, the contract is a relevant contract.</w:t>
      </w:r>
    </w:p>
    <w:p w14:paraId="75B613B7" w14:textId="77777777" w:rsidR="00375B9D" w:rsidRPr="00375B9D" w:rsidRDefault="00375B9D" w:rsidP="00B727FD">
      <w:pPr>
        <w:pStyle w:val="DTFNormalnumberedlist"/>
      </w:pPr>
      <w:r w:rsidRPr="00375B9D">
        <w:t>Secondly, if the other conditions for qualifying as a taxable relevant contract have been met (more than 90 days, average of more than 10 days per month and service normally required by your business), whether or not payment for labour was based upon time worked, piece rates or a fixed price is not immediately relevant.</w:t>
      </w:r>
    </w:p>
    <w:p w14:paraId="651F3CC1" w14:textId="77777777" w:rsidR="00375B9D" w:rsidRPr="00375B9D" w:rsidRDefault="00375B9D" w:rsidP="00B727FD">
      <w:pPr>
        <w:pStyle w:val="DTFNormalnumberedlist"/>
      </w:pPr>
      <w:r w:rsidRPr="00375B9D">
        <w:t>However, your business would be entitled to apply for the Commissioner to exercise discretion to exclude payments under the contract from taxable wages.</w:t>
      </w:r>
    </w:p>
    <w:p w14:paraId="7A6A99E4" w14:textId="77777777" w:rsidR="00375B9D" w:rsidRDefault="00375B9D" w:rsidP="00B727FD">
      <w:pPr>
        <w:pStyle w:val="DTFNormalnumberedlist"/>
      </w:pPr>
      <w:r w:rsidRPr="00375B9D">
        <w:t xml:space="preserve">The process for making such an application is described in </w:t>
      </w:r>
      <w:hyperlink r:id="rId42" w:history="1">
        <w:r w:rsidRPr="00375B9D">
          <w:rPr>
            <w:rStyle w:val="Hyperlink"/>
          </w:rPr>
          <w:t xml:space="preserve">PTA021 Exemption for </w:t>
        </w:r>
        <w:r w:rsidR="0092207F" w:rsidRPr="00375B9D">
          <w:rPr>
            <w:rStyle w:val="Hyperlink"/>
          </w:rPr>
          <w:t>contractors ordinarily rendering services to the pu</w:t>
        </w:r>
        <w:r w:rsidRPr="00375B9D">
          <w:rPr>
            <w:rStyle w:val="Hyperlink"/>
          </w:rPr>
          <w:t>blic</w:t>
        </w:r>
      </w:hyperlink>
      <w:r w:rsidRPr="00375B9D">
        <w:t>.</w:t>
      </w:r>
    </w:p>
    <w:p w14:paraId="669EC19A" w14:textId="77777777" w:rsidR="00B16992" w:rsidRDefault="00B16992">
      <w:pPr>
        <w:rPr>
          <w:noProof/>
          <w:lang w:eastAsia="en-AU"/>
        </w:rPr>
      </w:pPr>
      <w:r>
        <w:br w:type="page"/>
      </w:r>
    </w:p>
    <w:p w14:paraId="737621DC" w14:textId="77777777" w:rsidR="00B16992" w:rsidRPr="00375B9D" w:rsidRDefault="00B16992" w:rsidP="00A7303B">
      <w:pPr>
        <w:pStyle w:val="Heading2"/>
      </w:pPr>
      <w:bookmarkStart w:id="69" w:name="_Toc108789585"/>
      <w:r>
        <w:lastRenderedPageBreak/>
        <w:t>Further information</w:t>
      </w:r>
      <w:bookmarkEnd w:id="69"/>
    </w:p>
    <w:tbl>
      <w:tblPr>
        <w:tblStyle w:val="DTFpayrolltaxguidestyle1"/>
        <w:tblW w:w="10348" w:type="dxa"/>
        <w:tblLook w:val="04A0" w:firstRow="1" w:lastRow="0" w:firstColumn="1" w:lastColumn="0" w:noHBand="0" w:noVBand="1"/>
        <w:tblDescription w:val="For further information on contractors and payroll tax, refer to the following publications:"/>
      </w:tblPr>
      <w:tblGrid>
        <w:gridCol w:w="10348"/>
      </w:tblGrid>
      <w:tr w:rsidR="00375B9D" w:rsidRPr="00375B9D" w14:paraId="6F03220F" w14:textId="77777777" w:rsidTr="00937629">
        <w:trPr>
          <w:trHeight w:val="5756"/>
          <w:tblHeader/>
        </w:trPr>
        <w:tc>
          <w:tcPr>
            <w:tcW w:w="10348" w:type="dxa"/>
          </w:tcPr>
          <w:p w14:paraId="15FDEADD" w14:textId="77777777" w:rsidR="00375B9D" w:rsidRPr="00375B9D" w:rsidRDefault="00375B9D" w:rsidP="00375B9D">
            <w:pPr>
              <w:spacing w:after="200"/>
              <w:rPr>
                <w:noProof/>
                <w:lang w:eastAsia="en-AU"/>
              </w:rPr>
            </w:pPr>
            <w:r w:rsidRPr="00375B9D">
              <w:rPr>
                <w:noProof/>
                <w:lang w:eastAsia="en-AU"/>
              </w:rPr>
              <w:t xml:space="preserve">For </w:t>
            </w:r>
            <w:r w:rsidR="00B16992">
              <w:rPr>
                <w:noProof/>
                <w:lang w:eastAsia="en-AU"/>
              </w:rPr>
              <w:t>more</w:t>
            </w:r>
            <w:r w:rsidRPr="00375B9D">
              <w:rPr>
                <w:noProof/>
                <w:lang w:eastAsia="en-AU"/>
              </w:rPr>
              <w:t xml:space="preserve"> information on contractors and payroll tax, refer to the following publications:</w:t>
            </w:r>
          </w:p>
          <w:p w14:paraId="4927D02A" w14:textId="77777777" w:rsidR="00375B9D" w:rsidRPr="00375B9D" w:rsidRDefault="00375B9D" w:rsidP="00375B9D">
            <w:pPr>
              <w:spacing w:after="200"/>
              <w:rPr>
                <w:rStyle w:val="Hyperlink"/>
                <w:noProof/>
                <w:lang w:eastAsia="en-AU"/>
              </w:rPr>
            </w:pPr>
            <w:r w:rsidRPr="00375B9D">
              <w:rPr>
                <w:noProof/>
                <w:lang w:eastAsia="en-AU"/>
              </w:rPr>
              <w:fldChar w:fldCharType="begin"/>
            </w:r>
            <w:r w:rsidRPr="00375B9D">
              <w:rPr>
                <w:noProof/>
                <w:lang w:eastAsia="en-AU"/>
              </w:rPr>
              <w:instrText xml:space="preserve"> HYPERLINK "https://treasury.nt.gov.au/dtf/territory-revenue-office/publications" </w:instrText>
            </w:r>
            <w:r w:rsidRPr="00375B9D">
              <w:rPr>
                <w:noProof/>
                <w:lang w:eastAsia="en-AU"/>
              </w:rPr>
            </w:r>
            <w:r w:rsidRPr="00375B9D">
              <w:rPr>
                <w:noProof/>
                <w:lang w:eastAsia="en-AU"/>
              </w:rPr>
              <w:fldChar w:fldCharType="separate"/>
            </w:r>
            <w:r w:rsidRPr="00375B9D">
              <w:rPr>
                <w:rStyle w:val="Hyperlink"/>
                <w:noProof/>
                <w:lang w:eastAsia="en-AU"/>
              </w:rPr>
              <w:t xml:space="preserve">PTA006 Payroll </w:t>
            </w:r>
            <w:r w:rsidR="0092207F" w:rsidRPr="00375B9D">
              <w:rPr>
                <w:rStyle w:val="Hyperlink"/>
                <w:noProof/>
                <w:lang w:eastAsia="en-AU"/>
              </w:rPr>
              <w:t>tax exemption for payments to owner-driv</w:t>
            </w:r>
            <w:r w:rsidRPr="00375B9D">
              <w:rPr>
                <w:rStyle w:val="Hyperlink"/>
                <w:noProof/>
                <w:lang w:eastAsia="en-AU"/>
              </w:rPr>
              <w:t>ers</w:t>
            </w:r>
          </w:p>
          <w:p w14:paraId="1769B7B9" w14:textId="77777777" w:rsidR="00375B9D" w:rsidRPr="00375B9D" w:rsidRDefault="00375B9D" w:rsidP="00375B9D">
            <w:pPr>
              <w:spacing w:after="200"/>
              <w:rPr>
                <w:noProof/>
                <w:lang w:eastAsia="en-AU"/>
              </w:rPr>
            </w:pPr>
            <w:r w:rsidRPr="00375B9D">
              <w:rPr>
                <w:noProof/>
                <w:lang w:eastAsia="en-AU"/>
              </w:rPr>
              <w:fldChar w:fldCharType="end"/>
            </w:r>
            <w:hyperlink r:id="rId43" w:history="1">
              <w:r w:rsidRPr="00375B9D">
                <w:rPr>
                  <w:rStyle w:val="Hyperlink"/>
                  <w:noProof/>
                  <w:lang w:eastAsia="en-AU"/>
                </w:rPr>
                <w:t xml:space="preserve">PTA013 Fees </w:t>
              </w:r>
              <w:r w:rsidR="0092207F" w:rsidRPr="00375B9D">
                <w:rPr>
                  <w:rStyle w:val="Hyperlink"/>
                  <w:noProof/>
                  <w:lang w:eastAsia="en-AU"/>
                </w:rPr>
                <w:t>paid to golf club pro</w:t>
              </w:r>
              <w:r w:rsidRPr="00375B9D">
                <w:rPr>
                  <w:rStyle w:val="Hyperlink"/>
                  <w:noProof/>
                  <w:lang w:eastAsia="en-AU"/>
                </w:rPr>
                <w:t>fessionals</w:t>
              </w:r>
            </w:hyperlink>
          </w:p>
          <w:p w14:paraId="4DB9ED3A" w14:textId="77777777" w:rsidR="00375B9D" w:rsidRPr="00375B9D" w:rsidRDefault="00375B9D" w:rsidP="00375B9D">
            <w:pPr>
              <w:spacing w:after="200"/>
              <w:rPr>
                <w:rStyle w:val="Hyperlink"/>
                <w:noProof/>
                <w:lang w:eastAsia="en-AU"/>
              </w:rPr>
            </w:pPr>
            <w:r w:rsidRPr="00375B9D">
              <w:rPr>
                <w:noProof/>
                <w:lang w:eastAsia="en-AU"/>
              </w:rPr>
              <w:fldChar w:fldCharType="begin"/>
            </w:r>
            <w:r w:rsidRPr="00375B9D">
              <w:rPr>
                <w:noProof/>
                <w:lang w:eastAsia="en-AU"/>
              </w:rPr>
              <w:instrText>HYPERLINK "https://treasury.nt.gov.au/dtf/territory-revenue-office/publications"</w:instrText>
            </w:r>
            <w:r w:rsidRPr="00375B9D">
              <w:rPr>
                <w:noProof/>
                <w:lang w:eastAsia="en-AU"/>
              </w:rPr>
            </w:r>
            <w:r w:rsidRPr="00375B9D">
              <w:rPr>
                <w:noProof/>
                <w:lang w:eastAsia="en-AU"/>
              </w:rPr>
              <w:fldChar w:fldCharType="separate"/>
            </w:r>
            <w:r w:rsidRPr="00375B9D">
              <w:rPr>
                <w:rStyle w:val="Hyperlink"/>
                <w:noProof/>
                <w:lang w:eastAsia="en-AU"/>
              </w:rPr>
              <w:t xml:space="preserve">PTA014 What </w:t>
            </w:r>
            <w:r w:rsidR="0092207F" w:rsidRPr="00375B9D">
              <w:rPr>
                <w:rStyle w:val="Hyperlink"/>
                <w:noProof/>
                <w:lang w:eastAsia="en-AU"/>
              </w:rPr>
              <w:t>constitutes a day’s w</w:t>
            </w:r>
            <w:r w:rsidRPr="00375B9D">
              <w:rPr>
                <w:rStyle w:val="Hyperlink"/>
                <w:noProof/>
                <w:lang w:eastAsia="en-AU"/>
              </w:rPr>
              <w:t>ork?</w:t>
            </w:r>
          </w:p>
          <w:p w14:paraId="70CEACAC" w14:textId="77777777" w:rsidR="00375B9D" w:rsidRPr="00375B9D" w:rsidRDefault="00375B9D" w:rsidP="00375B9D">
            <w:pPr>
              <w:spacing w:after="200"/>
              <w:rPr>
                <w:rStyle w:val="Hyperlink"/>
                <w:noProof/>
                <w:lang w:eastAsia="en-AU"/>
              </w:rPr>
            </w:pPr>
            <w:r w:rsidRPr="00375B9D">
              <w:rPr>
                <w:noProof/>
                <w:lang w:eastAsia="en-AU"/>
              </w:rPr>
              <w:fldChar w:fldCharType="end"/>
            </w:r>
            <w:r w:rsidRPr="00375B9D">
              <w:rPr>
                <w:noProof/>
                <w:lang w:eastAsia="en-AU"/>
              </w:rPr>
              <w:fldChar w:fldCharType="begin"/>
            </w:r>
            <w:r w:rsidRPr="00375B9D">
              <w:rPr>
                <w:noProof/>
                <w:lang w:eastAsia="en-AU"/>
              </w:rPr>
              <w:instrText xml:space="preserve"> HYPERLINK "https://treasury.nt.gov.au/dtf/territory-revenue-office/publications" </w:instrText>
            </w:r>
            <w:r w:rsidRPr="00375B9D">
              <w:rPr>
                <w:noProof/>
                <w:lang w:eastAsia="en-AU"/>
              </w:rPr>
            </w:r>
            <w:r w:rsidRPr="00375B9D">
              <w:rPr>
                <w:noProof/>
                <w:lang w:eastAsia="en-AU"/>
              </w:rPr>
              <w:fldChar w:fldCharType="separate"/>
            </w:r>
            <w:r w:rsidRPr="00375B9D">
              <w:rPr>
                <w:rStyle w:val="Hyperlink"/>
                <w:noProof/>
                <w:lang w:eastAsia="en-AU"/>
              </w:rPr>
              <w:t xml:space="preserve">PTA018 Contractor </w:t>
            </w:r>
            <w:r w:rsidR="0092207F" w:rsidRPr="00375B9D">
              <w:rPr>
                <w:rStyle w:val="Hyperlink"/>
                <w:noProof/>
                <w:lang w:eastAsia="en-AU"/>
              </w:rPr>
              <w:t>deductions</w:t>
            </w:r>
          </w:p>
          <w:p w14:paraId="43C3442F" w14:textId="77777777" w:rsidR="00375B9D" w:rsidRPr="00375B9D" w:rsidRDefault="00375B9D" w:rsidP="00375B9D">
            <w:pPr>
              <w:spacing w:after="200"/>
              <w:rPr>
                <w:rStyle w:val="Hyperlink"/>
                <w:noProof/>
                <w:lang w:eastAsia="en-AU"/>
              </w:rPr>
            </w:pPr>
            <w:r w:rsidRPr="00375B9D">
              <w:rPr>
                <w:noProof/>
                <w:lang w:eastAsia="en-AU"/>
              </w:rPr>
              <w:fldChar w:fldCharType="end"/>
            </w:r>
            <w:r w:rsidRPr="00375B9D">
              <w:rPr>
                <w:noProof/>
                <w:lang w:eastAsia="en-AU"/>
              </w:rPr>
              <w:fldChar w:fldCharType="begin"/>
            </w:r>
            <w:r w:rsidRPr="00375B9D">
              <w:rPr>
                <w:noProof/>
                <w:lang w:eastAsia="en-AU"/>
              </w:rPr>
              <w:instrText xml:space="preserve"> HYPERLINK "https://treasury.nt.gov.au/dtf/territory-revenue-office/publications" </w:instrText>
            </w:r>
            <w:r w:rsidRPr="00375B9D">
              <w:rPr>
                <w:noProof/>
                <w:lang w:eastAsia="en-AU"/>
              </w:rPr>
            </w:r>
            <w:r w:rsidRPr="00375B9D">
              <w:rPr>
                <w:noProof/>
                <w:lang w:eastAsia="en-AU"/>
              </w:rPr>
              <w:fldChar w:fldCharType="separate"/>
            </w:r>
            <w:r w:rsidRPr="00375B9D">
              <w:rPr>
                <w:rStyle w:val="Hyperlink"/>
                <w:noProof/>
                <w:lang w:eastAsia="en-AU"/>
              </w:rPr>
              <w:t xml:space="preserve">PTA019 Contractors </w:t>
            </w:r>
            <w:r w:rsidR="0092207F" w:rsidRPr="00375B9D">
              <w:rPr>
                <w:rStyle w:val="Hyperlink"/>
                <w:noProof/>
                <w:lang w:eastAsia="en-AU"/>
              </w:rPr>
              <w:t>labour and non-labour components</w:t>
            </w:r>
          </w:p>
          <w:p w14:paraId="351BA919" w14:textId="77777777" w:rsidR="00375B9D" w:rsidRPr="00375B9D" w:rsidRDefault="00375B9D" w:rsidP="00375B9D">
            <w:pPr>
              <w:spacing w:after="200"/>
              <w:rPr>
                <w:noProof/>
                <w:lang w:eastAsia="en-AU"/>
              </w:rPr>
            </w:pPr>
            <w:r w:rsidRPr="00375B9D">
              <w:rPr>
                <w:noProof/>
                <w:lang w:eastAsia="en-AU"/>
              </w:rPr>
              <w:fldChar w:fldCharType="end"/>
            </w:r>
            <w:hyperlink r:id="rId44" w:history="1">
              <w:r w:rsidRPr="00375B9D">
                <w:rPr>
                  <w:rStyle w:val="Hyperlink"/>
                  <w:noProof/>
                  <w:lang w:eastAsia="en-AU"/>
                </w:rPr>
                <w:t>PTA020 Contractors 180-</w:t>
              </w:r>
              <w:r w:rsidR="0092207F" w:rsidRPr="00375B9D">
                <w:rPr>
                  <w:rStyle w:val="Hyperlink"/>
                  <w:noProof/>
                  <w:lang w:eastAsia="en-AU"/>
                </w:rPr>
                <w:t>day ex</w:t>
              </w:r>
              <w:r w:rsidRPr="00375B9D">
                <w:rPr>
                  <w:rStyle w:val="Hyperlink"/>
                  <w:noProof/>
                  <w:lang w:eastAsia="en-AU"/>
                </w:rPr>
                <w:t>emption</w:t>
              </w:r>
            </w:hyperlink>
          </w:p>
          <w:p w14:paraId="0132FEC0" w14:textId="77777777" w:rsidR="00375B9D" w:rsidRPr="00375B9D" w:rsidRDefault="00375B9D" w:rsidP="00375B9D">
            <w:pPr>
              <w:spacing w:after="200"/>
              <w:rPr>
                <w:rStyle w:val="Hyperlink"/>
                <w:noProof/>
                <w:lang w:eastAsia="en-AU"/>
              </w:rPr>
            </w:pPr>
            <w:r w:rsidRPr="00375B9D">
              <w:rPr>
                <w:noProof/>
                <w:lang w:eastAsia="en-AU"/>
              </w:rPr>
              <w:fldChar w:fldCharType="begin"/>
            </w:r>
            <w:r w:rsidRPr="00375B9D">
              <w:rPr>
                <w:noProof/>
                <w:lang w:eastAsia="en-AU"/>
              </w:rPr>
              <w:instrText xml:space="preserve"> HYPERLINK "https://treasury.nt.gov.au/dtf/territory-revenue-office/publications" </w:instrText>
            </w:r>
            <w:r w:rsidRPr="00375B9D">
              <w:rPr>
                <w:noProof/>
                <w:lang w:eastAsia="en-AU"/>
              </w:rPr>
            </w:r>
            <w:r w:rsidRPr="00375B9D">
              <w:rPr>
                <w:noProof/>
                <w:lang w:eastAsia="en-AU"/>
              </w:rPr>
              <w:fldChar w:fldCharType="separate"/>
            </w:r>
            <w:r w:rsidRPr="00375B9D">
              <w:rPr>
                <w:rStyle w:val="Hyperlink"/>
                <w:noProof/>
                <w:lang w:eastAsia="en-AU"/>
              </w:rPr>
              <w:t xml:space="preserve">PTA021 Exemption for </w:t>
            </w:r>
            <w:r w:rsidR="0092207F" w:rsidRPr="00375B9D">
              <w:rPr>
                <w:rStyle w:val="Hyperlink"/>
                <w:noProof/>
                <w:lang w:eastAsia="en-AU"/>
              </w:rPr>
              <w:t>contractors ordinarily rendering services to the public</w:t>
            </w:r>
          </w:p>
          <w:p w14:paraId="1C63B6FC" w14:textId="77777777" w:rsidR="00375B9D" w:rsidRPr="00375B9D" w:rsidRDefault="00375B9D" w:rsidP="00375B9D">
            <w:pPr>
              <w:spacing w:after="200"/>
              <w:rPr>
                <w:noProof/>
                <w:lang w:eastAsia="en-AU"/>
              </w:rPr>
            </w:pPr>
            <w:r w:rsidRPr="00375B9D">
              <w:rPr>
                <w:noProof/>
                <w:lang w:eastAsia="en-AU"/>
              </w:rPr>
              <w:fldChar w:fldCharType="end"/>
            </w:r>
            <w:hyperlink r:id="rId45" w:history="1">
              <w:r w:rsidRPr="00375B9D">
                <w:rPr>
                  <w:rStyle w:val="Hyperlink"/>
                  <w:noProof/>
                  <w:lang w:eastAsia="en-AU"/>
                </w:rPr>
                <w:t>PTA022 Services not</w:t>
              </w:r>
              <w:r w:rsidR="0092207F" w:rsidRPr="00375B9D">
                <w:rPr>
                  <w:rStyle w:val="Hyperlink"/>
                  <w:noProof/>
                  <w:lang w:eastAsia="en-AU"/>
                </w:rPr>
                <w:t xml:space="preserve"> ordinarily req</w:t>
              </w:r>
              <w:r w:rsidRPr="00375B9D">
                <w:rPr>
                  <w:rStyle w:val="Hyperlink"/>
                  <w:noProof/>
                  <w:lang w:eastAsia="en-AU"/>
                </w:rPr>
                <w:t>uired</w:t>
              </w:r>
            </w:hyperlink>
          </w:p>
          <w:p w14:paraId="386FB3F8" w14:textId="77777777" w:rsidR="00375B9D" w:rsidRPr="00375B9D" w:rsidRDefault="00000000" w:rsidP="00375B9D">
            <w:pPr>
              <w:spacing w:after="200"/>
              <w:rPr>
                <w:noProof/>
                <w:lang w:eastAsia="en-AU"/>
              </w:rPr>
            </w:pPr>
            <w:hyperlink r:id="rId46" w:history="1">
              <w:r w:rsidR="00375B9D" w:rsidRPr="00375B9D">
                <w:rPr>
                  <w:rStyle w:val="Hyperlink"/>
                  <w:noProof/>
                  <w:lang w:eastAsia="en-AU"/>
                </w:rPr>
                <w:t>PTA023 Contractors</w:t>
              </w:r>
              <w:r w:rsidR="0092207F" w:rsidRPr="00375B9D">
                <w:rPr>
                  <w:rStyle w:val="Hyperlink"/>
                  <w:noProof/>
                  <w:lang w:eastAsia="en-AU"/>
                </w:rPr>
                <w:t xml:space="preserve"> engaging ot</w:t>
              </w:r>
              <w:r w:rsidR="00375B9D" w:rsidRPr="00375B9D">
                <w:rPr>
                  <w:rStyle w:val="Hyperlink"/>
                  <w:noProof/>
                  <w:lang w:eastAsia="en-AU"/>
                </w:rPr>
                <w:t>hers</w:t>
              </w:r>
            </w:hyperlink>
          </w:p>
          <w:p w14:paraId="30580EF1" w14:textId="77777777" w:rsidR="00375B9D" w:rsidRPr="00375B9D" w:rsidRDefault="00375B9D" w:rsidP="00375B9D">
            <w:pPr>
              <w:spacing w:after="200"/>
              <w:rPr>
                <w:rStyle w:val="Hyperlink"/>
                <w:noProof/>
                <w:lang w:eastAsia="en-AU"/>
              </w:rPr>
            </w:pPr>
            <w:r w:rsidRPr="00375B9D">
              <w:rPr>
                <w:noProof/>
                <w:lang w:eastAsia="en-AU"/>
              </w:rPr>
              <w:fldChar w:fldCharType="begin"/>
            </w:r>
            <w:r w:rsidRPr="00375B9D">
              <w:rPr>
                <w:noProof/>
                <w:lang w:eastAsia="en-AU"/>
              </w:rPr>
              <w:instrText xml:space="preserve"> HYPERLINK "https://treasury.nt.gov.au/dtf/territory-revenue-office/publications" </w:instrText>
            </w:r>
            <w:r w:rsidRPr="00375B9D">
              <w:rPr>
                <w:noProof/>
                <w:lang w:eastAsia="en-AU"/>
              </w:rPr>
            </w:r>
            <w:r w:rsidRPr="00375B9D">
              <w:rPr>
                <w:noProof/>
                <w:lang w:eastAsia="en-AU"/>
              </w:rPr>
              <w:fldChar w:fldCharType="separate"/>
            </w:r>
            <w:r w:rsidRPr="00375B9D">
              <w:rPr>
                <w:rStyle w:val="Hyperlink"/>
                <w:noProof/>
                <w:lang w:eastAsia="en-AU"/>
              </w:rPr>
              <w:t xml:space="preserve">PTA033 Services </w:t>
            </w:r>
            <w:r w:rsidR="0092207F" w:rsidRPr="00375B9D">
              <w:rPr>
                <w:rStyle w:val="Hyperlink"/>
                <w:noProof/>
                <w:lang w:eastAsia="en-AU"/>
              </w:rPr>
              <w:t>ancillary to the supply of g</w:t>
            </w:r>
            <w:r w:rsidRPr="00375B9D">
              <w:rPr>
                <w:rStyle w:val="Hyperlink"/>
                <w:noProof/>
                <w:lang w:eastAsia="en-AU"/>
              </w:rPr>
              <w:t>oods</w:t>
            </w:r>
          </w:p>
          <w:p w14:paraId="3D420D9D" w14:textId="77777777" w:rsidR="00375B9D" w:rsidRPr="00375B9D" w:rsidRDefault="00375B9D" w:rsidP="00375B9D">
            <w:pPr>
              <w:spacing w:after="200"/>
              <w:rPr>
                <w:rStyle w:val="Hyperlink"/>
                <w:noProof/>
                <w:lang w:eastAsia="en-AU"/>
              </w:rPr>
            </w:pPr>
            <w:r w:rsidRPr="00375B9D">
              <w:rPr>
                <w:noProof/>
                <w:lang w:eastAsia="en-AU"/>
              </w:rPr>
              <w:fldChar w:fldCharType="end"/>
            </w:r>
            <w:r w:rsidRPr="00375B9D">
              <w:rPr>
                <w:noProof/>
                <w:lang w:eastAsia="en-AU"/>
              </w:rPr>
              <w:fldChar w:fldCharType="begin"/>
            </w:r>
            <w:r w:rsidRPr="00375B9D">
              <w:rPr>
                <w:noProof/>
                <w:lang w:eastAsia="en-AU"/>
              </w:rPr>
              <w:instrText xml:space="preserve"> HYPERLINK "https://treasury.nt.gov.au/dtf/territory-revenue-office/publications" </w:instrText>
            </w:r>
            <w:r w:rsidRPr="00375B9D">
              <w:rPr>
                <w:noProof/>
                <w:lang w:eastAsia="en-AU"/>
              </w:rPr>
            </w:r>
            <w:r w:rsidRPr="00375B9D">
              <w:rPr>
                <w:noProof/>
                <w:lang w:eastAsia="en-AU"/>
              </w:rPr>
              <w:fldChar w:fldCharType="separate"/>
            </w:r>
            <w:r w:rsidRPr="00375B9D">
              <w:rPr>
                <w:rStyle w:val="Hyperlink"/>
                <w:noProof/>
                <w:lang w:eastAsia="en-AU"/>
              </w:rPr>
              <w:t>PTA035 Contractors 90-</w:t>
            </w:r>
            <w:r w:rsidR="0092207F" w:rsidRPr="00375B9D">
              <w:rPr>
                <w:rStyle w:val="Hyperlink"/>
                <w:noProof/>
                <w:lang w:eastAsia="en-AU"/>
              </w:rPr>
              <w:t>day exe</w:t>
            </w:r>
            <w:r w:rsidRPr="00375B9D">
              <w:rPr>
                <w:rStyle w:val="Hyperlink"/>
                <w:noProof/>
                <w:lang w:eastAsia="en-AU"/>
              </w:rPr>
              <w:t>mption</w:t>
            </w:r>
          </w:p>
          <w:p w14:paraId="2A11269D" w14:textId="77777777" w:rsidR="00375B9D" w:rsidRPr="00375B9D" w:rsidRDefault="00375B9D" w:rsidP="00375B9D">
            <w:pPr>
              <w:spacing w:after="200"/>
              <w:rPr>
                <w:noProof/>
                <w:lang w:eastAsia="en-AU"/>
              </w:rPr>
            </w:pPr>
            <w:r w:rsidRPr="00375B9D">
              <w:rPr>
                <w:noProof/>
                <w:lang w:eastAsia="en-AU"/>
              </w:rPr>
              <w:fldChar w:fldCharType="end"/>
            </w:r>
            <w:hyperlink r:id="rId47" w:history="1">
              <w:r w:rsidRPr="00375B9D">
                <w:rPr>
                  <w:rStyle w:val="Hyperlink"/>
                  <w:noProof/>
                  <w:lang w:eastAsia="en-AU"/>
                </w:rPr>
                <w:t xml:space="preserve">PTA038 Determining </w:t>
              </w:r>
              <w:r w:rsidR="0092207F" w:rsidRPr="00375B9D">
                <w:rPr>
                  <w:rStyle w:val="Hyperlink"/>
                  <w:noProof/>
                  <w:lang w:eastAsia="en-AU"/>
                </w:rPr>
                <w:t>whether a worker is an emp</w:t>
              </w:r>
              <w:r w:rsidRPr="00375B9D">
                <w:rPr>
                  <w:rStyle w:val="Hyperlink"/>
                  <w:noProof/>
                  <w:lang w:eastAsia="en-AU"/>
                </w:rPr>
                <w:t>loyee</w:t>
              </w:r>
            </w:hyperlink>
          </w:p>
        </w:tc>
      </w:tr>
    </w:tbl>
    <w:p w14:paraId="663E8F29" w14:textId="77777777" w:rsidR="00375B9D" w:rsidRDefault="00375B9D" w:rsidP="00375B9D">
      <w:pPr>
        <w:rPr>
          <w:noProof/>
          <w:lang w:eastAsia="en-AU"/>
        </w:rPr>
      </w:pPr>
    </w:p>
    <w:p w14:paraId="0906FF86" w14:textId="77777777" w:rsidR="00691F42" w:rsidRDefault="00691F42">
      <w:pPr>
        <w:rPr>
          <w:noProof/>
          <w:lang w:eastAsia="en-AU"/>
        </w:rPr>
      </w:pPr>
      <w:r>
        <w:rPr>
          <w:noProof/>
          <w:lang w:eastAsia="en-AU"/>
        </w:rPr>
        <w:br w:type="page"/>
      </w:r>
    </w:p>
    <w:p w14:paraId="6C85732C" w14:textId="77777777" w:rsidR="00375B9D" w:rsidRPr="00375B9D" w:rsidRDefault="00375B9D" w:rsidP="00C60CBD">
      <w:pPr>
        <w:pStyle w:val="Heading1"/>
        <w:rPr>
          <w:noProof/>
          <w:lang w:eastAsia="en-AU"/>
        </w:rPr>
      </w:pPr>
      <w:bookmarkStart w:id="70" w:name="_Calculating_your_payroll"/>
      <w:bookmarkStart w:id="71" w:name="CalculatingPayrollTax"/>
      <w:bookmarkStart w:id="72" w:name="_Toc467842748"/>
      <w:bookmarkStart w:id="73" w:name="_Toc108789586"/>
      <w:bookmarkEnd w:id="70"/>
      <w:r w:rsidRPr="00375B9D">
        <w:rPr>
          <w:noProof/>
          <w:lang w:eastAsia="en-AU"/>
        </w:rPr>
        <w:lastRenderedPageBreak/>
        <w:t xml:space="preserve">Calculating </w:t>
      </w:r>
      <w:r w:rsidR="00A17A38">
        <w:rPr>
          <w:noProof/>
          <w:lang w:eastAsia="en-AU"/>
        </w:rPr>
        <w:t>y</w:t>
      </w:r>
      <w:r w:rsidRPr="00375B9D">
        <w:rPr>
          <w:noProof/>
          <w:lang w:eastAsia="en-AU"/>
        </w:rPr>
        <w:t xml:space="preserve">our </w:t>
      </w:r>
      <w:r w:rsidR="00A17A38">
        <w:rPr>
          <w:noProof/>
          <w:lang w:eastAsia="en-AU"/>
        </w:rPr>
        <w:t>p</w:t>
      </w:r>
      <w:r w:rsidRPr="00375B9D">
        <w:rPr>
          <w:noProof/>
          <w:lang w:eastAsia="en-AU"/>
        </w:rPr>
        <w:t xml:space="preserve">ayroll </w:t>
      </w:r>
      <w:r w:rsidR="00A17A38">
        <w:rPr>
          <w:noProof/>
          <w:lang w:eastAsia="en-AU"/>
        </w:rPr>
        <w:t>t</w:t>
      </w:r>
      <w:r w:rsidRPr="00375B9D">
        <w:rPr>
          <w:noProof/>
          <w:lang w:eastAsia="en-AU"/>
        </w:rPr>
        <w:t>ax</w:t>
      </w:r>
      <w:bookmarkEnd w:id="71"/>
      <w:bookmarkEnd w:id="72"/>
      <w:bookmarkEnd w:id="73"/>
    </w:p>
    <w:p w14:paraId="56A0415D" w14:textId="77777777" w:rsidR="00375B9D" w:rsidRPr="00375B9D" w:rsidRDefault="00375B9D" w:rsidP="00A7303B">
      <w:pPr>
        <w:pStyle w:val="Heading2"/>
      </w:pPr>
      <w:bookmarkStart w:id="74" w:name="_Toc467842749"/>
      <w:bookmarkStart w:id="75" w:name="_Toc108789587"/>
      <w:r w:rsidRPr="00375B9D">
        <w:t>Introduction</w:t>
      </w:r>
      <w:bookmarkEnd w:id="74"/>
      <w:bookmarkEnd w:id="75"/>
    </w:p>
    <w:p w14:paraId="5CF879A8" w14:textId="77777777" w:rsidR="00375B9D" w:rsidRPr="00375B9D" w:rsidRDefault="00375B9D" w:rsidP="00375B9D">
      <w:pPr>
        <w:rPr>
          <w:noProof/>
          <w:lang w:eastAsia="en-AU"/>
        </w:rPr>
      </w:pPr>
      <w:r w:rsidRPr="00375B9D">
        <w:rPr>
          <w:noProof/>
          <w:lang w:eastAsia="en-AU"/>
        </w:rPr>
        <w:t>Payroll tax is calculated by applying a percentage (see Appendix 5 for current and historic rates) to your net NT taxable wages.</w:t>
      </w:r>
    </w:p>
    <w:p w14:paraId="435FF8F3" w14:textId="77777777" w:rsidR="00375B9D" w:rsidRPr="00375B9D" w:rsidRDefault="00375B9D" w:rsidP="00375B9D">
      <w:pPr>
        <w:rPr>
          <w:noProof/>
          <w:lang w:eastAsia="en-AU"/>
        </w:rPr>
      </w:pPr>
      <w:r w:rsidRPr="00375B9D">
        <w:rPr>
          <w:noProof/>
          <w:lang w:eastAsia="en-AU"/>
        </w:rPr>
        <w:t>All the calculations are done automatically when you enter the required wages information in your online monthly return, which is required by the 21</w:t>
      </w:r>
      <w:r w:rsidRPr="00375B9D">
        <w:rPr>
          <w:noProof/>
          <w:vertAlign w:val="superscript"/>
          <w:lang w:eastAsia="en-AU"/>
        </w:rPr>
        <w:t>st</w:t>
      </w:r>
      <w:r w:rsidRPr="00375B9D">
        <w:rPr>
          <w:noProof/>
          <w:lang w:eastAsia="en-AU"/>
        </w:rPr>
        <w:t xml:space="preserve"> day of the next month (for example, April’s return is to be lodged and paid by 21 May).</w:t>
      </w:r>
    </w:p>
    <w:p w14:paraId="53DE50BA" w14:textId="77777777" w:rsidR="00375B9D" w:rsidRPr="00375B9D" w:rsidRDefault="00375B9D" w:rsidP="00375B9D">
      <w:pPr>
        <w:rPr>
          <w:noProof/>
          <w:lang w:eastAsia="en-AU"/>
        </w:rPr>
      </w:pPr>
      <w:r w:rsidRPr="00375B9D">
        <w:rPr>
          <w:noProof/>
          <w:lang w:eastAsia="en-AU"/>
        </w:rPr>
        <w:t xml:space="preserve">(See </w:t>
      </w:r>
      <w:hyperlink w:anchor="LodgingPayingPayrollTaxReturn" w:history="1">
        <w:r w:rsidRPr="00375B9D">
          <w:rPr>
            <w:rStyle w:val="Hyperlink"/>
            <w:noProof/>
            <w:lang w:eastAsia="en-AU"/>
          </w:rPr>
          <w:t xml:space="preserve">Lodging and </w:t>
        </w:r>
        <w:r w:rsidR="0092207F" w:rsidRPr="00375B9D">
          <w:rPr>
            <w:rStyle w:val="Hyperlink"/>
            <w:noProof/>
            <w:lang w:eastAsia="en-AU"/>
          </w:rPr>
          <w:t>paying your payroll tax re</w:t>
        </w:r>
        <w:r w:rsidRPr="00375B9D">
          <w:rPr>
            <w:rStyle w:val="Hyperlink"/>
            <w:noProof/>
            <w:lang w:eastAsia="en-AU"/>
          </w:rPr>
          <w:t>turns</w:t>
        </w:r>
      </w:hyperlink>
      <w:r w:rsidRPr="00375B9D">
        <w:rPr>
          <w:noProof/>
          <w:lang w:eastAsia="en-AU"/>
        </w:rPr>
        <w:t>.)</w:t>
      </w:r>
    </w:p>
    <w:p w14:paraId="12CBD03B" w14:textId="77777777" w:rsidR="00375B9D" w:rsidRPr="00375B9D" w:rsidRDefault="00375B9D" w:rsidP="00A7303B">
      <w:pPr>
        <w:pStyle w:val="Heading2"/>
      </w:pPr>
      <w:bookmarkStart w:id="76" w:name="_Toc467842750"/>
      <w:bookmarkStart w:id="77" w:name="_Toc108789588"/>
      <w:r w:rsidRPr="00BB00C5">
        <w:t>Information</w:t>
      </w:r>
      <w:r w:rsidRPr="00375B9D">
        <w:t xml:space="preserve"> you will </w:t>
      </w:r>
      <w:r w:rsidR="00A212D7">
        <w:t>n</w:t>
      </w:r>
      <w:r w:rsidRPr="00375B9D">
        <w:t xml:space="preserve">eed </w:t>
      </w:r>
      <w:r w:rsidR="00A212D7">
        <w:t>b</w:t>
      </w:r>
      <w:r w:rsidRPr="00375B9D">
        <w:t xml:space="preserve">efore </w:t>
      </w:r>
      <w:r w:rsidR="00A212D7">
        <w:t>l</w:t>
      </w:r>
      <w:r w:rsidRPr="00375B9D">
        <w:t xml:space="preserve">odging your </w:t>
      </w:r>
      <w:r w:rsidR="00A212D7">
        <w:t>m</w:t>
      </w:r>
      <w:r w:rsidRPr="00375B9D">
        <w:t xml:space="preserve">onthly </w:t>
      </w:r>
      <w:r w:rsidR="00A212D7">
        <w:t>r</w:t>
      </w:r>
      <w:r w:rsidRPr="00375B9D">
        <w:t>eturn</w:t>
      </w:r>
      <w:bookmarkEnd w:id="76"/>
      <w:bookmarkEnd w:id="77"/>
    </w:p>
    <w:p w14:paraId="3000270D" w14:textId="77777777" w:rsidR="00375B9D" w:rsidRPr="00375B9D" w:rsidRDefault="00375B9D" w:rsidP="00375B9D">
      <w:pPr>
        <w:rPr>
          <w:noProof/>
          <w:lang w:eastAsia="en-AU"/>
        </w:rPr>
      </w:pPr>
      <w:r w:rsidRPr="00375B9D">
        <w:rPr>
          <w:noProof/>
          <w:lang w:eastAsia="en-AU"/>
        </w:rPr>
        <w:t>Before accessing your online return, you will need avai</w:t>
      </w:r>
      <w:r w:rsidR="009946C0">
        <w:rPr>
          <w:noProof/>
          <w:lang w:eastAsia="en-AU"/>
        </w:rPr>
        <w:t>lable the following information.</w:t>
      </w:r>
    </w:p>
    <w:p w14:paraId="10E6D95E" w14:textId="77777777" w:rsidR="00375B9D" w:rsidRPr="00375B9D" w:rsidRDefault="00375B9D" w:rsidP="009946C0">
      <w:r w:rsidRPr="00375B9D">
        <w:t>NT wages for the business for which the return is being done, split into the following categories:</w:t>
      </w:r>
    </w:p>
    <w:p w14:paraId="032DB51B" w14:textId="77777777" w:rsidR="00375B9D" w:rsidRPr="00375B9D" w:rsidRDefault="00375B9D" w:rsidP="00AE756D">
      <w:pPr>
        <w:pStyle w:val="DTFBulletlist"/>
      </w:pPr>
      <w:r w:rsidRPr="00375B9D">
        <w:t xml:space="preserve">NT </w:t>
      </w:r>
      <w:r w:rsidR="00E57BA2">
        <w:t>g</w:t>
      </w:r>
      <w:r w:rsidRPr="00375B9D">
        <w:t xml:space="preserve">ross </w:t>
      </w:r>
      <w:r w:rsidR="00E57BA2">
        <w:t>w</w:t>
      </w:r>
      <w:r w:rsidRPr="00375B9D">
        <w:t>ages</w:t>
      </w:r>
      <w:r w:rsidR="009946C0">
        <w:t>:</w:t>
      </w:r>
    </w:p>
    <w:p w14:paraId="0B898B01" w14:textId="77777777" w:rsidR="00375B9D" w:rsidRPr="009946C0" w:rsidRDefault="0092207F" w:rsidP="00AE756D">
      <w:pPr>
        <w:pStyle w:val="DTFBulletDash"/>
      </w:pPr>
      <w:r w:rsidRPr="009946C0">
        <w:t>wages and salaries</w:t>
      </w:r>
    </w:p>
    <w:p w14:paraId="36A64FB3" w14:textId="77777777" w:rsidR="00375B9D" w:rsidRPr="009946C0" w:rsidRDefault="0092207F" w:rsidP="00AE756D">
      <w:pPr>
        <w:pStyle w:val="DTFBulletDash"/>
      </w:pPr>
      <w:r w:rsidRPr="009946C0">
        <w:t>contractor payments</w:t>
      </w:r>
    </w:p>
    <w:p w14:paraId="254C688D" w14:textId="77777777" w:rsidR="00375B9D" w:rsidRPr="009946C0" w:rsidRDefault="0092207F" w:rsidP="00AE756D">
      <w:pPr>
        <w:pStyle w:val="DTFBulletDash"/>
      </w:pPr>
      <w:r w:rsidRPr="009946C0">
        <w:t>commissions/bonuses/allowances</w:t>
      </w:r>
    </w:p>
    <w:p w14:paraId="7F53AE4E" w14:textId="77777777" w:rsidR="00375B9D" w:rsidRPr="009946C0" w:rsidRDefault="0092207F" w:rsidP="00AE756D">
      <w:pPr>
        <w:pStyle w:val="DTFBulletDash"/>
      </w:pPr>
      <w:r w:rsidRPr="009946C0">
        <w:t>fringe benefits</w:t>
      </w:r>
    </w:p>
    <w:p w14:paraId="4852D24F" w14:textId="77777777" w:rsidR="00375B9D" w:rsidRPr="009946C0" w:rsidRDefault="0092207F" w:rsidP="00AE756D">
      <w:pPr>
        <w:pStyle w:val="DTFBulletDash"/>
      </w:pPr>
      <w:r w:rsidRPr="009946C0">
        <w:t>employee share contributions</w:t>
      </w:r>
    </w:p>
    <w:p w14:paraId="2C5AF0CD" w14:textId="77777777" w:rsidR="00375B9D" w:rsidRPr="009946C0" w:rsidRDefault="0092207F" w:rsidP="00AE756D">
      <w:pPr>
        <w:pStyle w:val="DTFBulletDash"/>
      </w:pPr>
      <w:r w:rsidRPr="009946C0">
        <w:t>termination payments</w:t>
      </w:r>
    </w:p>
    <w:p w14:paraId="37D4A29E" w14:textId="77777777" w:rsidR="00375B9D" w:rsidRPr="009946C0" w:rsidRDefault="0092207F" w:rsidP="00AE756D">
      <w:pPr>
        <w:pStyle w:val="DTFBulletDash"/>
      </w:pPr>
      <w:r w:rsidRPr="009946C0">
        <w:t>directors’ fees</w:t>
      </w:r>
    </w:p>
    <w:p w14:paraId="736F5F70" w14:textId="77777777" w:rsidR="00375B9D" w:rsidRPr="00375B9D" w:rsidRDefault="0092207F" w:rsidP="00AE756D">
      <w:pPr>
        <w:pStyle w:val="DTFBulletDash"/>
        <w:spacing w:after="200"/>
      </w:pPr>
      <w:r w:rsidRPr="009946C0">
        <w:t>other</w:t>
      </w:r>
    </w:p>
    <w:p w14:paraId="12AD35F0" w14:textId="77777777" w:rsidR="00375B9D" w:rsidRPr="00375B9D" w:rsidRDefault="00375B9D" w:rsidP="00AE756D">
      <w:pPr>
        <w:pStyle w:val="DTFBulletlist"/>
      </w:pPr>
      <w:r w:rsidRPr="00375B9D">
        <w:t xml:space="preserve">NT </w:t>
      </w:r>
      <w:r w:rsidR="00E57BA2">
        <w:t>e</w:t>
      </w:r>
      <w:r w:rsidRPr="00375B9D">
        <w:t xml:space="preserve">xempt </w:t>
      </w:r>
      <w:r w:rsidR="00E57BA2">
        <w:t>w</w:t>
      </w:r>
      <w:r w:rsidRPr="00375B9D">
        <w:t>ages</w:t>
      </w:r>
    </w:p>
    <w:p w14:paraId="19FB018C" w14:textId="77777777" w:rsidR="00375B9D" w:rsidRPr="009619C5" w:rsidRDefault="00066BF3" w:rsidP="00AE756D">
      <w:pPr>
        <w:pStyle w:val="DTFBulletDash"/>
      </w:pPr>
      <w:r w:rsidRPr="00AE756D">
        <w:t>workers</w:t>
      </w:r>
      <w:r w:rsidRPr="009619C5">
        <w:t xml:space="preserve"> </w:t>
      </w:r>
      <w:r w:rsidRPr="00030262">
        <w:t>compensation</w:t>
      </w:r>
    </w:p>
    <w:p w14:paraId="4D7704AA" w14:textId="77777777" w:rsidR="00375B9D" w:rsidRPr="009619C5" w:rsidRDefault="00066BF3" w:rsidP="00AE756D">
      <w:pPr>
        <w:pStyle w:val="DTFBulletDash"/>
      </w:pPr>
      <w:r w:rsidRPr="009619C5">
        <w:t>defence force leave</w:t>
      </w:r>
    </w:p>
    <w:p w14:paraId="69FADF6C" w14:textId="77777777" w:rsidR="00375B9D" w:rsidRPr="009619C5" w:rsidRDefault="00066BF3" w:rsidP="00AE756D">
      <w:pPr>
        <w:pStyle w:val="DTFBulletDash"/>
      </w:pPr>
      <w:r w:rsidRPr="009619C5">
        <w:t>overseas employees</w:t>
      </w:r>
    </w:p>
    <w:p w14:paraId="585A2121" w14:textId="77777777" w:rsidR="00375B9D" w:rsidRPr="009619C5" w:rsidRDefault="00066BF3" w:rsidP="00AE756D">
      <w:pPr>
        <w:pStyle w:val="DTFBulletDash"/>
      </w:pPr>
      <w:r w:rsidRPr="009619C5">
        <w:t>maternity leave</w:t>
      </w:r>
    </w:p>
    <w:p w14:paraId="14B5C23D" w14:textId="77777777" w:rsidR="00375B9D" w:rsidRPr="009619C5" w:rsidRDefault="00066BF3" w:rsidP="00AE756D">
      <w:pPr>
        <w:pStyle w:val="DTFBulletDash"/>
      </w:pPr>
      <w:r w:rsidRPr="009619C5">
        <w:t>additional resident employees</w:t>
      </w:r>
    </w:p>
    <w:p w14:paraId="1BE94A12" w14:textId="77777777" w:rsidR="00375B9D" w:rsidRPr="009619C5" w:rsidRDefault="00066BF3" w:rsidP="00AE756D">
      <w:pPr>
        <w:pStyle w:val="DTFBulletDash"/>
      </w:pPr>
      <w:r w:rsidRPr="009619C5">
        <w:t>re</w:t>
      </w:r>
      <w:r w:rsidR="00375B9D" w:rsidRPr="009619C5">
        <w:t xml:space="preserve">located or replacement employees (see </w:t>
      </w:r>
      <w:hyperlink r:id="rId48" w:history="1">
        <w:r w:rsidR="00375B9D" w:rsidRPr="00795B35">
          <w:rPr>
            <w:rStyle w:val="Hyperlink"/>
          </w:rPr>
          <w:t>CG-PRT-008: Hiring resident employees</w:t>
        </w:r>
      </w:hyperlink>
      <w:r w:rsidR="00375B9D" w:rsidRPr="009619C5">
        <w:t>)</w:t>
      </w:r>
    </w:p>
    <w:p w14:paraId="5FCB58F2" w14:textId="77777777" w:rsidR="00375B9D" w:rsidRPr="009619C5" w:rsidRDefault="00066BF3" w:rsidP="00AE756D">
      <w:pPr>
        <w:pStyle w:val="DTFBulletDash"/>
      </w:pPr>
      <w:r w:rsidRPr="009619C5">
        <w:t>other</w:t>
      </w:r>
    </w:p>
    <w:tbl>
      <w:tblPr>
        <w:tblStyle w:val="DTFpayrolltaxguidestyle1"/>
        <w:tblW w:w="10348" w:type="dxa"/>
        <w:tblLook w:val="04A0" w:firstRow="1" w:lastRow="0" w:firstColumn="1" w:lastColumn="0" w:noHBand="0" w:noVBand="1"/>
        <w:tblDescription w:val="Important: Because your MDA is fixed for each month between July and May you do not need to provide when doing each monthly return details of interstate or group wages (this is not required until doing the Annual Return)."/>
      </w:tblPr>
      <w:tblGrid>
        <w:gridCol w:w="10348"/>
      </w:tblGrid>
      <w:tr w:rsidR="00375B9D" w:rsidRPr="00375B9D" w14:paraId="49C0874E" w14:textId="77777777" w:rsidTr="00937629">
        <w:trPr>
          <w:trHeight w:val="789"/>
          <w:tblHeader/>
        </w:trPr>
        <w:tc>
          <w:tcPr>
            <w:tcW w:w="10348" w:type="dxa"/>
          </w:tcPr>
          <w:p w14:paraId="172035E6" w14:textId="77777777" w:rsidR="00375B9D" w:rsidRPr="00375B9D" w:rsidRDefault="000263D4" w:rsidP="00375B9D">
            <w:pPr>
              <w:spacing w:after="200"/>
              <w:rPr>
                <w:noProof/>
                <w:lang w:eastAsia="en-AU"/>
              </w:rPr>
            </w:pPr>
            <w:r>
              <w:rPr>
                <w:b/>
                <w:noProof/>
                <w:lang w:eastAsia="en-AU"/>
              </w:rPr>
              <w:t>Note</w:t>
            </w:r>
            <w:r w:rsidR="00375B9D" w:rsidRPr="00375B9D">
              <w:rPr>
                <w:noProof/>
                <w:lang w:eastAsia="en-AU"/>
              </w:rPr>
              <w:t xml:space="preserve">: Because your monthly deductible amount (MDA) is fixed for each month between July and May you do not need to provide when doing each monthly return details of interstate or group wages (this is not required until doing the </w:t>
            </w:r>
            <w:r w:rsidR="00066BF3" w:rsidRPr="00375B9D">
              <w:rPr>
                <w:noProof/>
                <w:lang w:eastAsia="en-AU"/>
              </w:rPr>
              <w:t>annual return</w:t>
            </w:r>
            <w:r w:rsidR="00375B9D" w:rsidRPr="00375B9D">
              <w:rPr>
                <w:noProof/>
                <w:lang w:eastAsia="en-AU"/>
              </w:rPr>
              <w:t>).</w:t>
            </w:r>
          </w:p>
        </w:tc>
      </w:tr>
    </w:tbl>
    <w:p w14:paraId="7A139180" w14:textId="77777777" w:rsidR="00375B9D" w:rsidRPr="00375B9D" w:rsidRDefault="00375B9D" w:rsidP="00375B9D">
      <w:pPr>
        <w:rPr>
          <w:noProof/>
          <w:lang w:eastAsia="en-AU"/>
        </w:rPr>
      </w:pPr>
    </w:p>
    <w:p w14:paraId="5BC1D75B" w14:textId="77777777" w:rsidR="00375B9D" w:rsidRPr="00375B9D" w:rsidRDefault="00375B9D" w:rsidP="00030262">
      <w:pPr>
        <w:pStyle w:val="Heading3"/>
        <w:rPr>
          <w:noProof/>
          <w:lang w:eastAsia="en-AU"/>
        </w:rPr>
      </w:pPr>
      <w:r w:rsidRPr="00375B9D">
        <w:rPr>
          <w:noProof/>
          <w:lang w:eastAsia="en-AU"/>
        </w:rPr>
        <w:lastRenderedPageBreak/>
        <w:t xml:space="preserve">Annual and </w:t>
      </w:r>
      <w:r w:rsidR="0051484C">
        <w:rPr>
          <w:noProof/>
          <w:lang w:eastAsia="en-AU"/>
        </w:rPr>
        <w:t>m</w:t>
      </w:r>
      <w:r w:rsidRPr="00375B9D">
        <w:rPr>
          <w:noProof/>
          <w:lang w:eastAsia="en-AU"/>
        </w:rPr>
        <w:t xml:space="preserve">onthly </w:t>
      </w:r>
      <w:r w:rsidR="0051484C">
        <w:rPr>
          <w:noProof/>
          <w:lang w:eastAsia="en-AU"/>
        </w:rPr>
        <w:t>t</w:t>
      </w:r>
      <w:r w:rsidRPr="00375B9D">
        <w:rPr>
          <w:noProof/>
          <w:lang w:eastAsia="en-AU"/>
        </w:rPr>
        <w:t>ax-</w:t>
      </w:r>
      <w:r w:rsidR="0051484C">
        <w:rPr>
          <w:noProof/>
          <w:lang w:eastAsia="en-AU"/>
        </w:rPr>
        <w:t>f</w:t>
      </w:r>
      <w:r w:rsidRPr="00375B9D">
        <w:rPr>
          <w:noProof/>
          <w:lang w:eastAsia="en-AU"/>
        </w:rPr>
        <w:t xml:space="preserve">ree </w:t>
      </w:r>
      <w:r w:rsidR="0051484C">
        <w:rPr>
          <w:noProof/>
          <w:lang w:eastAsia="en-AU"/>
        </w:rPr>
        <w:t>e</w:t>
      </w:r>
      <w:r w:rsidRPr="00375B9D">
        <w:rPr>
          <w:noProof/>
          <w:lang w:eastAsia="en-AU"/>
        </w:rPr>
        <w:t>ntitlements</w:t>
      </w:r>
    </w:p>
    <w:p w14:paraId="366FA1A4" w14:textId="77777777" w:rsidR="00375B9D" w:rsidRPr="00375B9D" w:rsidRDefault="00375B9D" w:rsidP="00375B9D">
      <w:pPr>
        <w:rPr>
          <w:noProof/>
          <w:lang w:eastAsia="en-AU"/>
        </w:rPr>
      </w:pPr>
      <w:r w:rsidRPr="00375B9D">
        <w:rPr>
          <w:noProof/>
          <w:lang w:eastAsia="en-AU"/>
        </w:rPr>
        <w:t>The tax-free entitlement for each monthly return is known as the MDA, and the annual tax</w:t>
      </w:r>
      <w:r w:rsidRPr="00375B9D">
        <w:rPr>
          <w:noProof/>
          <w:lang w:eastAsia="en-AU"/>
        </w:rPr>
        <w:noBreakHyphen/>
        <w:t>free entitlement is the ADA, completed in July each year.</w:t>
      </w:r>
    </w:p>
    <w:p w14:paraId="7398D369" w14:textId="77777777" w:rsidR="00375B9D" w:rsidRPr="00375B9D" w:rsidRDefault="00375B9D" w:rsidP="00030262">
      <w:pPr>
        <w:pStyle w:val="Heading3"/>
        <w:rPr>
          <w:noProof/>
          <w:lang w:eastAsia="en-AU"/>
        </w:rPr>
      </w:pPr>
      <w:r w:rsidRPr="00375B9D">
        <w:rPr>
          <w:noProof/>
          <w:lang w:eastAsia="en-AU"/>
        </w:rPr>
        <w:t xml:space="preserve">How the ADA is </w:t>
      </w:r>
      <w:r w:rsidR="0051484C">
        <w:rPr>
          <w:noProof/>
          <w:lang w:eastAsia="en-AU"/>
        </w:rPr>
        <w:t>c</w:t>
      </w:r>
      <w:r w:rsidRPr="00375B9D">
        <w:rPr>
          <w:noProof/>
          <w:lang w:eastAsia="en-AU"/>
        </w:rPr>
        <w:t xml:space="preserve">alculated – the </w:t>
      </w:r>
      <w:r w:rsidR="0051484C">
        <w:rPr>
          <w:noProof/>
          <w:lang w:eastAsia="en-AU"/>
        </w:rPr>
        <w:t>a</w:t>
      </w:r>
      <w:r w:rsidRPr="00375B9D">
        <w:rPr>
          <w:noProof/>
          <w:lang w:eastAsia="en-AU"/>
        </w:rPr>
        <w:t xml:space="preserve">nnual </w:t>
      </w:r>
      <w:r w:rsidR="0051484C">
        <w:rPr>
          <w:noProof/>
          <w:lang w:eastAsia="en-AU"/>
        </w:rPr>
        <w:t>r</w:t>
      </w:r>
      <w:r w:rsidRPr="00375B9D">
        <w:rPr>
          <w:noProof/>
          <w:lang w:eastAsia="en-AU"/>
        </w:rPr>
        <w:t>eturn</w:t>
      </w:r>
    </w:p>
    <w:p w14:paraId="48F3643F" w14:textId="77777777" w:rsidR="00375B9D" w:rsidRPr="00375B9D" w:rsidRDefault="00375B9D" w:rsidP="00375B9D">
      <w:pPr>
        <w:rPr>
          <w:noProof/>
          <w:lang w:eastAsia="en-AU"/>
        </w:rPr>
      </w:pPr>
      <w:r w:rsidRPr="00375B9D">
        <w:rPr>
          <w:noProof/>
          <w:lang w:eastAsia="en-AU"/>
        </w:rPr>
        <w:t>When completing the annual return, you will also need details of interstate and group wages, in addition to wages for the taxpayer for whom the return is being done.</w:t>
      </w:r>
    </w:p>
    <w:p w14:paraId="3C599D87" w14:textId="77777777" w:rsidR="00375B9D" w:rsidRPr="00375B9D" w:rsidRDefault="00375B9D" w:rsidP="00375B9D">
      <w:pPr>
        <w:rPr>
          <w:noProof/>
          <w:lang w:eastAsia="en-AU"/>
        </w:rPr>
      </w:pPr>
      <w:r w:rsidRPr="00375B9D">
        <w:rPr>
          <w:noProof/>
          <w:lang w:eastAsia="en-AU"/>
        </w:rPr>
        <w:t>The ADA is calculated automatically by INTRA based on data you enter.</w:t>
      </w:r>
    </w:p>
    <w:p w14:paraId="54FD194F" w14:textId="77777777" w:rsidR="00375B9D" w:rsidRPr="00375B9D" w:rsidRDefault="00375B9D" w:rsidP="00375B9D">
      <w:pPr>
        <w:rPr>
          <w:noProof/>
          <w:lang w:eastAsia="en-AU"/>
        </w:rPr>
      </w:pPr>
      <w:r w:rsidRPr="00375B9D">
        <w:rPr>
          <w:noProof/>
          <w:lang w:eastAsia="en-AU"/>
        </w:rPr>
        <w:t>The information required to calculate the ADA is as follows:</w:t>
      </w:r>
    </w:p>
    <w:p w14:paraId="0CC0E0AA" w14:textId="77777777" w:rsidR="00375B9D" w:rsidRPr="00030262" w:rsidRDefault="00375B9D" w:rsidP="00AE756D">
      <w:pPr>
        <w:pStyle w:val="DTFBulletlist"/>
      </w:pPr>
      <w:r w:rsidRPr="00030262">
        <w:t>wages paid in the NT</w:t>
      </w:r>
    </w:p>
    <w:p w14:paraId="5E77A1FD" w14:textId="77777777" w:rsidR="00375B9D" w:rsidRPr="00030262" w:rsidRDefault="00375B9D" w:rsidP="00AE756D">
      <w:pPr>
        <w:pStyle w:val="DTFBulletlist"/>
      </w:pPr>
      <w:r w:rsidRPr="00030262">
        <w:t>wages paid throughout Australia</w:t>
      </w:r>
    </w:p>
    <w:p w14:paraId="2E8E44A6" w14:textId="77777777" w:rsidR="00375B9D" w:rsidRPr="00030262" w:rsidRDefault="00375B9D" w:rsidP="00AE756D">
      <w:pPr>
        <w:pStyle w:val="DTFBulletlist"/>
      </w:pPr>
      <w:r w:rsidRPr="00030262">
        <w:t>group wages paid in the NT</w:t>
      </w:r>
    </w:p>
    <w:p w14:paraId="22EC50B3" w14:textId="77777777" w:rsidR="00375B9D" w:rsidRPr="00030262" w:rsidRDefault="00375B9D" w:rsidP="00AE756D">
      <w:pPr>
        <w:pStyle w:val="DTFBulletlist"/>
      </w:pPr>
      <w:r w:rsidRPr="00030262">
        <w:t>group wages paid throughout Australia</w:t>
      </w:r>
    </w:p>
    <w:p w14:paraId="5EE0A5F0" w14:textId="77777777" w:rsidR="00375B9D" w:rsidRPr="00030262" w:rsidRDefault="00375B9D" w:rsidP="00AE756D">
      <w:pPr>
        <w:pStyle w:val="DTFBulletlist"/>
      </w:pPr>
      <w:r w:rsidRPr="00030262">
        <w:t>if not for a full year, the dates that the business, including group members, commenced and ceased to pay wages, in both the NT and throughout Australia.</w:t>
      </w:r>
    </w:p>
    <w:p w14:paraId="6B4AC9E4" w14:textId="77777777" w:rsidR="00375B9D" w:rsidRPr="00375B9D" w:rsidRDefault="00375B9D" w:rsidP="00375B9D">
      <w:pPr>
        <w:rPr>
          <w:noProof/>
          <w:lang w:eastAsia="en-AU"/>
        </w:rPr>
      </w:pPr>
      <w:r w:rsidRPr="00375B9D">
        <w:rPr>
          <w:noProof/>
          <w:lang w:eastAsia="en-AU"/>
        </w:rPr>
        <w:t>An employer’s ADA is calculated taking into account the following:</w:t>
      </w:r>
    </w:p>
    <w:p w14:paraId="2F302AA3" w14:textId="77777777" w:rsidR="00375B9D" w:rsidRPr="00375B9D" w:rsidRDefault="00375B9D" w:rsidP="00AE756D">
      <w:pPr>
        <w:pStyle w:val="DTFBulletlist"/>
      </w:pPr>
      <w:r w:rsidRPr="00375B9D">
        <w:t>the value of net taxable wages paid in the NT by the taxpayer and group members</w:t>
      </w:r>
    </w:p>
    <w:p w14:paraId="65E07DF6" w14:textId="77777777" w:rsidR="00375B9D" w:rsidRPr="00375B9D" w:rsidRDefault="00375B9D" w:rsidP="00AE756D">
      <w:pPr>
        <w:pStyle w:val="DTFBulletlist"/>
      </w:pPr>
      <w:r w:rsidRPr="00375B9D">
        <w:t>the value of net taxable wages paid throughout Australia by the taxpayer and group members</w:t>
      </w:r>
    </w:p>
    <w:p w14:paraId="704D42E5" w14:textId="77777777" w:rsidR="00375B9D" w:rsidRPr="00375B9D" w:rsidRDefault="00375B9D" w:rsidP="00AE756D">
      <w:pPr>
        <w:pStyle w:val="DTFBulletlist"/>
      </w:pPr>
      <w:r w:rsidRPr="00375B9D">
        <w:t>the proportion of Australian wages paid within the NT, compared to all other states and territories combined.</w:t>
      </w:r>
    </w:p>
    <w:p w14:paraId="5F0C470C" w14:textId="77777777" w:rsidR="00375B9D" w:rsidRPr="00375B9D" w:rsidRDefault="00375B9D" w:rsidP="00375B9D">
      <w:pPr>
        <w:rPr>
          <w:noProof/>
          <w:lang w:eastAsia="en-AU"/>
        </w:rPr>
      </w:pPr>
      <w:r w:rsidRPr="00375B9D">
        <w:rPr>
          <w:noProof/>
          <w:lang w:eastAsia="en-AU"/>
        </w:rPr>
        <w:t>Specifically:</w:t>
      </w:r>
    </w:p>
    <w:p w14:paraId="750E7AF0" w14:textId="77777777" w:rsidR="00375B9D" w:rsidRPr="00375B9D" w:rsidRDefault="00375B9D" w:rsidP="00AE756D">
      <w:pPr>
        <w:pStyle w:val="DTFBulletlist"/>
      </w:pPr>
      <w:r w:rsidRPr="00375B9D">
        <w:t>when a single (ungrouped) business or group of businesses that pays wages in the NT has net taxable total Australian wages of $1</w:t>
      </w:r>
      <w:r w:rsidR="00C65823">
        <w:t>,500,000</w:t>
      </w:r>
      <w:r w:rsidRPr="00375B9D">
        <w:t xml:space="preserve"> or less, no pa</w:t>
      </w:r>
      <w:r w:rsidR="00066BF3">
        <w:t>yroll tax is payable in the NT</w:t>
      </w:r>
    </w:p>
    <w:p w14:paraId="478F3263" w14:textId="77777777" w:rsidR="00375B9D" w:rsidRPr="00375B9D" w:rsidRDefault="00066BF3" w:rsidP="00AE756D">
      <w:pPr>
        <w:pStyle w:val="DTFBulletlist"/>
      </w:pPr>
      <w:r w:rsidRPr="00375B9D">
        <w:t>however</w:t>
      </w:r>
      <w:r>
        <w:t>,</w:t>
      </w:r>
      <w:r w:rsidRPr="00375B9D">
        <w:t xml:space="preserve"> </w:t>
      </w:r>
      <w:r w:rsidR="00375B9D" w:rsidRPr="00375B9D">
        <w:t>when a single (ungrouped) business or group of businesses that pays wages in the NT has net taxable total Australian wages of more than $1</w:t>
      </w:r>
      <w:r w:rsidR="00C65823">
        <w:t>,500,000</w:t>
      </w:r>
      <w:r w:rsidR="00375B9D" w:rsidRPr="00375B9D">
        <w:t>, payroll tax will be payable in the NT.</w:t>
      </w:r>
    </w:p>
    <w:p w14:paraId="5B8CDAB4" w14:textId="77777777" w:rsidR="00375B9D" w:rsidRPr="00375B9D" w:rsidRDefault="00375B9D" w:rsidP="00375B9D">
      <w:pPr>
        <w:rPr>
          <w:noProof/>
          <w:lang w:eastAsia="en-AU"/>
        </w:rPr>
      </w:pPr>
      <w:r w:rsidRPr="00375B9D">
        <w:rPr>
          <w:noProof/>
          <w:lang w:eastAsia="en-AU"/>
        </w:rPr>
        <w:t>The maximum possible tax-free entitlement is $1</w:t>
      </w:r>
      <w:r w:rsidR="00C65823">
        <w:rPr>
          <w:noProof/>
          <w:lang w:eastAsia="en-AU"/>
        </w:rPr>
        <w:t>,500,000</w:t>
      </w:r>
      <w:r w:rsidRPr="00375B9D">
        <w:rPr>
          <w:noProof/>
          <w:lang w:eastAsia="en-AU"/>
        </w:rPr>
        <w:t xml:space="preserve"> per annum, or $125</w:t>
      </w:r>
      <w:r w:rsidR="00C65823">
        <w:rPr>
          <w:noProof/>
          <w:lang w:eastAsia="en-AU"/>
        </w:rPr>
        <w:t>,000</w:t>
      </w:r>
      <w:r w:rsidRPr="00375B9D">
        <w:rPr>
          <w:noProof/>
          <w:lang w:eastAsia="en-AU"/>
        </w:rPr>
        <w:t xml:space="preserve"> per month.</w:t>
      </w:r>
    </w:p>
    <w:p w14:paraId="45AF03F5" w14:textId="77777777" w:rsidR="00375B9D" w:rsidRPr="00375B9D" w:rsidRDefault="00375B9D" w:rsidP="00375B9D">
      <w:pPr>
        <w:rPr>
          <w:noProof/>
          <w:lang w:eastAsia="en-AU"/>
        </w:rPr>
      </w:pPr>
      <w:r w:rsidRPr="00375B9D">
        <w:rPr>
          <w:noProof/>
          <w:lang w:eastAsia="en-AU"/>
        </w:rPr>
        <w:t>Once Australian total group wages exceed $1</w:t>
      </w:r>
      <w:r w:rsidR="00C65823">
        <w:rPr>
          <w:noProof/>
          <w:lang w:eastAsia="en-AU"/>
        </w:rPr>
        <w:t>,500,000</w:t>
      </w:r>
      <w:r w:rsidRPr="00375B9D">
        <w:rPr>
          <w:noProof/>
          <w:lang w:eastAsia="en-AU"/>
        </w:rPr>
        <w:t>, the maximum available tax-free amount reduces by $1 for every $4 by which net taxable (Australia-wide) wages exceed $1</w:t>
      </w:r>
      <w:r w:rsidR="00C65823">
        <w:rPr>
          <w:noProof/>
          <w:lang w:eastAsia="en-AU"/>
        </w:rPr>
        <w:t>,500,000</w:t>
      </w:r>
      <w:r w:rsidRPr="00375B9D">
        <w:rPr>
          <w:noProof/>
          <w:lang w:eastAsia="en-AU"/>
        </w:rPr>
        <w:t>.</w:t>
      </w:r>
    </w:p>
    <w:p w14:paraId="66379C4D" w14:textId="77777777" w:rsidR="00375B9D" w:rsidRPr="00375B9D" w:rsidRDefault="00375B9D" w:rsidP="00375B9D">
      <w:pPr>
        <w:rPr>
          <w:noProof/>
          <w:lang w:eastAsia="en-AU"/>
        </w:rPr>
      </w:pPr>
      <w:r w:rsidRPr="00375B9D">
        <w:rPr>
          <w:noProof/>
          <w:lang w:eastAsia="en-AU"/>
        </w:rPr>
        <w:t>Under the $1 in $4 rule, when your total Australian wages (or group Australian wages) exceed $7</w:t>
      </w:r>
      <w:r w:rsidR="00C65823">
        <w:rPr>
          <w:noProof/>
          <w:lang w:eastAsia="en-AU"/>
        </w:rPr>
        <w:t>,500,000</w:t>
      </w:r>
      <w:r w:rsidRPr="00375B9D">
        <w:rPr>
          <w:noProof/>
          <w:lang w:eastAsia="en-AU"/>
        </w:rPr>
        <w:t xml:space="preserve"> per year ($625</w:t>
      </w:r>
      <w:r w:rsidR="00C65823">
        <w:rPr>
          <w:noProof/>
          <w:lang w:eastAsia="en-AU"/>
        </w:rPr>
        <w:t>,000</w:t>
      </w:r>
      <w:r w:rsidRPr="00375B9D">
        <w:rPr>
          <w:noProof/>
          <w:lang w:eastAsia="en-AU"/>
        </w:rPr>
        <w:t xml:space="preserve"> per month), there is no longer any tax-free entitlement in the NT.</w:t>
      </w:r>
    </w:p>
    <w:p w14:paraId="7E742F0E" w14:textId="77777777" w:rsidR="00AE756D" w:rsidRDefault="00AE756D">
      <w:pPr>
        <w:rPr>
          <w:rFonts w:asciiTheme="majorHAnsi" w:hAnsiTheme="majorHAnsi" w:cs="Arial"/>
          <w:bCs/>
          <w:noProof/>
          <w:color w:val="1F1F5F" w:themeColor="text1"/>
          <w:sz w:val="28"/>
          <w:szCs w:val="28"/>
          <w:lang w:eastAsia="en-AU"/>
        </w:rPr>
      </w:pPr>
      <w:r>
        <w:rPr>
          <w:noProof/>
          <w:lang w:eastAsia="en-AU"/>
        </w:rPr>
        <w:br w:type="page"/>
      </w:r>
    </w:p>
    <w:p w14:paraId="4A3E1A4E" w14:textId="77777777" w:rsidR="00375B9D" w:rsidRPr="00375B9D" w:rsidRDefault="00375B9D" w:rsidP="005B5FE9">
      <w:pPr>
        <w:pStyle w:val="Heading3"/>
        <w:rPr>
          <w:noProof/>
          <w:lang w:eastAsia="en-AU"/>
        </w:rPr>
      </w:pPr>
      <w:r w:rsidRPr="00375B9D">
        <w:rPr>
          <w:noProof/>
          <w:lang w:eastAsia="en-AU"/>
        </w:rPr>
        <w:lastRenderedPageBreak/>
        <w:t xml:space="preserve">How the </w:t>
      </w:r>
      <w:r w:rsidR="0051484C">
        <w:rPr>
          <w:noProof/>
          <w:lang w:eastAsia="en-AU"/>
        </w:rPr>
        <w:t>f</w:t>
      </w:r>
      <w:r w:rsidRPr="00375B9D">
        <w:rPr>
          <w:noProof/>
          <w:lang w:eastAsia="en-AU"/>
        </w:rPr>
        <w:t xml:space="preserve">ixed MDA is </w:t>
      </w:r>
      <w:r w:rsidR="0051484C">
        <w:rPr>
          <w:noProof/>
          <w:lang w:eastAsia="en-AU"/>
        </w:rPr>
        <w:t>c</w:t>
      </w:r>
      <w:r w:rsidRPr="00375B9D">
        <w:rPr>
          <w:noProof/>
          <w:lang w:eastAsia="en-AU"/>
        </w:rPr>
        <w:t>alculated</w:t>
      </w:r>
    </w:p>
    <w:p w14:paraId="4B8403AB" w14:textId="77777777" w:rsidR="00375B9D" w:rsidRPr="00375B9D" w:rsidRDefault="00375B9D" w:rsidP="00375B9D">
      <w:pPr>
        <w:rPr>
          <w:noProof/>
          <w:lang w:eastAsia="en-AU"/>
        </w:rPr>
      </w:pPr>
      <w:r w:rsidRPr="00375B9D">
        <w:rPr>
          <w:noProof/>
          <w:lang w:eastAsia="en-AU"/>
        </w:rPr>
        <w:t>As indicated previously, each employer’s ADA for a financial year just completed is calculated on lodgement of the annual adjustment return (due 21 July) and takes into account actual wages paid in and outside the NT, for the financial year just ended, including that paid by group members, and the count of the number of days during the year that each group member paid wages, if less than a year.</w:t>
      </w:r>
    </w:p>
    <w:p w14:paraId="228D8F17" w14:textId="77777777" w:rsidR="00375B9D" w:rsidRPr="00375B9D" w:rsidRDefault="00375B9D" w:rsidP="00375B9D">
      <w:pPr>
        <w:rPr>
          <w:noProof/>
          <w:lang w:eastAsia="en-AU"/>
        </w:rPr>
      </w:pPr>
      <w:r w:rsidRPr="00375B9D">
        <w:rPr>
          <w:noProof/>
          <w:lang w:eastAsia="en-AU"/>
        </w:rPr>
        <w:t>As part of these calculations, INTRA divides the final calculated ADA by 12 and allocates this as the MDA to be used each month during the ensuing financial year.</w:t>
      </w:r>
    </w:p>
    <w:p w14:paraId="2BB72246" w14:textId="77777777" w:rsidR="00375B9D" w:rsidRPr="00375B9D" w:rsidRDefault="00375B9D" w:rsidP="00375B9D">
      <w:pPr>
        <w:rPr>
          <w:noProof/>
          <w:lang w:eastAsia="en-AU"/>
        </w:rPr>
      </w:pPr>
      <w:r w:rsidRPr="00375B9D">
        <w:rPr>
          <w:noProof/>
          <w:lang w:eastAsia="en-AU"/>
        </w:rPr>
        <w:t>That is, (in the absence of advice from a taxpayer to the contrary) INTRA works on the assumption that taxable wages in one year will be largely unchanged from the previous year, and sets a fixed rate of MDA for each month between July and May.</w:t>
      </w:r>
    </w:p>
    <w:p w14:paraId="2BAAA4C2" w14:textId="77777777" w:rsidR="00375B9D" w:rsidRPr="00375B9D" w:rsidRDefault="00375B9D" w:rsidP="00375B9D">
      <w:pPr>
        <w:rPr>
          <w:noProof/>
          <w:lang w:eastAsia="en-AU"/>
        </w:rPr>
      </w:pPr>
      <w:r w:rsidRPr="00375B9D">
        <w:rPr>
          <w:noProof/>
          <w:lang w:eastAsia="en-AU"/>
        </w:rPr>
        <w:t>Where a taxpayer has budgeted for growth or reduction in wages in the following year, the taxpayer can update these figures in INTRA and the MDA will be calculated accordingly.</w:t>
      </w:r>
    </w:p>
    <w:tbl>
      <w:tblPr>
        <w:tblStyle w:val="DTFpayrolltaxguidestyle1"/>
        <w:tblW w:w="10348" w:type="dxa"/>
        <w:tblLook w:val="04A0" w:firstRow="1" w:lastRow="0" w:firstColumn="1" w:lastColumn="0" w:noHBand="0" w:noVBand="1"/>
        <w:tblDescription w:val="Important: If your business expects to have a reasonable level of wages growth in the forthcoming financial year it is recommended that you update your figures so that your MDA is adjusted accordingly. This will minimise the risk of a larger than expected payroll tax payment being due in the last month of the financial year when the next AAR is lodged."/>
      </w:tblPr>
      <w:tblGrid>
        <w:gridCol w:w="10348"/>
      </w:tblGrid>
      <w:tr w:rsidR="00375B9D" w:rsidRPr="00375B9D" w14:paraId="4F45994F" w14:textId="77777777" w:rsidTr="00937629">
        <w:trPr>
          <w:tblHeader/>
        </w:trPr>
        <w:tc>
          <w:tcPr>
            <w:tcW w:w="10348" w:type="dxa"/>
          </w:tcPr>
          <w:p w14:paraId="4C7F6B56" w14:textId="77777777" w:rsidR="00375B9D" w:rsidRPr="00375B9D" w:rsidRDefault="000263D4" w:rsidP="00375B9D">
            <w:pPr>
              <w:spacing w:after="200"/>
              <w:rPr>
                <w:noProof/>
                <w:lang w:eastAsia="en-AU"/>
              </w:rPr>
            </w:pPr>
            <w:r>
              <w:rPr>
                <w:b/>
                <w:noProof/>
                <w:lang w:eastAsia="en-AU"/>
              </w:rPr>
              <w:t>Note</w:t>
            </w:r>
            <w:r w:rsidR="00375B9D" w:rsidRPr="00375B9D">
              <w:rPr>
                <w:noProof/>
                <w:lang w:eastAsia="en-AU"/>
              </w:rPr>
              <w:t>: If your business expects to have a reasonable level of growth or decline in wages in the forthcoming financial year it is recommended that you update your figures so that your MDA is adjusted accordingly. This will minimise the risk of a larger than expected payroll tax payment due in the last month of the financial year when the next annual adjustment return is lodged.</w:t>
            </w:r>
          </w:p>
        </w:tc>
      </w:tr>
    </w:tbl>
    <w:p w14:paraId="3C174816" w14:textId="77777777" w:rsidR="00375B9D" w:rsidRPr="00375B9D" w:rsidRDefault="00375B9D" w:rsidP="00A7303B">
      <w:pPr>
        <w:pStyle w:val="Heading2"/>
      </w:pPr>
      <w:bookmarkStart w:id="78" w:name="_Toc467842751"/>
      <w:bookmarkStart w:id="79" w:name="_Toc108789589"/>
      <w:r w:rsidRPr="00375B9D">
        <w:t xml:space="preserve">Examples of </w:t>
      </w:r>
      <w:r w:rsidR="00495403">
        <w:t>p</w:t>
      </w:r>
      <w:r w:rsidRPr="00375B9D">
        <w:t xml:space="preserve">ayroll </w:t>
      </w:r>
      <w:r w:rsidR="00066BF3">
        <w:t>tax</w:t>
      </w:r>
      <w:r w:rsidRPr="00375B9D">
        <w:t xml:space="preserve"> </w:t>
      </w:r>
      <w:r w:rsidR="00495403">
        <w:t>c</w:t>
      </w:r>
      <w:r w:rsidRPr="00375B9D">
        <w:t>alculations</w:t>
      </w:r>
      <w:bookmarkEnd w:id="78"/>
      <w:bookmarkEnd w:id="79"/>
    </w:p>
    <w:tbl>
      <w:tblPr>
        <w:tblStyle w:val="DTFpayrolltaxguidestyle1"/>
        <w:tblW w:w="10348" w:type="dxa"/>
        <w:tblLook w:val="04A0" w:firstRow="1" w:lastRow="0" w:firstColumn="1" w:lastColumn="0" w:noHBand="0" w:noVBand="1"/>
        <w:tblDescription w:val="Important note: The calculations in the following examples are for demonstration and information purposes only. You do not have to perform these mathematical calculations – these are performed automatically for you by the TRMer on line returns program when you load your wages data."/>
      </w:tblPr>
      <w:tblGrid>
        <w:gridCol w:w="10348"/>
      </w:tblGrid>
      <w:tr w:rsidR="00375B9D" w:rsidRPr="00375B9D" w14:paraId="6BC11881" w14:textId="77777777" w:rsidTr="00937629">
        <w:trPr>
          <w:tblHeader/>
        </w:trPr>
        <w:tc>
          <w:tcPr>
            <w:tcW w:w="10348" w:type="dxa"/>
          </w:tcPr>
          <w:p w14:paraId="64354C68" w14:textId="77777777" w:rsidR="00375B9D" w:rsidRPr="00375B9D" w:rsidRDefault="000263D4" w:rsidP="00375B9D">
            <w:pPr>
              <w:spacing w:after="200"/>
              <w:rPr>
                <w:noProof/>
                <w:lang w:eastAsia="en-AU"/>
              </w:rPr>
            </w:pPr>
            <w:r>
              <w:rPr>
                <w:b/>
                <w:noProof/>
                <w:lang w:eastAsia="en-AU"/>
              </w:rPr>
              <w:t>N</w:t>
            </w:r>
            <w:r w:rsidR="00375B9D" w:rsidRPr="00375B9D">
              <w:rPr>
                <w:b/>
                <w:noProof/>
                <w:lang w:eastAsia="en-AU"/>
              </w:rPr>
              <w:t>ote</w:t>
            </w:r>
            <w:r w:rsidR="00375B9D" w:rsidRPr="00375B9D">
              <w:rPr>
                <w:noProof/>
                <w:lang w:eastAsia="en-AU"/>
              </w:rPr>
              <w:t>: The calculations in the following examples are for demonstration and information purposes only. You do not have to perform these mathematical calculations – they are performed automatically for you by INTRA when you load your wages data.</w:t>
            </w:r>
          </w:p>
        </w:tc>
      </w:tr>
    </w:tbl>
    <w:p w14:paraId="69D60E30" w14:textId="77777777" w:rsidR="00375B9D" w:rsidRPr="00375B9D" w:rsidRDefault="00375B9D" w:rsidP="00AE756D">
      <w:pPr>
        <w:spacing w:after="0"/>
        <w:rPr>
          <w:noProof/>
          <w:lang w:eastAsia="en-AU"/>
        </w:rPr>
      </w:pPr>
    </w:p>
    <w:tbl>
      <w:tblPr>
        <w:tblStyle w:val="DTFpayrolltaxguidestyle1"/>
        <w:tblW w:w="10348" w:type="dxa"/>
        <w:tblLook w:val="04A0" w:firstRow="1" w:lastRow="0" w:firstColumn="1" w:lastColumn="0" w:noHBand="0" w:noVBand="1"/>
        <w:tblDescription w:val="Example 1: ABC Sales &amp; Service Pty Ltd is ungrouped and only pays wages in the NT. Total NT wages for 2014-15 were $1 400 000. Because this is less than the $1 500 000 tax free threshold, no payroll tax is payable in the NT."/>
      </w:tblPr>
      <w:tblGrid>
        <w:gridCol w:w="10348"/>
      </w:tblGrid>
      <w:tr w:rsidR="00375B9D" w:rsidRPr="00375B9D" w14:paraId="015F5054" w14:textId="77777777" w:rsidTr="00937629">
        <w:trPr>
          <w:trHeight w:val="682"/>
          <w:tblHeader/>
        </w:trPr>
        <w:tc>
          <w:tcPr>
            <w:tcW w:w="10348" w:type="dxa"/>
          </w:tcPr>
          <w:p w14:paraId="53EB350F" w14:textId="77777777" w:rsidR="00375B9D" w:rsidRPr="00375B9D" w:rsidRDefault="00375B9D" w:rsidP="00AE756D">
            <w:pPr>
              <w:spacing w:after="200"/>
              <w:rPr>
                <w:noProof/>
                <w:lang w:eastAsia="en-AU"/>
              </w:rPr>
            </w:pPr>
            <w:r w:rsidRPr="00375B9D">
              <w:rPr>
                <w:b/>
                <w:noProof/>
                <w:lang w:eastAsia="en-AU"/>
              </w:rPr>
              <w:t>Example 1</w:t>
            </w:r>
            <w:r w:rsidRPr="00375B9D">
              <w:rPr>
                <w:noProof/>
                <w:lang w:eastAsia="en-AU"/>
              </w:rPr>
              <w:t>: ABC Sales &amp; Service Pty Ltd is not grouped and only pays wages in the NT. Total NT wages for 20</w:t>
            </w:r>
            <w:r w:rsidR="00AE756D">
              <w:rPr>
                <w:noProof/>
                <w:lang w:eastAsia="en-AU"/>
              </w:rPr>
              <w:t>21</w:t>
            </w:r>
            <w:r w:rsidRPr="00375B9D">
              <w:rPr>
                <w:noProof/>
                <w:lang w:eastAsia="en-AU"/>
              </w:rPr>
              <w:t>-</w:t>
            </w:r>
            <w:r w:rsidR="00AE756D">
              <w:rPr>
                <w:noProof/>
                <w:lang w:eastAsia="en-AU"/>
              </w:rPr>
              <w:t>22</w:t>
            </w:r>
            <w:r w:rsidRPr="00375B9D">
              <w:rPr>
                <w:noProof/>
                <w:lang w:eastAsia="en-AU"/>
              </w:rPr>
              <w:t xml:space="preserve"> were $1</w:t>
            </w:r>
            <w:r w:rsidR="00AC3E38">
              <w:rPr>
                <w:noProof/>
                <w:lang w:eastAsia="en-AU"/>
              </w:rPr>
              <w:t>,400</w:t>
            </w:r>
            <w:r w:rsidR="00C65823">
              <w:rPr>
                <w:noProof/>
                <w:lang w:eastAsia="en-AU"/>
              </w:rPr>
              <w:t>,000</w:t>
            </w:r>
            <w:r w:rsidRPr="00375B9D">
              <w:rPr>
                <w:noProof/>
                <w:lang w:eastAsia="en-AU"/>
              </w:rPr>
              <w:t>. Because this is less than the $1</w:t>
            </w:r>
            <w:r w:rsidR="00C65823">
              <w:rPr>
                <w:noProof/>
                <w:lang w:eastAsia="en-AU"/>
              </w:rPr>
              <w:t>,500,000</w:t>
            </w:r>
            <w:r w:rsidRPr="00375B9D">
              <w:rPr>
                <w:noProof/>
                <w:lang w:eastAsia="en-AU"/>
              </w:rPr>
              <w:t xml:space="preserve"> tax</w:t>
            </w:r>
            <w:r w:rsidRPr="00375B9D">
              <w:rPr>
                <w:noProof/>
                <w:lang w:eastAsia="en-AU"/>
              </w:rPr>
              <w:noBreakHyphen/>
              <w:t>free threshold, no payroll tax is payable in the NT.</w:t>
            </w:r>
          </w:p>
        </w:tc>
      </w:tr>
    </w:tbl>
    <w:p w14:paraId="40994BC1" w14:textId="77777777" w:rsidR="00375B9D" w:rsidRPr="00375B9D" w:rsidRDefault="00375B9D" w:rsidP="00AE756D">
      <w:pPr>
        <w:spacing w:after="0"/>
        <w:rPr>
          <w:noProof/>
          <w:lang w:eastAsia="en-AU"/>
        </w:rPr>
      </w:pPr>
    </w:p>
    <w:tbl>
      <w:tblPr>
        <w:tblStyle w:val="DTFpayrolltaxguidestyle1"/>
        <w:tblW w:w="10348" w:type="dxa"/>
        <w:tblLook w:val="04A0" w:firstRow="1" w:lastRow="0" w:firstColumn="1" w:lastColumn="0" w:noHBand="0" w:noVBand="1"/>
        <w:tblDescription w:val="Example 2: DEF Pty Ltd is ungrouped and only pays wages in the NT. Total net NT wages for 2014-2015 were $1 900 000. Because this is greater than the $1 500 000 tax-free threshold, payroll tax will be payable. DEF’s tax-free entitlement and liability are calculated in the following steps:"/>
      </w:tblPr>
      <w:tblGrid>
        <w:gridCol w:w="10348"/>
      </w:tblGrid>
      <w:tr w:rsidR="00375B9D" w:rsidRPr="00375B9D" w14:paraId="782CF735" w14:textId="77777777" w:rsidTr="00937629">
        <w:trPr>
          <w:trHeight w:val="3630"/>
          <w:tblHeader/>
        </w:trPr>
        <w:tc>
          <w:tcPr>
            <w:tcW w:w="10348" w:type="dxa"/>
          </w:tcPr>
          <w:p w14:paraId="53FC0F84" w14:textId="77777777" w:rsidR="00375B9D" w:rsidRDefault="00375B9D" w:rsidP="00AE756D">
            <w:pPr>
              <w:spacing w:after="120"/>
              <w:rPr>
                <w:noProof/>
                <w:lang w:eastAsia="en-AU"/>
              </w:rPr>
            </w:pPr>
            <w:r w:rsidRPr="00375B9D">
              <w:rPr>
                <w:b/>
                <w:noProof/>
                <w:lang w:eastAsia="en-AU"/>
              </w:rPr>
              <w:lastRenderedPageBreak/>
              <w:t>Example 2</w:t>
            </w:r>
            <w:r w:rsidRPr="00375B9D">
              <w:rPr>
                <w:noProof/>
                <w:lang w:eastAsia="en-AU"/>
              </w:rPr>
              <w:t xml:space="preserve">: DEF Pty Ltd is not grouped and only pays wages in the NT. Total net NT wages for </w:t>
            </w:r>
            <w:r w:rsidR="00AE756D" w:rsidRPr="00375B9D">
              <w:rPr>
                <w:noProof/>
                <w:lang w:eastAsia="en-AU"/>
              </w:rPr>
              <w:t>20</w:t>
            </w:r>
            <w:r w:rsidR="00AE756D">
              <w:rPr>
                <w:noProof/>
                <w:lang w:eastAsia="en-AU"/>
              </w:rPr>
              <w:t>21</w:t>
            </w:r>
            <w:r w:rsidR="00AE756D" w:rsidRPr="00375B9D">
              <w:rPr>
                <w:noProof/>
                <w:lang w:eastAsia="en-AU"/>
              </w:rPr>
              <w:t>-</w:t>
            </w:r>
            <w:r w:rsidR="00AE756D">
              <w:rPr>
                <w:noProof/>
                <w:lang w:eastAsia="en-AU"/>
              </w:rPr>
              <w:t>22</w:t>
            </w:r>
            <w:r w:rsidR="00AE756D" w:rsidRPr="00375B9D">
              <w:rPr>
                <w:noProof/>
                <w:lang w:eastAsia="en-AU"/>
              </w:rPr>
              <w:t xml:space="preserve"> </w:t>
            </w:r>
            <w:r w:rsidRPr="00375B9D">
              <w:rPr>
                <w:noProof/>
                <w:lang w:eastAsia="en-AU"/>
              </w:rPr>
              <w:t>were $1</w:t>
            </w:r>
            <w:r w:rsidR="00AC3E38">
              <w:rPr>
                <w:noProof/>
                <w:lang w:eastAsia="en-AU"/>
              </w:rPr>
              <w:t>,900</w:t>
            </w:r>
            <w:r w:rsidR="00C65823">
              <w:rPr>
                <w:noProof/>
                <w:lang w:eastAsia="en-AU"/>
              </w:rPr>
              <w:t>,000</w:t>
            </w:r>
            <w:r w:rsidRPr="00375B9D">
              <w:rPr>
                <w:noProof/>
                <w:lang w:eastAsia="en-AU"/>
              </w:rPr>
              <w:t>. Because this is greater than the $1</w:t>
            </w:r>
            <w:r w:rsidR="00C65823">
              <w:rPr>
                <w:noProof/>
                <w:lang w:eastAsia="en-AU"/>
              </w:rPr>
              <w:t>,500,000</w:t>
            </w:r>
            <w:r w:rsidRPr="00375B9D">
              <w:rPr>
                <w:noProof/>
                <w:lang w:eastAsia="en-AU"/>
              </w:rPr>
              <w:t xml:space="preserve"> tax-free threshold, payroll tax will be payable. DEF’s tax-free entitlement and liability are calculated in the following steps:</w:t>
            </w:r>
          </w:p>
          <w:p w14:paraId="07EC2F8C" w14:textId="77777777" w:rsidR="00603F8E" w:rsidRPr="00375B9D" w:rsidRDefault="00603F8E" w:rsidP="00AE756D">
            <w:pPr>
              <w:spacing w:after="120"/>
              <w:ind w:left="851" w:hanging="851"/>
              <w:rPr>
                <w:noProof/>
                <w:lang w:eastAsia="en-AU"/>
              </w:rPr>
            </w:pPr>
            <w:r w:rsidRPr="00375B9D">
              <w:rPr>
                <w:noProof/>
                <w:lang w:eastAsia="en-AU"/>
              </w:rPr>
              <w:t>Step 1:</w:t>
            </w:r>
            <w:r w:rsidRPr="00375B9D">
              <w:rPr>
                <w:noProof/>
                <w:lang w:eastAsia="en-AU"/>
              </w:rPr>
              <w:tab/>
              <w:t>Gross wages are $1</w:t>
            </w:r>
            <w:r w:rsidR="00AC3E38">
              <w:rPr>
                <w:noProof/>
                <w:lang w:eastAsia="en-AU"/>
              </w:rPr>
              <w:t>,900</w:t>
            </w:r>
            <w:r w:rsidR="00C65823">
              <w:rPr>
                <w:noProof/>
                <w:lang w:eastAsia="en-AU"/>
              </w:rPr>
              <w:t>,000</w:t>
            </w:r>
          </w:p>
          <w:p w14:paraId="0AE8B341" w14:textId="77777777" w:rsidR="00603F8E" w:rsidRPr="00375B9D" w:rsidRDefault="00603F8E" w:rsidP="00AE756D">
            <w:pPr>
              <w:spacing w:after="120"/>
              <w:ind w:left="851" w:hanging="851"/>
              <w:rPr>
                <w:noProof/>
                <w:lang w:eastAsia="en-AU"/>
              </w:rPr>
            </w:pPr>
            <w:r w:rsidRPr="00375B9D">
              <w:rPr>
                <w:noProof/>
                <w:lang w:eastAsia="en-AU"/>
              </w:rPr>
              <w:t>Step 2:</w:t>
            </w:r>
            <w:r w:rsidRPr="00375B9D">
              <w:rPr>
                <w:noProof/>
                <w:lang w:eastAsia="en-AU"/>
              </w:rPr>
              <w:tab/>
              <w:t>Maximum possible tax-free component is $1</w:t>
            </w:r>
            <w:r w:rsidR="00C65823">
              <w:rPr>
                <w:noProof/>
                <w:lang w:eastAsia="en-AU"/>
              </w:rPr>
              <w:t>,500,000</w:t>
            </w:r>
          </w:p>
          <w:p w14:paraId="1C316A3B" w14:textId="77777777" w:rsidR="00603F8E" w:rsidRPr="00375B9D" w:rsidRDefault="00603F8E" w:rsidP="00AE756D">
            <w:pPr>
              <w:spacing w:after="120"/>
              <w:ind w:left="851" w:hanging="851"/>
              <w:rPr>
                <w:noProof/>
                <w:lang w:eastAsia="en-AU"/>
              </w:rPr>
            </w:pPr>
            <w:r w:rsidRPr="00375B9D">
              <w:rPr>
                <w:noProof/>
                <w:lang w:eastAsia="en-AU"/>
              </w:rPr>
              <w:t>Step 3:</w:t>
            </w:r>
            <w:r w:rsidRPr="00375B9D">
              <w:rPr>
                <w:noProof/>
                <w:lang w:eastAsia="en-AU"/>
              </w:rPr>
              <w:tab/>
              <w:t>Gross wage</w:t>
            </w:r>
            <w:r>
              <w:rPr>
                <w:noProof/>
                <w:lang w:eastAsia="en-AU"/>
              </w:rPr>
              <w:t>s exceed $1</w:t>
            </w:r>
            <w:r w:rsidR="00C65823">
              <w:rPr>
                <w:noProof/>
                <w:lang w:eastAsia="en-AU"/>
              </w:rPr>
              <w:t>,500,000</w:t>
            </w:r>
            <w:r>
              <w:rPr>
                <w:noProof/>
                <w:lang w:eastAsia="en-AU"/>
              </w:rPr>
              <w:t xml:space="preserve"> by $400</w:t>
            </w:r>
            <w:r w:rsidR="00C65823">
              <w:rPr>
                <w:noProof/>
                <w:lang w:eastAsia="en-AU"/>
              </w:rPr>
              <w:t>,000</w:t>
            </w:r>
          </w:p>
          <w:p w14:paraId="2EC513F4" w14:textId="77777777" w:rsidR="00603F8E" w:rsidRPr="00375B9D" w:rsidRDefault="00603F8E" w:rsidP="00AE756D">
            <w:pPr>
              <w:spacing w:after="120"/>
              <w:ind w:left="851" w:hanging="851"/>
              <w:rPr>
                <w:noProof/>
                <w:lang w:eastAsia="en-AU"/>
              </w:rPr>
            </w:pPr>
            <w:r w:rsidRPr="00375B9D">
              <w:rPr>
                <w:noProof/>
                <w:lang w:eastAsia="en-AU"/>
              </w:rPr>
              <w:t>Step 4:</w:t>
            </w:r>
            <w:r w:rsidRPr="00375B9D">
              <w:rPr>
                <w:noProof/>
                <w:lang w:eastAsia="en-AU"/>
              </w:rPr>
              <w:tab/>
              <w:t>The $1</w:t>
            </w:r>
            <w:r w:rsidR="00C65823">
              <w:rPr>
                <w:noProof/>
                <w:lang w:eastAsia="en-AU"/>
              </w:rPr>
              <w:t>,500,000</w:t>
            </w:r>
            <w:r w:rsidRPr="00375B9D">
              <w:rPr>
                <w:noProof/>
                <w:lang w:eastAsia="en-AU"/>
              </w:rPr>
              <w:t xml:space="preserve"> maximum possible tax-free component is reduced by $1 in $4 of the $400</w:t>
            </w:r>
            <w:r w:rsidR="00C65823">
              <w:rPr>
                <w:noProof/>
                <w:lang w:eastAsia="en-AU"/>
              </w:rPr>
              <w:t>,000</w:t>
            </w:r>
            <w:r w:rsidRPr="00375B9D">
              <w:rPr>
                <w:noProof/>
                <w:lang w:eastAsia="en-AU"/>
              </w:rPr>
              <w:t xml:space="preserve"> excess (i.e. reduced by $100</w:t>
            </w:r>
            <w:r w:rsidR="00C65823">
              <w:rPr>
                <w:noProof/>
                <w:lang w:eastAsia="en-AU"/>
              </w:rPr>
              <w:t>,000</w:t>
            </w:r>
            <w:r>
              <w:rPr>
                <w:noProof/>
                <w:lang w:eastAsia="en-AU"/>
              </w:rPr>
              <w:t xml:space="preserve"> from $1</w:t>
            </w:r>
            <w:r w:rsidR="00C65823">
              <w:rPr>
                <w:noProof/>
                <w:lang w:eastAsia="en-AU"/>
              </w:rPr>
              <w:t>,500,000</w:t>
            </w:r>
            <w:r>
              <w:rPr>
                <w:noProof/>
                <w:lang w:eastAsia="en-AU"/>
              </w:rPr>
              <w:t xml:space="preserve"> to $1</w:t>
            </w:r>
            <w:r w:rsidR="00AC3E38">
              <w:rPr>
                <w:noProof/>
                <w:lang w:eastAsia="en-AU"/>
              </w:rPr>
              <w:t>,400</w:t>
            </w:r>
            <w:r w:rsidR="00C65823">
              <w:rPr>
                <w:noProof/>
                <w:lang w:eastAsia="en-AU"/>
              </w:rPr>
              <w:t>,000</w:t>
            </w:r>
            <w:r>
              <w:rPr>
                <w:noProof/>
                <w:lang w:eastAsia="en-AU"/>
              </w:rPr>
              <w:t>)</w:t>
            </w:r>
          </w:p>
          <w:p w14:paraId="599B4C29" w14:textId="77777777" w:rsidR="00603F8E" w:rsidRPr="00375B9D" w:rsidRDefault="00603F8E" w:rsidP="00AE756D">
            <w:pPr>
              <w:spacing w:after="120"/>
              <w:ind w:left="851" w:hanging="851"/>
              <w:rPr>
                <w:noProof/>
                <w:lang w:eastAsia="en-AU"/>
              </w:rPr>
            </w:pPr>
            <w:r w:rsidRPr="00375B9D">
              <w:rPr>
                <w:noProof/>
                <w:lang w:eastAsia="en-AU"/>
              </w:rPr>
              <w:t>Step 5:</w:t>
            </w:r>
            <w:r w:rsidRPr="00375B9D">
              <w:rPr>
                <w:noProof/>
                <w:lang w:eastAsia="en-AU"/>
              </w:rPr>
              <w:tab/>
              <w:t>Therefore, DEF’s taxable wages are $1</w:t>
            </w:r>
            <w:r w:rsidR="00AC3E38">
              <w:rPr>
                <w:noProof/>
                <w:lang w:eastAsia="en-AU"/>
              </w:rPr>
              <w:t>,900</w:t>
            </w:r>
            <w:r w:rsidR="00C65823">
              <w:rPr>
                <w:noProof/>
                <w:lang w:eastAsia="en-AU"/>
              </w:rPr>
              <w:t>,000</w:t>
            </w:r>
            <w:r w:rsidRPr="00375B9D">
              <w:rPr>
                <w:noProof/>
                <w:lang w:eastAsia="en-AU"/>
              </w:rPr>
              <w:t xml:space="preserve"> less $1</w:t>
            </w:r>
            <w:r w:rsidR="00AC3E38">
              <w:rPr>
                <w:noProof/>
                <w:lang w:eastAsia="en-AU"/>
              </w:rPr>
              <w:t>,400</w:t>
            </w:r>
            <w:r w:rsidR="00C65823">
              <w:rPr>
                <w:noProof/>
                <w:lang w:eastAsia="en-AU"/>
              </w:rPr>
              <w:t>,000</w:t>
            </w:r>
            <w:r w:rsidRPr="00375B9D">
              <w:rPr>
                <w:noProof/>
                <w:lang w:eastAsia="en-AU"/>
              </w:rPr>
              <w:t xml:space="preserve"> tax-f</w:t>
            </w:r>
            <w:r>
              <w:rPr>
                <w:noProof/>
                <w:lang w:eastAsia="en-AU"/>
              </w:rPr>
              <w:t>ree component (ADA) or $500</w:t>
            </w:r>
            <w:r w:rsidR="00C65823">
              <w:rPr>
                <w:noProof/>
                <w:lang w:eastAsia="en-AU"/>
              </w:rPr>
              <w:t>,000</w:t>
            </w:r>
          </w:p>
          <w:p w14:paraId="35C5968A" w14:textId="77777777" w:rsidR="00375B9D" w:rsidRPr="00375B9D" w:rsidRDefault="00603F8E" w:rsidP="00603F8E">
            <w:pPr>
              <w:spacing w:after="200"/>
              <w:ind w:left="851" w:hanging="851"/>
              <w:rPr>
                <w:noProof/>
                <w:lang w:eastAsia="en-AU"/>
              </w:rPr>
            </w:pPr>
            <w:r w:rsidRPr="00375B9D">
              <w:rPr>
                <w:noProof/>
                <w:lang w:eastAsia="en-AU"/>
              </w:rPr>
              <w:t>Step 6:</w:t>
            </w:r>
            <w:r w:rsidRPr="00375B9D">
              <w:rPr>
                <w:noProof/>
                <w:lang w:eastAsia="en-AU"/>
              </w:rPr>
              <w:tab/>
              <w:t>DEF’s payroll tax liability is $500</w:t>
            </w:r>
            <w:r w:rsidR="00C65823">
              <w:rPr>
                <w:noProof/>
                <w:lang w:eastAsia="en-AU"/>
              </w:rPr>
              <w:t>,000</w:t>
            </w:r>
            <w:r w:rsidRPr="00375B9D">
              <w:rPr>
                <w:noProof/>
                <w:lang w:eastAsia="en-AU"/>
              </w:rPr>
              <w:t xml:space="preserve"> x 5.5%</w:t>
            </w:r>
            <w:r w:rsidR="00A73CE7">
              <w:rPr>
                <w:noProof/>
                <w:lang w:eastAsia="en-AU"/>
              </w:rPr>
              <w:t>,</w:t>
            </w:r>
            <w:r>
              <w:rPr>
                <w:noProof/>
                <w:lang w:eastAsia="en-AU"/>
              </w:rPr>
              <w:t xml:space="preserve"> which equals $27</w:t>
            </w:r>
            <w:r w:rsidR="00C65823">
              <w:rPr>
                <w:noProof/>
                <w:lang w:eastAsia="en-AU"/>
              </w:rPr>
              <w:t>,500</w:t>
            </w:r>
          </w:p>
        </w:tc>
      </w:tr>
      <w:tr w:rsidR="00375B9D" w:rsidRPr="00375B9D" w14:paraId="7CA7271D" w14:textId="77777777" w:rsidTr="00AE756D">
        <w:trPr>
          <w:trHeight w:val="6617"/>
        </w:trPr>
        <w:tc>
          <w:tcPr>
            <w:tcW w:w="10348" w:type="dxa"/>
          </w:tcPr>
          <w:p w14:paraId="7014AC9A" w14:textId="77777777" w:rsidR="00375B9D" w:rsidRPr="00375B9D" w:rsidRDefault="00375B9D" w:rsidP="00375B9D">
            <w:pPr>
              <w:spacing w:after="200"/>
              <w:rPr>
                <w:noProof/>
                <w:lang w:eastAsia="en-AU"/>
              </w:rPr>
            </w:pPr>
            <w:r w:rsidRPr="00375B9D">
              <w:rPr>
                <w:b/>
                <w:noProof/>
                <w:lang w:eastAsia="en-AU"/>
              </w:rPr>
              <w:t>Example 3</w:t>
            </w:r>
            <w:r w:rsidRPr="00375B9D">
              <w:rPr>
                <w:noProof/>
                <w:lang w:eastAsia="en-AU"/>
              </w:rPr>
              <w:t xml:space="preserve">: GHI Pty Ltd, JKL Pty Ltd and MNO Pty Ltd are all grouped (they have common directors and shareholders). They each pay wages in the NT, but not in any other state or territory. Their net taxable wages in </w:t>
            </w:r>
            <w:r w:rsidR="00AE756D" w:rsidRPr="00375B9D">
              <w:rPr>
                <w:noProof/>
                <w:lang w:eastAsia="en-AU"/>
              </w:rPr>
              <w:t>20</w:t>
            </w:r>
            <w:r w:rsidR="00AE756D">
              <w:rPr>
                <w:noProof/>
                <w:lang w:eastAsia="en-AU"/>
              </w:rPr>
              <w:t>21</w:t>
            </w:r>
            <w:r w:rsidR="00AE756D" w:rsidRPr="00375B9D">
              <w:rPr>
                <w:noProof/>
                <w:lang w:eastAsia="en-AU"/>
              </w:rPr>
              <w:t>-</w:t>
            </w:r>
            <w:r w:rsidR="00AE756D">
              <w:rPr>
                <w:noProof/>
                <w:lang w:eastAsia="en-AU"/>
              </w:rPr>
              <w:t>22</w:t>
            </w:r>
            <w:r w:rsidR="00AE756D" w:rsidRPr="00375B9D">
              <w:rPr>
                <w:noProof/>
                <w:lang w:eastAsia="en-AU"/>
              </w:rPr>
              <w:t xml:space="preserve"> </w:t>
            </w:r>
            <w:r w:rsidRPr="00375B9D">
              <w:rPr>
                <w:noProof/>
                <w:lang w:eastAsia="en-AU"/>
              </w:rPr>
              <w:t>were as follows:</w:t>
            </w:r>
          </w:p>
          <w:p w14:paraId="642E95FD" w14:textId="77777777" w:rsidR="00375B9D" w:rsidRPr="00375B9D" w:rsidRDefault="00375B9D" w:rsidP="00617186">
            <w:pPr>
              <w:tabs>
                <w:tab w:val="right" w:pos="2835"/>
              </w:tabs>
              <w:spacing w:after="200"/>
              <w:rPr>
                <w:noProof/>
                <w:lang w:eastAsia="en-AU"/>
              </w:rPr>
            </w:pPr>
            <w:r w:rsidRPr="00375B9D">
              <w:rPr>
                <w:noProof/>
                <w:lang w:eastAsia="en-AU"/>
              </w:rPr>
              <w:t>GHI:</w:t>
            </w:r>
            <w:r w:rsidRPr="00375B9D">
              <w:rPr>
                <w:noProof/>
                <w:lang w:eastAsia="en-AU"/>
              </w:rPr>
              <w:tab/>
              <w:t>$2</w:t>
            </w:r>
            <w:r w:rsidR="00AC3E38">
              <w:rPr>
                <w:noProof/>
                <w:lang w:eastAsia="en-AU"/>
              </w:rPr>
              <w:t>,900</w:t>
            </w:r>
            <w:r w:rsidR="00C65823">
              <w:rPr>
                <w:noProof/>
                <w:lang w:eastAsia="en-AU"/>
              </w:rPr>
              <w:t>,000</w:t>
            </w:r>
            <w:r w:rsidRPr="00375B9D">
              <w:rPr>
                <w:noProof/>
                <w:lang w:eastAsia="en-AU"/>
              </w:rPr>
              <w:br/>
              <w:t>JKL:</w:t>
            </w:r>
            <w:r w:rsidRPr="00375B9D">
              <w:rPr>
                <w:noProof/>
                <w:lang w:eastAsia="en-AU"/>
              </w:rPr>
              <w:tab/>
              <w:t>$400</w:t>
            </w:r>
            <w:r w:rsidR="00C65823">
              <w:rPr>
                <w:noProof/>
                <w:lang w:eastAsia="en-AU"/>
              </w:rPr>
              <w:t>,000</w:t>
            </w:r>
            <w:r w:rsidRPr="00375B9D">
              <w:rPr>
                <w:noProof/>
                <w:lang w:eastAsia="en-AU"/>
              </w:rPr>
              <w:br/>
              <w:t>MNO:</w:t>
            </w:r>
            <w:r w:rsidRPr="00375B9D">
              <w:rPr>
                <w:noProof/>
                <w:lang w:eastAsia="en-AU"/>
              </w:rPr>
              <w:tab/>
              <w:t>$600</w:t>
            </w:r>
            <w:r w:rsidR="00C65823">
              <w:rPr>
                <w:noProof/>
                <w:lang w:eastAsia="en-AU"/>
              </w:rPr>
              <w:t>,000</w:t>
            </w:r>
            <w:r w:rsidRPr="00375B9D">
              <w:rPr>
                <w:noProof/>
                <w:lang w:eastAsia="en-AU"/>
              </w:rPr>
              <w:br/>
              <w:t>Total</w:t>
            </w:r>
            <w:r w:rsidRPr="00375B9D">
              <w:rPr>
                <w:noProof/>
                <w:lang w:eastAsia="en-AU"/>
              </w:rPr>
              <w:tab/>
              <w:t>$3</w:t>
            </w:r>
            <w:r w:rsidR="00AC3E38">
              <w:rPr>
                <w:noProof/>
                <w:lang w:eastAsia="en-AU"/>
              </w:rPr>
              <w:t>,900</w:t>
            </w:r>
            <w:r w:rsidR="00C65823">
              <w:rPr>
                <w:noProof/>
                <w:lang w:eastAsia="en-AU"/>
              </w:rPr>
              <w:t>,000</w:t>
            </w:r>
            <w:r w:rsidRPr="00375B9D">
              <w:rPr>
                <w:noProof/>
                <w:lang w:eastAsia="en-AU"/>
              </w:rPr>
              <w:tab/>
            </w:r>
          </w:p>
          <w:p w14:paraId="6A3D0976" w14:textId="77777777" w:rsidR="00375B9D" w:rsidRPr="00375B9D" w:rsidRDefault="00375B9D" w:rsidP="00AE756D">
            <w:pPr>
              <w:spacing w:after="120"/>
              <w:rPr>
                <w:noProof/>
                <w:lang w:eastAsia="en-AU"/>
              </w:rPr>
            </w:pPr>
            <w:r w:rsidRPr="00375B9D">
              <w:rPr>
                <w:noProof/>
                <w:lang w:eastAsia="en-AU"/>
              </w:rPr>
              <w:t>GHI has been selected as the designated group employer (DGE). The businesses’ payroll tax liability is calculated in the following steps:</w:t>
            </w:r>
          </w:p>
          <w:p w14:paraId="42A0EC0D" w14:textId="77777777" w:rsidR="00375B9D" w:rsidRPr="00375B9D" w:rsidRDefault="00375B9D" w:rsidP="00AE756D">
            <w:pPr>
              <w:spacing w:after="120"/>
              <w:ind w:left="851" w:hanging="851"/>
              <w:rPr>
                <w:noProof/>
                <w:lang w:eastAsia="en-AU"/>
              </w:rPr>
            </w:pPr>
            <w:r w:rsidRPr="00375B9D">
              <w:rPr>
                <w:noProof/>
                <w:lang w:eastAsia="en-AU"/>
              </w:rPr>
              <w:t>Step 1:</w:t>
            </w:r>
            <w:r w:rsidRPr="00375B9D">
              <w:rPr>
                <w:noProof/>
                <w:lang w:eastAsia="en-AU"/>
              </w:rPr>
              <w:tab/>
              <w:t>Gross group wages are $3</w:t>
            </w:r>
            <w:r w:rsidR="00AC3E38">
              <w:rPr>
                <w:noProof/>
                <w:lang w:eastAsia="en-AU"/>
              </w:rPr>
              <w:t>,900</w:t>
            </w:r>
            <w:r w:rsidR="00C65823">
              <w:rPr>
                <w:noProof/>
                <w:lang w:eastAsia="en-AU"/>
              </w:rPr>
              <w:t>,000</w:t>
            </w:r>
          </w:p>
          <w:p w14:paraId="328C960D" w14:textId="77777777" w:rsidR="00375B9D" w:rsidRPr="00375B9D" w:rsidRDefault="00375B9D" w:rsidP="00AE756D">
            <w:pPr>
              <w:spacing w:after="120"/>
              <w:ind w:left="851" w:hanging="851"/>
              <w:rPr>
                <w:noProof/>
                <w:lang w:eastAsia="en-AU"/>
              </w:rPr>
            </w:pPr>
            <w:r w:rsidRPr="00375B9D">
              <w:rPr>
                <w:noProof/>
                <w:lang w:eastAsia="en-AU"/>
              </w:rPr>
              <w:t>Step 2:</w:t>
            </w:r>
            <w:r w:rsidRPr="00375B9D">
              <w:rPr>
                <w:noProof/>
                <w:lang w:eastAsia="en-AU"/>
              </w:rPr>
              <w:tab/>
              <w:t>Maximum possible tax-free component is $1</w:t>
            </w:r>
            <w:r w:rsidR="00C65823">
              <w:rPr>
                <w:noProof/>
                <w:lang w:eastAsia="en-AU"/>
              </w:rPr>
              <w:t>,500,000</w:t>
            </w:r>
          </w:p>
          <w:p w14:paraId="566536B4" w14:textId="77777777" w:rsidR="00375B9D" w:rsidRPr="00375B9D" w:rsidRDefault="00375B9D" w:rsidP="00AE756D">
            <w:pPr>
              <w:spacing w:after="120"/>
              <w:ind w:left="851" w:hanging="851"/>
              <w:rPr>
                <w:noProof/>
                <w:lang w:eastAsia="en-AU"/>
              </w:rPr>
            </w:pPr>
            <w:r w:rsidRPr="00375B9D">
              <w:rPr>
                <w:noProof/>
                <w:lang w:eastAsia="en-AU"/>
              </w:rPr>
              <w:t>Step 3:</w:t>
            </w:r>
            <w:r w:rsidRPr="00375B9D">
              <w:rPr>
                <w:noProof/>
                <w:lang w:eastAsia="en-AU"/>
              </w:rPr>
              <w:tab/>
              <w:t xml:space="preserve">Gross wages </w:t>
            </w:r>
            <w:r w:rsidR="00603F8E">
              <w:rPr>
                <w:noProof/>
                <w:lang w:eastAsia="en-AU"/>
              </w:rPr>
              <w:t>exceed $1</w:t>
            </w:r>
            <w:r w:rsidR="00C65823">
              <w:rPr>
                <w:noProof/>
                <w:lang w:eastAsia="en-AU"/>
              </w:rPr>
              <w:t>,500,000</w:t>
            </w:r>
            <w:r w:rsidR="00603F8E">
              <w:rPr>
                <w:noProof/>
                <w:lang w:eastAsia="en-AU"/>
              </w:rPr>
              <w:t xml:space="preserve"> by $2</w:t>
            </w:r>
            <w:r w:rsidR="00AC3E38">
              <w:rPr>
                <w:noProof/>
                <w:lang w:eastAsia="en-AU"/>
              </w:rPr>
              <w:t>,400</w:t>
            </w:r>
            <w:r w:rsidR="00C65823">
              <w:rPr>
                <w:noProof/>
                <w:lang w:eastAsia="en-AU"/>
              </w:rPr>
              <w:t>,000</w:t>
            </w:r>
          </w:p>
          <w:p w14:paraId="03F08A42" w14:textId="77777777" w:rsidR="00375B9D" w:rsidRPr="00375B9D" w:rsidRDefault="00375B9D" w:rsidP="00AE756D">
            <w:pPr>
              <w:spacing w:after="120"/>
              <w:ind w:left="851" w:hanging="851"/>
              <w:rPr>
                <w:noProof/>
                <w:lang w:eastAsia="en-AU"/>
              </w:rPr>
            </w:pPr>
            <w:r w:rsidRPr="00375B9D">
              <w:rPr>
                <w:noProof/>
                <w:lang w:eastAsia="en-AU"/>
              </w:rPr>
              <w:t>Step 4:</w:t>
            </w:r>
            <w:r w:rsidRPr="00375B9D">
              <w:rPr>
                <w:noProof/>
                <w:lang w:eastAsia="en-AU"/>
              </w:rPr>
              <w:tab/>
              <w:t>The $1</w:t>
            </w:r>
            <w:r w:rsidR="00C65823">
              <w:rPr>
                <w:noProof/>
                <w:lang w:eastAsia="en-AU"/>
              </w:rPr>
              <w:t>,500,000</w:t>
            </w:r>
            <w:r w:rsidRPr="00375B9D">
              <w:rPr>
                <w:noProof/>
                <w:lang w:eastAsia="en-AU"/>
              </w:rPr>
              <w:t xml:space="preserve"> maximum possible tax-free component is reduced by $1 in $4 of the </w:t>
            </w:r>
            <w:r w:rsidR="009702BF">
              <w:rPr>
                <w:noProof/>
                <w:lang w:eastAsia="en-AU"/>
              </w:rPr>
              <w:br/>
            </w:r>
            <w:r w:rsidRPr="00375B9D">
              <w:rPr>
                <w:noProof/>
                <w:lang w:eastAsia="en-AU"/>
              </w:rPr>
              <w:t>$2</w:t>
            </w:r>
            <w:r w:rsidR="00AC3E38">
              <w:rPr>
                <w:noProof/>
                <w:lang w:eastAsia="en-AU"/>
              </w:rPr>
              <w:t>,400</w:t>
            </w:r>
            <w:r w:rsidR="00C65823">
              <w:rPr>
                <w:noProof/>
                <w:lang w:eastAsia="en-AU"/>
              </w:rPr>
              <w:t>,000</w:t>
            </w:r>
            <w:r w:rsidRPr="00375B9D">
              <w:rPr>
                <w:noProof/>
                <w:lang w:eastAsia="en-AU"/>
              </w:rPr>
              <w:t xml:space="preserve"> excess (i.e. reduced by $600</w:t>
            </w:r>
            <w:r w:rsidR="00C65823">
              <w:rPr>
                <w:noProof/>
                <w:lang w:eastAsia="en-AU"/>
              </w:rPr>
              <w:t>,000</w:t>
            </w:r>
            <w:r w:rsidRPr="00375B9D">
              <w:rPr>
                <w:noProof/>
                <w:lang w:eastAsia="en-AU"/>
              </w:rPr>
              <w:t xml:space="preserve"> from $1</w:t>
            </w:r>
            <w:r w:rsidR="00C65823">
              <w:rPr>
                <w:noProof/>
                <w:lang w:eastAsia="en-AU"/>
              </w:rPr>
              <w:t>,500,000</w:t>
            </w:r>
            <w:r w:rsidRPr="00375B9D">
              <w:rPr>
                <w:noProof/>
                <w:lang w:eastAsia="en-AU"/>
              </w:rPr>
              <w:t xml:space="preserve"> t</w:t>
            </w:r>
            <w:r w:rsidR="00603F8E">
              <w:rPr>
                <w:noProof/>
                <w:lang w:eastAsia="en-AU"/>
              </w:rPr>
              <w:t>o $900</w:t>
            </w:r>
            <w:r w:rsidR="00C65823">
              <w:rPr>
                <w:noProof/>
                <w:lang w:eastAsia="en-AU"/>
              </w:rPr>
              <w:t>,000</w:t>
            </w:r>
            <w:r w:rsidR="00603F8E">
              <w:rPr>
                <w:noProof/>
                <w:lang w:eastAsia="en-AU"/>
              </w:rPr>
              <w:t>)</w:t>
            </w:r>
          </w:p>
          <w:p w14:paraId="3DF4CAE9" w14:textId="77777777" w:rsidR="00375B9D" w:rsidRPr="00375B9D" w:rsidRDefault="00375B9D" w:rsidP="00AE756D">
            <w:pPr>
              <w:spacing w:after="120"/>
              <w:ind w:left="851" w:hanging="851"/>
              <w:rPr>
                <w:noProof/>
                <w:lang w:eastAsia="en-AU"/>
              </w:rPr>
            </w:pPr>
            <w:r w:rsidRPr="00375B9D">
              <w:rPr>
                <w:noProof/>
                <w:lang w:eastAsia="en-AU"/>
              </w:rPr>
              <w:t>Step 5:</w:t>
            </w:r>
            <w:r w:rsidRPr="00375B9D">
              <w:rPr>
                <w:noProof/>
                <w:lang w:eastAsia="en-AU"/>
              </w:rPr>
              <w:tab/>
              <w:t>The $900</w:t>
            </w:r>
            <w:r w:rsidR="00C65823">
              <w:rPr>
                <w:noProof/>
                <w:lang w:eastAsia="en-AU"/>
              </w:rPr>
              <w:t>,000</w:t>
            </w:r>
            <w:r w:rsidRPr="00375B9D">
              <w:rPr>
                <w:noProof/>
                <w:lang w:eastAsia="en-AU"/>
              </w:rPr>
              <w:t xml:space="preserve"> tax-free component (ADA) is allo</w:t>
            </w:r>
            <w:r w:rsidR="00603F8E">
              <w:rPr>
                <w:noProof/>
                <w:lang w:eastAsia="en-AU"/>
              </w:rPr>
              <w:t>cated in full to GHI as the DGE</w:t>
            </w:r>
          </w:p>
          <w:p w14:paraId="73192AAD" w14:textId="77777777" w:rsidR="00375B9D" w:rsidRPr="00375B9D" w:rsidRDefault="00375B9D" w:rsidP="00AE756D">
            <w:pPr>
              <w:spacing w:after="120"/>
              <w:ind w:left="851" w:hanging="851"/>
              <w:rPr>
                <w:noProof/>
                <w:lang w:eastAsia="en-AU"/>
              </w:rPr>
            </w:pPr>
            <w:r w:rsidRPr="00375B9D">
              <w:rPr>
                <w:noProof/>
                <w:lang w:eastAsia="en-AU"/>
              </w:rPr>
              <w:t>Step 6:</w:t>
            </w:r>
            <w:r w:rsidRPr="00375B9D">
              <w:rPr>
                <w:noProof/>
                <w:lang w:eastAsia="en-AU"/>
              </w:rPr>
              <w:tab/>
              <w:t>GHI’s taxable wages are therefore: $2</w:t>
            </w:r>
            <w:r w:rsidR="00AC3E38">
              <w:rPr>
                <w:noProof/>
                <w:lang w:eastAsia="en-AU"/>
              </w:rPr>
              <w:t>,900</w:t>
            </w:r>
            <w:r w:rsidR="00C65823">
              <w:rPr>
                <w:noProof/>
                <w:lang w:eastAsia="en-AU"/>
              </w:rPr>
              <w:t>,000</w:t>
            </w:r>
            <w:r w:rsidRPr="00375B9D">
              <w:rPr>
                <w:noProof/>
                <w:lang w:eastAsia="en-AU"/>
              </w:rPr>
              <w:t xml:space="preserve"> - $900</w:t>
            </w:r>
            <w:r w:rsidR="00C65823">
              <w:rPr>
                <w:noProof/>
                <w:lang w:eastAsia="en-AU"/>
              </w:rPr>
              <w:t>,000</w:t>
            </w:r>
            <w:r w:rsidRPr="00375B9D">
              <w:rPr>
                <w:noProof/>
                <w:lang w:eastAsia="en-AU"/>
              </w:rPr>
              <w:t xml:space="preserve"> = $2</w:t>
            </w:r>
            <w:r w:rsidR="00C65823">
              <w:rPr>
                <w:noProof/>
                <w:lang w:eastAsia="en-AU"/>
              </w:rPr>
              <w:t>,000,000</w:t>
            </w:r>
          </w:p>
          <w:p w14:paraId="27872D7A" w14:textId="77777777" w:rsidR="00375B9D" w:rsidRPr="00375B9D" w:rsidRDefault="00375B9D" w:rsidP="00AE756D">
            <w:pPr>
              <w:spacing w:after="120"/>
              <w:ind w:left="851" w:hanging="851"/>
              <w:rPr>
                <w:noProof/>
                <w:lang w:eastAsia="en-AU"/>
              </w:rPr>
            </w:pPr>
            <w:r w:rsidRPr="00375B9D">
              <w:rPr>
                <w:noProof/>
                <w:lang w:eastAsia="en-AU"/>
              </w:rPr>
              <w:t>Step 7:</w:t>
            </w:r>
            <w:r w:rsidRPr="00375B9D">
              <w:rPr>
                <w:noProof/>
                <w:lang w:eastAsia="en-AU"/>
              </w:rPr>
              <w:tab/>
              <w:t xml:space="preserve">GHI’s payroll tax liability </w:t>
            </w:r>
            <w:r w:rsidR="00603F8E">
              <w:rPr>
                <w:noProof/>
                <w:lang w:eastAsia="en-AU"/>
              </w:rPr>
              <w:t>is $2</w:t>
            </w:r>
            <w:r w:rsidR="00C65823">
              <w:rPr>
                <w:noProof/>
                <w:lang w:eastAsia="en-AU"/>
              </w:rPr>
              <w:t>,000,000</w:t>
            </w:r>
            <w:r w:rsidR="00603F8E">
              <w:rPr>
                <w:noProof/>
                <w:lang w:eastAsia="en-AU"/>
              </w:rPr>
              <w:t xml:space="preserve"> x 5.5% = $110</w:t>
            </w:r>
            <w:r w:rsidR="00C65823">
              <w:rPr>
                <w:noProof/>
                <w:lang w:eastAsia="en-AU"/>
              </w:rPr>
              <w:t>,000</w:t>
            </w:r>
          </w:p>
          <w:p w14:paraId="07E87A44" w14:textId="77777777" w:rsidR="00375B9D" w:rsidRPr="00375B9D" w:rsidRDefault="00375B9D" w:rsidP="00AE756D">
            <w:pPr>
              <w:tabs>
                <w:tab w:val="right" w:pos="4536"/>
              </w:tabs>
              <w:spacing w:after="120"/>
              <w:ind w:left="851" w:hanging="851"/>
              <w:rPr>
                <w:noProof/>
                <w:lang w:eastAsia="en-AU"/>
              </w:rPr>
            </w:pPr>
            <w:r w:rsidRPr="00375B9D">
              <w:rPr>
                <w:noProof/>
                <w:lang w:eastAsia="en-AU"/>
              </w:rPr>
              <w:t>Step 8:</w:t>
            </w:r>
            <w:r w:rsidRPr="00375B9D">
              <w:rPr>
                <w:noProof/>
                <w:lang w:eastAsia="en-AU"/>
              </w:rPr>
              <w:tab/>
              <w:t>JKL and MNO are liable for payroll tax at 5.5% on their total gross wages:</w:t>
            </w:r>
            <w:r w:rsidRPr="00375B9D">
              <w:rPr>
                <w:noProof/>
                <w:lang w:eastAsia="en-AU"/>
              </w:rPr>
              <w:br/>
              <w:t xml:space="preserve">JKL: </w:t>
            </w:r>
            <w:r w:rsidRPr="00375B9D">
              <w:rPr>
                <w:noProof/>
                <w:lang w:eastAsia="en-AU"/>
              </w:rPr>
              <w:tab/>
              <w:t>$400</w:t>
            </w:r>
            <w:r w:rsidR="00C65823">
              <w:rPr>
                <w:noProof/>
                <w:lang w:eastAsia="en-AU"/>
              </w:rPr>
              <w:t>,000</w:t>
            </w:r>
            <w:r w:rsidRPr="00375B9D">
              <w:rPr>
                <w:noProof/>
                <w:lang w:eastAsia="en-AU"/>
              </w:rPr>
              <w:t xml:space="preserve"> x 5.5% = $22</w:t>
            </w:r>
            <w:r w:rsidR="00C65823">
              <w:rPr>
                <w:noProof/>
                <w:lang w:eastAsia="en-AU"/>
              </w:rPr>
              <w:t>,000</w:t>
            </w:r>
            <w:r w:rsidRPr="00375B9D">
              <w:rPr>
                <w:noProof/>
                <w:lang w:eastAsia="en-AU"/>
              </w:rPr>
              <w:br/>
              <w:t>MNO:</w:t>
            </w:r>
            <w:r w:rsidRPr="00375B9D">
              <w:rPr>
                <w:noProof/>
                <w:lang w:eastAsia="en-AU"/>
              </w:rPr>
              <w:tab/>
              <w:t>$600</w:t>
            </w:r>
            <w:r w:rsidR="00C65823">
              <w:rPr>
                <w:noProof/>
                <w:lang w:eastAsia="en-AU"/>
              </w:rPr>
              <w:t>,000</w:t>
            </w:r>
            <w:r w:rsidRPr="00375B9D">
              <w:rPr>
                <w:noProof/>
                <w:lang w:eastAsia="en-AU"/>
              </w:rPr>
              <w:t xml:space="preserve"> x 5.5% = $33</w:t>
            </w:r>
            <w:r w:rsidR="00C65823">
              <w:rPr>
                <w:noProof/>
                <w:lang w:eastAsia="en-AU"/>
              </w:rPr>
              <w:t>,000</w:t>
            </w:r>
            <w:r w:rsidRPr="00375B9D">
              <w:rPr>
                <w:noProof/>
                <w:lang w:eastAsia="en-AU"/>
              </w:rPr>
              <w:tab/>
            </w:r>
          </w:p>
        </w:tc>
      </w:tr>
    </w:tbl>
    <w:p w14:paraId="33948E61" w14:textId="77777777" w:rsidR="00375B9D" w:rsidRPr="00375B9D" w:rsidRDefault="00375B9D" w:rsidP="00375B9D">
      <w:pPr>
        <w:rPr>
          <w:noProof/>
          <w:lang w:eastAsia="en-AU"/>
        </w:rPr>
      </w:pPr>
    </w:p>
    <w:tbl>
      <w:tblPr>
        <w:tblStyle w:val="DTFpayrolltaxguidestyle1"/>
        <w:tblW w:w="10343" w:type="dxa"/>
        <w:tblLook w:val="04A0" w:firstRow="1" w:lastRow="0" w:firstColumn="1" w:lastColumn="0" w:noHBand="0" w:noVBand="1"/>
        <w:tblDescription w:val="Example 4: GHI Pty Ltd, JKL Pty Ltd and MNO Pty Ltd are all grouped (they have common directors and shareholders). They each pay wages in the NT, but not in any other state or territory. Their net taxable wages in 2014-2015 were as follows:"/>
      </w:tblPr>
      <w:tblGrid>
        <w:gridCol w:w="10343"/>
      </w:tblGrid>
      <w:tr w:rsidR="00375B9D" w:rsidRPr="00375B9D" w14:paraId="21AC828C" w14:textId="77777777" w:rsidTr="00937629">
        <w:trPr>
          <w:trHeight w:val="7882"/>
          <w:tblHeader/>
        </w:trPr>
        <w:tc>
          <w:tcPr>
            <w:tcW w:w="10343" w:type="dxa"/>
          </w:tcPr>
          <w:p w14:paraId="6526E90A" w14:textId="77777777" w:rsidR="00375B9D" w:rsidRPr="00375B9D" w:rsidRDefault="00375B9D" w:rsidP="00AE756D">
            <w:pPr>
              <w:spacing w:after="120"/>
              <w:rPr>
                <w:noProof/>
                <w:lang w:eastAsia="en-AU"/>
              </w:rPr>
            </w:pPr>
            <w:r w:rsidRPr="00375B9D">
              <w:rPr>
                <w:b/>
                <w:noProof/>
                <w:lang w:eastAsia="en-AU"/>
              </w:rPr>
              <w:lastRenderedPageBreak/>
              <w:t>Example 4</w:t>
            </w:r>
            <w:r w:rsidRPr="00375B9D">
              <w:rPr>
                <w:noProof/>
                <w:lang w:eastAsia="en-AU"/>
              </w:rPr>
              <w:t xml:space="preserve">: GHI Pty Ltd, JKL Pty Ltd and MNO Pty Ltd are all grouped (they have common directors and shareholders). They each pay wages in the NT, but not in any other state or territory. Their net taxable wages in </w:t>
            </w:r>
            <w:r w:rsidR="00F419B3" w:rsidRPr="00375B9D">
              <w:rPr>
                <w:noProof/>
                <w:lang w:eastAsia="en-AU"/>
              </w:rPr>
              <w:t>20</w:t>
            </w:r>
            <w:r w:rsidR="00F419B3">
              <w:rPr>
                <w:noProof/>
                <w:lang w:eastAsia="en-AU"/>
              </w:rPr>
              <w:t>21</w:t>
            </w:r>
            <w:r w:rsidR="00F419B3" w:rsidRPr="00375B9D">
              <w:rPr>
                <w:noProof/>
                <w:lang w:eastAsia="en-AU"/>
              </w:rPr>
              <w:t>-</w:t>
            </w:r>
            <w:r w:rsidR="00F419B3">
              <w:rPr>
                <w:noProof/>
                <w:lang w:eastAsia="en-AU"/>
              </w:rPr>
              <w:t>22</w:t>
            </w:r>
            <w:r w:rsidR="00F419B3" w:rsidRPr="00375B9D">
              <w:rPr>
                <w:noProof/>
                <w:lang w:eastAsia="en-AU"/>
              </w:rPr>
              <w:t xml:space="preserve"> </w:t>
            </w:r>
            <w:r w:rsidRPr="00375B9D">
              <w:rPr>
                <w:noProof/>
                <w:lang w:eastAsia="en-AU"/>
              </w:rPr>
              <w:t>were as follows:</w:t>
            </w:r>
          </w:p>
          <w:p w14:paraId="20C7219E" w14:textId="77777777" w:rsidR="00375B9D" w:rsidRPr="00375B9D" w:rsidRDefault="00375B9D" w:rsidP="00AE756D">
            <w:pPr>
              <w:tabs>
                <w:tab w:val="right" w:pos="2835"/>
              </w:tabs>
              <w:spacing w:after="120"/>
              <w:rPr>
                <w:noProof/>
                <w:lang w:eastAsia="en-AU"/>
              </w:rPr>
            </w:pPr>
            <w:r w:rsidRPr="00375B9D">
              <w:rPr>
                <w:noProof/>
                <w:lang w:eastAsia="en-AU"/>
              </w:rPr>
              <w:t>GHI:</w:t>
            </w:r>
            <w:r w:rsidRPr="00375B9D">
              <w:rPr>
                <w:noProof/>
                <w:lang w:eastAsia="en-AU"/>
              </w:rPr>
              <w:tab/>
              <w:t>$2</w:t>
            </w:r>
            <w:r w:rsidR="00AC3E38">
              <w:rPr>
                <w:noProof/>
                <w:lang w:eastAsia="en-AU"/>
              </w:rPr>
              <w:t>,900</w:t>
            </w:r>
            <w:r w:rsidR="00C65823">
              <w:rPr>
                <w:noProof/>
                <w:lang w:eastAsia="en-AU"/>
              </w:rPr>
              <w:t>,000</w:t>
            </w:r>
            <w:r w:rsidRPr="00375B9D">
              <w:rPr>
                <w:noProof/>
                <w:lang w:eastAsia="en-AU"/>
              </w:rPr>
              <w:br/>
              <w:t>JKL:</w:t>
            </w:r>
            <w:r w:rsidRPr="00375B9D">
              <w:rPr>
                <w:noProof/>
                <w:lang w:eastAsia="en-AU"/>
              </w:rPr>
              <w:tab/>
              <w:t>$400</w:t>
            </w:r>
            <w:r w:rsidR="00C65823">
              <w:rPr>
                <w:noProof/>
                <w:lang w:eastAsia="en-AU"/>
              </w:rPr>
              <w:t>,000</w:t>
            </w:r>
            <w:r w:rsidRPr="00375B9D">
              <w:rPr>
                <w:noProof/>
                <w:lang w:eastAsia="en-AU"/>
              </w:rPr>
              <w:br/>
              <w:t>MNO:</w:t>
            </w:r>
            <w:r w:rsidRPr="00375B9D">
              <w:rPr>
                <w:noProof/>
                <w:lang w:eastAsia="en-AU"/>
              </w:rPr>
              <w:tab/>
              <w:t>$600</w:t>
            </w:r>
            <w:r w:rsidR="00C65823">
              <w:rPr>
                <w:noProof/>
                <w:lang w:eastAsia="en-AU"/>
              </w:rPr>
              <w:t>,000</w:t>
            </w:r>
            <w:r w:rsidRPr="00375B9D">
              <w:rPr>
                <w:noProof/>
                <w:lang w:eastAsia="en-AU"/>
              </w:rPr>
              <w:br/>
              <w:t>Total</w:t>
            </w:r>
            <w:r w:rsidRPr="00375B9D">
              <w:rPr>
                <w:noProof/>
                <w:lang w:eastAsia="en-AU"/>
              </w:rPr>
              <w:tab/>
              <w:t>$3</w:t>
            </w:r>
            <w:r w:rsidR="00AC3E38">
              <w:rPr>
                <w:noProof/>
                <w:lang w:eastAsia="en-AU"/>
              </w:rPr>
              <w:t>,900</w:t>
            </w:r>
            <w:r w:rsidR="00C65823">
              <w:rPr>
                <w:noProof/>
                <w:lang w:eastAsia="en-AU"/>
              </w:rPr>
              <w:t>,000</w:t>
            </w:r>
            <w:r w:rsidRPr="00375B9D">
              <w:rPr>
                <w:noProof/>
                <w:lang w:eastAsia="en-AU"/>
              </w:rPr>
              <w:tab/>
            </w:r>
          </w:p>
          <w:p w14:paraId="12615CFA" w14:textId="77777777" w:rsidR="00375B9D" w:rsidRPr="00375B9D" w:rsidRDefault="00375B9D" w:rsidP="00AE756D">
            <w:pPr>
              <w:spacing w:after="120"/>
              <w:rPr>
                <w:noProof/>
                <w:lang w:eastAsia="en-AU"/>
              </w:rPr>
            </w:pPr>
            <w:r w:rsidRPr="00375B9D">
              <w:rPr>
                <w:noProof/>
                <w:lang w:eastAsia="en-AU"/>
              </w:rPr>
              <w:t>GHI has been selected as the DGE. On 1 July 20</w:t>
            </w:r>
            <w:r w:rsidR="000263D4">
              <w:rPr>
                <w:noProof/>
                <w:lang w:eastAsia="en-AU"/>
              </w:rPr>
              <w:t>22</w:t>
            </w:r>
            <w:r w:rsidRPr="00375B9D">
              <w:rPr>
                <w:noProof/>
                <w:lang w:eastAsia="en-AU"/>
              </w:rPr>
              <w:t>, GHI acquires control of PQR Pty Ltd, a Perth-based company that pays $1</w:t>
            </w:r>
            <w:r w:rsidR="00AC3E38">
              <w:rPr>
                <w:noProof/>
                <w:lang w:eastAsia="en-AU"/>
              </w:rPr>
              <w:t>,800</w:t>
            </w:r>
            <w:r w:rsidR="00C65823">
              <w:rPr>
                <w:noProof/>
                <w:lang w:eastAsia="en-AU"/>
              </w:rPr>
              <w:t>,000</w:t>
            </w:r>
            <w:r w:rsidRPr="00375B9D">
              <w:rPr>
                <w:noProof/>
                <w:lang w:eastAsia="en-AU"/>
              </w:rPr>
              <w:t xml:space="preserve"> in wages in Western Australia. It has no employees in the NT. As a consequence of the PQR acquisition, the group’s Australian wages increase from $3</w:t>
            </w:r>
            <w:r w:rsidR="00AC3E38">
              <w:rPr>
                <w:noProof/>
                <w:lang w:eastAsia="en-AU"/>
              </w:rPr>
              <w:t>,900</w:t>
            </w:r>
            <w:r w:rsidR="00C65823">
              <w:rPr>
                <w:noProof/>
                <w:lang w:eastAsia="en-AU"/>
              </w:rPr>
              <w:t>,000</w:t>
            </w:r>
            <w:r w:rsidRPr="00375B9D">
              <w:rPr>
                <w:noProof/>
                <w:lang w:eastAsia="en-AU"/>
              </w:rPr>
              <w:t xml:space="preserve"> to $5</w:t>
            </w:r>
            <w:r w:rsidR="00AC3E38">
              <w:rPr>
                <w:noProof/>
                <w:lang w:eastAsia="en-AU"/>
              </w:rPr>
              <w:t>,700</w:t>
            </w:r>
            <w:r w:rsidR="00C65823">
              <w:rPr>
                <w:noProof/>
                <w:lang w:eastAsia="en-AU"/>
              </w:rPr>
              <w:t>,000</w:t>
            </w:r>
            <w:r w:rsidRPr="00375B9D">
              <w:rPr>
                <w:noProof/>
                <w:lang w:eastAsia="en-AU"/>
              </w:rPr>
              <w:t>. The businesses’ payroll tax liability is calculated in the following steps:</w:t>
            </w:r>
          </w:p>
          <w:p w14:paraId="3C38AD99" w14:textId="77777777" w:rsidR="00375B9D" w:rsidRPr="00375B9D" w:rsidRDefault="00375B9D" w:rsidP="00AE756D">
            <w:pPr>
              <w:spacing w:after="120"/>
              <w:ind w:left="851" w:hanging="851"/>
              <w:rPr>
                <w:noProof/>
                <w:lang w:eastAsia="en-AU"/>
              </w:rPr>
            </w:pPr>
            <w:r w:rsidRPr="00375B9D">
              <w:rPr>
                <w:noProof/>
                <w:lang w:eastAsia="en-AU"/>
              </w:rPr>
              <w:t>Step 1:</w:t>
            </w:r>
            <w:r w:rsidRPr="00375B9D">
              <w:rPr>
                <w:noProof/>
                <w:lang w:eastAsia="en-AU"/>
              </w:rPr>
              <w:tab/>
              <w:t>Gross group wages are $5</w:t>
            </w:r>
            <w:r w:rsidR="00AC3E38">
              <w:rPr>
                <w:noProof/>
                <w:lang w:eastAsia="en-AU"/>
              </w:rPr>
              <w:t>,700</w:t>
            </w:r>
            <w:r w:rsidR="00C65823">
              <w:rPr>
                <w:noProof/>
                <w:lang w:eastAsia="en-AU"/>
              </w:rPr>
              <w:t>,000</w:t>
            </w:r>
          </w:p>
          <w:p w14:paraId="6568AB0F" w14:textId="77777777" w:rsidR="00375B9D" w:rsidRPr="00375B9D" w:rsidRDefault="00375B9D" w:rsidP="00AE756D">
            <w:pPr>
              <w:spacing w:after="120"/>
              <w:ind w:left="851" w:hanging="851"/>
              <w:rPr>
                <w:noProof/>
                <w:lang w:eastAsia="en-AU"/>
              </w:rPr>
            </w:pPr>
            <w:r w:rsidRPr="00375B9D">
              <w:rPr>
                <w:noProof/>
                <w:lang w:eastAsia="en-AU"/>
              </w:rPr>
              <w:t>Step 2:</w:t>
            </w:r>
            <w:r w:rsidRPr="00375B9D">
              <w:rPr>
                <w:noProof/>
                <w:lang w:eastAsia="en-AU"/>
              </w:rPr>
              <w:tab/>
              <w:t>Maximum possible tax-free component is $1</w:t>
            </w:r>
            <w:r w:rsidR="00C65823">
              <w:rPr>
                <w:noProof/>
                <w:lang w:eastAsia="en-AU"/>
              </w:rPr>
              <w:t>,500,000</w:t>
            </w:r>
          </w:p>
          <w:p w14:paraId="7B774E8A" w14:textId="77777777" w:rsidR="00375B9D" w:rsidRPr="00375B9D" w:rsidRDefault="00375B9D" w:rsidP="00AE756D">
            <w:pPr>
              <w:spacing w:after="120"/>
              <w:ind w:left="851" w:hanging="851"/>
              <w:rPr>
                <w:noProof/>
                <w:lang w:eastAsia="en-AU"/>
              </w:rPr>
            </w:pPr>
            <w:r w:rsidRPr="00375B9D">
              <w:rPr>
                <w:noProof/>
                <w:lang w:eastAsia="en-AU"/>
              </w:rPr>
              <w:t>Step 3:</w:t>
            </w:r>
            <w:r w:rsidRPr="00375B9D">
              <w:rPr>
                <w:noProof/>
                <w:lang w:eastAsia="en-AU"/>
              </w:rPr>
              <w:tab/>
              <w:t>Gross wages exceed $1</w:t>
            </w:r>
            <w:r w:rsidR="00C65823">
              <w:rPr>
                <w:noProof/>
                <w:lang w:eastAsia="en-AU"/>
              </w:rPr>
              <w:t>,500,000</w:t>
            </w:r>
            <w:r w:rsidRPr="00375B9D">
              <w:rPr>
                <w:noProof/>
                <w:lang w:eastAsia="en-AU"/>
              </w:rPr>
              <w:t xml:space="preserve"> by $4</w:t>
            </w:r>
            <w:r w:rsidR="00AC3E38">
              <w:rPr>
                <w:noProof/>
                <w:lang w:eastAsia="en-AU"/>
              </w:rPr>
              <w:t>,200</w:t>
            </w:r>
            <w:r w:rsidR="00C65823">
              <w:rPr>
                <w:noProof/>
                <w:lang w:eastAsia="en-AU"/>
              </w:rPr>
              <w:t>,000</w:t>
            </w:r>
            <w:r w:rsidRPr="00375B9D">
              <w:rPr>
                <w:noProof/>
                <w:lang w:eastAsia="en-AU"/>
              </w:rPr>
              <w:t>.</w:t>
            </w:r>
          </w:p>
          <w:p w14:paraId="2B0CFA25" w14:textId="77777777" w:rsidR="00375B9D" w:rsidRPr="00375B9D" w:rsidRDefault="00375B9D" w:rsidP="00AE756D">
            <w:pPr>
              <w:spacing w:after="120"/>
              <w:ind w:left="851" w:hanging="851"/>
              <w:rPr>
                <w:noProof/>
                <w:lang w:eastAsia="en-AU"/>
              </w:rPr>
            </w:pPr>
            <w:r w:rsidRPr="00375B9D">
              <w:rPr>
                <w:noProof/>
                <w:lang w:eastAsia="en-AU"/>
              </w:rPr>
              <w:t>Step 4:</w:t>
            </w:r>
            <w:r w:rsidRPr="00375B9D">
              <w:rPr>
                <w:noProof/>
                <w:lang w:eastAsia="en-AU"/>
              </w:rPr>
              <w:tab/>
              <w:t>The $1</w:t>
            </w:r>
            <w:r w:rsidR="00C65823">
              <w:rPr>
                <w:noProof/>
                <w:lang w:eastAsia="en-AU"/>
              </w:rPr>
              <w:t>,500,000</w:t>
            </w:r>
            <w:r w:rsidRPr="00375B9D">
              <w:rPr>
                <w:noProof/>
                <w:lang w:eastAsia="en-AU"/>
              </w:rPr>
              <w:t xml:space="preserve"> maximum possible tax-free component is reduced by $1 in $4 of the $4</w:t>
            </w:r>
            <w:r w:rsidR="00AC3E38">
              <w:rPr>
                <w:noProof/>
                <w:lang w:eastAsia="en-AU"/>
              </w:rPr>
              <w:t>,200</w:t>
            </w:r>
            <w:r w:rsidR="00C65823">
              <w:rPr>
                <w:noProof/>
                <w:lang w:eastAsia="en-AU"/>
              </w:rPr>
              <w:t>,000</w:t>
            </w:r>
            <w:r w:rsidRPr="00375B9D">
              <w:rPr>
                <w:noProof/>
                <w:lang w:eastAsia="en-AU"/>
              </w:rPr>
              <w:t xml:space="preserve"> excess (reduced by $1 050</w:t>
            </w:r>
            <w:r w:rsidR="00C65823">
              <w:rPr>
                <w:noProof/>
                <w:lang w:eastAsia="en-AU"/>
              </w:rPr>
              <w:t>,000</w:t>
            </w:r>
            <w:r w:rsidRPr="00375B9D">
              <w:rPr>
                <w:noProof/>
                <w:lang w:eastAsia="en-AU"/>
              </w:rPr>
              <w:t xml:space="preserve"> from $1</w:t>
            </w:r>
            <w:r w:rsidR="00C65823">
              <w:rPr>
                <w:noProof/>
                <w:lang w:eastAsia="en-AU"/>
              </w:rPr>
              <w:t>,500,000</w:t>
            </w:r>
            <w:r w:rsidRPr="00375B9D">
              <w:rPr>
                <w:noProof/>
                <w:lang w:eastAsia="en-AU"/>
              </w:rPr>
              <w:t xml:space="preserve"> to $450</w:t>
            </w:r>
            <w:r w:rsidR="00C65823">
              <w:rPr>
                <w:noProof/>
                <w:lang w:eastAsia="en-AU"/>
              </w:rPr>
              <w:t>,000</w:t>
            </w:r>
            <w:r w:rsidRPr="00375B9D">
              <w:rPr>
                <w:noProof/>
                <w:lang w:eastAsia="en-AU"/>
              </w:rPr>
              <w:t>).</w:t>
            </w:r>
          </w:p>
          <w:p w14:paraId="2BE53A94" w14:textId="77777777" w:rsidR="00375B9D" w:rsidRPr="00375B9D" w:rsidRDefault="00375B9D" w:rsidP="00AE756D">
            <w:pPr>
              <w:spacing w:after="120"/>
              <w:ind w:left="851" w:hanging="851"/>
              <w:rPr>
                <w:noProof/>
                <w:lang w:eastAsia="en-AU"/>
              </w:rPr>
            </w:pPr>
            <w:r w:rsidRPr="00375B9D">
              <w:rPr>
                <w:noProof/>
                <w:lang w:eastAsia="en-AU"/>
              </w:rPr>
              <w:t>Step 5:</w:t>
            </w:r>
            <w:r w:rsidRPr="00375B9D">
              <w:rPr>
                <w:noProof/>
                <w:lang w:eastAsia="en-AU"/>
              </w:rPr>
              <w:tab/>
              <w:t>The $450</w:t>
            </w:r>
            <w:r w:rsidR="00C65823">
              <w:rPr>
                <w:noProof/>
                <w:lang w:eastAsia="en-AU"/>
              </w:rPr>
              <w:t>,000</w:t>
            </w:r>
            <w:r w:rsidRPr="00375B9D">
              <w:rPr>
                <w:noProof/>
                <w:lang w:eastAsia="en-AU"/>
              </w:rPr>
              <w:t xml:space="preserve"> is adjusted to reflect the ratio of NT wages ($3</w:t>
            </w:r>
            <w:r w:rsidR="00AC3E38">
              <w:rPr>
                <w:noProof/>
                <w:lang w:eastAsia="en-AU"/>
              </w:rPr>
              <w:t>,900</w:t>
            </w:r>
            <w:r w:rsidR="00C65823">
              <w:rPr>
                <w:noProof/>
                <w:lang w:eastAsia="en-AU"/>
              </w:rPr>
              <w:t>,000</w:t>
            </w:r>
            <w:r w:rsidRPr="00375B9D">
              <w:rPr>
                <w:noProof/>
                <w:lang w:eastAsia="en-AU"/>
              </w:rPr>
              <w:t>) to Australian wages ($5</w:t>
            </w:r>
            <w:r w:rsidR="00AC3E38">
              <w:rPr>
                <w:noProof/>
                <w:lang w:eastAsia="en-AU"/>
              </w:rPr>
              <w:t>,700</w:t>
            </w:r>
            <w:r w:rsidR="00C65823">
              <w:rPr>
                <w:noProof/>
                <w:lang w:eastAsia="en-AU"/>
              </w:rPr>
              <w:t>,000</w:t>
            </w:r>
            <w:r w:rsidRPr="00375B9D">
              <w:rPr>
                <w:noProof/>
                <w:lang w:eastAsia="en-AU"/>
              </w:rPr>
              <w:t>):</w:t>
            </w:r>
            <w:r w:rsidRPr="00375B9D">
              <w:rPr>
                <w:noProof/>
                <w:lang w:eastAsia="en-AU"/>
              </w:rPr>
              <w:br/>
              <w:t>ADA for 2</w:t>
            </w:r>
            <w:r w:rsidR="000263D4">
              <w:rPr>
                <w:noProof/>
                <w:lang w:eastAsia="en-AU"/>
              </w:rPr>
              <w:t>022-23</w:t>
            </w:r>
            <w:r w:rsidRPr="00375B9D">
              <w:rPr>
                <w:noProof/>
                <w:lang w:eastAsia="en-AU"/>
              </w:rPr>
              <w:t xml:space="preserve"> = $450</w:t>
            </w:r>
            <w:r w:rsidR="00C65823">
              <w:rPr>
                <w:noProof/>
                <w:lang w:eastAsia="en-AU"/>
              </w:rPr>
              <w:t>,000</w:t>
            </w:r>
            <w:r w:rsidRPr="00375B9D">
              <w:rPr>
                <w:noProof/>
                <w:lang w:eastAsia="en-AU"/>
              </w:rPr>
              <w:t xml:space="preserve"> x ($3</w:t>
            </w:r>
            <w:r w:rsidR="00AC3E38">
              <w:rPr>
                <w:noProof/>
                <w:lang w:eastAsia="en-AU"/>
              </w:rPr>
              <w:t>,900</w:t>
            </w:r>
            <w:r w:rsidR="00C65823">
              <w:rPr>
                <w:noProof/>
                <w:lang w:eastAsia="en-AU"/>
              </w:rPr>
              <w:t>,000</w:t>
            </w:r>
            <w:r w:rsidRPr="00375B9D">
              <w:rPr>
                <w:noProof/>
                <w:lang w:eastAsia="en-AU"/>
              </w:rPr>
              <w:t>/$5</w:t>
            </w:r>
            <w:r w:rsidR="00AC3E38">
              <w:rPr>
                <w:noProof/>
                <w:lang w:eastAsia="en-AU"/>
              </w:rPr>
              <w:t>,700</w:t>
            </w:r>
            <w:r w:rsidR="00C65823">
              <w:rPr>
                <w:noProof/>
                <w:lang w:eastAsia="en-AU"/>
              </w:rPr>
              <w:t>,000</w:t>
            </w:r>
            <w:r w:rsidRPr="00375B9D">
              <w:rPr>
                <w:noProof/>
                <w:lang w:eastAsia="en-AU"/>
              </w:rPr>
              <w:t>) = $307</w:t>
            </w:r>
            <w:r w:rsidR="00C65823">
              <w:rPr>
                <w:noProof/>
                <w:lang w:eastAsia="en-AU"/>
              </w:rPr>
              <w:t>,</w:t>
            </w:r>
            <w:r w:rsidRPr="00375B9D">
              <w:rPr>
                <w:noProof/>
                <w:lang w:eastAsia="en-AU"/>
              </w:rPr>
              <w:t>894</w:t>
            </w:r>
          </w:p>
          <w:p w14:paraId="14051124" w14:textId="77777777" w:rsidR="00375B9D" w:rsidRPr="00375B9D" w:rsidRDefault="00375B9D" w:rsidP="00AE756D">
            <w:pPr>
              <w:spacing w:after="120"/>
              <w:ind w:left="851" w:hanging="851"/>
              <w:rPr>
                <w:noProof/>
                <w:lang w:eastAsia="en-AU"/>
              </w:rPr>
            </w:pPr>
            <w:r w:rsidRPr="00375B9D">
              <w:rPr>
                <w:noProof/>
                <w:lang w:eastAsia="en-AU"/>
              </w:rPr>
              <w:t>Step 6:</w:t>
            </w:r>
            <w:r w:rsidRPr="00375B9D">
              <w:rPr>
                <w:noProof/>
                <w:lang w:eastAsia="en-AU"/>
              </w:rPr>
              <w:tab/>
              <w:t>The $307 894 tax-free component (ADA) is allocated in full to GHI as the DGE.</w:t>
            </w:r>
          </w:p>
          <w:p w14:paraId="216F4F99" w14:textId="77777777" w:rsidR="00375B9D" w:rsidRPr="00375B9D" w:rsidRDefault="00375B9D" w:rsidP="00AE756D">
            <w:pPr>
              <w:spacing w:after="120"/>
              <w:ind w:left="851" w:hanging="851"/>
              <w:rPr>
                <w:noProof/>
                <w:lang w:eastAsia="en-AU"/>
              </w:rPr>
            </w:pPr>
            <w:r w:rsidRPr="00375B9D">
              <w:rPr>
                <w:noProof/>
                <w:lang w:eastAsia="en-AU"/>
              </w:rPr>
              <w:t>Step 7:</w:t>
            </w:r>
            <w:r w:rsidRPr="00375B9D">
              <w:rPr>
                <w:noProof/>
                <w:lang w:eastAsia="en-AU"/>
              </w:rPr>
              <w:tab/>
              <w:t>GHI’s taxable wages are therefore: $2</w:t>
            </w:r>
            <w:r w:rsidR="00AC3E38">
              <w:rPr>
                <w:noProof/>
                <w:lang w:eastAsia="en-AU"/>
              </w:rPr>
              <w:t>,900</w:t>
            </w:r>
            <w:r w:rsidR="00C65823">
              <w:rPr>
                <w:noProof/>
                <w:lang w:eastAsia="en-AU"/>
              </w:rPr>
              <w:t>,000</w:t>
            </w:r>
            <w:r w:rsidRPr="00375B9D">
              <w:rPr>
                <w:noProof/>
                <w:lang w:eastAsia="en-AU"/>
              </w:rPr>
              <w:t xml:space="preserve"> - $307</w:t>
            </w:r>
            <w:r w:rsidR="00C65823">
              <w:rPr>
                <w:noProof/>
                <w:lang w:eastAsia="en-AU"/>
              </w:rPr>
              <w:t>,</w:t>
            </w:r>
            <w:r w:rsidRPr="00375B9D">
              <w:rPr>
                <w:noProof/>
                <w:lang w:eastAsia="en-AU"/>
              </w:rPr>
              <w:t>894 = $2</w:t>
            </w:r>
            <w:r w:rsidR="00C65823">
              <w:rPr>
                <w:noProof/>
                <w:lang w:eastAsia="en-AU"/>
              </w:rPr>
              <w:t>,</w:t>
            </w:r>
            <w:r w:rsidRPr="00375B9D">
              <w:rPr>
                <w:noProof/>
                <w:lang w:eastAsia="en-AU"/>
              </w:rPr>
              <w:t>592</w:t>
            </w:r>
            <w:r w:rsidR="00C65823">
              <w:rPr>
                <w:noProof/>
                <w:lang w:eastAsia="en-AU"/>
              </w:rPr>
              <w:t>,</w:t>
            </w:r>
            <w:r w:rsidRPr="00375B9D">
              <w:rPr>
                <w:noProof/>
                <w:lang w:eastAsia="en-AU"/>
              </w:rPr>
              <w:t>106</w:t>
            </w:r>
          </w:p>
          <w:p w14:paraId="464D58EE" w14:textId="77777777" w:rsidR="00375B9D" w:rsidRPr="00375B9D" w:rsidRDefault="00375B9D" w:rsidP="00AE756D">
            <w:pPr>
              <w:spacing w:after="120"/>
              <w:ind w:left="851" w:hanging="851"/>
              <w:rPr>
                <w:noProof/>
                <w:lang w:eastAsia="en-AU"/>
              </w:rPr>
            </w:pPr>
            <w:r w:rsidRPr="00375B9D">
              <w:rPr>
                <w:noProof/>
                <w:lang w:eastAsia="en-AU"/>
              </w:rPr>
              <w:t>Step 8:</w:t>
            </w:r>
            <w:r w:rsidRPr="00375B9D">
              <w:rPr>
                <w:noProof/>
                <w:lang w:eastAsia="en-AU"/>
              </w:rPr>
              <w:tab/>
              <w:t>GHI’s payroll tax liability is $2</w:t>
            </w:r>
            <w:r w:rsidR="00C65823">
              <w:rPr>
                <w:noProof/>
                <w:lang w:eastAsia="en-AU"/>
              </w:rPr>
              <w:t>,</w:t>
            </w:r>
            <w:r w:rsidRPr="00375B9D">
              <w:rPr>
                <w:noProof/>
                <w:lang w:eastAsia="en-AU"/>
              </w:rPr>
              <w:t>592 106 x 5.5% = $142</w:t>
            </w:r>
            <w:r w:rsidR="00C65823">
              <w:rPr>
                <w:noProof/>
                <w:lang w:eastAsia="en-AU"/>
              </w:rPr>
              <w:t>,</w:t>
            </w:r>
            <w:r w:rsidRPr="00375B9D">
              <w:rPr>
                <w:noProof/>
                <w:lang w:eastAsia="en-AU"/>
              </w:rPr>
              <w:t>565.</w:t>
            </w:r>
          </w:p>
          <w:p w14:paraId="20596CB8" w14:textId="77777777" w:rsidR="00375B9D" w:rsidRPr="00375B9D" w:rsidRDefault="00375B9D" w:rsidP="00AE756D">
            <w:pPr>
              <w:tabs>
                <w:tab w:val="right" w:pos="4536"/>
              </w:tabs>
              <w:spacing w:after="120"/>
              <w:ind w:left="851" w:hanging="851"/>
              <w:rPr>
                <w:noProof/>
                <w:lang w:eastAsia="en-AU"/>
              </w:rPr>
            </w:pPr>
            <w:r w:rsidRPr="00375B9D">
              <w:rPr>
                <w:noProof/>
                <w:lang w:eastAsia="en-AU"/>
              </w:rPr>
              <w:t>Step 9:</w:t>
            </w:r>
            <w:r w:rsidRPr="00375B9D">
              <w:rPr>
                <w:noProof/>
                <w:lang w:eastAsia="en-AU"/>
              </w:rPr>
              <w:tab/>
              <w:t>JKL and MNO are liable for payroll tax at 5.5% on their total gross wages:</w:t>
            </w:r>
            <w:r w:rsidRPr="00375B9D">
              <w:rPr>
                <w:noProof/>
                <w:lang w:eastAsia="en-AU"/>
              </w:rPr>
              <w:br/>
              <w:t xml:space="preserve">JKL: </w:t>
            </w:r>
            <w:r w:rsidRPr="00375B9D">
              <w:rPr>
                <w:noProof/>
                <w:lang w:eastAsia="en-AU"/>
              </w:rPr>
              <w:tab/>
              <w:t>$400</w:t>
            </w:r>
            <w:r w:rsidR="00C65823">
              <w:rPr>
                <w:noProof/>
                <w:lang w:eastAsia="en-AU"/>
              </w:rPr>
              <w:t>,000</w:t>
            </w:r>
            <w:r w:rsidRPr="00375B9D">
              <w:rPr>
                <w:noProof/>
                <w:lang w:eastAsia="en-AU"/>
              </w:rPr>
              <w:t xml:space="preserve"> x 5.5% = $22</w:t>
            </w:r>
            <w:r w:rsidR="00C65823">
              <w:rPr>
                <w:noProof/>
                <w:lang w:eastAsia="en-AU"/>
              </w:rPr>
              <w:t>,000</w:t>
            </w:r>
            <w:r w:rsidRPr="00375B9D">
              <w:rPr>
                <w:noProof/>
                <w:lang w:eastAsia="en-AU"/>
              </w:rPr>
              <w:br/>
              <w:t>MNO:</w:t>
            </w:r>
            <w:r w:rsidRPr="00375B9D">
              <w:rPr>
                <w:noProof/>
                <w:lang w:eastAsia="en-AU"/>
              </w:rPr>
              <w:tab/>
              <w:t>$600</w:t>
            </w:r>
            <w:r w:rsidR="00C65823">
              <w:rPr>
                <w:noProof/>
                <w:lang w:eastAsia="en-AU"/>
              </w:rPr>
              <w:t>,000</w:t>
            </w:r>
            <w:r w:rsidRPr="00375B9D">
              <w:rPr>
                <w:noProof/>
                <w:lang w:eastAsia="en-AU"/>
              </w:rPr>
              <w:t xml:space="preserve"> x 5.5% = $33</w:t>
            </w:r>
            <w:r w:rsidR="00C65823">
              <w:rPr>
                <w:noProof/>
                <w:lang w:eastAsia="en-AU"/>
              </w:rPr>
              <w:t>,000</w:t>
            </w:r>
            <w:r w:rsidRPr="00375B9D">
              <w:rPr>
                <w:noProof/>
                <w:lang w:eastAsia="en-AU"/>
              </w:rPr>
              <w:tab/>
            </w:r>
          </w:p>
        </w:tc>
      </w:tr>
    </w:tbl>
    <w:p w14:paraId="7218F512" w14:textId="77777777" w:rsidR="00375B9D" w:rsidRPr="00375B9D" w:rsidRDefault="00375B9D" w:rsidP="00AE756D">
      <w:pPr>
        <w:spacing w:after="0"/>
        <w:rPr>
          <w:noProof/>
          <w:lang w:eastAsia="en-AU"/>
        </w:rPr>
      </w:pPr>
    </w:p>
    <w:tbl>
      <w:tblPr>
        <w:tblStyle w:val="DTFpayrolltaxguidestyle1"/>
        <w:tblW w:w="10348" w:type="dxa"/>
        <w:tblLook w:val="04A0" w:firstRow="1" w:lastRow="0" w:firstColumn="1" w:lastColumn="0" w:noHBand="0" w:noVBand="1"/>
        <w:tblDescription w:val="Note: PQR has no direct NT liability but would need to register and pay payroll tax in WA (if it has not already done so). However, PQR remains jointly and severally liable for the payroll tax debts of each other group member incurred from 1 July 2015 onwards, the date of its acquisition."/>
      </w:tblPr>
      <w:tblGrid>
        <w:gridCol w:w="10348"/>
      </w:tblGrid>
      <w:tr w:rsidR="00375B9D" w:rsidRPr="00375B9D" w14:paraId="0FD6C7D0" w14:textId="77777777" w:rsidTr="00937629">
        <w:trPr>
          <w:trHeight w:val="734"/>
          <w:tblHeader/>
        </w:trPr>
        <w:tc>
          <w:tcPr>
            <w:tcW w:w="10348" w:type="dxa"/>
          </w:tcPr>
          <w:p w14:paraId="427EA6EE" w14:textId="77777777" w:rsidR="00375B9D" w:rsidRPr="00375B9D" w:rsidRDefault="00375B9D" w:rsidP="000263D4">
            <w:pPr>
              <w:spacing w:after="200"/>
              <w:rPr>
                <w:noProof/>
                <w:lang w:eastAsia="en-AU"/>
              </w:rPr>
            </w:pPr>
            <w:r w:rsidRPr="00375B9D">
              <w:rPr>
                <w:b/>
                <w:noProof/>
                <w:lang w:eastAsia="en-AU"/>
              </w:rPr>
              <w:t>Note</w:t>
            </w:r>
            <w:r w:rsidRPr="00375B9D">
              <w:rPr>
                <w:noProof/>
                <w:lang w:eastAsia="en-AU"/>
              </w:rPr>
              <w:t>: PQR has no direct NT liability but would need to register and pay payroll tax in Western Australia (if it has not already done so). However, PQR remains jointly and severally liable for the payroll tax debts of each other group member incurred from 1 July 20</w:t>
            </w:r>
            <w:r w:rsidR="000263D4">
              <w:rPr>
                <w:noProof/>
                <w:lang w:eastAsia="en-AU"/>
              </w:rPr>
              <w:t>22</w:t>
            </w:r>
            <w:r w:rsidRPr="00375B9D">
              <w:rPr>
                <w:noProof/>
                <w:lang w:eastAsia="en-AU"/>
              </w:rPr>
              <w:t xml:space="preserve"> onwards, the date of its acquisition.</w:t>
            </w:r>
          </w:p>
        </w:tc>
      </w:tr>
    </w:tbl>
    <w:p w14:paraId="3DBC37C0" w14:textId="77777777" w:rsidR="00375B9D" w:rsidRPr="00375B9D" w:rsidRDefault="00375B9D" w:rsidP="00AE756D">
      <w:pPr>
        <w:spacing w:after="0"/>
        <w:rPr>
          <w:noProof/>
          <w:lang w:eastAsia="en-AU"/>
        </w:rPr>
      </w:pPr>
    </w:p>
    <w:tbl>
      <w:tblPr>
        <w:tblStyle w:val="DTFpayrolltaxguidestyle1"/>
        <w:tblW w:w="10343" w:type="dxa"/>
        <w:tblLook w:val="04A0" w:firstRow="1" w:lastRow="0" w:firstColumn="1" w:lastColumn="0" w:noHBand="0" w:noVBand="1"/>
        <w:tblDescription w:val="Example 5: BDE Pty Ltd is ungrouped and its head office is based in South Australia. The NT branch has wage, superannuation, etc. costs of $2 700 000 per annum. Total taxable wages paid by BDE Pty Ltd in the NT, South Australia and other interstate branches is $10.4 million p.a."/>
      </w:tblPr>
      <w:tblGrid>
        <w:gridCol w:w="10343"/>
      </w:tblGrid>
      <w:tr w:rsidR="00375B9D" w:rsidRPr="00375B9D" w14:paraId="057D32E8" w14:textId="77777777" w:rsidTr="00937629">
        <w:trPr>
          <w:trHeight w:val="1805"/>
          <w:tblHeader/>
        </w:trPr>
        <w:tc>
          <w:tcPr>
            <w:tcW w:w="10343" w:type="dxa"/>
          </w:tcPr>
          <w:p w14:paraId="78B39BA3" w14:textId="77777777" w:rsidR="00375B9D" w:rsidRPr="00375B9D" w:rsidRDefault="00375B9D" w:rsidP="00375B9D">
            <w:pPr>
              <w:spacing w:after="200"/>
              <w:rPr>
                <w:noProof/>
                <w:lang w:eastAsia="en-AU"/>
              </w:rPr>
            </w:pPr>
            <w:r w:rsidRPr="00375B9D">
              <w:rPr>
                <w:b/>
                <w:noProof/>
                <w:lang w:eastAsia="en-AU"/>
              </w:rPr>
              <w:t>Example 5</w:t>
            </w:r>
            <w:r w:rsidRPr="00375B9D">
              <w:rPr>
                <w:noProof/>
                <w:lang w:eastAsia="en-AU"/>
              </w:rPr>
              <w:t>: BDE Pty Ltd is ungrouped and its head office is based in SA. The NT branch has wage and superannuation costs of $2</w:t>
            </w:r>
            <w:r w:rsidR="00AC3E38">
              <w:rPr>
                <w:noProof/>
                <w:lang w:eastAsia="en-AU"/>
              </w:rPr>
              <w:t>,700</w:t>
            </w:r>
            <w:r w:rsidR="00C65823">
              <w:rPr>
                <w:noProof/>
                <w:lang w:eastAsia="en-AU"/>
              </w:rPr>
              <w:t>,000</w:t>
            </w:r>
            <w:r w:rsidRPr="00375B9D">
              <w:rPr>
                <w:noProof/>
                <w:lang w:eastAsia="en-AU"/>
              </w:rPr>
              <w:t xml:space="preserve"> per annum. Total taxable wages paid by BDE Pty Ltd in the NT, SA and other interstate branches is $10</w:t>
            </w:r>
            <w:r w:rsidR="00AC3E38">
              <w:rPr>
                <w:noProof/>
                <w:lang w:eastAsia="en-AU"/>
              </w:rPr>
              <w:t>,400</w:t>
            </w:r>
            <w:r w:rsidR="00C65823">
              <w:rPr>
                <w:noProof/>
                <w:lang w:eastAsia="en-AU"/>
              </w:rPr>
              <w:t>,000</w:t>
            </w:r>
            <w:r w:rsidRPr="00375B9D">
              <w:rPr>
                <w:noProof/>
                <w:lang w:eastAsia="en-AU"/>
              </w:rPr>
              <w:t xml:space="preserve"> per annum.</w:t>
            </w:r>
          </w:p>
          <w:p w14:paraId="1D66A2B8" w14:textId="77777777" w:rsidR="00375B9D" w:rsidRPr="00375B9D" w:rsidRDefault="00375B9D" w:rsidP="00375B9D">
            <w:pPr>
              <w:spacing w:after="200"/>
              <w:rPr>
                <w:noProof/>
                <w:lang w:eastAsia="en-AU"/>
              </w:rPr>
            </w:pPr>
            <w:r w:rsidRPr="00375B9D">
              <w:rPr>
                <w:noProof/>
                <w:lang w:eastAsia="en-AU"/>
              </w:rPr>
              <w:t>Because total Australian wages exceeds the $7</w:t>
            </w:r>
            <w:r w:rsidR="00C65823">
              <w:rPr>
                <w:noProof/>
                <w:lang w:eastAsia="en-AU"/>
              </w:rPr>
              <w:t>,500,000</w:t>
            </w:r>
            <w:r w:rsidRPr="00375B9D">
              <w:rPr>
                <w:noProof/>
                <w:lang w:eastAsia="en-AU"/>
              </w:rPr>
              <w:t xml:space="preserve"> cut-off point, BDE Pty Ltd has no entitlement to any tax-free component in the NT. Therefore, its NT payroll tax liability will be $2</w:t>
            </w:r>
            <w:r w:rsidR="00AC3E38">
              <w:rPr>
                <w:noProof/>
                <w:lang w:eastAsia="en-AU"/>
              </w:rPr>
              <w:t>,700</w:t>
            </w:r>
            <w:r w:rsidR="00C65823">
              <w:rPr>
                <w:noProof/>
                <w:lang w:eastAsia="en-AU"/>
              </w:rPr>
              <w:t>,000</w:t>
            </w:r>
            <w:r w:rsidRPr="00375B9D">
              <w:rPr>
                <w:noProof/>
                <w:lang w:eastAsia="en-AU"/>
              </w:rPr>
              <w:t xml:space="preserve"> x 5.5% = $148</w:t>
            </w:r>
            <w:r w:rsidR="00C65823">
              <w:rPr>
                <w:noProof/>
                <w:lang w:eastAsia="en-AU"/>
              </w:rPr>
              <w:t>,500</w:t>
            </w:r>
            <w:r w:rsidRPr="00375B9D">
              <w:rPr>
                <w:noProof/>
                <w:lang w:eastAsia="en-AU"/>
              </w:rPr>
              <w:t>.</w:t>
            </w:r>
          </w:p>
        </w:tc>
      </w:tr>
    </w:tbl>
    <w:p w14:paraId="2F169B64" w14:textId="77777777" w:rsidR="00AE756D" w:rsidRDefault="00AE756D" w:rsidP="00A7303B">
      <w:pPr>
        <w:pStyle w:val="Heading2"/>
      </w:pPr>
      <w:bookmarkStart w:id="80" w:name="_Toc467842752"/>
      <w:bookmarkStart w:id="81" w:name="LodgingPayingPayrollTaxReturn"/>
    </w:p>
    <w:p w14:paraId="11540C25" w14:textId="77777777" w:rsidR="00AE756D" w:rsidRDefault="00AE756D" w:rsidP="00AE756D">
      <w:pPr>
        <w:rPr>
          <w:rFonts w:asciiTheme="majorHAnsi" w:eastAsiaTheme="majorEastAsia" w:hAnsiTheme="majorHAnsi" w:cstheme="majorBidi"/>
          <w:noProof/>
          <w:color w:val="454347"/>
          <w:sz w:val="32"/>
          <w:szCs w:val="32"/>
          <w:lang w:eastAsia="en-AU"/>
        </w:rPr>
      </w:pPr>
      <w:r>
        <w:rPr>
          <w:noProof/>
          <w:lang w:eastAsia="en-AU"/>
        </w:rPr>
        <w:br w:type="page"/>
      </w:r>
    </w:p>
    <w:p w14:paraId="60629F7C" w14:textId="77777777" w:rsidR="00375B9D" w:rsidRPr="00375B9D" w:rsidRDefault="00375B9D" w:rsidP="00A7303B">
      <w:pPr>
        <w:pStyle w:val="Heading2"/>
      </w:pPr>
      <w:bookmarkStart w:id="82" w:name="_Toc108789590"/>
      <w:r w:rsidRPr="00375B9D">
        <w:lastRenderedPageBreak/>
        <w:t xml:space="preserve">Lodging and </w:t>
      </w:r>
      <w:r w:rsidR="004948DC">
        <w:t>p</w:t>
      </w:r>
      <w:r w:rsidRPr="00375B9D">
        <w:t xml:space="preserve">aying your </w:t>
      </w:r>
      <w:r w:rsidR="004948DC">
        <w:t>p</w:t>
      </w:r>
      <w:r w:rsidRPr="00375B9D">
        <w:t xml:space="preserve">ayroll </w:t>
      </w:r>
      <w:r w:rsidR="004948DC">
        <w:t>t</w:t>
      </w:r>
      <w:r w:rsidRPr="00375B9D">
        <w:t xml:space="preserve">ax </w:t>
      </w:r>
      <w:r w:rsidR="004948DC">
        <w:t>r</w:t>
      </w:r>
      <w:r w:rsidRPr="00375B9D">
        <w:t>eturns</w:t>
      </w:r>
      <w:bookmarkEnd w:id="80"/>
      <w:bookmarkEnd w:id="82"/>
    </w:p>
    <w:bookmarkEnd w:id="81"/>
    <w:p w14:paraId="428D5327" w14:textId="77777777" w:rsidR="00375B9D" w:rsidRPr="00375B9D" w:rsidRDefault="00375B9D" w:rsidP="002A0A36">
      <w:pPr>
        <w:pStyle w:val="Heading3"/>
        <w:rPr>
          <w:noProof/>
          <w:lang w:eastAsia="en-AU"/>
        </w:rPr>
      </w:pPr>
      <w:r w:rsidRPr="00375B9D">
        <w:rPr>
          <w:noProof/>
          <w:lang w:eastAsia="en-AU"/>
        </w:rPr>
        <w:t xml:space="preserve">When </w:t>
      </w:r>
      <w:r w:rsidR="004948DC">
        <w:rPr>
          <w:noProof/>
          <w:lang w:eastAsia="en-AU"/>
        </w:rPr>
        <w:t>m</w:t>
      </w:r>
      <w:r w:rsidRPr="00375B9D">
        <w:rPr>
          <w:noProof/>
          <w:lang w:eastAsia="en-AU"/>
        </w:rPr>
        <w:t xml:space="preserve">onthly </w:t>
      </w:r>
      <w:r w:rsidR="004948DC">
        <w:rPr>
          <w:noProof/>
          <w:lang w:eastAsia="en-AU"/>
        </w:rPr>
        <w:t>r</w:t>
      </w:r>
      <w:r w:rsidRPr="00375B9D">
        <w:rPr>
          <w:noProof/>
          <w:lang w:eastAsia="en-AU"/>
        </w:rPr>
        <w:t xml:space="preserve">eturns are </w:t>
      </w:r>
      <w:r w:rsidR="004948DC">
        <w:rPr>
          <w:noProof/>
          <w:lang w:eastAsia="en-AU"/>
        </w:rPr>
        <w:t>r</w:t>
      </w:r>
      <w:r w:rsidRPr="00375B9D">
        <w:rPr>
          <w:noProof/>
          <w:lang w:eastAsia="en-AU"/>
        </w:rPr>
        <w:t>equired</w:t>
      </w:r>
    </w:p>
    <w:p w14:paraId="42BBE9B7" w14:textId="77777777" w:rsidR="00375B9D" w:rsidRPr="00375B9D" w:rsidRDefault="00375B9D" w:rsidP="00375B9D">
      <w:pPr>
        <w:rPr>
          <w:noProof/>
          <w:lang w:eastAsia="en-AU"/>
        </w:rPr>
      </w:pPr>
      <w:r w:rsidRPr="00375B9D">
        <w:rPr>
          <w:noProof/>
          <w:lang w:eastAsia="en-AU"/>
        </w:rPr>
        <w:t xml:space="preserve">Employers registered for payroll tax in the NT must lodge a return and pay the calculated value of payroll tax every month, unless the Commissioner has given approval to pay tax annually. </w:t>
      </w:r>
    </w:p>
    <w:tbl>
      <w:tblPr>
        <w:tblStyle w:val="DTFpayrolltaxguidestyle1"/>
        <w:tblW w:w="10343" w:type="dxa"/>
        <w:tblLook w:val="04A0" w:firstRow="1" w:lastRow="0" w:firstColumn="1" w:lastColumn="0" w:noHBand="0" w:noVBand="1"/>
        <w:tblDescription w:val="Note: The Commissioner will generally not require a taxpayer to lodge monthly returns if the estimated tax payable in a full financial year is less than $8400 in which case the employer will only need to lodge an Annual return. "/>
      </w:tblPr>
      <w:tblGrid>
        <w:gridCol w:w="10343"/>
      </w:tblGrid>
      <w:tr w:rsidR="00375B9D" w:rsidRPr="00375B9D" w14:paraId="6C5CA70F" w14:textId="77777777" w:rsidTr="00937629">
        <w:trPr>
          <w:trHeight w:val="964"/>
          <w:tblHeader/>
        </w:trPr>
        <w:tc>
          <w:tcPr>
            <w:tcW w:w="10343" w:type="dxa"/>
          </w:tcPr>
          <w:p w14:paraId="3E01F68F" w14:textId="77777777" w:rsidR="00375B9D" w:rsidRPr="00375B9D" w:rsidRDefault="00375B9D" w:rsidP="00375B9D">
            <w:pPr>
              <w:spacing w:after="200"/>
              <w:rPr>
                <w:noProof/>
                <w:lang w:eastAsia="en-AU"/>
              </w:rPr>
            </w:pPr>
            <w:r w:rsidRPr="00375B9D">
              <w:rPr>
                <w:b/>
                <w:noProof/>
                <w:lang w:eastAsia="en-AU"/>
              </w:rPr>
              <w:t>Note</w:t>
            </w:r>
            <w:r w:rsidRPr="00375B9D">
              <w:rPr>
                <w:noProof/>
                <w:lang w:eastAsia="en-AU"/>
              </w:rPr>
              <w:t xml:space="preserve">: The Commissioner will generally not require a taxpayer to lodge monthly returns if the estimated tax payable in a full financial year is less than </w:t>
            </w:r>
            <w:r w:rsidR="00727E02" w:rsidRPr="00727E02">
              <w:rPr>
                <w:lang w:eastAsia="en-AU"/>
              </w:rPr>
              <w:t>$10</w:t>
            </w:r>
            <w:r w:rsidR="00C65823">
              <w:rPr>
                <w:lang w:eastAsia="en-AU"/>
              </w:rPr>
              <w:t>,000</w:t>
            </w:r>
            <w:r w:rsidR="00727E02" w:rsidRPr="00727E02">
              <w:rPr>
                <w:noProof/>
                <w:lang w:eastAsia="en-AU"/>
              </w:rPr>
              <w:t xml:space="preserve"> </w:t>
            </w:r>
            <w:r w:rsidRPr="00375B9D">
              <w:rPr>
                <w:noProof/>
                <w:lang w:eastAsia="en-AU"/>
              </w:rPr>
              <w:t xml:space="preserve">(in which case the employer will only need to lodge an annual return). </w:t>
            </w:r>
          </w:p>
        </w:tc>
      </w:tr>
    </w:tbl>
    <w:p w14:paraId="3981E5DB" w14:textId="77777777" w:rsidR="00375B9D" w:rsidRPr="00375B9D" w:rsidRDefault="00375B9D" w:rsidP="007155FA">
      <w:pPr>
        <w:pStyle w:val="Heading3"/>
        <w:rPr>
          <w:noProof/>
          <w:lang w:eastAsia="en-AU"/>
        </w:rPr>
      </w:pPr>
      <w:r w:rsidRPr="00375B9D">
        <w:rPr>
          <w:noProof/>
          <w:lang w:eastAsia="en-AU"/>
        </w:rPr>
        <w:t xml:space="preserve">Registering for </w:t>
      </w:r>
      <w:r w:rsidR="008A7E30">
        <w:rPr>
          <w:noProof/>
          <w:lang w:eastAsia="en-AU"/>
        </w:rPr>
        <w:t>p</w:t>
      </w:r>
      <w:r w:rsidRPr="00375B9D">
        <w:rPr>
          <w:noProof/>
          <w:lang w:eastAsia="en-AU"/>
        </w:rPr>
        <w:t xml:space="preserve">ayroll </w:t>
      </w:r>
      <w:r w:rsidR="008A7E30">
        <w:rPr>
          <w:noProof/>
          <w:lang w:eastAsia="en-AU"/>
        </w:rPr>
        <w:t>t</w:t>
      </w:r>
      <w:r w:rsidRPr="00375B9D">
        <w:rPr>
          <w:noProof/>
          <w:lang w:eastAsia="en-AU"/>
        </w:rPr>
        <w:t>ax</w:t>
      </w:r>
    </w:p>
    <w:p w14:paraId="475BE2B1" w14:textId="77777777" w:rsidR="00375B9D" w:rsidRPr="00375B9D" w:rsidRDefault="00375B9D" w:rsidP="00375B9D">
      <w:pPr>
        <w:rPr>
          <w:noProof/>
          <w:lang w:eastAsia="en-AU"/>
        </w:rPr>
      </w:pPr>
      <w:r w:rsidRPr="00375B9D">
        <w:rPr>
          <w:noProof/>
          <w:lang w:eastAsia="en-AU"/>
        </w:rPr>
        <w:t xml:space="preserve">An employer required to register for payroll tax can do so by completing the online application at </w:t>
      </w:r>
      <w:hyperlink r:id="rId49" w:history="1">
        <w:r w:rsidRPr="00375B9D">
          <w:rPr>
            <w:rStyle w:val="Hyperlink"/>
            <w:noProof/>
            <w:lang w:eastAsia="en-AU"/>
          </w:rPr>
          <w:t>intra.nt.gov.au</w:t>
        </w:r>
      </w:hyperlink>
      <w:r w:rsidRPr="00375B9D">
        <w:rPr>
          <w:noProof/>
          <w:lang w:eastAsia="en-AU"/>
        </w:rPr>
        <w:t xml:space="preserve">. </w:t>
      </w:r>
    </w:p>
    <w:p w14:paraId="2B147BDD" w14:textId="77777777" w:rsidR="00375B9D" w:rsidRPr="00375B9D" w:rsidRDefault="00375B9D" w:rsidP="00375B9D">
      <w:pPr>
        <w:rPr>
          <w:noProof/>
          <w:lang w:eastAsia="en-AU"/>
        </w:rPr>
      </w:pPr>
      <w:r w:rsidRPr="00375B9D">
        <w:rPr>
          <w:noProof/>
          <w:lang w:eastAsia="en-AU"/>
        </w:rPr>
        <w:t xml:space="preserve">See also </w:t>
      </w:r>
      <w:hyperlink w:anchor="ShouldBusinessbeRegisteredforPRT" w:history="1">
        <w:r w:rsidRPr="00375B9D">
          <w:rPr>
            <w:rStyle w:val="Hyperlink"/>
            <w:noProof/>
            <w:lang w:eastAsia="en-AU"/>
          </w:rPr>
          <w:t>How do you</w:t>
        </w:r>
        <w:r w:rsidR="00066BF3" w:rsidRPr="00375B9D">
          <w:rPr>
            <w:rStyle w:val="Hyperlink"/>
            <w:noProof/>
            <w:lang w:eastAsia="en-AU"/>
          </w:rPr>
          <w:t xml:space="preserve"> know if your business should be registered as an employer for payroll t</w:t>
        </w:r>
        <w:r w:rsidRPr="00375B9D">
          <w:rPr>
            <w:rStyle w:val="Hyperlink"/>
            <w:noProof/>
            <w:lang w:eastAsia="en-AU"/>
          </w:rPr>
          <w:t>ax?</w:t>
        </w:r>
      </w:hyperlink>
    </w:p>
    <w:p w14:paraId="4BE0A5C6" w14:textId="77777777" w:rsidR="00375B9D" w:rsidRPr="00375B9D" w:rsidRDefault="00375B9D" w:rsidP="007155FA">
      <w:pPr>
        <w:pStyle w:val="Heading3"/>
        <w:rPr>
          <w:noProof/>
          <w:lang w:eastAsia="en-AU"/>
        </w:rPr>
      </w:pPr>
      <w:r w:rsidRPr="00375B9D">
        <w:rPr>
          <w:noProof/>
          <w:lang w:eastAsia="en-AU"/>
        </w:rPr>
        <w:t xml:space="preserve">Lodging </w:t>
      </w:r>
      <w:r w:rsidR="008A7E30">
        <w:rPr>
          <w:noProof/>
          <w:lang w:eastAsia="en-AU"/>
        </w:rPr>
        <w:t>r</w:t>
      </w:r>
      <w:r w:rsidRPr="00375B9D">
        <w:rPr>
          <w:noProof/>
          <w:lang w:eastAsia="en-AU"/>
        </w:rPr>
        <w:t xml:space="preserve">eturns </w:t>
      </w:r>
      <w:r w:rsidR="008A7E30">
        <w:rPr>
          <w:noProof/>
          <w:lang w:eastAsia="en-AU"/>
        </w:rPr>
        <w:t>o</w:t>
      </w:r>
      <w:r w:rsidRPr="00375B9D">
        <w:rPr>
          <w:noProof/>
          <w:lang w:eastAsia="en-AU"/>
        </w:rPr>
        <w:t>nline</w:t>
      </w:r>
    </w:p>
    <w:p w14:paraId="04448AA1" w14:textId="77777777" w:rsidR="00375B9D" w:rsidRPr="00375B9D" w:rsidRDefault="00375B9D" w:rsidP="00375B9D">
      <w:pPr>
        <w:rPr>
          <w:noProof/>
          <w:lang w:eastAsia="en-AU"/>
        </w:rPr>
      </w:pPr>
      <w:r w:rsidRPr="00375B9D">
        <w:rPr>
          <w:noProof/>
          <w:lang w:eastAsia="en-AU"/>
        </w:rPr>
        <w:t>Monthly returns are lodged using INTRA, TRO’s online return lodgement and payment system. Returns are required to be lodged by the 21</w:t>
      </w:r>
      <w:r w:rsidRPr="00375B9D">
        <w:rPr>
          <w:noProof/>
          <w:vertAlign w:val="superscript"/>
          <w:lang w:eastAsia="en-AU"/>
        </w:rPr>
        <w:t>st</w:t>
      </w:r>
      <w:r w:rsidRPr="00375B9D">
        <w:rPr>
          <w:noProof/>
          <w:lang w:eastAsia="en-AU"/>
        </w:rPr>
        <w:t xml:space="preserve"> day of each month.</w:t>
      </w:r>
    </w:p>
    <w:p w14:paraId="5486F2F7" w14:textId="77777777" w:rsidR="00375B9D" w:rsidRPr="00375B9D" w:rsidRDefault="00375B9D" w:rsidP="007155FA">
      <w:pPr>
        <w:pStyle w:val="Heading3"/>
        <w:rPr>
          <w:noProof/>
          <w:lang w:eastAsia="en-AU"/>
        </w:rPr>
      </w:pPr>
      <w:r w:rsidRPr="00375B9D">
        <w:rPr>
          <w:noProof/>
          <w:lang w:eastAsia="en-AU"/>
        </w:rPr>
        <w:t xml:space="preserve">‘Nil’ </w:t>
      </w:r>
      <w:r w:rsidR="008A7E30">
        <w:rPr>
          <w:noProof/>
          <w:lang w:eastAsia="en-AU"/>
        </w:rPr>
        <w:t>r</w:t>
      </w:r>
      <w:r w:rsidRPr="00375B9D">
        <w:rPr>
          <w:noProof/>
          <w:lang w:eastAsia="en-AU"/>
        </w:rPr>
        <w:t xml:space="preserve">eturns </w:t>
      </w:r>
      <w:r w:rsidR="008A7E30">
        <w:rPr>
          <w:noProof/>
          <w:lang w:eastAsia="en-AU"/>
        </w:rPr>
        <w:t>m</w:t>
      </w:r>
      <w:r w:rsidRPr="00375B9D">
        <w:rPr>
          <w:noProof/>
          <w:lang w:eastAsia="en-AU"/>
        </w:rPr>
        <w:t xml:space="preserve">ust be </w:t>
      </w:r>
      <w:r w:rsidR="008A7E30">
        <w:rPr>
          <w:noProof/>
          <w:lang w:eastAsia="en-AU"/>
        </w:rPr>
        <w:t>l</w:t>
      </w:r>
      <w:r w:rsidRPr="00375B9D">
        <w:rPr>
          <w:noProof/>
          <w:lang w:eastAsia="en-AU"/>
        </w:rPr>
        <w:t>odged</w:t>
      </w:r>
    </w:p>
    <w:p w14:paraId="5823DB93" w14:textId="77777777" w:rsidR="00375B9D" w:rsidRPr="00375B9D" w:rsidRDefault="00375B9D" w:rsidP="00375B9D">
      <w:pPr>
        <w:rPr>
          <w:noProof/>
          <w:lang w:eastAsia="en-AU"/>
        </w:rPr>
      </w:pPr>
      <w:r w:rsidRPr="00375B9D">
        <w:rPr>
          <w:noProof/>
          <w:lang w:eastAsia="en-AU"/>
        </w:rPr>
        <w:t>If an employer does not have a liability in a particular month, a ‘nil’ return must still be lodged, to avoid the employer receiving reminder notices.</w:t>
      </w:r>
    </w:p>
    <w:p w14:paraId="72AB7B2E" w14:textId="77777777" w:rsidR="00375B9D" w:rsidRPr="00375B9D" w:rsidRDefault="00375B9D" w:rsidP="007155FA">
      <w:pPr>
        <w:pStyle w:val="Heading3"/>
        <w:rPr>
          <w:noProof/>
          <w:lang w:eastAsia="en-AU"/>
        </w:rPr>
      </w:pPr>
      <w:r w:rsidRPr="00375B9D">
        <w:rPr>
          <w:noProof/>
          <w:lang w:eastAsia="en-AU"/>
        </w:rPr>
        <w:t xml:space="preserve">Annual </w:t>
      </w:r>
      <w:r w:rsidR="008A7E30">
        <w:rPr>
          <w:noProof/>
          <w:lang w:eastAsia="en-AU"/>
        </w:rPr>
        <w:t>a</w:t>
      </w:r>
      <w:r w:rsidRPr="00375B9D">
        <w:rPr>
          <w:noProof/>
          <w:lang w:eastAsia="en-AU"/>
        </w:rPr>
        <w:t xml:space="preserve">djustment </w:t>
      </w:r>
      <w:r w:rsidR="008A7E30">
        <w:rPr>
          <w:noProof/>
          <w:lang w:eastAsia="en-AU"/>
        </w:rPr>
        <w:t>r</w:t>
      </w:r>
      <w:r w:rsidRPr="00375B9D">
        <w:rPr>
          <w:noProof/>
          <w:lang w:eastAsia="en-AU"/>
        </w:rPr>
        <w:t>eturn</w:t>
      </w:r>
    </w:p>
    <w:p w14:paraId="37A17951" w14:textId="77777777" w:rsidR="00375B9D" w:rsidRPr="00375B9D" w:rsidRDefault="00375B9D" w:rsidP="00375B9D">
      <w:pPr>
        <w:rPr>
          <w:noProof/>
          <w:lang w:eastAsia="en-AU"/>
        </w:rPr>
      </w:pPr>
      <w:r w:rsidRPr="00375B9D">
        <w:rPr>
          <w:noProof/>
          <w:lang w:eastAsia="en-AU"/>
        </w:rPr>
        <w:t>At the end of each financial year, all registered employers must lodge an annual adjustment return (AAR) by 21 July and pay (or if applicable, seek a refund of) the difference between tax paid during the first 11 months of the year and the full year liability to 30 June.</w:t>
      </w:r>
    </w:p>
    <w:p w14:paraId="48B7D797" w14:textId="77777777" w:rsidR="00375B9D" w:rsidRPr="00375B9D" w:rsidRDefault="00375B9D" w:rsidP="00375B9D">
      <w:pPr>
        <w:rPr>
          <w:noProof/>
          <w:lang w:eastAsia="en-AU"/>
        </w:rPr>
      </w:pPr>
      <w:r w:rsidRPr="00375B9D">
        <w:rPr>
          <w:noProof/>
          <w:lang w:eastAsia="en-AU"/>
        </w:rPr>
        <w:t>The AAR must be lodged using INTRA.</w:t>
      </w:r>
    </w:p>
    <w:p w14:paraId="4FD69A6A" w14:textId="77777777" w:rsidR="00375B9D" w:rsidRPr="00375B9D" w:rsidRDefault="00375B9D" w:rsidP="007155FA">
      <w:pPr>
        <w:pStyle w:val="Heading3"/>
        <w:rPr>
          <w:noProof/>
          <w:lang w:eastAsia="en-AU"/>
        </w:rPr>
      </w:pPr>
      <w:r w:rsidRPr="00375B9D">
        <w:rPr>
          <w:noProof/>
          <w:lang w:eastAsia="en-AU"/>
        </w:rPr>
        <w:t xml:space="preserve">How to </w:t>
      </w:r>
      <w:r w:rsidR="002B79EB">
        <w:rPr>
          <w:noProof/>
          <w:lang w:eastAsia="en-AU"/>
        </w:rPr>
        <w:t>p</w:t>
      </w:r>
      <w:r w:rsidRPr="00375B9D">
        <w:rPr>
          <w:noProof/>
          <w:lang w:eastAsia="en-AU"/>
        </w:rPr>
        <w:t xml:space="preserve">ay </w:t>
      </w:r>
      <w:r w:rsidR="002B79EB">
        <w:rPr>
          <w:noProof/>
          <w:lang w:eastAsia="en-AU"/>
        </w:rPr>
        <w:t>p</w:t>
      </w:r>
      <w:r w:rsidRPr="00375B9D">
        <w:rPr>
          <w:noProof/>
          <w:lang w:eastAsia="en-AU"/>
        </w:rPr>
        <w:t xml:space="preserve">ayroll </w:t>
      </w:r>
      <w:r w:rsidR="002B79EB">
        <w:rPr>
          <w:noProof/>
          <w:lang w:eastAsia="en-AU"/>
        </w:rPr>
        <w:t>t</w:t>
      </w:r>
      <w:r w:rsidRPr="00375B9D">
        <w:rPr>
          <w:noProof/>
          <w:lang w:eastAsia="en-AU"/>
        </w:rPr>
        <w:t>ax</w:t>
      </w:r>
    </w:p>
    <w:p w14:paraId="76EEB72F" w14:textId="77777777" w:rsidR="00375B9D" w:rsidRPr="00375B9D" w:rsidRDefault="00375B9D" w:rsidP="00375B9D">
      <w:pPr>
        <w:rPr>
          <w:noProof/>
          <w:lang w:eastAsia="en-AU"/>
        </w:rPr>
      </w:pPr>
      <w:r w:rsidRPr="00375B9D">
        <w:rPr>
          <w:noProof/>
          <w:lang w:eastAsia="en-AU"/>
        </w:rPr>
        <w:t xml:space="preserve">Payment may be made by direct credit (with each payment controlled and authorised solely by the taxpayer), electronic funds transfer (EFT) or BPAY. Cheques may also be accepted by mail. </w:t>
      </w:r>
    </w:p>
    <w:p w14:paraId="3EF68EBE" w14:textId="77777777" w:rsidR="00375B9D" w:rsidRPr="00375B9D" w:rsidRDefault="00375B9D" w:rsidP="007155FA">
      <w:pPr>
        <w:pStyle w:val="Heading3"/>
        <w:rPr>
          <w:noProof/>
          <w:lang w:eastAsia="en-AU"/>
        </w:rPr>
      </w:pPr>
      <w:r w:rsidRPr="00375B9D">
        <w:rPr>
          <w:noProof/>
          <w:lang w:eastAsia="en-AU"/>
        </w:rPr>
        <w:t xml:space="preserve">Single </w:t>
      </w:r>
      <w:r w:rsidR="00CA19C6">
        <w:rPr>
          <w:noProof/>
          <w:lang w:eastAsia="en-AU"/>
        </w:rPr>
        <w:t>r</w:t>
      </w:r>
      <w:r w:rsidRPr="00375B9D">
        <w:rPr>
          <w:noProof/>
          <w:lang w:eastAsia="en-AU"/>
        </w:rPr>
        <w:t xml:space="preserve">eturn for a </w:t>
      </w:r>
      <w:r w:rsidR="00CA19C6">
        <w:rPr>
          <w:noProof/>
          <w:lang w:eastAsia="en-AU"/>
        </w:rPr>
        <w:t>g</w:t>
      </w:r>
      <w:r w:rsidRPr="00375B9D">
        <w:rPr>
          <w:noProof/>
          <w:lang w:eastAsia="en-AU"/>
        </w:rPr>
        <w:t>roup</w:t>
      </w:r>
    </w:p>
    <w:p w14:paraId="13CEF4DB" w14:textId="77777777" w:rsidR="00375B9D" w:rsidRPr="00375B9D" w:rsidRDefault="00375B9D" w:rsidP="00375B9D">
      <w:pPr>
        <w:rPr>
          <w:noProof/>
          <w:lang w:eastAsia="en-AU"/>
        </w:rPr>
      </w:pPr>
      <w:r w:rsidRPr="00375B9D">
        <w:rPr>
          <w:noProof/>
          <w:lang w:eastAsia="en-AU"/>
        </w:rPr>
        <w:t>A group of NT taxpayers can apply to have their DGE lodge a single consolidated return and make a single payment of payroll tax on behalf of all group members.</w:t>
      </w:r>
    </w:p>
    <w:p w14:paraId="05942345" w14:textId="77777777" w:rsidR="00375B9D" w:rsidRPr="00375B9D" w:rsidRDefault="00375B9D" w:rsidP="00375B9D">
      <w:pPr>
        <w:rPr>
          <w:noProof/>
          <w:lang w:eastAsia="en-AU"/>
        </w:rPr>
      </w:pPr>
      <w:r w:rsidRPr="00375B9D">
        <w:rPr>
          <w:noProof/>
          <w:lang w:eastAsia="en-AU"/>
        </w:rPr>
        <w:t>While all group members remain jointly and severally liable for other group members’ liabilities, the liabilities are deemed to be satisfied as long as the DGE lodges the consolidated return and makes the necessary payment.</w:t>
      </w:r>
    </w:p>
    <w:tbl>
      <w:tblPr>
        <w:tblStyle w:val="DTFpayrolltaxguidestyle1"/>
        <w:tblW w:w="10343" w:type="dxa"/>
        <w:tblLook w:val="04A0" w:firstRow="1" w:lastRow="0" w:firstColumn="1" w:lastColumn="0" w:noHBand="0" w:noVBand="1"/>
        <w:tblDescription w:val="To apply for a single group return arrangement, complete form F-PRT-003."/>
      </w:tblPr>
      <w:tblGrid>
        <w:gridCol w:w="10343"/>
      </w:tblGrid>
      <w:tr w:rsidR="00375B9D" w:rsidRPr="00375B9D" w14:paraId="38FD905C" w14:textId="77777777" w:rsidTr="00937629">
        <w:trPr>
          <w:tblHeader/>
        </w:trPr>
        <w:tc>
          <w:tcPr>
            <w:tcW w:w="10343" w:type="dxa"/>
          </w:tcPr>
          <w:p w14:paraId="1F19B9E7" w14:textId="77777777" w:rsidR="00375B9D" w:rsidRPr="00375B9D" w:rsidRDefault="00375B9D" w:rsidP="00375B9D">
            <w:pPr>
              <w:spacing w:after="200"/>
              <w:rPr>
                <w:noProof/>
                <w:lang w:eastAsia="en-AU"/>
              </w:rPr>
            </w:pPr>
            <w:r w:rsidRPr="00375B9D">
              <w:rPr>
                <w:noProof/>
                <w:lang w:eastAsia="en-AU"/>
              </w:rPr>
              <w:lastRenderedPageBreak/>
              <w:t xml:space="preserve">To apply for a single group return arrangement, complete form </w:t>
            </w:r>
            <w:hyperlink r:id="rId50" w:history="1">
              <w:r w:rsidRPr="00375B9D">
                <w:rPr>
                  <w:rStyle w:val="Hyperlink"/>
                  <w:noProof/>
                  <w:lang w:eastAsia="en-AU"/>
                </w:rPr>
                <w:t xml:space="preserve">F-PRT-003 – Nomination of </w:t>
              </w:r>
              <w:r w:rsidR="00066BF3" w:rsidRPr="00375B9D">
                <w:rPr>
                  <w:rStyle w:val="Hyperlink"/>
                  <w:noProof/>
                  <w:lang w:eastAsia="en-AU"/>
                </w:rPr>
                <w:t>designated group employer</w:t>
              </w:r>
              <w:r w:rsidRPr="00375B9D">
                <w:rPr>
                  <w:rStyle w:val="Hyperlink"/>
                  <w:noProof/>
                  <w:lang w:eastAsia="en-AU"/>
                </w:rPr>
                <w:t xml:space="preserve"> (DGE).</w:t>
              </w:r>
            </w:hyperlink>
          </w:p>
        </w:tc>
      </w:tr>
    </w:tbl>
    <w:p w14:paraId="7297F129" w14:textId="77777777" w:rsidR="00375B9D" w:rsidRPr="00375B9D" w:rsidRDefault="00375B9D" w:rsidP="00714512">
      <w:pPr>
        <w:pStyle w:val="Heading3"/>
        <w:rPr>
          <w:noProof/>
          <w:lang w:eastAsia="en-AU"/>
        </w:rPr>
      </w:pPr>
      <w:r w:rsidRPr="00375B9D">
        <w:rPr>
          <w:noProof/>
          <w:lang w:eastAsia="en-AU"/>
        </w:rPr>
        <w:t xml:space="preserve">End of </w:t>
      </w:r>
      <w:r w:rsidR="00D2080B">
        <w:rPr>
          <w:noProof/>
          <w:lang w:eastAsia="en-AU"/>
        </w:rPr>
        <w:t>f</w:t>
      </w:r>
      <w:r w:rsidRPr="00375B9D">
        <w:rPr>
          <w:noProof/>
          <w:lang w:eastAsia="en-AU"/>
        </w:rPr>
        <w:t xml:space="preserve">inancial </w:t>
      </w:r>
      <w:r w:rsidR="00D2080B">
        <w:rPr>
          <w:noProof/>
          <w:lang w:eastAsia="en-AU"/>
        </w:rPr>
        <w:t>y</w:t>
      </w:r>
      <w:r w:rsidRPr="00375B9D">
        <w:rPr>
          <w:noProof/>
          <w:lang w:eastAsia="en-AU"/>
        </w:rPr>
        <w:t xml:space="preserve">ear </w:t>
      </w:r>
      <w:r w:rsidR="00D2080B">
        <w:rPr>
          <w:noProof/>
          <w:lang w:eastAsia="en-AU"/>
        </w:rPr>
        <w:t>r</w:t>
      </w:r>
      <w:r w:rsidRPr="00375B9D">
        <w:rPr>
          <w:noProof/>
          <w:lang w:eastAsia="en-AU"/>
        </w:rPr>
        <w:t>efunds</w:t>
      </w:r>
    </w:p>
    <w:p w14:paraId="4A0BA6A2" w14:textId="77777777" w:rsidR="00375B9D" w:rsidRPr="00375B9D" w:rsidRDefault="00375B9D" w:rsidP="00375B9D">
      <w:pPr>
        <w:rPr>
          <w:noProof/>
          <w:lang w:eastAsia="en-AU"/>
        </w:rPr>
      </w:pPr>
      <w:r w:rsidRPr="00375B9D">
        <w:rPr>
          <w:noProof/>
          <w:lang w:eastAsia="en-AU"/>
        </w:rPr>
        <w:t>If a taxpayer believes he or she has overpaid tax, he or she can apply to TRO for a refund.</w:t>
      </w:r>
    </w:p>
    <w:tbl>
      <w:tblPr>
        <w:tblStyle w:val="DTFpayrolltaxguidestyle1"/>
        <w:tblW w:w="10343" w:type="dxa"/>
        <w:tblLook w:val="04A0" w:firstRow="1" w:lastRow="0" w:firstColumn="1" w:lastColumn="0" w:noHBand="0" w:noVBand="1"/>
        <w:tblDescription w:val="To apply for a refund, complete form F-PRT-012 Payroll Tax – Application for refund."/>
      </w:tblPr>
      <w:tblGrid>
        <w:gridCol w:w="10343"/>
      </w:tblGrid>
      <w:tr w:rsidR="00375B9D" w:rsidRPr="00375B9D" w14:paraId="11174DFA" w14:textId="77777777" w:rsidTr="00937629">
        <w:trPr>
          <w:tblHeader/>
        </w:trPr>
        <w:tc>
          <w:tcPr>
            <w:tcW w:w="10343" w:type="dxa"/>
          </w:tcPr>
          <w:p w14:paraId="3C046EB1" w14:textId="77777777" w:rsidR="00375B9D" w:rsidRPr="00375B9D" w:rsidRDefault="00375B9D" w:rsidP="00375B9D">
            <w:pPr>
              <w:spacing w:after="200"/>
              <w:rPr>
                <w:noProof/>
                <w:lang w:eastAsia="en-AU"/>
              </w:rPr>
            </w:pPr>
            <w:r w:rsidRPr="00375B9D">
              <w:rPr>
                <w:noProof/>
                <w:lang w:eastAsia="en-AU"/>
              </w:rPr>
              <w:t xml:space="preserve">To apply for a refund, complete form </w:t>
            </w:r>
            <w:hyperlink r:id="rId51" w:history="1">
              <w:r w:rsidRPr="00375B9D">
                <w:rPr>
                  <w:rStyle w:val="Hyperlink"/>
                  <w:noProof/>
                  <w:lang w:eastAsia="en-AU"/>
                </w:rPr>
                <w:t xml:space="preserve">F-PRT-012 Payroll </w:t>
              </w:r>
              <w:r w:rsidR="00066BF3" w:rsidRPr="00375B9D">
                <w:rPr>
                  <w:rStyle w:val="Hyperlink"/>
                  <w:noProof/>
                  <w:lang w:eastAsia="en-AU"/>
                </w:rPr>
                <w:t>tax – application f</w:t>
              </w:r>
              <w:r w:rsidRPr="00375B9D">
                <w:rPr>
                  <w:rStyle w:val="Hyperlink"/>
                  <w:noProof/>
                  <w:lang w:eastAsia="en-AU"/>
                </w:rPr>
                <w:t>or refund</w:t>
              </w:r>
            </w:hyperlink>
            <w:r w:rsidRPr="00375B9D">
              <w:rPr>
                <w:noProof/>
                <w:lang w:eastAsia="en-AU"/>
              </w:rPr>
              <w:t>.</w:t>
            </w:r>
          </w:p>
        </w:tc>
      </w:tr>
    </w:tbl>
    <w:p w14:paraId="461722D9" w14:textId="77777777" w:rsidR="00375B9D" w:rsidRPr="00375B9D" w:rsidRDefault="00375B9D" w:rsidP="00714512">
      <w:pPr>
        <w:pStyle w:val="Heading3"/>
        <w:rPr>
          <w:noProof/>
          <w:lang w:eastAsia="en-AU"/>
        </w:rPr>
      </w:pPr>
      <w:r w:rsidRPr="00375B9D">
        <w:rPr>
          <w:noProof/>
          <w:lang w:eastAsia="en-AU"/>
        </w:rPr>
        <w:t xml:space="preserve">Registration of INTRA </w:t>
      </w:r>
      <w:r w:rsidR="00D2080B">
        <w:rPr>
          <w:noProof/>
          <w:lang w:eastAsia="en-AU"/>
        </w:rPr>
        <w:t>u</w:t>
      </w:r>
      <w:r w:rsidRPr="00375B9D">
        <w:rPr>
          <w:noProof/>
          <w:lang w:eastAsia="en-AU"/>
        </w:rPr>
        <w:t>sers</w:t>
      </w:r>
    </w:p>
    <w:p w14:paraId="00A0AD10" w14:textId="77777777" w:rsidR="00375B9D" w:rsidRPr="00375B9D" w:rsidRDefault="00375B9D" w:rsidP="00375B9D">
      <w:pPr>
        <w:rPr>
          <w:noProof/>
          <w:lang w:eastAsia="en-AU"/>
        </w:rPr>
      </w:pPr>
      <w:r w:rsidRPr="00375B9D">
        <w:rPr>
          <w:noProof/>
          <w:lang w:eastAsia="en-AU"/>
        </w:rPr>
        <w:t>Access to INTRA is user-specific, however each taxpayer may elect to have multiple users.</w:t>
      </w:r>
    </w:p>
    <w:p w14:paraId="2F1BE434" w14:textId="77777777" w:rsidR="00375B9D" w:rsidRPr="00375B9D" w:rsidRDefault="00375B9D" w:rsidP="00375B9D">
      <w:pPr>
        <w:rPr>
          <w:noProof/>
          <w:lang w:eastAsia="en-AU"/>
        </w:rPr>
      </w:pPr>
      <w:r w:rsidRPr="00375B9D">
        <w:rPr>
          <w:noProof/>
          <w:lang w:eastAsia="en-AU"/>
        </w:rPr>
        <w:t xml:space="preserve">User access can either be managed by a 'Manager' user within your organisation or, if no Manager is available, by lodging a new user application at </w:t>
      </w:r>
      <w:hyperlink r:id="rId52" w:history="1">
        <w:r w:rsidRPr="00375B9D">
          <w:rPr>
            <w:rStyle w:val="Hyperlink"/>
            <w:noProof/>
            <w:lang w:eastAsia="en-AU"/>
          </w:rPr>
          <w:t>intra.nt.gov.au</w:t>
        </w:r>
      </w:hyperlink>
      <w:r w:rsidRPr="00375B9D">
        <w:rPr>
          <w:noProof/>
          <w:lang w:eastAsia="en-AU"/>
        </w:rPr>
        <w:t xml:space="preserve">. </w:t>
      </w:r>
    </w:p>
    <w:p w14:paraId="5C0E6ADE" w14:textId="77777777" w:rsidR="00375B9D" w:rsidRPr="00375B9D" w:rsidRDefault="00375B9D" w:rsidP="00375B9D">
      <w:pPr>
        <w:rPr>
          <w:noProof/>
          <w:lang w:eastAsia="en-AU"/>
        </w:rPr>
      </w:pPr>
      <w:r w:rsidRPr="00375B9D">
        <w:rPr>
          <w:noProof/>
          <w:lang w:eastAsia="en-AU"/>
        </w:rPr>
        <w:t>It is important to ensure changes in users are processed promptly to avoid any delays in access for new employees.</w:t>
      </w:r>
    </w:p>
    <w:p w14:paraId="3026B309" w14:textId="77777777" w:rsidR="00375B9D" w:rsidRPr="00375B9D" w:rsidRDefault="00375B9D" w:rsidP="00A7303B">
      <w:pPr>
        <w:pStyle w:val="Heading2"/>
      </w:pPr>
      <w:bookmarkStart w:id="83" w:name="_Toc467842753"/>
      <w:bookmarkStart w:id="84" w:name="_Toc108789591"/>
      <w:r w:rsidRPr="00375B9D">
        <w:t xml:space="preserve">Cancellation of </w:t>
      </w:r>
      <w:r w:rsidR="00D2080B">
        <w:t>p</w:t>
      </w:r>
      <w:r w:rsidRPr="00375B9D">
        <w:t xml:space="preserve">ayroll </w:t>
      </w:r>
      <w:r w:rsidR="00D2080B">
        <w:t>t</w:t>
      </w:r>
      <w:r w:rsidRPr="00375B9D">
        <w:t xml:space="preserve">ax </w:t>
      </w:r>
      <w:r w:rsidR="00D2080B">
        <w:t>r</w:t>
      </w:r>
      <w:r w:rsidRPr="00375B9D">
        <w:t>egistration</w:t>
      </w:r>
      <w:bookmarkEnd w:id="83"/>
      <w:bookmarkEnd w:id="84"/>
    </w:p>
    <w:p w14:paraId="57AF1D1C" w14:textId="77777777" w:rsidR="00375B9D" w:rsidRPr="00375B9D" w:rsidRDefault="00375B9D" w:rsidP="003C1E64">
      <w:pPr>
        <w:pStyle w:val="Heading3"/>
        <w:rPr>
          <w:noProof/>
          <w:lang w:eastAsia="en-AU"/>
        </w:rPr>
      </w:pPr>
      <w:r w:rsidRPr="00375B9D">
        <w:rPr>
          <w:noProof/>
          <w:lang w:eastAsia="en-AU"/>
        </w:rPr>
        <w:t xml:space="preserve">Circumstances in which </w:t>
      </w:r>
      <w:r w:rsidR="00D2080B">
        <w:rPr>
          <w:noProof/>
          <w:lang w:eastAsia="en-AU"/>
        </w:rPr>
        <w:t>p</w:t>
      </w:r>
      <w:r w:rsidRPr="00375B9D">
        <w:rPr>
          <w:noProof/>
          <w:lang w:eastAsia="en-AU"/>
        </w:rPr>
        <w:t xml:space="preserve">ayroll </w:t>
      </w:r>
      <w:r w:rsidR="00D2080B">
        <w:rPr>
          <w:noProof/>
          <w:lang w:eastAsia="en-AU"/>
        </w:rPr>
        <w:t>t</w:t>
      </w:r>
      <w:r w:rsidRPr="00375B9D">
        <w:rPr>
          <w:noProof/>
          <w:lang w:eastAsia="en-AU"/>
        </w:rPr>
        <w:t xml:space="preserve">ax </w:t>
      </w:r>
      <w:r w:rsidR="00D2080B">
        <w:rPr>
          <w:noProof/>
          <w:lang w:eastAsia="en-AU"/>
        </w:rPr>
        <w:t>r</w:t>
      </w:r>
      <w:r w:rsidRPr="00375B9D">
        <w:rPr>
          <w:noProof/>
          <w:lang w:eastAsia="en-AU"/>
        </w:rPr>
        <w:t xml:space="preserve">egistration may be </w:t>
      </w:r>
      <w:r w:rsidR="00D2080B">
        <w:rPr>
          <w:noProof/>
          <w:lang w:eastAsia="en-AU"/>
        </w:rPr>
        <w:t>c</w:t>
      </w:r>
      <w:r w:rsidRPr="00375B9D">
        <w:rPr>
          <w:noProof/>
          <w:lang w:eastAsia="en-AU"/>
        </w:rPr>
        <w:t>ancelled</w:t>
      </w:r>
    </w:p>
    <w:p w14:paraId="73FCA7E4" w14:textId="77777777" w:rsidR="00375B9D" w:rsidRPr="00375B9D" w:rsidRDefault="00375B9D" w:rsidP="00375B9D">
      <w:pPr>
        <w:rPr>
          <w:noProof/>
          <w:lang w:eastAsia="en-AU"/>
        </w:rPr>
      </w:pPr>
      <w:r w:rsidRPr="00375B9D">
        <w:rPr>
          <w:noProof/>
          <w:lang w:eastAsia="en-AU"/>
        </w:rPr>
        <w:t>An employer can apply for cancellation if it has ceased employing in the NT, or if its wages have dropped below the $125</w:t>
      </w:r>
      <w:r w:rsidR="00C65823">
        <w:rPr>
          <w:noProof/>
          <w:lang w:eastAsia="en-AU"/>
        </w:rPr>
        <w:t>,000</w:t>
      </w:r>
      <w:r w:rsidRPr="00375B9D">
        <w:rPr>
          <w:noProof/>
          <w:lang w:eastAsia="en-AU"/>
        </w:rPr>
        <w:t xml:space="preserve"> per month tax-free threshold.</w:t>
      </w:r>
    </w:p>
    <w:tbl>
      <w:tblPr>
        <w:tblStyle w:val="DTFpayrolltaxguidestyle1"/>
        <w:tblW w:w="10343" w:type="dxa"/>
        <w:tblLook w:val="04A0" w:firstRow="1" w:lastRow="0" w:firstColumn="1" w:lastColumn="0" w:noHBand="0" w:noVBand="1"/>
        <w:tblDescription w:val="Reminder: A taxpayer must lodge monthly returns and pay payroll tax when it pays wages of any value in the NT and the total Australian taxable wages including group members exceeds $125 000 per month."/>
      </w:tblPr>
      <w:tblGrid>
        <w:gridCol w:w="10343"/>
      </w:tblGrid>
      <w:tr w:rsidR="00375B9D" w:rsidRPr="00375B9D" w14:paraId="2AB5FFD4" w14:textId="77777777" w:rsidTr="00937629">
        <w:trPr>
          <w:tblHeader/>
        </w:trPr>
        <w:tc>
          <w:tcPr>
            <w:tcW w:w="10343" w:type="dxa"/>
          </w:tcPr>
          <w:p w14:paraId="3EC1C52C" w14:textId="77777777" w:rsidR="00375B9D" w:rsidRPr="00375B9D" w:rsidRDefault="00375B9D" w:rsidP="00375B9D">
            <w:pPr>
              <w:spacing w:after="200"/>
              <w:rPr>
                <w:noProof/>
                <w:lang w:eastAsia="en-AU"/>
              </w:rPr>
            </w:pPr>
            <w:r w:rsidRPr="00375B9D">
              <w:rPr>
                <w:b/>
                <w:noProof/>
                <w:lang w:eastAsia="en-AU"/>
              </w:rPr>
              <w:t>Reminder</w:t>
            </w:r>
            <w:r w:rsidRPr="00375B9D">
              <w:rPr>
                <w:noProof/>
                <w:lang w:eastAsia="en-AU"/>
              </w:rPr>
              <w:t>: A taxpayer must lodge monthly returns and pay payroll tax when it pays wages of any value in the NT and the total Australian taxable wages including group members exceeds $125</w:t>
            </w:r>
            <w:r w:rsidR="00C65823">
              <w:rPr>
                <w:noProof/>
                <w:lang w:eastAsia="en-AU"/>
              </w:rPr>
              <w:t>,000</w:t>
            </w:r>
            <w:r w:rsidRPr="00375B9D">
              <w:rPr>
                <w:noProof/>
                <w:lang w:eastAsia="en-AU"/>
              </w:rPr>
              <w:t xml:space="preserve"> per month.</w:t>
            </w:r>
          </w:p>
        </w:tc>
      </w:tr>
    </w:tbl>
    <w:p w14:paraId="23242F80" w14:textId="77777777" w:rsidR="00375B9D" w:rsidRPr="00375B9D" w:rsidRDefault="00375B9D" w:rsidP="003C1E64">
      <w:pPr>
        <w:pStyle w:val="Heading3"/>
        <w:rPr>
          <w:noProof/>
          <w:lang w:eastAsia="en-AU"/>
        </w:rPr>
      </w:pPr>
      <w:r w:rsidRPr="00375B9D">
        <w:rPr>
          <w:noProof/>
          <w:lang w:eastAsia="en-AU"/>
        </w:rPr>
        <w:t xml:space="preserve">Administrative </w:t>
      </w:r>
      <w:r w:rsidR="00F419B3" w:rsidRPr="003C1E64">
        <w:t>process</w:t>
      </w:r>
      <w:r w:rsidRPr="00375B9D">
        <w:rPr>
          <w:noProof/>
          <w:lang w:eastAsia="en-AU"/>
        </w:rPr>
        <w:t xml:space="preserve"> – </w:t>
      </w:r>
      <w:r w:rsidR="00D2080B">
        <w:rPr>
          <w:noProof/>
          <w:lang w:eastAsia="en-AU"/>
        </w:rPr>
        <w:t>c</w:t>
      </w:r>
      <w:r w:rsidRPr="00631D53">
        <w:t>ancellation</w:t>
      </w:r>
      <w:r w:rsidRPr="00375B9D">
        <w:rPr>
          <w:noProof/>
          <w:lang w:eastAsia="en-AU"/>
        </w:rPr>
        <w:t xml:space="preserve"> of </w:t>
      </w:r>
      <w:r w:rsidR="00D2080B">
        <w:rPr>
          <w:noProof/>
          <w:lang w:eastAsia="en-AU"/>
        </w:rPr>
        <w:t>r</w:t>
      </w:r>
      <w:r w:rsidRPr="00375B9D">
        <w:rPr>
          <w:noProof/>
          <w:lang w:eastAsia="en-AU"/>
        </w:rPr>
        <w:t>egistration</w:t>
      </w:r>
    </w:p>
    <w:p w14:paraId="3E3EFFEA" w14:textId="77777777" w:rsidR="00375B9D" w:rsidRPr="00375B9D" w:rsidRDefault="00375B9D" w:rsidP="003C1E64">
      <w:pPr>
        <w:pStyle w:val="DTFHeading5"/>
      </w:pPr>
      <w:r w:rsidRPr="00375B9D">
        <w:t xml:space="preserve">Where NT and Australian </w:t>
      </w:r>
      <w:r w:rsidR="00D2080B">
        <w:t>w</w:t>
      </w:r>
      <w:r w:rsidRPr="00375B9D">
        <w:t xml:space="preserve">ages </w:t>
      </w:r>
      <w:r w:rsidR="00D2080B">
        <w:t>c</w:t>
      </w:r>
      <w:r w:rsidRPr="00375B9D">
        <w:t xml:space="preserve">ompletely </w:t>
      </w:r>
      <w:r w:rsidR="00D2080B">
        <w:t>c</w:t>
      </w:r>
      <w:r w:rsidRPr="00375B9D">
        <w:t>eased</w:t>
      </w:r>
    </w:p>
    <w:p w14:paraId="11EC999D" w14:textId="77777777" w:rsidR="00375B9D" w:rsidRPr="00375B9D" w:rsidRDefault="00375B9D" w:rsidP="00375B9D">
      <w:pPr>
        <w:rPr>
          <w:noProof/>
          <w:lang w:eastAsia="en-AU"/>
        </w:rPr>
      </w:pPr>
      <w:r w:rsidRPr="00375B9D">
        <w:rPr>
          <w:noProof/>
          <w:lang w:eastAsia="en-AU"/>
        </w:rPr>
        <w:t xml:space="preserve">Complete and lodge </w:t>
      </w:r>
      <w:hyperlink r:id="rId53" w:history="1">
        <w:r w:rsidRPr="00F419B3">
          <w:rPr>
            <w:rStyle w:val="Hyperlink"/>
            <w:noProof/>
            <w:lang w:eastAsia="en-AU"/>
          </w:rPr>
          <w:t xml:space="preserve">F-PRT-002 Cancellation of </w:t>
        </w:r>
        <w:r w:rsidR="00066BF3" w:rsidRPr="00F419B3">
          <w:rPr>
            <w:rStyle w:val="Hyperlink"/>
            <w:noProof/>
            <w:lang w:eastAsia="en-AU"/>
          </w:rPr>
          <w:t>payroll tax reg</w:t>
        </w:r>
        <w:r w:rsidRPr="00F419B3">
          <w:rPr>
            <w:rStyle w:val="Hyperlink"/>
            <w:noProof/>
            <w:lang w:eastAsia="en-AU"/>
          </w:rPr>
          <w:t>istration</w:t>
        </w:r>
      </w:hyperlink>
      <w:r w:rsidRPr="00375B9D">
        <w:rPr>
          <w:noProof/>
          <w:lang w:eastAsia="en-AU"/>
        </w:rPr>
        <w:t xml:space="preserve"> and complete an AAR for that financial year within 21 days of the end of the month in which wages ceased (do not wait until the next July).</w:t>
      </w:r>
    </w:p>
    <w:p w14:paraId="3CCDDB33" w14:textId="77777777" w:rsidR="00375B9D" w:rsidRPr="00375B9D" w:rsidRDefault="00375B9D" w:rsidP="00375B9D">
      <w:pPr>
        <w:rPr>
          <w:noProof/>
          <w:lang w:eastAsia="en-AU"/>
        </w:rPr>
      </w:pPr>
      <w:r w:rsidRPr="00375B9D">
        <w:rPr>
          <w:noProof/>
          <w:lang w:eastAsia="en-AU"/>
        </w:rPr>
        <w:t xml:space="preserve">If you believe payroll tax has been overpaid, complete the </w:t>
      </w:r>
      <w:hyperlink r:id="rId54" w:history="1">
        <w:r w:rsidRPr="00375B9D">
          <w:rPr>
            <w:rStyle w:val="Hyperlink"/>
            <w:noProof/>
            <w:lang w:eastAsia="en-AU"/>
          </w:rPr>
          <w:t>F-PRT-012 Payroll Tax – Application for refund</w:t>
        </w:r>
      </w:hyperlink>
      <w:r w:rsidRPr="00375B9D">
        <w:rPr>
          <w:noProof/>
          <w:lang w:eastAsia="en-AU"/>
        </w:rPr>
        <w:t xml:space="preserve"> form. Otherwise ensure any payroll tax due for that year is paid by the 21</w:t>
      </w:r>
      <w:r w:rsidRPr="00375B9D">
        <w:rPr>
          <w:noProof/>
          <w:vertAlign w:val="superscript"/>
          <w:lang w:eastAsia="en-AU"/>
        </w:rPr>
        <w:t>st</w:t>
      </w:r>
      <w:r w:rsidRPr="00375B9D">
        <w:rPr>
          <w:noProof/>
          <w:lang w:eastAsia="en-AU"/>
        </w:rPr>
        <w:t xml:space="preserve"> day of the month following the last month in which wages were paid.</w:t>
      </w:r>
    </w:p>
    <w:p w14:paraId="405F1216" w14:textId="77777777" w:rsidR="000263D4" w:rsidRDefault="000263D4">
      <w:pPr>
        <w:rPr>
          <w:rFonts w:asciiTheme="majorHAnsi" w:hAnsiTheme="majorHAnsi"/>
          <w:noProof/>
          <w:color w:val="1F1F5F" w:themeColor="text1"/>
          <w:sz w:val="24"/>
          <w:szCs w:val="24"/>
          <w:lang w:eastAsia="en-AU"/>
        </w:rPr>
      </w:pPr>
      <w:r>
        <w:br w:type="page"/>
      </w:r>
    </w:p>
    <w:p w14:paraId="1A45B8AD" w14:textId="77777777" w:rsidR="00375B9D" w:rsidRPr="00375B9D" w:rsidRDefault="00375B9D" w:rsidP="003C1E64">
      <w:pPr>
        <w:pStyle w:val="DTFHeading5"/>
      </w:pPr>
      <w:r w:rsidRPr="00375B9D">
        <w:lastRenderedPageBreak/>
        <w:t xml:space="preserve">Where NT </w:t>
      </w:r>
      <w:r w:rsidR="007D3426">
        <w:t>w</w:t>
      </w:r>
      <w:r w:rsidRPr="00375B9D">
        <w:t xml:space="preserve">ages </w:t>
      </w:r>
      <w:r w:rsidR="007D3426">
        <w:t>c</w:t>
      </w:r>
      <w:r w:rsidRPr="00375B9D">
        <w:t xml:space="preserve">ompletely </w:t>
      </w:r>
      <w:r w:rsidR="007D3426">
        <w:t>c</w:t>
      </w:r>
      <w:r w:rsidRPr="00375B9D">
        <w:t xml:space="preserve">ease, but </w:t>
      </w:r>
      <w:r w:rsidR="007D3426">
        <w:t>w</w:t>
      </w:r>
      <w:r w:rsidRPr="00375B9D">
        <w:t xml:space="preserve">ages </w:t>
      </w:r>
      <w:r w:rsidR="007D3426">
        <w:t>c</w:t>
      </w:r>
      <w:r w:rsidRPr="00375B9D">
        <w:t xml:space="preserve">ontinue to be </w:t>
      </w:r>
      <w:r w:rsidR="007D3426">
        <w:t>p</w:t>
      </w:r>
      <w:r w:rsidRPr="00375B9D">
        <w:t xml:space="preserve">aid in </w:t>
      </w:r>
      <w:r w:rsidR="007D3426">
        <w:t>a</w:t>
      </w:r>
      <w:r w:rsidRPr="00375B9D">
        <w:t xml:space="preserve">nother </w:t>
      </w:r>
      <w:r w:rsidR="007D3426">
        <w:t>s</w:t>
      </w:r>
      <w:r w:rsidRPr="00375B9D">
        <w:t>tate</w:t>
      </w:r>
    </w:p>
    <w:p w14:paraId="7FCA80C9" w14:textId="77777777" w:rsidR="00375B9D" w:rsidRPr="00375B9D" w:rsidRDefault="00375B9D" w:rsidP="007842A0">
      <w:pPr>
        <w:pStyle w:val="DTFNumberedlist"/>
        <w:numPr>
          <w:ilvl w:val="0"/>
          <w:numId w:val="34"/>
        </w:numPr>
      </w:pPr>
      <w:r w:rsidRPr="00375B9D">
        <w:t>Lodge the cancellation application.</w:t>
      </w:r>
    </w:p>
    <w:p w14:paraId="16BBAB37" w14:textId="77777777" w:rsidR="00375B9D" w:rsidRPr="00375B9D" w:rsidRDefault="00375B9D" w:rsidP="007842A0">
      <w:pPr>
        <w:pStyle w:val="DTFNumberedlist"/>
        <w:numPr>
          <w:ilvl w:val="0"/>
          <w:numId w:val="34"/>
        </w:numPr>
      </w:pPr>
      <w:r w:rsidRPr="00375B9D">
        <w:t>Continue to lodge ‘nil’ monthly returns up to and including the next May’s return (that is, the return due by 21 June).</w:t>
      </w:r>
    </w:p>
    <w:p w14:paraId="38A40AC3" w14:textId="77777777" w:rsidR="00375B9D" w:rsidRPr="00375B9D" w:rsidRDefault="00375B9D" w:rsidP="007842A0">
      <w:pPr>
        <w:pStyle w:val="DTFNumberedlist"/>
        <w:numPr>
          <w:ilvl w:val="0"/>
          <w:numId w:val="34"/>
        </w:numPr>
      </w:pPr>
      <w:r w:rsidRPr="00375B9D">
        <w:t>Alternatively you may apply to temporarily convert from a ‘monthly lodger’ to an ‘annual lodger’ until ceasing registration at the end of the financial year.</w:t>
      </w:r>
    </w:p>
    <w:p w14:paraId="083DB402" w14:textId="77777777" w:rsidR="00375B9D" w:rsidRPr="00375B9D" w:rsidRDefault="00375B9D" w:rsidP="007842A0">
      <w:pPr>
        <w:pStyle w:val="DTFNumberedlist"/>
        <w:numPr>
          <w:ilvl w:val="0"/>
          <w:numId w:val="34"/>
        </w:numPr>
      </w:pPr>
      <w:r w:rsidRPr="00375B9D">
        <w:t>Lodge the AAR (for the last time) by the next 21 July.</w:t>
      </w:r>
    </w:p>
    <w:p w14:paraId="422F6A0C" w14:textId="77777777" w:rsidR="00375B9D" w:rsidRPr="00375B9D" w:rsidRDefault="00375B9D" w:rsidP="007842A0">
      <w:pPr>
        <w:pStyle w:val="DTFNumberedlist"/>
        <w:numPr>
          <w:ilvl w:val="0"/>
          <w:numId w:val="34"/>
        </w:numPr>
      </w:pPr>
      <w:r w:rsidRPr="00375B9D">
        <w:t>In conjunction with the final AAR, as the case requires, either pay payroll tax outstanding or seek a refund as described above.</w:t>
      </w:r>
    </w:p>
    <w:p w14:paraId="3004267A" w14:textId="77777777" w:rsidR="00375B9D" w:rsidRPr="00375B9D" w:rsidRDefault="00375B9D" w:rsidP="007842A0">
      <w:pPr>
        <w:pStyle w:val="DTFNumberedlist"/>
        <w:numPr>
          <w:ilvl w:val="0"/>
          <w:numId w:val="34"/>
        </w:numPr>
      </w:pPr>
      <w:r w:rsidRPr="00375B9D">
        <w:t xml:space="preserve">If the employer does not wish or is not entitled to claim the ADA, the AAR can be lodged immediately on cessation rather than waiting until the end of financial year. </w:t>
      </w:r>
    </w:p>
    <w:tbl>
      <w:tblPr>
        <w:tblStyle w:val="DTFpayrolltaxguidestyle1"/>
        <w:tblW w:w="10343" w:type="dxa"/>
        <w:tblLook w:val="04A0" w:firstRow="1" w:lastRow="0" w:firstColumn="1" w:lastColumn="0" w:noHBand="0" w:noVBand="1"/>
        <w:tblDescription w:val="To apply to cancel payroll tax registration, complete form F-PRT-002 Cancellation of Payroll Tax Registration."/>
      </w:tblPr>
      <w:tblGrid>
        <w:gridCol w:w="10343"/>
      </w:tblGrid>
      <w:tr w:rsidR="00375B9D" w:rsidRPr="00375B9D" w14:paraId="2F7F406F" w14:textId="77777777" w:rsidTr="00937629">
        <w:trPr>
          <w:tblHeader/>
        </w:trPr>
        <w:tc>
          <w:tcPr>
            <w:tcW w:w="10343" w:type="dxa"/>
          </w:tcPr>
          <w:p w14:paraId="2A44E12D" w14:textId="77777777" w:rsidR="00375B9D" w:rsidRPr="00375B9D" w:rsidRDefault="00375B9D" w:rsidP="00375B9D">
            <w:pPr>
              <w:spacing w:after="200"/>
              <w:rPr>
                <w:noProof/>
                <w:lang w:eastAsia="en-AU"/>
              </w:rPr>
            </w:pPr>
            <w:r w:rsidRPr="00375B9D">
              <w:rPr>
                <w:noProof/>
                <w:lang w:eastAsia="en-AU"/>
              </w:rPr>
              <w:t xml:space="preserve">To apply to cancel payroll tax registration, go to </w:t>
            </w:r>
            <w:hyperlink r:id="rId55" w:history="1">
              <w:r w:rsidRPr="00375B9D">
                <w:rPr>
                  <w:rStyle w:val="Hyperlink"/>
                  <w:noProof/>
                  <w:lang w:eastAsia="en-AU"/>
                </w:rPr>
                <w:t>intra.nt.gov.au</w:t>
              </w:r>
            </w:hyperlink>
            <w:r w:rsidRPr="00375B9D">
              <w:rPr>
                <w:noProof/>
                <w:lang w:eastAsia="en-AU"/>
              </w:rPr>
              <w:t xml:space="preserve">. </w:t>
            </w:r>
          </w:p>
        </w:tc>
      </w:tr>
    </w:tbl>
    <w:p w14:paraId="3FD7A7EF" w14:textId="77777777" w:rsidR="00FA672F" w:rsidRDefault="00FA672F" w:rsidP="005A3EA5">
      <w:pPr>
        <w:rPr>
          <w:noProof/>
          <w:lang w:eastAsia="en-AU"/>
        </w:rPr>
      </w:pPr>
      <w:bookmarkStart w:id="85" w:name="_Toc467842754"/>
      <w:bookmarkStart w:id="86" w:name="GroupingandPayrollTax"/>
    </w:p>
    <w:p w14:paraId="4F524BD9" w14:textId="77777777" w:rsidR="00FA672F" w:rsidRDefault="00FA672F" w:rsidP="00FA672F">
      <w:pPr>
        <w:rPr>
          <w:rFonts w:asciiTheme="majorHAnsi" w:eastAsiaTheme="majorEastAsia" w:hAnsiTheme="majorHAnsi" w:cstheme="majorBidi"/>
          <w:noProof/>
          <w:color w:val="1F1F5F" w:themeColor="text1"/>
          <w:kern w:val="32"/>
          <w:sz w:val="36"/>
          <w:szCs w:val="32"/>
          <w:lang w:eastAsia="en-AU"/>
        </w:rPr>
      </w:pPr>
      <w:r>
        <w:rPr>
          <w:noProof/>
          <w:lang w:eastAsia="en-AU"/>
        </w:rPr>
        <w:br w:type="page"/>
      </w:r>
    </w:p>
    <w:p w14:paraId="23349D60" w14:textId="77777777" w:rsidR="00375B9D" w:rsidRPr="00375B9D" w:rsidRDefault="00375B9D" w:rsidP="00C667F6">
      <w:pPr>
        <w:pStyle w:val="Heading1"/>
        <w:rPr>
          <w:noProof/>
          <w:lang w:eastAsia="en-AU"/>
        </w:rPr>
      </w:pPr>
      <w:bookmarkStart w:id="87" w:name="_Toc108789592"/>
      <w:r w:rsidRPr="00375B9D">
        <w:rPr>
          <w:noProof/>
          <w:lang w:eastAsia="en-AU"/>
        </w:rPr>
        <w:lastRenderedPageBreak/>
        <w:t xml:space="preserve">Grouping and </w:t>
      </w:r>
      <w:r w:rsidR="005C330A">
        <w:rPr>
          <w:noProof/>
          <w:lang w:eastAsia="en-AU"/>
        </w:rPr>
        <w:t>p</w:t>
      </w:r>
      <w:r w:rsidRPr="00375B9D">
        <w:rPr>
          <w:noProof/>
          <w:lang w:eastAsia="en-AU"/>
        </w:rPr>
        <w:t xml:space="preserve">ayroll </w:t>
      </w:r>
      <w:r w:rsidR="005C330A">
        <w:rPr>
          <w:noProof/>
          <w:lang w:eastAsia="en-AU"/>
        </w:rPr>
        <w:t>t</w:t>
      </w:r>
      <w:r w:rsidRPr="00375B9D">
        <w:rPr>
          <w:noProof/>
          <w:lang w:eastAsia="en-AU"/>
        </w:rPr>
        <w:t>ax</w:t>
      </w:r>
      <w:bookmarkEnd w:id="85"/>
      <w:bookmarkEnd w:id="87"/>
    </w:p>
    <w:p w14:paraId="348621AD" w14:textId="77777777" w:rsidR="00375B9D" w:rsidRPr="00375B9D" w:rsidRDefault="00066BF3" w:rsidP="00A7303B">
      <w:pPr>
        <w:pStyle w:val="Heading2"/>
      </w:pPr>
      <w:bookmarkStart w:id="88" w:name="_Toc108789593"/>
      <w:bookmarkEnd w:id="86"/>
      <w:r>
        <w:t xml:space="preserve">What is </w:t>
      </w:r>
      <w:r w:rsidR="005F457D">
        <w:t>g</w:t>
      </w:r>
      <w:r w:rsidR="00375B9D" w:rsidRPr="00375B9D">
        <w:t>rouping?</w:t>
      </w:r>
      <w:bookmarkEnd w:id="88"/>
      <w:r w:rsidR="00375B9D" w:rsidRPr="00375B9D">
        <w:t xml:space="preserve"> </w:t>
      </w:r>
    </w:p>
    <w:p w14:paraId="18C6AD5C" w14:textId="77777777" w:rsidR="00375B9D" w:rsidRPr="00375B9D" w:rsidRDefault="00375B9D" w:rsidP="00375B9D">
      <w:pPr>
        <w:rPr>
          <w:noProof/>
          <w:lang w:eastAsia="en-AU"/>
        </w:rPr>
      </w:pPr>
      <w:r w:rsidRPr="00375B9D">
        <w:rPr>
          <w:noProof/>
          <w:lang w:eastAsia="en-AU"/>
        </w:rPr>
        <w:t>For payroll tax purposes, businesses are ‘grouped’ when they are subject to ‘common control’ (whether direct or indirect) and or share the use of one or more employees.</w:t>
      </w:r>
    </w:p>
    <w:p w14:paraId="18F56F27" w14:textId="77777777" w:rsidR="00375B9D" w:rsidRPr="00375B9D" w:rsidRDefault="00375B9D" w:rsidP="00375B9D">
      <w:pPr>
        <w:rPr>
          <w:noProof/>
          <w:lang w:eastAsia="en-AU"/>
        </w:rPr>
      </w:pPr>
      <w:r w:rsidRPr="00375B9D">
        <w:rPr>
          <w:noProof/>
          <w:lang w:eastAsia="en-AU"/>
        </w:rPr>
        <w:t>‘Common control’ means they are directly or indirectly majority controlled by the same person, people or businesses – typically because those people or other businesses have a majority holding of share capital (for example, a holding company or subsidiary relationship), a majority of common directors, common shareholders, common partners or common trust beneficiaries.</w:t>
      </w:r>
    </w:p>
    <w:p w14:paraId="1AB5DEA5" w14:textId="77777777" w:rsidR="00375B9D" w:rsidRPr="00375B9D" w:rsidRDefault="00375B9D" w:rsidP="00375B9D">
      <w:pPr>
        <w:rPr>
          <w:noProof/>
          <w:lang w:eastAsia="en-AU"/>
        </w:rPr>
      </w:pPr>
      <w:r w:rsidRPr="00375B9D">
        <w:rPr>
          <w:noProof/>
          <w:lang w:eastAsia="en-AU"/>
        </w:rPr>
        <w:t>These people are said to have a ‘controlling interest’.</w:t>
      </w:r>
    </w:p>
    <w:p w14:paraId="4E2B319D" w14:textId="77777777" w:rsidR="00375B9D" w:rsidRPr="00375B9D" w:rsidRDefault="00375B9D" w:rsidP="00375B9D">
      <w:pPr>
        <w:rPr>
          <w:noProof/>
          <w:lang w:eastAsia="en-AU"/>
        </w:rPr>
      </w:pPr>
      <w:r w:rsidRPr="00375B9D">
        <w:rPr>
          <w:noProof/>
          <w:lang w:eastAsia="en-AU"/>
        </w:rPr>
        <w:t>‘Majority’, in terms of control, means greater than 50</w:t>
      </w:r>
      <w:r w:rsidR="00A73CE7">
        <w:rPr>
          <w:noProof/>
          <w:lang w:eastAsia="en-AU"/>
        </w:rPr>
        <w:t>%</w:t>
      </w:r>
      <w:r w:rsidRPr="00375B9D">
        <w:rPr>
          <w:noProof/>
          <w:lang w:eastAsia="en-AU"/>
        </w:rPr>
        <w:t>.</w:t>
      </w:r>
    </w:p>
    <w:p w14:paraId="6A1B2D6C" w14:textId="77777777" w:rsidR="00375B9D" w:rsidRPr="00375B9D" w:rsidRDefault="00375B9D" w:rsidP="00375B9D">
      <w:pPr>
        <w:rPr>
          <w:noProof/>
          <w:lang w:eastAsia="en-AU"/>
        </w:rPr>
      </w:pPr>
      <w:r w:rsidRPr="00375B9D">
        <w:rPr>
          <w:noProof/>
          <w:lang w:eastAsia="en-AU"/>
        </w:rPr>
        <w:t>The majority control can be direct or indirect.</w:t>
      </w:r>
    </w:p>
    <w:tbl>
      <w:tblPr>
        <w:tblStyle w:val="DTFpayrolltaxguidestyle1"/>
        <w:tblW w:w="10343" w:type="dxa"/>
        <w:tblLook w:val="04A0" w:firstRow="1" w:lastRow="0" w:firstColumn="1" w:lastColumn="0" w:noHBand="0" w:noVBand="1"/>
        <w:tblDescription w:val="Example: Direct and Indirect Interests"/>
      </w:tblPr>
      <w:tblGrid>
        <w:gridCol w:w="10343"/>
      </w:tblGrid>
      <w:tr w:rsidR="00375B9D" w:rsidRPr="00375B9D" w14:paraId="3434D65C" w14:textId="77777777" w:rsidTr="00937629">
        <w:trPr>
          <w:trHeight w:val="2693"/>
          <w:tblHeader/>
        </w:trPr>
        <w:tc>
          <w:tcPr>
            <w:tcW w:w="10343" w:type="dxa"/>
          </w:tcPr>
          <w:p w14:paraId="2FAA7CD3" w14:textId="77777777" w:rsidR="00375B9D" w:rsidRPr="00375B9D" w:rsidRDefault="00375B9D" w:rsidP="00375B9D">
            <w:pPr>
              <w:spacing w:after="200"/>
              <w:rPr>
                <w:noProof/>
                <w:lang w:eastAsia="en-AU"/>
              </w:rPr>
            </w:pPr>
            <w:r w:rsidRPr="00375B9D">
              <w:rPr>
                <w:b/>
                <w:noProof/>
                <w:lang w:eastAsia="en-AU"/>
              </w:rPr>
              <w:t>Example</w:t>
            </w:r>
            <w:r w:rsidR="006E6F3F">
              <w:rPr>
                <w:b/>
                <w:noProof/>
                <w:lang w:eastAsia="en-AU"/>
              </w:rPr>
              <w:t xml:space="preserve"> 1</w:t>
            </w:r>
            <w:r w:rsidRPr="00375B9D">
              <w:rPr>
                <w:noProof/>
                <w:lang w:eastAsia="en-AU"/>
              </w:rPr>
              <w:t xml:space="preserve">: Direct and </w:t>
            </w:r>
            <w:r w:rsidR="00066BF3" w:rsidRPr="00375B9D">
              <w:rPr>
                <w:noProof/>
                <w:lang w:eastAsia="en-AU"/>
              </w:rPr>
              <w:t>indirect interests</w:t>
            </w:r>
          </w:p>
          <w:p w14:paraId="3A837668" w14:textId="77777777" w:rsidR="00375B9D" w:rsidRPr="00375B9D" w:rsidRDefault="00375B9D" w:rsidP="00375B9D">
            <w:pPr>
              <w:spacing w:after="200"/>
              <w:rPr>
                <w:noProof/>
                <w:lang w:eastAsia="en-AU"/>
              </w:rPr>
            </w:pPr>
            <w:r w:rsidRPr="00375B9D">
              <w:rPr>
                <w:noProof/>
                <w:lang w:eastAsia="en-AU"/>
              </w:rPr>
              <w:t>A Pty Ltd holds 80% of the voting shares in B Pty Ltd. Therefore A Pty Ltd has a (majority) controlling interest in B Pty Ltd, and A Pty Ltd and B Pty Ltd are grouped. B Pty Ltd acquires 80% of the voting shares in C Pty Ltd. Therefore, A Pty Ltd has an 80% controlling interest in B Pty Ltd and an indirect 64% (80% x 80%) controlling interest in C Pty Ltd.</w:t>
            </w:r>
          </w:p>
          <w:p w14:paraId="60623FC2" w14:textId="77777777" w:rsidR="00375B9D" w:rsidRPr="00375B9D" w:rsidRDefault="00375B9D" w:rsidP="00F419B3">
            <w:pPr>
              <w:spacing w:after="200"/>
              <w:rPr>
                <w:noProof/>
                <w:lang w:eastAsia="en-AU"/>
              </w:rPr>
            </w:pPr>
            <w:r w:rsidRPr="00375B9D">
              <w:rPr>
                <w:noProof/>
                <w:lang w:eastAsia="en-AU"/>
              </w:rPr>
              <w:t xml:space="preserve">Further, B Pty Ltd has an 80% controlling interest in C Pty Ltd. As all controlling interest ratios exceed 50%, all three businesses are grouped. This situation is sometimes referred to as grouping due to a ‘cascade’ of controlling interests (see examples </w:t>
            </w:r>
            <w:r w:rsidR="00F419B3">
              <w:rPr>
                <w:noProof/>
                <w:lang w:eastAsia="en-AU"/>
              </w:rPr>
              <w:t>on</w:t>
            </w:r>
            <w:r w:rsidRPr="00375B9D">
              <w:rPr>
                <w:noProof/>
                <w:lang w:eastAsia="en-AU"/>
              </w:rPr>
              <w:t xml:space="preserve"> page </w:t>
            </w:r>
            <w:r w:rsidR="00F419B3">
              <w:rPr>
                <w:noProof/>
                <w:lang w:eastAsia="en-AU"/>
              </w:rPr>
              <w:fldChar w:fldCharType="begin"/>
            </w:r>
            <w:r w:rsidR="00F419B3">
              <w:rPr>
                <w:noProof/>
                <w:lang w:eastAsia="en-AU"/>
              </w:rPr>
              <w:instrText xml:space="preserve"> PAGEREF TableBusinessStructuresControllngIntere \h </w:instrText>
            </w:r>
            <w:r w:rsidR="00F419B3">
              <w:rPr>
                <w:noProof/>
                <w:lang w:eastAsia="en-AU"/>
              </w:rPr>
            </w:r>
            <w:r w:rsidR="00F419B3">
              <w:rPr>
                <w:noProof/>
                <w:lang w:eastAsia="en-AU"/>
              </w:rPr>
              <w:fldChar w:fldCharType="separate"/>
            </w:r>
            <w:r w:rsidR="002A4C93">
              <w:rPr>
                <w:noProof/>
                <w:lang w:eastAsia="en-AU"/>
              </w:rPr>
              <w:t>60</w:t>
            </w:r>
            <w:r w:rsidR="00F419B3">
              <w:rPr>
                <w:noProof/>
                <w:lang w:eastAsia="en-AU"/>
              </w:rPr>
              <w:fldChar w:fldCharType="end"/>
            </w:r>
            <w:r w:rsidRPr="00375B9D">
              <w:rPr>
                <w:noProof/>
                <w:lang w:eastAsia="en-AU"/>
              </w:rPr>
              <w:t>).</w:t>
            </w:r>
          </w:p>
        </w:tc>
      </w:tr>
    </w:tbl>
    <w:p w14:paraId="6A105BF0" w14:textId="77777777" w:rsidR="00E35E8F" w:rsidRDefault="00E35E8F" w:rsidP="00375B9D">
      <w:pPr>
        <w:rPr>
          <w:noProof/>
          <w:lang w:eastAsia="en-AU"/>
        </w:rPr>
      </w:pPr>
    </w:p>
    <w:p w14:paraId="10A40232" w14:textId="77777777" w:rsidR="00375B9D" w:rsidRDefault="00375B9D" w:rsidP="00375B9D">
      <w:pPr>
        <w:rPr>
          <w:noProof/>
          <w:lang w:eastAsia="en-AU"/>
        </w:rPr>
      </w:pPr>
      <w:r w:rsidRPr="00375B9D">
        <w:rPr>
          <w:noProof/>
          <w:lang w:eastAsia="en-AU"/>
        </w:rPr>
        <w:t>‘Common employees’ means two or more businesses share the services of one or more employees – for example, an accounts clerk whose full-time job is reception, bookkeeping and clerical work for three businesses that operate from the same building (regardless of whether or not those businesses are commonly controlled).</w:t>
      </w:r>
    </w:p>
    <w:p w14:paraId="7EF5033D" w14:textId="77777777" w:rsidR="00375B9D" w:rsidRPr="00375B9D" w:rsidRDefault="00695321" w:rsidP="00625F54">
      <w:pPr>
        <w:pStyle w:val="Heading3"/>
        <w:rPr>
          <w:noProof/>
          <w:lang w:eastAsia="en-AU"/>
        </w:rPr>
      </w:pPr>
      <w:r>
        <w:rPr>
          <w:noProof/>
          <w:lang w:eastAsia="en-AU"/>
        </w:rPr>
        <w:t>Subsuming</w:t>
      </w:r>
      <w:r w:rsidR="00375B9D" w:rsidRPr="00375B9D">
        <w:rPr>
          <w:noProof/>
          <w:lang w:eastAsia="en-AU"/>
        </w:rPr>
        <w:t xml:space="preserve"> of </w:t>
      </w:r>
      <w:r w:rsidR="00A6065E">
        <w:rPr>
          <w:noProof/>
          <w:lang w:eastAsia="en-AU"/>
        </w:rPr>
        <w:t>m</w:t>
      </w:r>
      <w:r w:rsidR="00375B9D" w:rsidRPr="00375B9D">
        <w:rPr>
          <w:noProof/>
          <w:lang w:eastAsia="en-AU"/>
        </w:rPr>
        <w:t xml:space="preserve">ultiple </w:t>
      </w:r>
      <w:r w:rsidR="00A6065E">
        <w:rPr>
          <w:noProof/>
          <w:lang w:eastAsia="en-AU"/>
        </w:rPr>
        <w:t>g</w:t>
      </w:r>
      <w:r w:rsidR="00375B9D" w:rsidRPr="00375B9D">
        <w:rPr>
          <w:noProof/>
          <w:lang w:eastAsia="en-AU"/>
        </w:rPr>
        <w:t xml:space="preserve">roups into a </w:t>
      </w:r>
      <w:r w:rsidR="00A6065E">
        <w:rPr>
          <w:noProof/>
          <w:lang w:eastAsia="en-AU"/>
        </w:rPr>
        <w:t>s</w:t>
      </w:r>
      <w:r>
        <w:rPr>
          <w:noProof/>
          <w:lang w:eastAsia="en-AU"/>
        </w:rPr>
        <w:t xml:space="preserve">ingle </w:t>
      </w:r>
      <w:r w:rsidR="00A6065E">
        <w:rPr>
          <w:noProof/>
          <w:lang w:eastAsia="en-AU"/>
        </w:rPr>
        <w:t>m</w:t>
      </w:r>
      <w:r>
        <w:rPr>
          <w:noProof/>
          <w:lang w:eastAsia="en-AU"/>
        </w:rPr>
        <w:t>aster</w:t>
      </w:r>
      <w:r w:rsidR="00375B9D" w:rsidRPr="00375B9D">
        <w:rPr>
          <w:noProof/>
          <w:lang w:eastAsia="en-AU"/>
        </w:rPr>
        <w:t xml:space="preserve"> </w:t>
      </w:r>
      <w:r w:rsidR="00A6065E">
        <w:rPr>
          <w:noProof/>
          <w:lang w:eastAsia="en-AU"/>
        </w:rPr>
        <w:t>g</w:t>
      </w:r>
      <w:r w:rsidR="00375B9D" w:rsidRPr="00375B9D">
        <w:rPr>
          <w:noProof/>
          <w:lang w:eastAsia="en-AU"/>
        </w:rPr>
        <w:t>roup</w:t>
      </w:r>
    </w:p>
    <w:p w14:paraId="188A3B84" w14:textId="77777777" w:rsidR="00375B9D" w:rsidRPr="00375B9D" w:rsidRDefault="00375B9D" w:rsidP="00375B9D">
      <w:pPr>
        <w:rPr>
          <w:noProof/>
          <w:lang w:eastAsia="en-AU"/>
        </w:rPr>
      </w:pPr>
      <w:r w:rsidRPr="00375B9D">
        <w:rPr>
          <w:noProof/>
          <w:lang w:eastAsia="en-AU"/>
        </w:rPr>
        <w:t>If a single business is a member of two or more groups, all of the members of those groups are automatically ‘subsumed’ into a single ‘master’ group.</w:t>
      </w:r>
    </w:p>
    <w:tbl>
      <w:tblPr>
        <w:tblStyle w:val="DTFpayrolltaxguidestyle1"/>
        <w:tblW w:w="10343" w:type="dxa"/>
        <w:tblLook w:val="04A0" w:firstRow="1" w:lastRow="0" w:firstColumn="1" w:lastColumn="0" w:noHBand="0" w:noVBand="1"/>
        <w:tblDescription w:val="Example"/>
      </w:tblPr>
      <w:tblGrid>
        <w:gridCol w:w="10343"/>
      </w:tblGrid>
      <w:tr w:rsidR="00375B9D" w:rsidRPr="00375B9D" w14:paraId="64B007D5" w14:textId="77777777" w:rsidTr="00937629">
        <w:trPr>
          <w:trHeight w:val="6609"/>
          <w:tblHeader/>
        </w:trPr>
        <w:tc>
          <w:tcPr>
            <w:tcW w:w="10343" w:type="dxa"/>
          </w:tcPr>
          <w:p w14:paraId="0A19F047" w14:textId="77777777" w:rsidR="00375B9D" w:rsidRPr="00375B9D" w:rsidRDefault="00375B9D" w:rsidP="00375B9D">
            <w:pPr>
              <w:spacing w:after="200"/>
              <w:rPr>
                <w:noProof/>
                <w:lang w:eastAsia="en-AU"/>
              </w:rPr>
            </w:pPr>
            <w:r w:rsidRPr="00375B9D">
              <w:rPr>
                <w:b/>
                <w:noProof/>
                <w:lang w:eastAsia="en-AU"/>
              </w:rPr>
              <w:lastRenderedPageBreak/>
              <w:t>Example</w:t>
            </w:r>
            <w:r w:rsidR="006E6F3F">
              <w:rPr>
                <w:b/>
                <w:noProof/>
                <w:lang w:eastAsia="en-AU"/>
              </w:rPr>
              <w:t xml:space="preserve"> 2</w:t>
            </w:r>
            <w:r w:rsidRPr="00375B9D">
              <w:rPr>
                <w:noProof/>
                <w:lang w:eastAsia="en-AU"/>
              </w:rPr>
              <w:t xml:space="preserve">: </w:t>
            </w:r>
            <w:r w:rsidRPr="00375B9D">
              <w:rPr>
                <w:noProof/>
                <w:lang w:eastAsia="en-AU"/>
              </w:rPr>
              <w:br/>
              <w:t>Group 1 (ABC Pty Ltd and DEF Pty Ltd): John and Mary are the only two directors and 50/50 shareholders of two companies – ABC Pty Ltd and DEF Pty Ltd. These companies are grouped through ‘common control’. This group is called ‘Group 1’.</w:t>
            </w:r>
          </w:p>
          <w:p w14:paraId="2023858C" w14:textId="77777777" w:rsidR="00375B9D" w:rsidRPr="00375B9D" w:rsidRDefault="00375B9D" w:rsidP="00375B9D">
            <w:pPr>
              <w:spacing w:after="200"/>
              <w:rPr>
                <w:noProof/>
                <w:lang w:eastAsia="en-AU"/>
              </w:rPr>
            </w:pPr>
            <w:r w:rsidRPr="00375B9D">
              <w:rPr>
                <w:noProof/>
                <w:lang w:eastAsia="en-AU"/>
              </w:rPr>
              <w:t>Group 2 (GHI Pty Ltd and JKL Pty Ltd): Jim and Jean are the only two directors and 50/50 shareholders of two companies – GHI Pty Ltd and JKL Pty Ltd. These companies are grouped through ‘common control’. This group is called ‘Group 2’.</w:t>
            </w:r>
          </w:p>
          <w:p w14:paraId="0DC716B7" w14:textId="77777777" w:rsidR="00375B9D" w:rsidRPr="00375B9D" w:rsidRDefault="00375B9D" w:rsidP="00375B9D">
            <w:pPr>
              <w:spacing w:after="200"/>
              <w:rPr>
                <w:noProof/>
                <w:lang w:eastAsia="en-AU"/>
              </w:rPr>
            </w:pPr>
            <w:r w:rsidRPr="00375B9D">
              <w:rPr>
                <w:noProof/>
                <w:lang w:eastAsia="en-AU"/>
              </w:rPr>
              <w:t>Group 3 (DEF Pty Ltd and GHI Pty Ltd): DEF Pty Ltd and GHI Pty Ltd operate from a common office. Three employees of DEF Pty Ltd provide administrative, debtor/creditor and face-to-face and telephone reception to both DEF Pty Ltd and GHI Pty Ltd. GHI Pty Ltd reimburses DEF Pty Ltd for 40% of the employee costs. Because there is an arrangement between DEF Pty Ltd and GHI Pty Ltd for the sharing of employees, the two businesses are grouped, even though they are not subject to common control. This group is called ‘Group 3’.</w:t>
            </w:r>
          </w:p>
          <w:p w14:paraId="29BF2F91" w14:textId="77777777" w:rsidR="00375B9D" w:rsidRPr="00375B9D" w:rsidRDefault="00375B9D" w:rsidP="00375B9D">
            <w:pPr>
              <w:spacing w:after="200"/>
              <w:rPr>
                <w:noProof/>
                <w:lang w:eastAsia="en-AU"/>
              </w:rPr>
            </w:pPr>
            <w:r w:rsidRPr="00375B9D">
              <w:rPr>
                <w:noProof/>
                <w:lang w:eastAsia="en-AU"/>
              </w:rPr>
              <w:t>Group 4 (</w:t>
            </w:r>
            <w:r w:rsidR="006E6F3F" w:rsidRPr="00375B9D">
              <w:rPr>
                <w:noProof/>
                <w:lang w:eastAsia="en-AU"/>
              </w:rPr>
              <w:t>subsuming into ‘master group’</w:t>
            </w:r>
            <w:r w:rsidRPr="00375B9D">
              <w:rPr>
                <w:noProof/>
                <w:lang w:eastAsia="en-AU"/>
              </w:rPr>
              <w:t>):</w:t>
            </w:r>
          </w:p>
          <w:p w14:paraId="26909349" w14:textId="77777777" w:rsidR="00375B9D" w:rsidRPr="00375B9D" w:rsidRDefault="00375B9D" w:rsidP="00375B9D">
            <w:pPr>
              <w:spacing w:after="200"/>
              <w:rPr>
                <w:noProof/>
                <w:lang w:eastAsia="en-AU"/>
              </w:rPr>
            </w:pPr>
            <w:r w:rsidRPr="00375B9D">
              <w:rPr>
                <w:noProof/>
                <w:lang w:eastAsia="en-AU"/>
              </w:rPr>
              <w:t>Group 1 comprises ABC Pty Ltd and DEF Pty Ltd.</w:t>
            </w:r>
            <w:r w:rsidRPr="00375B9D">
              <w:rPr>
                <w:noProof/>
                <w:lang w:eastAsia="en-AU"/>
              </w:rPr>
              <w:br/>
              <w:t>Group 2 comprises GHI Pty Ltd and JKL Pty Ltd.</w:t>
            </w:r>
            <w:r w:rsidRPr="00375B9D">
              <w:rPr>
                <w:noProof/>
                <w:lang w:eastAsia="en-AU"/>
              </w:rPr>
              <w:br/>
              <w:t>Group 3 comprises DEF Pty Ltd and GHI Pty Ltd.</w:t>
            </w:r>
          </w:p>
          <w:p w14:paraId="136F278C" w14:textId="77777777" w:rsidR="00375B9D" w:rsidRPr="00375B9D" w:rsidRDefault="00375B9D" w:rsidP="00375B9D">
            <w:pPr>
              <w:spacing w:after="200"/>
              <w:rPr>
                <w:noProof/>
                <w:lang w:eastAsia="en-AU"/>
              </w:rPr>
            </w:pPr>
            <w:r w:rsidRPr="00375B9D">
              <w:rPr>
                <w:noProof/>
                <w:lang w:eastAsia="en-AU"/>
              </w:rPr>
              <w:t>Because:</w:t>
            </w:r>
          </w:p>
          <w:p w14:paraId="2A4CD909" w14:textId="77777777" w:rsidR="00375B9D" w:rsidRPr="00375B9D" w:rsidRDefault="00375B9D" w:rsidP="00375B9D">
            <w:pPr>
              <w:spacing w:after="200"/>
              <w:rPr>
                <w:noProof/>
                <w:lang w:eastAsia="en-AU"/>
              </w:rPr>
            </w:pPr>
            <w:r w:rsidRPr="00375B9D">
              <w:rPr>
                <w:noProof/>
                <w:lang w:eastAsia="en-AU"/>
              </w:rPr>
              <w:t>DEF Pty Ltd is a member of Group 1 and Group 3</w:t>
            </w:r>
            <w:r w:rsidR="006E6F3F">
              <w:rPr>
                <w:noProof/>
                <w:lang w:eastAsia="en-AU"/>
              </w:rPr>
              <w:t>.</w:t>
            </w:r>
            <w:r w:rsidRPr="00375B9D">
              <w:rPr>
                <w:noProof/>
                <w:lang w:eastAsia="en-AU"/>
              </w:rPr>
              <w:br/>
              <w:t>GHI Pty Ltd is a member of Group 2 and Group 3</w:t>
            </w:r>
            <w:r w:rsidR="00A73CE7">
              <w:rPr>
                <w:noProof/>
                <w:lang w:eastAsia="en-AU"/>
              </w:rPr>
              <w:t>.</w:t>
            </w:r>
          </w:p>
          <w:p w14:paraId="612F0A6E" w14:textId="77777777" w:rsidR="00375B9D" w:rsidRPr="00375B9D" w:rsidRDefault="00375B9D" w:rsidP="00375B9D">
            <w:pPr>
              <w:spacing w:after="200"/>
              <w:rPr>
                <w:noProof/>
                <w:lang w:eastAsia="en-AU"/>
              </w:rPr>
            </w:pPr>
            <w:r w:rsidRPr="00375B9D">
              <w:rPr>
                <w:noProof/>
                <w:lang w:eastAsia="en-AU"/>
              </w:rPr>
              <w:t>All three groups are subsumed into a single group (for convenience referred to as Group 4).</w:t>
            </w:r>
          </w:p>
        </w:tc>
      </w:tr>
    </w:tbl>
    <w:p w14:paraId="50296978" w14:textId="77777777" w:rsidR="00375B9D" w:rsidRPr="00375B9D" w:rsidRDefault="00375B9D" w:rsidP="0044248C">
      <w:pPr>
        <w:pStyle w:val="Heading3"/>
        <w:rPr>
          <w:noProof/>
          <w:lang w:eastAsia="en-AU"/>
        </w:rPr>
      </w:pPr>
      <w:r w:rsidRPr="00375B9D">
        <w:rPr>
          <w:noProof/>
          <w:lang w:eastAsia="en-AU"/>
        </w:rPr>
        <w:t xml:space="preserve">Background – </w:t>
      </w:r>
      <w:r w:rsidR="00F3755D">
        <w:rPr>
          <w:noProof/>
          <w:lang w:eastAsia="en-AU"/>
        </w:rPr>
        <w:t>h</w:t>
      </w:r>
      <w:r w:rsidRPr="00375B9D">
        <w:rPr>
          <w:noProof/>
          <w:lang w:eastAsia="en-AU"/>
        </w:rPr>
        <w:t xml:space="preserve">ow </w:t>
      </w:r>
      <w:r w:rsidR="00F24EC6">
        <w:rPr>
          <w:noProof/>
          <w:lang w:eastAsia="en-AU"/>
        </w:rPr>
        <w:t>d</w:t>
      </w:r>
      <w:r w:rsidRPr="00375B9D">
        <w:rPr>
          <w:noProof/>
          <w:lang w:eastAsia="en-AU"/>
        </w:rPr>
        <w:t xml:space="preserve">oes </w:t>
      </w:r>
      <w:r w:rsidR="00F24EC6">
        <w:rPr>
          <w:noProof/>
          <w:lang w:eastAsia="en-AU"/>
        </w:rPr>
        <w:t>g</w:t>
      </w:r>
      <w:r w:rsidRPr="00375B9D">
        <w:rPr>
          <w:noProof/>
          <w:lang w:eastAsia="en-AU"/>
        </w:rPr>
        <w:t xml:space="preserve">rouping </w:t>
      </w:r>
      <w:r w:rsidR="00F24EC6">
        <w:rPr>
          <w:noProof/>
          <w:lang w:eastAsia="en-AU"/>
        </w:rPr>
        <w:t>a</w:t>
      </w:r>
      <w:r w:rsidRPr="00375B9D">
        <w:rPr>
          <w:noProof/>
          <w:lang w:eastAsia="en-AU"/>
        </w:rPr>
        <w:t xml:space="preserve">ffect </w:t>
      </w:r>
      <w:r w:rsidR="00F24EC6">
        <w:rPr>
          <w:noProof/>
          <w:lang w:eastAsia="en-AU"/>
        </w:rPr>
        <w:t>p</w:t>
      </w:r>
      <w:r w:rsidRPr="00375B9D">
        <w:rPr>
          <w:noProof/>
          <w:lang w:eastAsia="en-AU"/>
        </w:rPr>
        <w:t xml:space="preserve">ayroll </w:t>
      </w:r>
      <w:r w:rsidR="00F24EC6">
        <w:rPr>
          <w:noProof/>
          <w:lang w:eastAsia="en-AU"/>
        </w:rPr>
        <w:t>t</w:t>
      </w:r>
      <w:r w:rsidRPr="00375B9D">
        <w:rPr>
          <w:noProof/>
          <w:lang w:eastAsia="en-AU"/>
        </w:rPr>
        <w:t>ax?</w:t>
      </w:r>
    </w:p>
    <w:p w14:paraId="5FBFFA6E" w14:textId="77777777" w:rsidR="00375B9D" w:rsidRPr="00375B9D" w:rsidRDefault="00375B9D" w:rsidP="00375B9D">
      <w:pPr>
        <w:rPr>
          <w:noProof/>
          <w:lang w:eastAsia="en-AU"/>
        </w:rPr>
      </w:pPr>
      <w:r w:rsidRPr="00375B9D">
        <w:rPr>
          <w:noProof/>
          <w:lang w:eastAsia="en-AU"/>
        </w:rPr>
        <w:t>A non-grouped business is entitled to claim the tax-free threshold (ADA), calculated upon its NT and Australian wages.</w:t>
      </w:r>
    </w:p>
    <w:p w14:paraId="62F745FF" w14:textId="77777777" w:rsidR="00375B9D" w:rsidRPr="00375B9D" w:rsidRDefault="00375B9D" w:rsidP="00375B9D">
      <w:pPr>
        <w:rPr>
          <w:noProof/>
          <w:lang w:eastAsia="en-AU"/>
        </w:rPr>
      </w:pPr>
      <w:r w:rsidRPr="00375B9D">
        <w:rPr>
          <w:noProof/>
          <w:lang w:eastAsia="en-AU"/>
        </w:rPr>
        <w:t xml:space="preserve">When two or more businesses are grouped, only one member of the group (the DGE, which is selected by the group members) can claim a tax-free threshold, which is then calculated taking account of wages paid by all group members in all states of Australia. </w:t>
      </w:r>
    </w:p>
    <w:p w14:paraId="43452107" w14:textId="77777777" w:rsidR="00375B9D" w:rsidRPr="00375B9D" w:rsidRDefault="00375B9D" w:rsidP="00375B9D">
      <w:pPr>
        <w:rPr>
          <w:noProof/>
          <w:lang w:eastAsia="en-AU"/>
        </w:rPr>
      </w:pPr>
      <w:r w:rsidRPr="00375B9D">
        <w:rPr>
          <w:noProof/>
          <w:lang w:eastAsia="en-AU"/>
        </w:rPr>
        <w:t>Any other group members who pay NT wages then pay payroll tax on their full value of their NT wages.</w:t>
      </w:r>
    </w:p>
    <w:p w14:paraId="4E10D7C4" w14:textId="77777777" w:rsidR="00375B9D" w:rsidRPr="00375B9D" w:rsidRDefault="00375B9D" w:rsidP="0044248C">
      <w:pPr>
        <w:pStyle w:val="Heading3"/>
        <w:rPr>
          <w:noProof/>
          <w:lang w:eastAsia="en-AU"/>
        </w:rPr>
      </w:pPr>
      <w:r w:rsidRPr="00375B9D">
        <w:rPr>
          <w:noProof/>
          <w:lang w:eastAsia="en-AU"/>
        </w:rPr>
        <w:t xml:space="preserve">Group </w:t>
      </w:r>
      <w:r w:rsidR="00EB3C99">
        <w:rPr>
          <w:noProof/>
          <w:lang w:eastAsia="en-AU"/>
        </w:rPr>
        <w:t>m</w:t>
      </w:r>
      <w:r w:rsidRPr="00375B9D">
        <w:rPr>
          <w:noProof/>
          <w:lang w:eastAsia="en-AU"/>
        </w:rPr>
        <w:t xml:space="preserve">embers are </w:t>
      </w:r>
      <w:r w:rsidR="00EB3C99">
        <w:rPr>
          <w:noProof/>
          <w:lang w:eastAsia="en-AU"/>
        </w:rPr>
        <w:t>j</w:t>
      </w:r>
      <w:r w:rsidRPr="00375B9D">
        <w:rPr>
          <w:noProof/>
          <w:lang w:eastAsia="en-AU"/>
        </w:rPr>
        <w:t xml:space="preserve">ointly and </w:t>
      </w:r>
      <w:r w:rsidR="00EB3C99">
        <w:rPr>
          <w:noProof/>
          <w:lang w:eastAsia="en-AU"/>
        </w:rPr>
        <w:t>s</w:t>
      </w:r>
      <w:r w:rsidRPr="00375B9D">
        <w:rPr>
          <w:noProof/>
          <w:lang w:eastAsia="en-AU"/>
        </w:rPr>
        <w:t xml:space="preserve">everally </w:t>
      </w:r>
      <w:r w:rsidR="00EB3C99">
        <w:rPr>
          <w:noProof/>
          <w:lang w:eastAsia="en-AU"/>
        </w:rPr>
        <w:t>l</w:t>
      </w:r>
      <w:r w:rsidRPr="00375B9D">
        <w:rPr>
          <w:noProof/>
          <w:lang w:eastAsia="en-AU"/>
        </w:rPr>
        <w:t xml:space="preserve">iable for each </w:t>
      </w:r>
      <w:r w:rsidR="00EB3C99">
        <w:rPr>
          <w:noProof/>
          <w:lang w:eastAsia="en-AU"/>
        </w:rPr>
        <w:t>o</w:t>
      </w:r>
      <w:r w:rsidRPr="00375B9D">
        <w:rPr>
          <w:noProof/>
          <w:lang w:eastAsia="en-AU"/>
        </w:rPr>
        <w:t xml:space="preserve">ther’s </w:t>
      </w:r>
      <w:r w:rsidR="00EB3C99">
        <w:rPr>
          <w:noProof/>
          <w:lang w:eastAsia="en-AU"/>
        </w:rPr>
        <w:t>p</w:t>
      </w:r>
      <w:r w:rsidRPr="00375B9D">
        <w:rPr>
          <w:noProof/>
          <w:lang w:eastAsia="en-AU"/>
        </w:rPr>
        <w:t xml:space="preserve">ayroll </w:t>
      </w:r>
      <w:r w:rsidR="00EB3C99">
        <w:rPr>
          <w:noProof/>
          <w:lang w:eastAsia="en-AU"/>
        </w:rPr>
        <w:t>t</w:t>
      </w:r>
      <w:r w:rsidRPr="00375B9D">
        <w:rPr>
          <w:noProof/>
          <w:lang w:eastAsia="en-AU"/>
        </w:rPr>
        <w:t xml:space="preserve">ax </w:t>
      </w:r>
      <w:r w:rsidR="00EB3C99">
        <w:rPr>
          <w:noProof/>
          <w:lang w:eastAsia="en-AU"/>
        </w:rPr>
        <w:t>d</w:t>
      </w:r>
      <w:r w:rsidRPr="00375B9D">
        <w:rPr>
          <w:noProof/>
          <w:lang w:eastAsia="en-AU"/>
        </w:rPr>
        <w:t>ebts</w:t>
      </w:r>
    </w:p>
    <w:p w14:paraId="77326C51" w14:textId="77777777" w:rsidR="00375B9D" w:rsidRDefault="00375B9D" w:rsidP="00375B9D">
      <w:pPr>
        <w:rPr>
          <w:noProof/>
          <w:lang w:eastAsia="en-AU"/>
        </w:rPr>
      </w:pPr>
      <w:r w:rsidRPr="00375B9D">
        <w:rPr>
          <w:noProof/>
          <w:lang w:eastAsia="en-AU"/>
        </w:rPr>
        <w:t>Each member of a group is jointly and severally liable for the payroll tax debts of all other group members, provided only that they were all members of the group when the liability arose.</w:t>
      </w:r>
    </w:p>
    <w:p w14:paraId="647251C4" w14:textId="77777777" w:rsidR="00375B9D" w:rsidRPr="00375B9D" w:rsidRDefault="00375B9D" w:rsidP="0044248C">
      <w:pPr>
        <w:pStyle w:val="Heading3"/>
        <w:rPr>
          <w:noProof/>
          <w:lang w:eastAsia="en-AU"/>
        </w:rPr>
      </w:pPr>
      <w:r w:rsidRPr="00375B9D">
        <w:rPr>
          <w:noProof/>
          <w:lang w:eastAsia="en-AU"/>
        </w:rPr>
        <w:t xml:space="preserve">A </w:t>
      </w:r>
      <w:r w:rsidR="0074552B">
        <w:rPr>
          <w:noProof/>
          <w:lang w:eastAsia="en-AU"/>
        </w:rPr>
        <w:t>g</w:t>
      </w:r>
      <w:r w:rsidRPr="00375B9D">
        <w:rPr>
          <w:noProof/>
          <w:lang w:eastAsia="en-AU"/>
        </w:rPr>
        <w:t xml:space="preserve">roup </w:t>
      </w:r>
      <w:r w:rsidR="0074552B">
        <w:rPr>
          <w:noProof/>
          <w:lang w:eastAsia="en-AU"/>
        </w:rPr>
        <w:t>m</w:t>
      </w:r>
      <w:r w:rsidRPr="00375B9D">
        <w:rPr>
          <w:noProof/>
          <w:lang w:eastAsia="en-AU"/>
        </w:rPr>
        <w:t xml:space="preserve">ember </w:t>
      </w:r>
      <w:r w:rsidR="0074552B">
        <w:rPr>
          <w:noProof/>
          <w:lang w:eastAsia="en-AU"/>
        </w:rPr>
        <w:t>n</w:t>
      </w:r>
      <w:r w:rsidRPr="00375B9D">
        <w:rPr>
          <w:noProof/>
          <w:lang w:eastAsia="en-AU"/>
        </w:rPr>
        <w:t xml:space="preserve">eed not be an </w:t>
      </w:r>
      <w:r w:rsidR="0074552B">
        <w:rPr>
          <w:noProof/>
          <w:lang w:eastAsia="en-AU"/>
        </w:rPr>
        <w:t>e</w:t>
      </w:r>
      <w:r w:rsidRPr="00375B9D">
        <w:rPr>
          <w:noProof/>
          <w:lang w:eastAsia="en-AU"/>
        </w:rPr>
        <w:t xml:space="preserve">mployer to be </w:t>
      </w:r>
      <w:r w:rsidR="0074552B">
        <w:rPr>
          <w:noProof/>
          <w:lang w:eastAsia="en-AU"/>
        </w:rPr>
        <w:t>j</w:t>
      </w:r>
      <w:r w:rsidRPr="00375B9D">
        <w:rPr>
          <w:noProof/>
          <w:lang w:eastAsia="en-AU"/>
        </w:rPr>
        <w:t xml:space="preserve">ointly and </w:t>
      </w:r>
      <w:r w:rsidR="0074552B">
        <w:rPr>
          <w:noProof/>
          <w:lang w:eastAsia="en-AU"/>
        </w:rPr>
        <w:t>s</w:t>
      </w:r>
      <w:r w:rsidRPr="00375B9D">
        <w:rPr>
          <w:noProof/>
          <w:lang w:eastAsia="en-AU"/>
        </w:rPr>
        <w:t xml:space="preserve">everally </w:t>
      </w:r>
      <w:r w:rsidR="0074552B">
        <w:rPr>
          <w:noProof/>
          <w:lang w:eastAsia="en-AU"/>
        </w:rPr>
        <w:t>l</w:t>
      </w:r>
      <w:r w:rsidRPr="00375B9D">
        <w:rPr>
          <w:noProof/>
          <w:lang w:eastAsia="en-AU"/>
        </w:rPr>
        <w:t>iable</w:t>
      </w:r>
    </w:p>
    <w:p w14:paraId="10B7AD3D" w14:textId="77777777" w:rsidR="00375B9D" w:rsidRPr="00375B9D" w:rsidRDefault="00375B9D" w:rsidP="00375B9D">
      <w:pPr>
        <w:rPr>
          <w:noProof/>
          <w:lang w:eastAsia="en-AU"/>
        </w:rPr>
      </w:pPr>
      <w:r w:rsidRPr="00375B9D">
        <w:rPr>
          <w:noProof/>
          <w:lang w:eastAsia="en-AU"/>
        </w:rPr>
        <w:t>A group member will be jointly and severally liable for the payroll tax debts of other members of the group, regardless whether or not it employs and pays wages itself. However, only NT wage-paying businesses need to register for payroll tax purposes.</w:t>
      </w:r>
    </w:p>
    <w:tbl>
      <w:tblPr>
        <w:tblStyle w:val="DTFpayrolltaxguidestyle1"/>
        <w:tblW w:w="10343" w:type="dxa"/>
        <w:tblLook w:val="04A0" w:firstRow="1" w:lastRow="0" w:firstColumn="1" w:lastColumn="0" w:noHBand="0" w:noVBand="1"/>
        <w:tblDescription w:val="Example:&#10;A1 Pty Ltd is a construction company that pays NT wages of $2 million per annum. As this exceeds the $1.5 million tax-free entitlement, A1 is liable for NT payroll tax.&#10;"/>
      </w:tblPr>
      <w:tblGrid>
        <w:gridCol w:w="10343"/>
      </w:tblGrid>
      <w:tr w:rsidR="00375B9D" w:rsidRPr="00375B9D" w14:paraId="7544EE0B" w14:textId="77777777" w:rsidTr="00937629">
        <w:trPr>
          <w:trHeight w:val="2659"/>
          <w:tblHeader/>
        </w:trPr>
        <w:tc>
          <w:tcPr>
            <w:tcW w:w="10343" w:type="dxa"/>
          </w:tcPr>
          <w:p w14:paraId="717DB940" w14:textId="77777777" w:rsidR="00375B9D" w:rsidRPr="00375B9D" w:rsidRDefault="00375B9D" w:rsidP="00375B9D">
            <w:pPr>
              <w:spacing w:after="200"/>
              <w:rPr>
                <w:noProof/>
                <w:lang w:eastAsia="en-AU"/>
              </w:rPr>
            </w:pPr>
            <w:r w:rsidRPr="00375B9D">
              <w:rPr>
                <w:b/>
                <w:noProof/>
                <w:lang w:eastAsia="en-AU"/>
              </w:rPr>
              <w:lastRenderedPageBreak/>
              <w:t>Example</w:t>
            </w:r>
            <w:r w:rsidR="006E6F3F">
              <w:rPr>
                <w:b/>
                <w:noProof/>
                <w:lang w:eastAsia="en-AU"/>
              </w:rPr>
              <w:t xml:space="preserve"> 3</w:t>
            </w:r>
            <w:r w:rsidRPr="00375B9D">
              <w:rPr>
                <w:noProof/>
                <w:lang w:eastAsia="en-AU"/>
              </w:rPr>
              <w:t>:</w:t>
            </w:r>
            <w:r w:rsidRPr="00375B9D">
              <w:rPr>
                <w:noProof/>
                <w:lang w:eastAsia="en-AU"/>
              </w:rPr>
              <w:br/>
              <w:t>A1 Pty Ltd is a construction company that pays NT wages of $2 million per annum. As this exceeds the $1.5 million tax-free entitlement, A1 is liable for NT payroll tax.</w:t>
            </w:r>
          </w:p>
          <w:p w14:paraId="7F38C003" w14:textId="77777777" w:rsidR="00375B9D" w:rsidRPr="00375B9D" w:rsidRDefault="00375B9D" w:rsidP="00375B9D">
            <w:pPr>
              <w:spacing w:after="200"/>
              <w:rPr>
                <w:noProof/>
                <w:lang w:eastAsia="en-AU"/>
              </w:rPr>
            </w:pPr>
            <w:r w:rsidRPr="00375B9D">
              <w:rPr>
                <w:noProof/>
                <w:lang w:eastAsia="en-AU"/>
              </w:rPr>
              <w:t>A2 Pty Ltd has the same directors and shareholders as A1 Pty Ltd, and is therefore grouped with A1 Pty Ltd under the ‘common control’ provisions. A2 Pty Ltd has no employees, it simply owns the property from which A1 Pty Ltd operates its business.</w:t>
            </w:r>
          </w:p>
          <w:p w14:paraId="3F2B255B" w14:textId="77777777" w:rsidR="00375B9D" w:rsidRPr="00375B9D" w:rsidRDefault="00375B9D" w:rsidP="00375B9D">
            <w:pPr>
              <w:spacing w:after="200"/>
              <w:rPr>
                <w:noProof/>
                <w:lang w:eastAsia="en-AU"/>
              </w:rPr>
            </w:pPr>
            <w:r w:rsidRPr="00375B9D">
              <w:rPr>
                <w:noProof/>
                <w:lang w:eastAsia="en-AU"/>
              </w:rPr>
              <w:t>A1 Pty Ltd fails to pay its payroll tax liabilities. In this case A2 Pty Ltd automatically becomes jointly and severally liable to pay A1’s payroll tax debts. This could involve TRO initiating recovery action against A2 as well as A1.</w:t>
            </w:r>
          </w:p>
        </w:tc>
      </w:tr>
    </w:tbl>
    <w:p w14:paraId="706D21F7" w14:textId="77777777" w:rsidR="00375B9D" w:rsidRPr="00375B9D" w:rsidRDefault="00375B9D" w:rsidP="0044248C">
      <w:pPr>
        <w:pStyle w:val="Heading3"/>
        <w:rPr>
          <w:noProof/>
          <w:lang w:eastAsia="en-AU"/>
        </w:rPr>
      </w:pPr>
      <w:r w:rsidRPr="00375B9D">
        <w:rPr>
          <w:noProof/>
          <w:lang w:eastAsia="en-AU"/>
        </w:rPr>
        <w:t xml:space="preserve">Legislative </w:t>
      </w:r>
      <w:r w:rsidR="006B6856">
        <w:rPr>
          <w:noProof/>
          <w:lang w:eastAsia="en-AU"/>
        </w:rPr>
        <w:t>b</w:t>
      </w:r>
      <w:r w:rsidRPr="00375B9D">
        <w:rPr>
          <w:noProof/>
          <w:lang w:eastAsia="en-AU"/>
        </w:rPr>
        <w:t xml:space="preserve">ackground to </w:t>
      </w:r>
      <w:r w:rsidR="006B6856">
        <w:rPr>
          <w:noProof/>
          <w:lang w:eastAsia="en-AU"/>
        </w:rPr>
        <w:t>g</w:t>
      </w:r>
      <w:r w:rsidRPr="00375B9D">
        <w:rPr>
          <w:noProof/>
          <w:lang w:eastAsia="en-AU"/>
        </w:rPr>
        <w:t>rouping</w:t>
      </w:r>
    </w:p>
    <w:p w14:paraId="25BCF83E" w14:textId="77777777" w:rsidR="00375B9D" w:rsidRPr="00375B9D" w:rsidRDefault="00375B9D" w:rsidP="00375B9D">
      <w:pPr>
        <w:rPr>
          <w:noProof/>
          <w:lang w:eastAsia="en-AU"/>
        </w:rPr>
      </w:pPr>
      <w:r w:rsidRPr="00375B9D">
        <w:rPr>
          <w:noProof/>
          <w:lang w:eastAsia="en-AU"/>
        </w:rPr>
        <w:t>The historic objective behind grouping was to ensure companies did not artificially separate their operations into separate legal entities to gain the benefit of multiple tax-free threshold entitlements and to separate their liabilities.</w:t>
      </w:r>
    </w:p>
    <w:p w14:paraId="5D8C3192" w14:textId="77777777" w:rsidR="00375B9D" w:rsidRPr="00375B9D" w:rsidRDefault="00375B9D" w:rsidP="00375B9D">
      <w:pPr>
        <w:rPr>
          <w:noProof/>
          <w:lang w:eastAsia="en-AU"/>
        </w:rPr>
      </w:pPr>
      <w:r w:rsidRPr="00375B9D">
        <w:rPr>
          <w:noProof/>
          <w:lang w:eastAsia="en-AU"/>
        </w:rPr>
        <w:t xml:space="preserve">This has evolved over time to apply in all circumstances where there is an active or significant relationship, whether in a business or commercial sense, between the carrying on of two or more businesses. </w:t>
      </w:r>
    </w:p>
    <w:tbl>
      <w:tblPr>
        <w:tblStyle w:val="DTFpayrolltaxguidestyle1"/>
        <w:tblW w:w="10343" w:type="dxa"/>
        <w:tblLook w:val="04A0" w:firstRow="1" w:lastRow="0" w:firstColumn="1" w:lastColumn="0" w:noHBand="0" w:noVBand="1"/>
        <w:tblDescription w:val="Example:&#10;Johnnie Johnston is the sole director and shareholder of JJ Pty Ltd, which has two divisions and carries on business under two trading names – JJ’s Constructions and JJ’s Transport. The businesses pay total NT wages of $4 million per annum.&#10;"/>
      </w:tblPr>
      <w:tblGrid>
        <w:gridCol w:w="10343"/>
      </w:tblGrid>
      <w:tr w:rsidR="00375B9D" w:rsidRPr="00375B9D" w14:paraId="7ACCF437" w14:textId="77777777" w:rsidTr="00937629">
        <w:trPr>
          <w:trHeight w:val="2583"/>
          <w:tblHeader/>
        </w:trPr>
        <w:tc>
          <w:tcPr>
            <w:tcW w:w="10343" w:type="dxa"/>
          </w:tcPr>
          <w:p w14:paraId="6656A014" w14:textId="77777777" w:rsidR="00375B9D" w:rsidRPr="00375B9D" w:rsidRDefault="00375B9D" w:rsidP="00375B9D">
            <w:pPr>
              <w:spacing w:after="200"/>
              <w:rPr>
                <w:noProof/>
                <w:lang w:eastAsia="en-AU"/>
              </w:rPr>
            </w:pPr>
            <w:r w:rsidRPr="00375B9D">
              <w:rPr>
                <w:b/>
                <w:noProof/>
                <w:lang w:eastAsia="en-AU"/>
              </w:rPr>
              <w:t>Example</w:t>
            </w:r>
            <w:r w:rsidR="006E6F3F">
              <w:rPr>
                <w:b/>
                <w:noProof/>
                <w:lang w:eastAsia="en-AU"/>
              </w:rPr>
              <w:t xml:space="preserve"> 4</w:t>
            </w:r>
            <w:r w:rsidRPr="00375B9D">
              <w:rPr>
                <w:noProof/>
                <w:lang w:eastAsia="en-AU"/>
              </w:rPr>
              <w:t>:</w:t>
            </w:r>
            <w:r w:rsidRPr="00375B9D">
              <w:rPr>
                <w:noProof/>
                <w:lang w:eastAsia="en-AU"/>
              </w:rPr>
              <w:br/>
              <w:t>Johnnie Johnston is the sole director and shareholder of JJ Pty Ltd, which has two divisions and carries on business under two trading names – JJ’s Constructions and JJ’s Transport. The businesses pay total NT wages of $4 million per annum.</w:t>
            </w:r>
          </w:p>
          <w:p w14:paraId="24480AA4" w14:textId="77777777" w:rsidR="00375B9D" w:rsidRPr="00375B9D" w:rsidRDefault="00375B9D" w:rsidP="00375B9D">
            <w:pPr>
              <w:spacing w:after="200"/>
              <w:rPr>
                <w:noProof/>
                <w:lang w:eastAsia="en-AU"/>
              </w:rPr>
            </w:pPr>
            <w:r w:rsidRPr="00375B9D">
              <w:rPr>
                <w:noProof/>
                <w:lang w:eastAsia="en-AU"/>
              </w:rPr>
              <w:t>On professional advice, Johnnie Johnston creates two separate companies to run the two businesses; he remains as sole director and sole shareholder of each. The advice was unrelated to payroll tax. As these businesses would be grouped under the ‘common control’ provisions, they in effect ‘share’ one tax-free entitlement and the action would have no effect upon the overall payroll tax liabilities of the companies, although each company would now need to be separately registered as an employer.</w:t>
            </w:r>
          </w:p>
        </w:tc>
      </w:tr>
    </w:tbl>
    <w:p w14:paraId="23C1DC7E" w14:textId="77777777" w:rsidR="00375B9D" w:rsidRPr="00375B9D" w:rsidRDefault="00375B9D" w:rsidP="00243DB6">
      <w:pPr>
        <w:pStyle w:val="Heading3"/>
        <w:rPr>
          <w:noProof/>
          <w:lang w:eastAsia="en-AU"/>
        </w:rPr>
      </w:pPr>
      <w:r w:rsidRPr="00375B9D">
        <w:rPr>
          <w:noProof/>
          <w:lang w:eastAsia="en-AU"/>
        </w:rPr>
        <w:t xml:space="preserve">Grouping is </w:t>
      </w:r>
      <w:r w:rsidR="006B6856">
        <w:rPr>
          <w:noProof/>
          <w:lang w:eastAsia="en-AU"/>
        </w:rPr>
        <w:t>a</w:t>
      </w:r>
      <w:r w:rsidRPr="00375B9D">
        <w:rPr>
          <w:noProof/>
          <w:lang w:eastAsia="en-AU"/>
        </w:rPr>
        <w:t>utomatic</w:t>
      </w:r>
    </w:p>
    <w:p w14:paraId="5F3480A6" w14:textId="77777777" w:rsidR="00375B9D" w:rsidRPr="00375B9D" w:rsidRDefault="00375B9D" w:rsidP="00375B9D">
      <w:pPr>
        <w:rPr>
          <w:noProof/>
          <w:lang w:eastAsia="en-AU"/>
        </w:rPr>
      </w:pPr>
      <w:r w:rsidRPr="00375B9D">
        <w:rPr>
          <w:noProof/>
          <w:lang w:eastAsia="en-AU"/>
        </w:rPr>
        <w:t>Grouping occurs automatically through the application of law – that is, TRO does not make a decision as to whether businesses are grouped or not.</w:t>
      </w:r>
    </w:p>
    <w:p w14:paraId="7C3846F4" w14:textId="77777777" w:rsidR="00375B9D" w:rsidRPr="00375B9D" w:rsidRDefault="00375B9D" w:rsidP="00375B9D">
      <w:pPr>
        <w:rPr>
          <w:noProof/>
          <w:lang w:eastAsia="en-AU"/>
        </w:rPr>
      </w:pPr>
      <w:r w:rsidRPr="00375B9D">
        <w:rPr>
          <w:noProof/>
          <w:lang w:eastAsia="en-AU"/>
        </w:rPr>
        <w:t>The main effect of grouping is to ensure two or more grouped businesses share only one tax-free threshold amount by:</w:t>
      </w:r>
    </w:p>
    <w:p w14:paraId="1606F900" w14:textId="77777777" w:rsidR="00375B9D" w:rsidRPr="00375B9D" w:rsidRDefault="00375B9D" w:rsidP="00AE756D">
      <w:pPr>
        <w:pStyle w:val="DTFBulletlist"/>
      </w:pPr>
      <w:r w:rsidRPr="00375B9D">
        <w:t>combining their Australian taxable wages to determine whether this total exceeds the NT tax-free threshold of $1</w:t>
      </w:r>
      <w:r w:rsidR="00C65823">
        <w:t>,500,000</w:t>
      </w:r>
      <w:r w:rsidRPr="00375B9D">
        <w:t xml:space="preserve"> per annum</w:t>
      </w:r>
    </w:p>
    <w:p w14:paraId="248B404E" w14:textId="77777777" w:rsidR="00375B9D" w:rsidRPr="00375B9D" w:rsidRDefault="00375B9D" w:rsidP="00AE756D">
      <w:pPr>
        <w:pStyle w:val="DTFBulletlist"/>
      </w:pPr>
      <w:r w:rsidRPr="00375B9D">
        <w:t>where the total Australian wages of group members combined exceeds $1</w:t>
      </w:r>
      <w:r w:rsidR="00C65823">
        <w:t>,500,000</w:t>
      </w:r>
      <w:r w:rsidRPr="00375B9D">
        <w:t>, requiring each wage-paying NT employer in the group (regardless of amount of wages paid) to register as an employer for payroll tax purposes</w:t>
      </w:r>
    </w:p>
    <w:p w14:paraId="0D2EB8DF" w14:textId="77777777" w:rsidR="00375B9D" w:rsidRPr="00375B9D" w:rsidRDefault="00375B9D" w:rsidP="00AE756D">
      <w:pPr>
        <w:pStyle w:val="DTFBulletlist"/>
      </w:pPr>
      <w:r w:rsidRPr="00375B9D">
        <w:t xml:space="preserve">allowing only one member of the group, the DGE, to claim the tax-free entitlement (ADA) on behalf of all members of the group (refer to </w:t>
      </w:r>
      <w:hyperlink w:anchor="CalculatingPayrollTax" w:history="1">
        <w:r w:rsidRPr="00375B9D">
          <w:rPr>
            <w:rStyle w:val="Hyperlink"/>
          </w:rPr>
          <w:t>Calculating your</w:t>
        </w:r>
        <w:r w:rsidR="00066BF3" w:rsidRPr="00375B9D">
          <w:rPr>
            <w:rStyle w:val="Hyperlink"/>
          </w:rPr>
          <w:t xml:space="preserve"> payroll ta</w:t>
        </w:r>
        <w:r w:rsidRPr="00375B9D">
          <w:rPr>
            <w:rStyle w:val="Hyperlink"/>
          </w:rPr>
          <w:t>x</w:t>
        </w:r>
      </w:hyperlink>
      <w:r w:rsidRPr="00375B9D">
        <w:t xml:space="preserve"> and </w:t>
      </w:r>
      <w:hyperlink w:anchor="LodgingPayingPayrollTaxReturn" w:history="1">
        <w:r w:rsidRPr="00375B9D">
          <w:rPr>
            <w:rStyle w:val="Hyperlink"/>
          </w:rPr>
          <w:t xml:space="preserve">Lodging and </w:t>
        </w:r>
        <w:r w:rsidR="00066BF3" w:rsidRPr="00375B9D">
          <w:rPr>
            <w:rStyle w:val="Hyperlink"/>
          </w:rPr>
          <w:t xml:space="preserve">paying </w:t>
        </w:r>
        <w:r w:rsidRPr="00375B9D">
          <w:rPr>
            <w:rStyle w:val="Hyperlink"/>
          </w:rPr>
          <w:t xml:space="preserve">your </w:t>
        </w:r>
        <w:r w:rsidR="00066BF3" w:rsidRPr="00375B9D">
          <w:rPr>
            <w:rStyle w:val="Hyperlink"/>
          </w:rPr>
          <w:t>payroll tax retu</w:t>
        </w:r>
        <w:r w:rsidRPr="00375B9D">
          <w:rPr>
            <w:rStyle w:val="Hyperlink"/>
          </w:rPr>
          <w:t>rns</w:t>
        </w:r>
      </w:hyperlink>
      <w:r w:rsidRPr="00375B9D">
        <w:t xml:space="preserve"> for further details).</w:t>
      </w:r>
    </w:p>
    <w:p w14:paraId="5476EFE5" w14:textId="77777777" w:rsidR="00375B9D" w:rsidRPr="00375B9D" w:rsidRDefault="00066BF3" w:rsidP="00745012">
      <w:pPr>
        <w:pStyle w:val="Heading3"/>
        <w:rPr>
          <w:noProof/>
          <w:lang w:eastAsia="en-AU"/>
        </w:rPr>
      </w:pPr>
      <w:r>
        <w:rPr>
          <w:noProof/>
          <w:lang w:eastAsia="en-AU"/>
        </w:rPr>
        <w:lastRenderedPageBreak/>
        <w:t xml:space="preserve">Meaning of </w:t>
      </w:r>
      <w:r w:rsidR="00BA283D">
        <w:rPr>
          <w:noProof/>
          <w:lang w:eastAsia="en-AU"/>
        </w:rPr>
        <w:t>p</w:t>
      </w:r>
      <w:r w:rsidR="00375B9D" w:rsidRPr="00375B9D">
        <w:rPr>
          <w:noProof/>
          <w:lang w:eastAsia="en-AU"/>
        </w:rPr>
        <w:t>erson</w:t>
      </w:r>
    </w:p>
    <w:p w14:paraId="71DDF676" w14:textId="77777777" w:rsidR="00375B9D" w:rsidRPr="00375B9D" w:rsidRDefault="00375B9D" w:rsidP="00375B9D">
      <w:pPr>
        <w:rPr>
          <w:noProof/>
          <w:lang w:eastAsia="en-AU"/>
        </w:rPr>
      </w:pPr>
      <w:r w:rsidRPr="00375B9D">
        <w:rPr>
          <w:noProof/>
          <w:lang w:eastAsia="en-AU"/>
        </w:rPr>
        <w:t xml:space="preserve">The PRTA makes frequent references to the term ‘person’. </w:t>
      </w:r>
    </w:p>
    <w:p w14:paraId="6B44F7A3" w14:textId="77777777" w:rsidR="00375B9D" w:rsidRPr="00375B9D" w:rsidRDefault="00375B9D" w:rsidP="00375B9D">
      <w:pPr>
        <w:rPr>
          <w:noProof/>
          <w:lang w:eastAsia="en-AU"/>
        </w:rPr>
      </w:pPr>
      <w:r w:rsidRPr="00375B9D">
        <w:rPr>
          <w:noProof/>
          <w:lang w:eastAsia="en-AU"/>
        </w:rPr>
        <w:t>For grouping purposes, ‘person’ includes an individual person (a ‘natural person’), two or more individual persons together, a partnership of individuals, a partnership of companies, a trustee of a trust, or a private or public company.</w:t>
      </w:r>
    </w:p>
    <w:tbl>
      <w:tblPr>
        <w:tblStyle w:val="DTFpayrolltaxguidestyle1"/>
        <w:tblW w:w="10343" w:type="dxa"/>
        <w:tblLook w:val="04A0" w:firstRow="1" w:lastRow="0" w:firstColumn="1" w:lastColumn="0" w:noHBand="0" w:noVBand="1"/>
        <w:tblDescription w:val="Examples"/>
      </w:tblPr>
      <w:tblGrid>
        <w:gridCol w:w="10343"/>
      </w:tblGrid>
      <w:tr w:rsidR="00375B9D" w:rsidRPr="00375B9D" w14:paraId="6F1FBF83" w14:textId="77777777" w:rsidTr="00937629">
        <w:trPr>
          <w:trHeight w:val="3588"/>
          <w:tblHeader/>
        </w:trPr>
        <w:tc>
          <w:tcPr>
            <w:tcW w:w="10343" w:type="dxa"/>
          </w:tcPr>
          <w:p w14:paraId="4FDD2246" w14:textId="77777777" w:rsidR="006E6F3F" w:rsidRPr="00375B9D" w:rsidRDefault="00375B9D" w:rsidP="00375B9D">
            <w:pPr>
              <w:spacing w:after="200"/>
              <w:rPr>
                <w:noProof/>
                <w:lang w:eastAsia="en-AU"/>
              </w:rPr>
            </w:pPr>
            <w:r w:rsidRPr="00375B9D">
              <w:rPr>
                <w:b/>
                <w:noProof/>
                <w:lang w:eastAsia="en-AU"/>
              </w:rPr>
              <w:t>Example</w:t>
            </w:r>
            <w:r w:rsidR="006E6F3F">
              <w:rPr>
                <w:b/>
                <w:noProof/>
                <w:lang w:eastAsia="en-AU"/>
              </w:rPr>
              <w:t xml:space="preserve"> 5</w:t>
            </w:r>
            <w:r w:rsidRPr="00375B9D">
              <w:rPr>
                <w:noProof/>
                <w:lang w:eastAsia="en-AU"/>
              </w:rPr>
              <w:t>:</w:t>
            </w:r>
            <w:r w:rsidR="006E6F3F">
              <w:rPr>
                <w:noProof/>
                <w:lang w:eastAsia="en-AU"/>
              </w:rPr>
              <w:t xml:space="preserve"> A</w:t>
            </w:r>
            <w:r w:rsidR="006E6F3F" w:rsidRPr="00375B9D">
              <w:rPr>
                <w:noProof/>
                <w:lang w:eastAsia="en-AU"/>
              </w:rPr>
              <w:t xml:space="preserve"> business may be carried on, and wages paid under any of thes</w:t>
            </w:r>
            <w:r w:rsidR="006E6F3F">
              <w:rPr>
                <w:noProof/>
                <w:lang w:eastAsia="en-AU"/>
              </w:rPr>
              <w:t>e arrangements:</w:t>
            </w:r>
          </w:p>
          <w:p w14:paraId="7178AD38" w14:textId="77777777" w:rsidR="00375B9D" w:rsidRPr="00375B9D" w:rsidRDefault="00375B9D" w:rsidP="006E6F3F">
            <w:pPr>
              <w:pStyle w:val="DTFBulletlist"/>
            </w:pPr>
            <w:r w:rsidRPr="00375B9D">
              <w:t>Dave Devonshire is a person.</w:t>
            </w:r>
          </w:p>
          <w:p w14:paraId="3D9A3CB9" w14:textId="77777777" w:rsidR="00375B9D" w:rsidRPr="00375B9D" w:rsidRDefault="00375B9D" w:rsidP="006E6F3F">
            <w:pPr>
              <w:pStyle w:val="DTFBulletlist"/>
            </w:pPr>
            <w:r w:rsidRPr="00375B9D">
              <w:t>Dave Devonshire trading as Dave’s Electrical Services is the same person as Dave Devonshire alone (Dave’s Electrical Services is simply a trading name and not an entity or person in its own right).</w:t>
            </w:r>
          </w:p>
          <w:p w14:paraId="611856F4" w14:textId="77777777" w:rsidR="00375B9D" w:rsidRPr="00375B9D" w:rsidRDefault="00375B9D" w:rsidP="006E6F3F">
            <w:pPr>
              <w:pStyle w:val="DTFBulletlist"/>
            </w:pPr>
            <w:r w:rsidRPr="00375B9D">
              <w:t>Dave and Donna Devonshire Family Partnership is a person.</w:t>
            </w:r>
          </w:p>
          <w:p w14:paraId="7DCCAEFF" w14:textId="77777777" w:rsidR="00375B9D" w:rsidRPr="00375B9D" w:rsidRDefault="00375B9D" w:rsidP="006E6F3F">
            <w:pPr>
              <w:pStyle w:val="DTFBulletlist"/>
            </w:pPr>
            <w:r w:rsidRPr="00375B9D">
              <w:t>Dave’s Electrical Services Pty Ltd is a person.</w:t>
            </w:r>
          </w:p>
          <w:p w14:paraId="30625D1B" w14:textId="77777777" w:rsidR="00375B9D" w:rsidRPr="00375B9D" w:rsidRDefault="00375B9D" w:rsidP="006E6F3F">
            <w:pPr>
              <w:pStyle w:val="DTFBulletlist"/>
            </w:pPr>
            <w:r w:rsidRPr="00375B9D">
              <w:t>Dave Pty Ltd is a person.</w:t>
            </w:r>
          </w:p>
          <w:p w14:paraId="489AA103" w14:textId="77777777" w:rsidR="00375B9D" w:rsidRPr="00375B9D" w:rsidRDefault="00375B9D" w:rsidP="006E6F3F">
            <w:pPr>
              <w:pStyle w:val="DTFBulletlist"/>
            </w:pPr>
            <w:r w:rsidRPr="00375B9D">
              <w:t xml:space="preserve">In the case of Dave Pty Ltd as trustee for the Dave and Donna Devonshire Family Trust trading as Dave’s Electrical Services, the ‘person’ is the trustee (Dave Pty Ltd). </w:t>
            </w:r>
          </w:p>
        </w:tc>
      </w:tr>
    </w:tbl>
    <w:p w14:paraId="3002F31C" w14:textId="77777777" w:rsidR="00375B9D" w:rsidRPr="00375B9D" w:rsidRDefault="00375B9D" w:rsidP="008B5C1D">
      <w:pPr>
        <w:pStyle w:val="Heading3"/>
        <w:rPr>
          <w:noProof/>
          <w:lang w:eastAsia="en-AU"/>
        </w:rPr>
      </w:pPr>
      <w:r w:rsidRPr="00375B9D">
        <w:rPr>
          <w:noProof/>
          <w:lang w:eastAsia="en-AU"/>
        </w:rPr>
        <w:t xml:space="preserve">What is a </w:t>
      </w:r>
      <w:r w:rsidR="00C069C9">
        <w:rPr>
          <w:noProof/>
          <w:lang w:eastAsia="en-AU"/>
        </w:rPr>
        <w:t>b</w:t>
      </w:r>
      <w:r w:rsidRPr="00375B9D">
        <w:rPr>
          <w:noProof/>
          <w:lang w:eastAsia="en-AU"/>
        </w:rPr>
        <w:t>usiness?</w:t>
      </w:r>
    </w:p>
    <w:p w14:paraId="7C355003" w14:textId="77777777" w:rsidR="00375B9D" w:rsidRPr="00375B9D" w:rsidRDefault="00375B9D" w:rsidP="00375B9D">
      <w:pPr>
        <w:rPr>
          <w:noProof/>
          <w:lang w:eastAsia="en-AU"/>
        </w:rPr>
      </w:pPr>
      <w:r w:rsidRPr="00375B9D">
        <w:rPr>
          <w:noProof/>
          <w:lang w:eastAsia="en-AU"/>
        </w:rPr>
        <w:t>The grouping provisions apply to businesses, regardless of whether the business pays wages.</w:t>
      </w:r>
    </w:p>
    <w:p w14:paraId="244B70F0" w14:textId="77777777" w:rsidR="00375B9D" w:rsidRPr="00375B9D" w:rsidRDefault="00375B9D" w:rsidP="00375B9D">
      <w:pPr>
        <w:rPr>
          <w:noProof/>
          <w:lang w:eastAsia="en-AU"/>
        </w:rPr>
      </w:pPr>
      <w:r w:rsidRPr="00375B9D">
        <w:rPr>
          <w:noProof/>
          <w:lang w:eastAsia="en-AU"/>
        </w:rPr>
        <w:t>‘Business’ includes any of the following:</w:t>
      </w:r>
    </w:p>
    <w:p w14:paraId="7D3865C0" w14:textId="77777777" w:rsidR="00375B9D" w:rsidRPr="00375B9D" w:rsidRDefault="00375B9D" w:rsidP="00AE756D">
      <w:pPr>
        <w:pStyle w:val="DTFBulletlist"/>
      </w:pPr>
      <w:r w:rsidRPr="00375B9D">
        <w:t xml:space="preserve">any profession or trade </w:t>
      </w:r>
    </w:p>
    <w:p w14:paraId="77A46A49" w14:textId="77777777" w:rsidR="00375B9D" w:rsidRPr="00375B9D" w:rsidRDefault="00375B9D" w:rsidP="00AE756D">
      <w:pPr>
        <w:pStyle w:val="DTFBulletlist"/>
      </w:pPr>
      <w:r w:rsidRPr="00375B9D">
        <w:t xml:space="preserve">any activity carried on for fee, gain or reward </w:t>
      </w:r>
    </w:p>
    <w:p w14:paraId="798E7651" w14:textId="77777777" w:rsidR="00375B9D" w:rsidRPr="00375B9D" w:rsidRDefault="00375B9D" w:rsidP="00AE756D">
      <w:pPr>
        <w:pStyle w:val="DTFBulletlist"/>
      </w:pPr>
      <w:r w:rsidRPr="00375B9D">
        <w:t xml:space="preserve">the employing of people to provide services to another business </w:t>
      </w:r>
    </w:p>
    <w:p w14:paraId="695DEEBE" w14:textId="77777777" w:rsidR="00375B9D" w:rsidRPr="00375B9D" w:rsidRDefault="00375B9D" w:rsidP="00AE756D">
      <w:pPr>
        <w:pStyle w:val="DTFBulletlist"/>
      </w:pPr>
      <w:r w:rsidRPr="00375B9D">
        <w:t>the carrying on of a trust, (whether active or dormant)</w:t>
      </w:r>
    </w:p>
    <w:p w14:paraId="539CEFD3" w14:textId="77777777" w:rsidR="00375B9D" w:rsidRDefault="00375B9D" w:rsidP="00AE756D">
      <w:pPr>
        <w:pStyle w:val="DTFBulletlist"/>
      </w:pPr>
      <w:r w:rsidRPr="00375B9D">
        <w:t>holding property (including goods, equipment or money) used for or by another business.</w:t>
      </w:r>
    </w:p>
    <w:p w14:paraId="46A954B5" w14:textId="77777777" w:rsidR="008B5C1D" w:rsidRPr="00375B9D" w:rsidRDefault="008B5C1D" w:rsidP="008B5C1D">
      <w:pPr>
        <w:rPr>
          <w:noProof/>
        </w:rPr>
      </w:pPr>
    </w:p>
    <w:p w14:paraId="69238289" w14:textId="77777777" w:rsidR="008611EA" w:rsidRDefault="008611EA">
      <w:pPr>
        <w:rPr>
          <w:rFonts w:asciiTheme="majorHAnsi" w:hAnsiTheme="majorHAnsi" w:cs="Arial"/>
          <w:bCs/>
          <w:noProof/>
          <w:color w:val="1F1F5F" w:themeColor="text1"/>
          <w:sz w:val="28"/>
          <w:szCs w:val="28"/>
          <w:lang w:eastAsia="en-AU"/>
        </w:rPr>
      </w:pPr>
      <w:r>
        <w:rPr>
          <w:noProof/>
          <w:lang w:eastAsia="en-AU"/>
        </w:rPr>
        <w:br w:type="page"/>
      </w:r>
    </w:p>
    <w:p w14:paraId="1253B95C" w14:textId="77777777" w:rsidR="00375B9D" w:rsidRPr="00375B9D" w:rsidRDefault="00375B9D" w:rsidP="008B5C1D">
      <w:pPr>
        <w:pStyle w:val="Heading3"/>
        <w:rPr>
          <w:noProof/>
          <w:lang w:eastAsia="en-AU"/>
        </w:rPr>
      </w:pPr>
      <w:r w:rsidRPr="00375B9D">
        <w:rPr>
          <w:noProof/>
          <w:lang w:eastAsia="en-AU"/>
        </w:rPr>
        <w:lastRenderedPageBreak/>
        <w:t xml:space="preserve">What if </w:t>
      </w:r>
      <w:r w:rsidR="003A028E">
        <w:rPr>
          <w:noProof/>
          <w:lang w:eastAsia="en-AU"/>
        </w:rPr>
        <w:t>o</w:t>
      </w:r>
      <w:r w:rsidR="009E4EAB">
        <w:rPr>
          <w:noProof/>
          <w:lang w:eastAsia="en-AU"/>
        </w:rPr>
        <w:t xml:space="preserve">ne </w:t>
      </w:r>
      <w:r w:rsidR="003A028E">
        <w:rPr>
          <w:noProof/>
          <w:lang w:eastAsia="en-AU"/>
        </w:rPr>
        <w:t>p</w:t>
      </w:r>
      <w:r w:rsidR="009E4EAB">
        <w:rPr>
          <w:noProof/>
          <w:lang w:eastAsia="en-AU"/>
        </w:rPr>
        <w:t>erson</w:t>
      </w:r>
      <w:r w:rsidRPr="00375B9D">
        <w:rPr>
          <w:noProof/>
          <w:lang w:eastAsia="en-AU"/>
        </w:rPr>
        <w:t xml:space="preserve"> </w:t>
      </w:r>
      <w:r w:rsidR="003A028E">
        <w:rPr>
          <w:noProof/>
          <w:lang w:eastAsia="en-AU"/>
        </w:rPr>
        <w:t>o</w:t>
      </w:r>
      <w:r w:rsidRPr="00375B9D">
        <w:rPr>
          <w:noProof/>
          <w:lang w:eastAsia="en-AU"/>
        </w:rPr>
        <w:t xml:space="preserve">perates </w:t>
      </w:r>
      <w:r w:rsidR="003A028E">
        <w:rPr>
          <w:noProof/>
          <w:lang w:eastAsia="en-AU"/>
        </w:rPr>
        <w:t>m</w:t>
      </w:r>
      <w:r w:rsidRPr="00375B9D">
        <w:rPr>
          <w:noProof/>
          <w:lang w:eastAsia="en-AU"/>
        </w:rPr>
        <w:t xml:space="preserve">ore than </w:t>
      </w:r>
      <w:r w:rsidR="003A028E">
        <w:rPr>
          <w:noProof/>
          <w:lang w:eastAsia="en-AU"/>
        </w:rPr>
        <w:t>o</w:t>
      </w:r>
      <w:r w:rsidRPr="00375B9D">
        <w:rPr>
          <w:noProof/>
          <w:lang w:eastAsia="en-AU"/>
        </w:rPr>
        <w:t xml:space="preserve">ne </w:t>
      </w:r>
      <w:r w:rsidR="003A028E">
        <w:rPr>
          <w:noProof/>
          <w:lang w:eastAsia="en-AU"/>
        </w:rPr>
        <w:t>b</w:t>
      </w:r>
      <w:r w:rsidRPr="00375B9D">
        <w:rPr>
          <w:noProof/>
          <w:lang w:eastAsia="en-AU"/>
        </w:rPr>
        <w:t>usiness?</w:t>
      </w:r>
    </w:p>
    <w:p w14:paraId="30FAAE01" w14:textId="77777777" w:rsidR="00375B9D" w:rsidRPr="00375B9D" w:rsidRDefault="00375B9D" w:rsidP="00375B9D">
      <w:pPr>
        <w:rPr>
          <w:noProof/>
          <w:lang w:eastAsia="en-AU"/>
        </w:rPr>
      </w:pPr>
      <w:r w:rsidRPr="00375B9D">
        <w:rPr>
          <w:noProof/>
          <w:lang w:eastAsia="en-AU"/>
        </w:rPr>
        <w:t xml:space="preserve">When one person operates more than one business (usually under different trading names), this is not a group – it is the same business. </w:t>
      </w:r>
    </w:p>
    <w:p w14:paraId="1BF21CF4" w14:textId="77777777" w:rsidR="00375B9D" w:rsidRPr="00375B9D" w:rsidRDefault="00375B9D" w:rsidP="00375B9D">
      <w:pPr>
        <w:rPr>
          <w:noProof/>
          <w:lang w:eastAsia="en-AU"/>
        </w:rPr>
      </w:pPr>
      <w:r w:rsidRPr="00375B9D">
        <w:rPr>
          <w:noProof/>
          <w:lang w:eastAsia="en-AU"/>
        </w:rPr>
        <w:t xml:space="preserve">In these circumstances, there is only one employer and (subject to tax-free thresholds) the wages for those businesses must be combined into a single return for that employer. </w:t>
      </w:r>
    </w:p>
    <w:tbl>
      <w:tblPr>
        <w:tblStyle w:val="DTFpayrolltaxguidestyle1"/>
        <w:tblW w:w="10343" w:type="dxa"/>
        <w:tblLook w:val="04A0" w:firstRow="1" w:lastRow="0" w:firstColumn="1" w:lastColumn="0" w:noHBand="0" w:noVBand="1"/>
        <w:tblDescription w:val="Example: John &amp; Beryl have a family partnership with its own ABN and GST registration. The family partnership operates 2 separate businesses – John works as a plasterer under the trading name of JB Plasterers, and Beryl operates a small retail outlet under the name of Beryl’s Boutique.&#10;This is a single business for payroll tax purposes, not a group.&#10;"/>
      </w:tblPr>
      <w:tblGrid>
        <w:gridCol w:w="10343"/>
      </w:tblGrid>
      <w:tr w:rsidR="00375B9D" w:rsidRPr="00375B9D" w14:paraId="61A75648" w14:textId="77777777" w:rsidTr="00937629">
        <w:trPr>
          <w:trHeight w:val="1448"/>
          <w:tblHeader/>
        </w:trPr>
        <w:tc>
          <w:tcPr>
            <w:tcW w:w="10343" w:type="dxa"/>
          </w:tcPr>
          <w:p w14:paraId="324D8625" w14:textId="77777777" w:rsidR="00375B9D" w:rsidRPr="00375B9D" w:rsidRDefault="00375B9D" w:rsidP="00375B9D">
            <w:pPr>
              <w:spacing w:after="200"/>
              <w:rPr>
                <w:noProof/>
                <w:lang w:eastAsia="en-AU"/>
              </w:rPr>
            </w:pPr>
            <w:r w:rsidRPr="00375B9D">
              <w:rPr>
                <w:b/>
                <w:noProof/>
                <w:lang w:eastAsia="en-AU"/>
              </w:rPr>
              <w:t>Example</w:t>
            </w:r>
            <w:r w:rsidR="006E6F3F">
              <w:rPr>
                <w:b/>
                <w:noProof/>
                <w:lang w:eastAsia="en-AU"/>
              </w:rPr>
              <w:t xml:space="preserve"> 6</w:t>
            </w:r>
            <w:r w:rsidRPr="00375B9D">
              <w:rPr>
                <w:noProof/>
                <w:lang w:eastAsia="en-AU"/>
              </w:rPr>
              <w:t>: John and Beryl have a family partnership with its own ABN and GST registration. The family partnership operates two separate businesses – John works as a plasterer under the trading name of JB Plasterers, and Beryl operates a restaurant under a separate trading name.</w:t>
            </w:r>
          </w:p>
          <w:p w14:paraId="63201A8C" w14:textId="77777777" w:rsidR="00375B9D" w:rsidRPr="00375B9D" w:rsidRDefault="00375B9D" w:rsidP="00375B9D">
            <w:pPr>
              <w:spacing w:after="200"/>
              <w:rPr>
                <w:noProof/>
                <w:lang w:eastAsia="en-AU"/>
              </w:rPr>
            </w:pPr>
            <w:r w:rsidRPr="00375B9D">
              <w:rPr>
                <w:noProof/>
                <w:lang w:eastAsia="en-AU"/>
              </w:rPr>
              <w:t>This is a single business for payroll tax purposes, not a group.</w:t>
            </w:r>
          </w:p>
        </w:tc>
      </w:tr>
    </w:tbl>
    <w:p w14:paraId="6BA5F7CC" w14:textId="77777777" w:rsidR="00E35E8F" w:rsidRDefault="00E35E8F" w:rsidP="00375B9D">
      <w:pPr>
        <w:rPr>
          <w:noProof/>
          <w:lang w:eastAsia="en-AU"/>
        </w:rPr>
      </w:pPr>
    </w:p>
    <w:p w14:paraId="59203FAC" w14:textId="77777777" w:rsidR="00375B9D" w:rsidRPr="00375B9D" w:rsidRDefault="00375B9D" w:rsidP="00375B9D">
      <w:pPr>
        <w:rPr>
          <w:noProof/>
          <w:lang w:eastAsia="en-AU"/>
        </w:rPr>
      </w:pPr>
      <w:r w:rsidRPr="00375B9D">
        <w:rPr>
          <w:noProof/>
          <w:lang w:eastAsia="en-AU"/>
        </w:rPr>
        <w:t xml:space="preserve">The only exception to this rule is a trustee that operates businesses for different trusts, where the trustee is considered a different person in respect of each trust. </w:t>
      </w:r>
    </w:p>
    <w:p w14:paraId="45379F59" w14:textId="77777777" w:rsidR="00375B9D" w:rsidRPr="00375B9D" w:rsidRDefault="00375B9D" w:rsidP="008B5C1D">
      <w:pPr>
        <w:pStyle w:val="Heading3"/>
        <w:rPr>
          <w:noProof/>
          <w:lang w:eastAsia="en-AU"/>
        </w:rPr>
      </w:pPr>
      <w:r w:rsidRPr="00375B9D">
        <w:rPr>
          <w:noProof/>
          <w:lang w:eastAsia="en-AU"/>
        </w:rPr>
        <w:t xml:space="preserve">Geographical </w:t>
      </w:r>
      <w:r w:rsidR="00A55BCD">
        <w:rPr>
          <w:noProof/>
          <w:lang w:eastAsia="en-AU"/>
        </w:rPr>
        <w:t>l</w:t>
      </w:r>
      <w:r w:rsidRPr="00375B9D">
        <w:rPr>
          <w:noProof/>
          <w:lang w:eastAsia="en-AU"/>
        </w:rPr>
        <w:t xml:space="preserve">ocation of a </w:t>
      </w:r>
      <w:r w:rsidR="00A55BCD">
        <w:rPr>
          <w:noProof/>
          <w:lang w:eastAsia="en-AU"/>
        </w:rPr>
        <w:t>b</w:t>
      </w:r>
      <w:r w:rsidRPr="00375B9D">
        <w:rPr>
          <w:noProof/>
          <w:lang w:eastAsia="en-AU"/>
        </w:rPr>
        <w:t xml:space="preserve">usiness is </w:t>
      </w:r>
      <w:r w:rsidR="00A55BCD">
        <w:rPr>
          <w:noProof/>
          <w:lang w:eastAsia="en-AU"/>
        </w:rPr>
        <w:t>i</w:t>
      </w:r>
      <w:r w:rsidRPr="00375B9D">
        <w:rPr>
          <w:noProof/>
          <w:lang w:eastAsia="en-AU"/>
        </w:rPr>
        <w:t>rrelevant</w:t>
      </w:r>
    </w:p>
    <w:p w14:paraId="01E8E876" w14:textId="77777777" w:rsidR="00375B9D" w:rsidRPr="00375B9D" w:rsidRDefault="00375B9D" w:rsidP="00375B9D">
      <w:pPr>
        <w:rPr>
          <w:noProof/>
          <w:lang w:eastAsia="en-AU"/>
        </w:rPr>
      </w:pPr>
      <w:r w:rsidRPr="00375B9D">
        <w:rPr>
          <w:noProof/>
          <w:lang w:eastAsia="en-AU"/>
        </w:rPr>
        <w:t xml:space="preserve">It does not matter where (in which state or states) a business is carried on. </w:t>
      </w:r>
    </w:p>
    <w:p w14:paraId="5F2AA326" w14:textId="77777777" w:rsidR="00375B9D" w:rsidRPr="00375B9D" w:rsidRDefault="00375B9D" w:rsidP="00375B9D">
      <w:pPr>
        <w:rPr>
          <w:noProof/>
          <w:lang w:eastAsia="en-AU"/>
        </w:rPr>
      </w:pPr>
      <w:r w:rsidRPr="00375B9D">
        <w:rPr>
          <w:noProof/>
          <w:lang w:eastAsia="en-AU"/>
        </w:rPr>
        <w:t>If there are two or more group members, anywhere within Australia, and at least one of them pays NT taxable wages, the NT wage-payer(s) must register for payroll tax if the combined Australian taxable wages of all members of the group exceeds the NT tax-free threshold of $1</w:t>
      </w:r>
      <w:r w:rsidR="00C65823">
        <w:rPr>
          <w:noProof/>
          <w:lang w:eastAsia="en-AU"/>
        </w:rPr>
        <w:t>,500,000</w:t>
      </w:r>
      <w:r w:rsidRPr="00375B9D">
        <w:rPr>
          <w:noProof/>
          <w:lang w:eastAsia="en-AU"/>
        </w:rPr>
        <w:t xml:space="preserve"> per annum ($125</w:t>
      </w:r>
      <w:r w:rsidR="00C65823">
        <w:rPr>
          <w:noProof/>
          <w:lang w:eastAsia="en-AU"/>
        </w:rPr>
        <w:t>,000</w:t>
      </w:r>
      <w:r w:rsidRPr="00375B9D">
        <w:rPr>
          <w:noProof/>
          <w:lang w:eastAsia="en-AU"/>
        </w:rPr>
        <w:t xml:space="preserve"> per month) (see </w:t>
      </w:r>
      <w:hyperlink w:anchor="WhenDoesBusinesNeedRegisterPRT" w:history="1">
        <w:r w:rsidRPr="00375B9D">
          <w:rPr>
            <w:rStyle w:val="Hyperlink"/>
            <w:noProof/>
            <w:lang w:eastAsia="en-AU"/>
          </w:rPr>
          <w:t>When does a business need to register and start paying payroll tax?</w:t>
        </w:r>
      </w:hyperlink>
      <w:r w:rsidRPr="00375B9D">
        <w:rPr>
          <w:noProof/>
          <w:lang w:eastAsia="en-AU"/>
        </w:rPr>
        <w:t xml:space="preserve"> for further details).</w:t>
      </w:r>
    </w:p>
    <w:p w14:paraId="01C1D010" w14:textId="77777777" w:rsidR="00375B9D" w:rsidRPr="00375B9D" w:rsidRDefault="00375B9D" w:rsidP="008B5C1D">
      <w:pPr>
        <w:pStyle w:val="Heading3"/>
        <w:rPr>
          <w:noProof/>
          <w:lang w:eastAsia="en-AU"/>
        </w:rPr>
      </w:pPr>
      <w:r w:rsidRPr="00375B9D">
        <w:rPr>
          <w:noProof/>
          <w:lang w:eastAsia="en-AU"/>
        </w:rPr>
        <w:t xml:space="preserve">Groups </w:t>
      </w:r>
      <w:r w:rsidR="00A55BCD">
        <w:rPr>
          <w:noProof/>
          <w:lang w:eastAsia="en-AU"/>
        </w:rPr>
        <w:t>a</w:t>
      </w:r>
      <w:r w:rsidRPr="00375B9D">
        <w:rPr>
          <w:noProof/>
          <w:lang w:eastAsia="en-AU"/>
        </w:rPr>
        <w:t xml:space="preserve">rising from the </w:t>
      </w:r>
      <w:r w:rsidR="00A55BCD">
        <w:rPr>
          <w:noProof/>
          <w:lang w:eastAsia="en-AU"/>
        </w:rPr>
        <w:t>u</w:t>
      </w:r>
      <w:r w:rsidRPr="00375B9D">
        <w:rPr>
          <w:noProof/>
          <w:lang w:eastAsia="en-AU"/>
        </w:rPr>
        <w:t xml:space="preserve">se of </w:t>
      </w:r>
      <w:r w:rsidR="00A55BCD">
        <w:rPr>
          <w:noProof/>
          <w:lang w:eastAsia="en-AU"/>
        </w:rPr>
        <w:t>c</w:t>
      </w:r>
      <w:r w:rsidRPr="00375B9D">
        <w:rPr>
          <w:noProof/>
          <w:lang w:eastAsia="en-AU"/>
        </w:rPr>
        <w:t xml:space="preserve">ommon </w:t>
      </w:r>
      <w:r w:rsidR="00A55BCD">
        <w:rPr>
          <w:noProof/>
          <w:lang w:eastAsia="en-AU"/>
        </w:rPr>
        <w:t>e</w:t>
      </w:r>
      <w:r w:rsidRPr="00375B9D">
        <w:rPr>
          <w:noProof/>
          <w:lang w:eastAsia="en-AU"/>
        </w:rPr>
        <w:t>mployees</w:t>
      </w:r>
    </w:p>
    <w:p w14:paraId="0357A579" w14:textId="77777777" w:rsidR="00375B9D" w:rsidRPr="00375B9D" w:rsidRDefault="00375B9D" w:rsidP="00375B9D">
      <w:pPr>
        <w:rPr>
          <w:noProof/>
          <w:lang w:eastAsia="en-AU"/>
        </w:rPr>
      </w:pPr>
      <w:r w:rsidRPr="00375B9D">
        <w:rPr>
          <w:noProof/>
          <w:lang w:eastAsia="en-AU"/>
        </w:rPr>
        <w:t>An employer that provides the services of one or more of its employees to one or more other businesses constitutes a group with the other business:</w:t>
      </w:r>
    </w:p>
    <w:tbl>
      <w:tblPr>
        <w:tblStyle w:val="DTFpayrolltaxguidestyle1"/>
        <w:tblW w:w="10343" w:type="dxa"/>
        <w:tblLook w:val="04A0" w:firstRow="1" w:lastRow="0" w:firstColumn="1" w:lastColumn="0" w:noHBand="0" w:noVBand="1"/>
        <w:tblDescription w:val="Example: Business A employs Employee 1. Employee 1 provides services to Business A and Business B. It does not matter whether Business A and Business B are related or unrelated. Further, it does not matter whether or not Business B reimburses Business A for part of Employee 1’s wages. In these circumstances, Business A and Business B are grouped."/>
      </w:tblPr>
      <w:tblGrid>
        <w:gridCol w:w="10343"/>
      </w:tblGrid>
      <w:tr w:rsidR="00375B9D" w:rsidRPr="00375B9D" w14:paraId="3CDE7D8A" w14:textId="77777777" w:rsidTr="00937629">
        <w:trPr>
          <w:trHeight w:val="2985"/>
          <w:tblHeader/>
        </w:trPr>
        <w:tc>
          <w:tcPr>
            <w:tcW w:w="10343" w:type="dxa"/>
          </w:tcPr>
          <w:p w14:paraId="5473B427" w14:textId="77777777" w:rsidR="00375B9D" w:rsidRPr="00375B9D" w:rsidRDefault="00375B9D" w:rsidP="00375B9D">
            <w:pPr>
              <w:spacing w:after="200"/>
              <w:rPr>
                <w:noProof/>
                <w:lang w:eastAsia="en-AU"/>
              </w:rPr>
            </w:pPr>
            <w:r w:rsidRPr="00375B9D">
              <w:rPr>
                <w:b/>
                <w:noProof/>
                <w:lang w:eastAsia="en-AU"/>
              </w:rPr>
              <w:t>Example</w:t>
            </w:r>
            <w:r w:rsidR="006E6F3F">
              <w:rPr>
                <w:b/>
                <w:noProof/>
                <w:lang w:eastAsia="en-AU"/>
              </w:rPr>
              <w:t xml:space="preserve"> 7</w:t>
            </w:r>
            <w:r w:rsidRPr="00375B9D">
              <w:rPr>
                <w:noProof/>
                <w:lang w:eastAsia="en-AU"/>
              </w:rPr>
              <w:t>: Business A employs Employee 1. Employee 1 provides services to Business A and Business B. It does not matter whether Business A and Business B are related or unrelated. Further, it does not matter whether or not Business B reimburses Business A for part of Employee 1’s wages. In these circumstances, Business A and Business B are grouped.</w:t>
            </w:r>
          </w:p>
          <w:p w14:paraId="75D3188B" w14:textId="77777777" w:rsidR="00375B9D" w:rsidRPr="00375B9D" w:rsidRDefault="00375B9D" w:rsidP="00375B9D">
            <w:pPr>
              <w:spacing w:after="200"/>
              <w:rPr>
                <w:noProof/>
                <w:lang w:eastAsia="en-AU"/>
              </w:rPr>
            </w:pPr>
            <w:r w:rsidRPr="00375B9D">
              <w:rPr>
                <w:noProof/>
                <w:lang w:eastAsia="en-AU"/>
              </w:rPr>
              <w:t>This type of situation may exist where, for example, two businesses operating from the same premises set up a single group of people to operate a common accounting, payroll, personnel, debtor management and creditor management section.</w:t>
            </w:r>
          </w:p>
          <w:p w14:paraId="3E617BFD" w14:textId="77777777" w:rsidR="00375B9D" w:rsidRPr="00375B9D" w:rsidRDefault="00375B9D" w:rsidP="00375B9D">
            <w:pPr>
              <w:spacing w:after="200"/>
              <w:rPr>
                <w:noProof/>
                <w:lang w:eastAsia="en-AU"/>
              </w:rPr>
            </w:pPr>
            <w:r w:rsidRPr="00375B9D">
              <w:rPr>
                <w:b/>
                <w:noProof/>
                <w:lang w:eastAsia="en-AU"/>
              </w:rPr>
              <w:t>Note</w:t>
            </w:r>
            <w:r w:rsidRPr="00375B9D">
              <w:rPr>
                <w:noProof/>
                <w:lang w:eastAsia="en-AU"/>
              </w:rPr>
              <w:t>: Simply because two or more otherwise unrelated businesses share premises does not result in them being grouped – there must be a common use of employees as in the above example.</w:t>
            </w:r>
          </w:p>
        </w:tc>
      </w:tr>
    </w:tbl>
    <w:p w14:paraId="3E82EECD" w14:textId="77777777" w:rsidR="00375B9D" w:rsidRPr="00375B9D" w:rsidRDefault="00375B9D" w:rsidP="00375B9D">
      <w:pPr>
        <w:rPr>
          <w:noProof/>
          <w:lang w:eastAsia="en-AU"/>
        </w:rPr>
      </w:pPr>
    </w:p>
    <w:p w14:paraId="400FF5E1" w14:textId="77777777" w:rsidR="00375B9D" w:rsidRPr="00375B9D" w:rsidRDefault="00375B9D" w:rsidP="00375B9D">
      <w:pPr>
        <w:rPr>
          <w:noProof/>
          <w:lang w:eastAsia="en-AU"/>
        </w:rPr>
      </w:pPr>
      <w:r w:rsidRPr="00375B9D">
        <w:rPr>
          <w:noProof/>
          <w:lang w:eastAsia="en-AU"/>
        </w:rPr>
        <w:br w:type="page"/>
      </w:r>
    </w:p>
    <w:p w14:paraId="3F58968D" w14:textId="77777777" w:rsidR="00375B9D" w:rsidRPr="00375B9D" w:rsidRDefault="00375B9D" w:rsidP="00A7303B">
      <w:pPr>
        <w:pStyle w:val="Heading2"/>
      </w:pPr>
      <w:bookmarkStart w:id="89" w:name="_Toc467842755"/>
      <w:bookmarkStart w:id="90" w:name="_Ref108099224"/>
      <w:bookmarkStart w:id="91" w:name="_Toc108789594"/>
      <w:r w:rsidRPr="00375B9D">
        <w:lastRenderedPageBreak/>
        <w:t xml:space="preserve">Who </w:t>
      </w:r>
      <w:r w:rsidR="00B01C7D">
        <w:t>h</w:t>
      </w:r>
      <w:r w:rsidR="009E4EAB">
        <w:t xml:space="preserve">as a </w:t>
      </w:r>
      <w:r w:rsidR="00B01C7D">
        <w:t>c</w:t>
      </w:r>
      <w:r w:rsidRPr="00375B9D">
        <w:t xml:space="preserve">ontrolling </w:t>
      </w:r>
      <w:r w:rsidR="00B01C7D">
        <w:t>i</w:t>
      </w:r>
      <w:r w:rsidR="009E4EAB">
        <w:t>nterest</w:t>
      </w:r>
      <w:r w:rsidRPr="00375B9D">
        <w:t xml:space="preserve"> in </w:t>
      </w:r>
      <w:r w:rsidR="00B01C7D">
        <w:t>v</w:t>
      </w:r>
      <w:r w:rsidRPr="00375B9D">
        <w:t xml:space="preserve">arious </w:t>
      </w:r>
      <w:r w:rsidR="00B01C7D">
        <w:t>b</w:t>
      </w:r>
      <w:r w:rsidRPr="00375B9D">
        <w:t xml:space="preserve">usiness </w:t>
      </w:r>
      <w:r w:rsidR="00B01C7D">
        <w:t>s</w:t>
      </w:r>
      <w:r w:rsidRPr="00375B9D">
        <w:t>tructures?</w:t>
      </w:r>
      <w:bookmarkEnd w:id="89"/>
      <w:bookmarkEnd w:id="90"/>
      <w:bookmarkEnd w:id="91"/>
    </w:p>
    <w:p w14:paraId="44946295" w14:textId="77777777" w:rsidR="00375B9D" w:rsidRPr="00375B9D" w:rsidRDefault="00375B9D" w:rsidP="00375B9D">
      <w:pPr>
        <w:rPr>
          <w:noProof/>
          <w:lang w:eastAsia="en-AU"/>
        </w:rPr>
      </w:pPr>
      <w:r w:rsidRPr="00375B9D">
        <w:rPr>
          <w:noProof/>
          <w:lang w:eastAsia="en-AU"/>
        </w:rPr>
        <w:t>Establishing who has a controlling interest in a business is fundamental, in most cases, to determining whether a group exists for payroll tax purposes.</w:t>
      </w:r>
    </w:p>
    <w:p w14:paraId="0B96D349" w14:textId="77777777" w:rsidR="00375B9D" w:rsidRPr="00375B9D" w:rsidRDefault="00375B9D" w:rsidP="00375B9D">
      <w:pPr>
        <w:rPr>
          <w:noProof/>
          <w:lang w:eastAsia="en-AU"/>
        </w:rPr>
      </w:pPr>
      <w:r w:rsidRPr="00375B9D">
        <w:rPr>
          <w:noProof/>
          <w:lang w:eastAsia="en-AU"/>
        </w:rPr>
        <w:t xml:space="preserve">The table </w:t>
      </w:r>
      <w:r w:rsidRPr="00375B9D">
        <w:rPr>
          <w:noProof/>
          <w:lang w:eastAsia="en-AU"/>
        </w:rPr>
        <w:fldChar w:fldCharType="begin"/>
      </w:r>
      <w:r w:rsidRPr="00375B9D">
        <w:rPr>
          <w:noProof/>
          <w:lang w:eastAsia="en-AU"/>
        </w:rPr>
        <w:instrText xml:space="preserve"> PAGEREF TableBusinessStructuresControllngIntere \p \h </w:instrText>
      </w:r>
      <w:r w:rsidRPr="00375B9D">
        <w:rPr>
          <w:noProof/>
          <w:lang w:eastAsia="en-AU"/>
        </w:rPr>
      </w:r>
      <w:r w:rsidRPr="00375B9D">
        <w:rPr>
          <w:noProof/>
          <w:lang w:eastAsia="en-AU"/>
        </w:rPr>
        <w:fldChar w:fldCharType="separate"/>
      </w:r>
      <w:r w:rsidR="002A4C93">
        <w:rPr>
          <w:noProof/>
          <w:lang w:eastAsia="en-AU"/>
        </w:rPr>
        <w:t>on page 60</w:t>
      </w:r>
      <w:r w:rsidRPr="00375B9D">
        <w:rPr>
          <w:noProof/>
          <w:lang w:eastAsia="en-AU"/>
        </w:rPr>
        <w:fldChar w:fldCharType="end"/>
      </w:r>
      <w:r w:rsidRPr="00375B9D">
        <w:rPr>
          <w:noProof/>
          <w:lang w:eastAsia="en-AU"/>
        </w:rPr>
        <w:t xml:space="preserve"> includes examples for the majority of business structures used by taxpayers and employers in the NT.</w:t>
      </w:r>
    </w:p>
    <w:p w14:paraId="3434533D" w14:textId="77777777" w:rsidR="00375B9D" w:rsidRPr="00375B9D" w:rsidRDefault="00375B9D" w:rsidP="00375B9D">
      <w:pPr>
        <w:rPr>
          <w:noProof/>
          <w:lang w:eastAsia="en-AU"/>
        </w:rPr>
      </w:pPr>
      <w:r w:rsidRPr="00375B9D">
        <w:rPr>
          <w:noProof/>
          <w:lang w:eastAsia="en-AU"/>
        </w:rPr>
        <w:t>It should be noted that the persons with controlling interest in these examples are based upon the legal capacity (or deemed legal capacity) of a person or persons to exercise that controlling interest, regardless of whether that control is ever exercised in practice. Under this principle, there may be two unrelated or non-overlapping groups of persons with simultaneously existing controlling interests, which in practice, could not be exercised simultaneously. However, because of the PRTA provisions, these two sets of persons are effectively deemed to both have separate and simultaneous control. This is a fundamental aspect of the controlling interest and grouping provisions of the PRTA.</w:t>
      </w:r>
    </w:p>
    <w:tbl>
      <w:tblPr>
        <w:tblStyle w:val="DTFpayrolltaxguidestyle1"/>
        <w:tblW w:w="10343" w:type="dxa"/>
        <w:tblLook w:val="04A0" w:firstRow="1" w:lastRow="0" w:firstColumn="1" w:lastColumn="0" w:noHBand="0" w:noVBand="1"/>
        <w:tblDescription w:val="Example 1: A business carried on by a company may have five directors (named A, B, C, D and E); but three individual shareholders (named F, G and H, who each hold 33.3% of the voting shares (and, none of whom are directors)."/>
      </w:tblPr>
      <w:tblGrid>
        <w:gridCol w:w="10343"/>
      </w:tblGrid>
      <w:tr w:rsidR="00375B9D" w:rsidRPr="00375B9D" w14:paraId="6D1B66C9" w14:textId="77777777" w:rsidTr="00937629">
        <w:trPr>
          <w:trHeight w:val="2752"/>
          <w:tblHeader/>
        </w:trPr>
        <w:tc>
          <w:tcPr>
            <w:tcW w:w="10343" w:type="dxa"/>
          </w:tcPr>
          <w:p w14:paraId="566A1C15" w14:textId="77777777" w:rsidR="00375B9D" w:rsidRPr="00375B9D" w:rsidRDefault="00375B9D" w:rsidP="00375B9D">
            <w:pPr>
              <w:spacing w:after="200"/>
              <w:rPr>
                <w:noProof/>
                <w:lang w:eastAsia="en-AU"/>
              </w:rPr>
            </w:pPr>
            <w:r w:rsidRPr="00375B9D">
              <w:rPr>
                <w:b/>
                <w:noProof/>
                <w:lang w:eastAsia="en-AU"/>
              </w:rPr>
              <w:t>Example 1</w:t>
            </w:r>
            <w:r w:rsidRPr="00375B9D">
              <w:rPr>
                <w:noProof/>
                <w:lang w:eastAsia="en-AU"/>
              </w:rPr>
              <w:t>: A business carried on by a company may have five directors (named A, B, C, D and E); but three individual shareholders (named F, G and H, who each hold 33.3% of the voting shares (and none of whom are directors).</w:t>
            </w:r>
          </w:p>
          <w:p w14:paraId="3FC43210" w14:textId="77777777" w:rsidR="00375B9D" w:rsidRPr="00375B9D" w:rsidRDefault="00375B9D" w:rsidP="008611EA">
            <w:pPr>
              <w:spacing w:after="120"/>
              <w:rPr>
                <w:noProof/>
                <w:lang w:eastAsia="en-AU"/>
              </w:rPr>
            </w:pPr>
            <w:r w:rsidRPr="00375B9D">
              <w:rPr>
                <w:noProof/>
                <w:lang w:eastAsia="en-AU"/>
              </w:rPr>
              <w:t>Under the controlling interest provisions, any of the following sets of people are deemed to simultaneously have a controlling interest in the business (whether or not such controlling interests are ever exercised is not relevant – it is the deemed capacity to exercise a controlling interest that is relevant):</w:t>
            </w:r>
          </w:p>
          <w:p w14:paraId="64C160E2" w14:textId="77777777" w:rsidR="00375B9D" w:rsidRPr="00375B9D" w:rsidRDefault="00375B9D" w:rsidP="008611EA">
            <w:pPr>
              <w:pStyle w:val="DTFBulletlist"/>
              <w:spacing w:after="120"/>
            </w:pPr>
            <w:r w:rsidRPr="00375B9D">
              <w:t>any three or more of the directors A, B, C, D or E</w:t>
            </w:r>
          </w:p>
          <w:p w14:paraId="69AEAC78" w14:textId="77777777" w:rsidR="00375B9D" w:rsidRPr="00375B9D" w:rsidRDefault="00375B9D" w:rsidP="00AE756D">
            <w:pPr>
              <w:pStyle w:val="DTFBulletlist"/>
            </w:pPr>
            <w:r w:rsidRPr="00375B9D">
              <w:t>any two or more of the shareholders F, G and H.</w:t>
            </w:r>
          </w:p>
        </w:tc>
      </w:tr>
    </w:tbl>
    <w:p w14:paraId="4F431C23" w14:textId="77777777" w:rsidR="00375B9D" w:rsidRDefault="00375B9D" w:rsidP="008611EA">
      <w:pPr>
        <w:spacing w:after="0"/>
        <w:rPr>
          <w:noProof/>
          <w:lang w:eastAsia="en-AU"/>
        </w:rPr>
      </w:pPr>
    </w:p>
    <w:tbl>
      <w:tblPr>
        <w:tblStyle w:val="DTFpayrolltaxguidestyle1"/>
        <w:tblW w:w="10343" w:type="dxa"/>
        <w:tblLook w:val="04A0" w:firstRow="1" w:lastRow="0" w:firstColumn="1" w:lastColumn="0" w:noHBand="0" w:noVBand="1"/>
        <w:tblDescription w:val="Example 2: A business has been carried on under a family trust for many years. The trust deed clearly indicates (through the unfettered powers provided to the trustee) that the trust is discretionary in nature, in common with the vast majority of family trusts. There are three beneficiaries – Wife A, Husband B and Daughter C, each of whom works in the family restaurant business."/>
      </w:tblPr>
      <w:tblGrid>
        <w:gridCol w:w="10343"/>
      </w:tblGrid>
      <w:tr w:rsidR="00375B9D" w:rsidRPr="00375B9D" w14:paraId="2D96504B" w14:textId="77777777" w:rsidTr="00937629">
        <w:trPr>
          <w:trHeight w:val="5601"/>
          <w:tblHeader/>
        </w:trPr>
        <w:tc>
          <w:tcPr>
            <w:tcW w:w="10343" w:type="dxa"/>
          </w:tcPr>
          <w:p w14:paraId="5C9B52F0" w14:textId="77777777" w:rsidR="00375B9D" w:rsidRPr="00375B9D" w:rsidRDefault="00375B9D" w:rsidP="00375B9D">
            <w:pPr>
              <w:spacing w:after="200"/>
              <w:rPr>
                <w:noProof/>
                <w:lang w:eastAsia="en-AU"/>
              </w:rPr>
            </w:pPr>
            <w:r w:rsidRPr="00375B9D">
              <w:rPr>
                <w:b/>
                <w:noProof/>
                <w:lang w:eastAsia="en-AU"/>
              </w:rPr>
              <w:t>Example 2</w:t>
            </w:r>
            <w:r w:rsidRPr="00375B9D">
              <w:rPr>
                <w:noProof/>
                <w:lang w:eastAsia="en-AU"/>
              </w:rPr>
              <w:t>: A business has been carried on under a family trust for many years. The trust deed clearly indicates (through the unfettered powers provided to the trustee) that the trust is discretionary in nature, in common with the vast majority of family trusts. There are three beneficiaries – wife A, husband B and daughter C, each of whom works in the family restaurant business.</w:t>
            </w:r>
          </w:p>
          <w:p w14:paraId="4DC9B46D" w14:textId="77777777" w:rsidR="00375B9D" w:rsidRPr="00375B9D" w:rsidRDefault="00375B9D" w:rsidP="008611EA">
            <w:pPr>
              <w:spacing w:after="120"/>
              <w:rPr>
                <w:noProof/>
                <w:lang w:eastAsia="en-AU"/>
              </w:rPr>
            </w:pPr>
            <w:r w:rsidRPr="00375B9D">
              <w:rPr>
                <w:noProof/>
                <w:lang w:eastAsia="en-AU"/>
              </w:rPr>
              <w:t>In practice, for each of the last 10 years since the business and trust was established, the trustee has apportioned all distributions from the trust equally between the three beneficiaries (i.e. 33.3% each). Under the controlling interest provisions, as they relate to businesses carried on under a discretionary trust, any of the following sets of people are deemed to simultaneously have a controlling interest in the business (whether or not such controlling interests are ever exercised is not relevant – it is the deemed capacity to exercise a controlling interest that is relevant):</w:t>
            </w:r>
          </w:p>
          <w:p w14:paraId="4E1BA15F" w14:textId="77777777" w:rsidR="00375B9D" w:rsidRPr="00375B9D" w:rsidRDefault="00375B9D" w:rsidP="008611EA">
            <w:pPr>
              <w:pStyle w:val="DTFBulletlist"/>
              <w:spacing w:after="120"/>
            </w:pPr>
            <w:r w:rsidRPr="00375B9D">
              <w:t>wife A alone</w:t>
            </w:r>
          </w:p>
          <w:p w14:paraId="150AA94F" w14:textId="77777777" w:rsidR="00375B9D" w:rsidRPr="00375B9D" w:rsidRDefault="00375B9D" w:rsidP="008611EA">
            <w:pPr>
              <w:pStyle w:val="DTFBulletlist"/>
              <w:spacing w:after="120"/>
            </w:pPr>
            <w:r w:rsidRPr="00375B9D">
              <w:t>husband B alone</w:t>
            </w:r>
          </w:p>
          <w:p w14:paraId="550DEF79" w14:textId="77777777" w:rsidR="00375B9D" w:rsidRPr="00375B9D" w:rsidRDefault="00375B9D" w:rsidP="008611EA">
            <w:pPr>
              <w:pStyle w:val="DTFBulletlist"/>
              <w:spacing w:after="120"/>
            </w:pPr>
            <w:r w:rsidRPr="00375B9D">
              <w:t>daughter C alone</w:t>
            </w:r>
          </w:p>
          <w:p w14:paraId="12A8E281" w14:textId="77777777" w:rsidR="00375B9D" w:rsidRPr="00375B9D" w:rsidRDefault="00375B9D" w:rsidP="008611EA">
            <w:pPr>
              <w:pStyle w:val="DTFBulletlist"/>
              <w:spacing w:after="120"/>
            </w:pPr>
            <w:r w:rsidRPr="00375B9D">
              <w:t>any two or more of the above three together.</w:t>
            </w:r>
          </w:p>
          <w:p w14:paraId="740637C4" w14:textId="77777777" w:rsidR="00375B9D" w:rsidRPr="00375B9D" w:rsidRDefault="00375B9D" w:rsidP="008611EA">
            <w:pPr>
              <w:spacing w:after="120"/>
              <w:rPr>
                <w:noProof/>
                <w:lang w:eastAsia="en-AU"/>
              </w:rPr>
            </w:pPr>
            <w:r w:rsidRPr="00375B9D">
              <w:rPr>
                <w:noProof/>
                <w:lang w:eastAsia="en-AU"/>
              </w:rPr>
              <w:t>The practical outcome of this situation means that if any of the three individual beneficiaries were to commence carrying on the business as a sole trader in another venture, that business would automatically be grouped with the business carried on under the family trust (exposing their personal assets to collection activity if the trust’s business was to default on its payroll tax debts).</w:t>
            </w:r>
          </w:p>
        </w:tc>
      </w:tr>
    </w:tbl>
    <w:p w14:paraId="7A930AE9" w14:textId="77777777" w:rsidR="00375B9D" w:rsidRPr="00375B9D" w:rsidRDefault="005A3EA5" w:rsidP="00A7303B">
      <w:pPr>
        <w:pStyle w:val="Heading2"/>
      </w:pPr>
      <w:bookmarkStart w:id="92" w:name="TableBusinessStructuresControllngIntere"/>
      <w:bookmarkStart w:id="93" w:name="_Toc108789595"/>
      <w:r>
        <w:lastRenderedPageBreak/>
        <w:t>B</w:t>
      </w:r>
      <w:r w:rsidR="00375B9D" w:rsidRPr="00375B9D">
        <w:t xml:space="preserve">usiness </w:t>
      </w:r>
      <w:r w:rsidR="00450326">
        <w:t>s</w:t>
      </w:r>
      <w:r w:rsidR="00375B9D" w:rsidRPr="00375B9D">
        <w:t xml:space="preserve">tructures and </w:t>
      </w:r>
      <w:r w:rsidR="00450326">
        <w:t>c</w:t>
      </w:r>
      <w:r w:rsidR="00375B9D" w:rsidRPr="00375B9D">
        <w:t xml:space="preserve">ontrolling </w:t>
      </w:r>
      <w:r w:rsidR="00450326">
        <w:t>i</w:t>
      </w:r>
      <w:r w:rsidR="00375B9D" w:rsidRPr="00375B9D">
        <w:t>nterests</w:t>
      </w:r>
      <w:bookmarkEnd w:id="92"/>
      <w:bookmarkEnd w:id="93"/>
    </w:p>
    <w:tbl>
      <w:tblPr>
        <w:tblStyle w:val="NTGtable1"/>
        <w:tblW w:w="0" w:type="auto"/>
        <w:tblLook w:val="04A0" w:firstRow="1" w:lastRow="0" w:firstColumn="1" w:lastColumn="0" w:noHBand="0" w:noVBand="1"/>
        <w:tblDescription w:val="Table – Business Structures and Controlling Interests"/>
      </w:tblPr>
      <w:tblGrid>
        <w:gridCol w:w="608"/>
        <w:gridCol w:w="1682"/>
        <w:gridCol w:w="1533"/>
        <w:gridCol w:w="1984"/>
        <w:gridCol w:w="1921"/>
        <w:gridCol w:w="2580"/>
      </w:tblGrid>
      <w:tr w:rsidR="00FD3D5C" w:rsidRPr="00375B9D" w14:paraId="3A798E4E" w14:textId="77777777" w:rsidTr="00E038E1">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08" w:type="dxa"/>
            <w:vAlign w:val="top"/>
            <w:hideMark/>
          </w:tcPr>
          <w:p w14:paraId="7616794A" w14:textId="77777777" w:rsidR="00375B9D" w:rsidRPr="00375B9D" w:rsidRDefault="00375B9D" w:rsidP="00375B9D">
            <w:pPr>
              <w:rPr>
                <w:noProof/>
                <w:lang w:eastAsia="en-AU"/>
              </w:rPr>
            </w:pPr>
            <w:r w:rsidRPr="00375B9D">
              <w:rPr>
                <w:noProof/>
                <w:lang w:eastAsia="en-AU"/>
              </w:rPr>
              <w:t>Ref.</w:t>
            </w:r>
          </w:p>
        </w:tc>
        <w:tc>
          <w:tcPr>
            <w:tcW w:w="1682" w:type="dxa"/>
            <w:vAlign w:val="top"/>
            <w:hideMark/>
          </w:tcPr>
          <w:p w14:paraId="5737F468" w14:textId="77777777" w:rsidR="00375B9D" w:rsidRPr="00375B9D" w:rsidRDefault="00375B9D" w:rsidP="00375B9D">
            <w:pPr>
              <w:cnfStyle w:val="100000000000" w:firstRow="1" w:lastRow="0" w:firstColumn="0" w:lastColumn="0" w:oddVBand="0" w:evenVBand="0" w:oddHBand="0" w:evenHBand="0" w:firstRowFirstColumn="0" w:firstRowLastColumn="0" w:lastRowFirstColumn="0" w:lastRowLastColumn="0"/>
              <w:rPr>
                <w:noProof/>
                <w:lang w:eastAsia="en-AU"/>
              </w:rPr>
            </w:pPr>
            <w:r w:rsidRPr="00375B9D">
              <w:rPr>
                <w:noProof/>
                <w:lang w:eastAsia="en-AU"/>
              </w:rPr>
              <w:t>Business structure</w:t>
            </w:r>
          </w:p>
        </w:tc>
        <w:tc>
          <w:tcPr>
            <w:tcW w:w="1533" w:type="dxa"/>
            <w:vAlign w:val="top"/>
            <w:hideMark/>
          </w:tcPr>
          <w:p w14:paraId="18A8229C" w14:textId="77777777" w:rsidR="00375B9D" w:rsidRPr="00375B9D" w:rsidRDefault="00375B9D" w:rsidP="00375B9D">
            <w:pPr>
              <w:cnfStyle w:val="100000000000" w:firstRow="1" w:lastRow="0" w:firstColumn="0" w:lastColumn="0" w:oddVBand="0" w:evenVBand="0" w:oddHBand="0" w:evenHBand="0" w:firstRowFirstColumn="0" w:firstRowLastColumn="0" w:lastRowFirstColumn="0" w:lastRowLastColumn="0"/>
              <w:rPr>
                <w:noProof/>
                <w:lang w:eastAsia="en-AU"/>
              </w:rPr>
            </w:pPr>
            <w:r w:rsidRPr="00375B9D">
              <w:rPr>
                <w:noProof/>
                <w:lang w:eastAsia="en-AU"/>
              </w:rPr>
              <w:t>Who has the controlling interest?</w:t>
            </w:r>
          </w:p>
        </w:tc>
        <w:tc>
          <w:tcPr>
            <w:tcW w:w="1984" w:type="dxa"/>
            <w:vAlign w:val="top"/>
            <w:hideMark/>
          </w:tcPr>
          <w:p w14:paraId="05447293" w14:textId="77777777" w:rsidR="00375B9D" w:rsidRPr="00375B9D" w:rsidRDefault="00375B9D" w:rsidP="00375B9D">
            <w:pPr>
              <w:cnfStyle w:val="100000000000" w:firstRow="1" w:lastRow="0" w:firstColumn="0" w:lastColumn="0" w:oddVBand="0" w:evenVBand="0" w:oddHBand="0" w:evenHBand="0" w:firstRowFirstColumn="0" w:firstRowLastColumn="0" w:lastRowFirstColumn="0" w:lastRowLastColumn="0"/>
              <w:rPr>
                <w:noProof/>
                <w:lang w:eastAsia="en-AU"/>
              </w:rPr>
            </w:pPr>
            <w:r w:rsidRPr="00375B9D">
              <w:rPr>
                <w:noProof/>
                <w:lang w:eastAsia="en-AU"/>
              </w:rPr>
              <w:t>Example(s)</w:t>
            </w:r>
          </w:p>
        </w:tc>
        <w:tc>
          <w:tcPr>
            <w:tcW w:w="1921" w:type="dxa"/>
            <w:vAlign w:val="top"/>
            <w:hideMark/>
          </w:tcPr>
          <w:p w14:paraId="2DEC11D9" w14:textId="77777777" w:rsidR="00375B9D" w:rsidRPr="00375B9D" w:rsidRDefault="00375B9D" w:rsidP="00375B9D">
            <w:pPr>
              <w:cnfStyle w:val="100000000000" w:firstRow="1" w:lastRow="0" w:firstColumn="0" w:lastColumn="0" w:oddVBand="0" w:evenVBand="0" w:oddHBand="0" w:evenHBand="0" w:firstRowFirstColumn="0" w:firstRowLastColumn="0" w:lastRowFirstColumn="0" w:lastRowLastColumn="0"/>
              <w:rPr>
                <w:noProof/>
                <w:lang w:eastAsia="en-AU"/>
              </w:rPr>
            </w:pPr>
            <w:r w:rsidRPr="00375B9D">
              <w:rPr>
                <w:noProof/>
                <w:lang w:eastAsia="en-AU"/>
              </w:rPr>
              <w:t>Who has the controlling interest?</w:t>
            </w:r>
          </w:p>
        </w:tc>
        <w:tc>
          <w:tcPr>
            <w:tcW w:w="2580" w:type="dxa"/>
            <w:vAlign w:val="top"/>
            <w:hideMark/>
          </w:tcPr>
          <w:p w14:paraId="54757E42" w14:textId="77777777" w:rsidR="00375B9D" w:rsidRPr="00375B9D" w:rsidRDefault="00375B9D" w:rsidP="00375B9D">
            <w:pPr>
              <w:cnfStyle w:val="100000000000" w:firstRow="1" w:lastRow="0" w:firstColumn="0" w:lastColumn="0" w:oddVBand="0" w:evenVBand="0" w:oddHBand="0" w:evenHBand="0" w:firstRowFirstColumn="0" w:firstRowLastColumn="0" w:lastRowFirstColumn="0" w:lastRowLastColumn="0"/>
              <w:rPr>
                <w:noProof/>
                <w:lang w:eastAsia="en-AU"/>
              </w:rPr>
            </w:pPr>
            <w:r w:rsidRPr="00375B9D">
              <w:rPr>
                <w:noProof/>
                <w:lang w:eastAsia="en-AU"/>
              </w:rPr>
              <w:t>Comment/explanatory notes</w:t>
            </w:r>
          </w:p>
        </w:tc>
      </w:tr>
      <w:tr w:rsidR="001A2447" w:rsidRPr="00375B9D" w14:paraId="13A80DDD" w14:textId="77777777" w:rsidTr="001A24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8" w:type="dxa"/>
            <w:vAlign w:val="top"/>
            <w:hideMark/>
          </w:tcPr>
          <w:p w14:paraId="6455287D" w14:textId="77777777" w:rsidR="00375B9D" w:rsidRPr="001A2447" w:rsidRDefault="00375B9D" w:rsidP="001A2447">
            <w:pPr>
              <w:rPr>
                <w:noProof/>
                <w:sz w:val="20"/>
                <w:szCs w:val="20"/>
                <w:lang w:eastAsia="en-AU"/>
              </w:rPr>
            </w:pPr>
            <w:r w:rsidRPr="001A2447">
              <w:rPr>
                <w:noProof/>
                <w:sz w:val="20"/>
                <w:szCs w:val="20"/>
                <w:lang w:eastAsia="en-AU"/>
              </w:rPr>
              <w:t>1</w:t>
            </w:r>
          </w:p>
        </w:tc>
        <w:tc>
          <w:tcPr>
            <w:tcW w:w="1682" w:type="dxa"/>
            <w:vAlign w:val="top"/>
            <w:hideMark/>
          </w:tcPr>
          <w:p w14:paraId="31FF41AA"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Sole trader/individual</w:t>
            </w:r>
          </w:p>
        </w:tc>
        <w:tc>
          <w:tcPr>
            <w:tcW w:w="1533" w:type="dxa"/>
            <w:vAlign w:val="top"/>
            <w:hideMark/>
          </w:tcPr>
          <w:p w14:paraId="2886F312"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The individual person (sole trader)</w:t>
            </w:r>
          </w:p>
        </w:tc>
        <w:tc>
          <w:tcPr>
            <w:tcW w:w="1984" w:type="dxa"/>
            <w:vAlign w:val="top"/>
            <w:hideMark/>
          </w:tcPr>
          <w:p w14:paraId="5C27CAFC"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Dave Devonshire.</w:t>
            </w:r>
          </w:p>
        </w:tc>
        <w:tc>
          <w:tcPr>
            <w:tcW w:w="1921" w:type="dxa"/>
            <w:vAlign w:val="top"/>
            <w:hideMark/>
          </w:tcPr>
          <w:p w14:paraId="7DA31064"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Dave Devonshire as the individual person.</w:t>
            </w:r>
          </w:p>
        </w:tc>
        <w:tc>
          <w:tcPr>
            <w:tcW w:w="2580" w:type="dxa"/>
            <w:vAlign w:val="top"/>
            <w:hideMark/>
          </w:tcPr>
          <w:p w14:paraId="73B8CD47"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The legal entity is ‘Dave Devonshire’, the natural person.</w:t>
            </w:r>
          </w:p>
        </w:tc>
      </w:tr>
      <w:tr w:rsidR="00FD3D5C" w:rsidRPr="00375B9D" w14:paraId="314659ED" w14:textId="77777777" w:rsidTr="001A244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8" w:type="dxa"/>
            <w:vAlign w:val="top"/>
            <w:hideMark/>
          </w:tcPr>
          <w:p w14:paraId="31288E82" w14:textId="77777777" w:rsidR="00375B9D" w:rsidRPr="001A2447" w:rsidRDefault="00375B9D" w:rsidP="001A2447">
            <w:pPr>
              <w:rPr>
                <w:noProof/>
                <w:sz w:val="20"/>
                <w:szCs w:val="20"/>
                <w:lang w:eastAsia="en-AU"/>
              </w:rPr>
            </w:pPr>
            <w:r w:rsidRPr="001A2447">
              <w:rPr>
                <w:noProof/>
                <w:sz w:val="20"/>
                <w:szCs w:val="20"/>
                <w:lang w:eastAsia="en-AU"/>
              </w:rPr>
              <w:t>2</w:t>
            </w:r>
          </w:p>
        </w:tc>
        <w:tc>
          <w:tcPr>
            <w:tcW w:w="1682" w:type="dxa"/>
            <w:vAlign w:val="top"/>
            <w:hideMark/>
          </w:tcPr>
          <w:p w14:paraId="7BEFE60B"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Sole trader/individual using business name or trading name</w:t>
            </w:r>
          </w:p>
        </w:tc>
        <w:tc>
          <w:tcPr>
            <w:tcW w:w="1533" w:type="dxa"/>
            <w:vAlign w:val="top"/>
            <w:hideMark/>
          </w:tcPr>
          <w:p w14:paraId="3D592583"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The individual person (sole trader)</w:t>
            </w:r>
          </w:p>
        </w:tc>
        <w:tc>
          <w:tcPr>
            <w:tcW w:w="1984" w:type="dxa"/>
            <w:vAlign w:val="top"/>
            <w:hideMark/>
          </w:tcPr>
          <w:p w14:paraId="2000F3A0"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Dave Devonshire trading as Dave’s Diving School.</w:t>
            </w:r>
          </w:p>
        </w:tc>
        <w:tc>
          <w:tcPr>
            <w:tcW w:w="1921" w:type="dxa"/>
            <w:vAlign w:val="top"/>
            <w:hideMark/>
          </w:tcPr>
          <w:p w14:paraId="5F8EFD37"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Dave Devonshire as the individual person.</w:t>
            </w:r>
          </w:p>
        </w:tc>
        <w:tc>
          <w:tcPr>
            <w:tcW w:w="2580" w:type="dxa"/>
            <w:vAlign w:val="top"/>
            <w:hideMark/>
          </w:tcPr>
          <w:p w14:paraId="0B951AC0"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The legal entity is ‘Dave Devonshire’, the natural person.</w:t>
            </w:r>
          </w:p>
          <w:p w14:paraId="722FDD36"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The business name or trading name has no legal status for grouping or payroll tax purposes – it is for advertising and customer information purposes only.</w:t>
            </w:r>
          </w:p>
        </w:tc>
      </w:tr>
      <w:tr w:rsidR="001A2447" w:rsidRPr="00375B9D" w14:paraId="0033B205" w14:textId="77777777" w:rsidTr="001A24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8" w:type="dxa"/>
            <w:vAlign w:val="top"/>
            <w:hideMark/>
          </w:tcPr>
          <w:p w14:paraId="72F4B5EE" w14:textId="77777777" w:rsidR="00375B9D" w:rsidRPr="001A2447" w:rsidRDefault="00375B9D" w:rsidP="001A2447">
            <w:pPr>
              <w:rPr>
                <w:noProof/>
                <w:sz w:val="20"/>
                <w:szCs w:val="20"/>
                <w:lang w:eastAsia="en-AU"/>
              </w:rPr>
            </w:pPr>
            <w:r w:rsidRPr="001A2447">
              <w:rPr>
                <w:noProof/>
                <w:sz w:val="20"/>
                <w:szCs w:val="20"/>
                <w:lang w:eastAsia="en-AU"/>
              </w:rPr>
              <w:t>3</w:t>
            </w:r>
          </w:p>
        </w:tc>
        <w:tc>
          <w:tcPr>
            <w:tcW w:w="1682" w:type="dxa"/>
            <w:vAlign w:val="top"/>
            <w:hideMark/>
          </w:tcPr>
          <w:p w14:paraId="30F46DB0"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Individual natural person acting as a sole trustee</w:t>
            </w:r>
          </w:p>
        </w:tc>
        <w:tc>
          <w:tcPr>
            <w:tcW w:w="1533" w:type="dxa"/>
            <w:vAlign w:val="top"/>
            <w:hideMark/>
          </w:tcPr>
          <w:p w14:paraId="2C20C717"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The individual person</w:t>
            </w:r>
          </w:p>
        </w:tc>
        <w:tc>
          <w:tcPr>
            <w:tcW w:w="1984" w:type="dxa"/>
            <w:vAlign w:val="top"/>
            <w:hideMark/>
          </w:tcPr>
          <w:p w14:paraId="00828225"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Dave Devonshire as trustee for the Dave Family Trust trading as Dave’s Diving School.</w:t>
            </w:r>
          </w:p>
        </w:tc>
        <w:tc>
          <w:tcPr>
            <w:tcW w:w="1921" w:type="dxa"/>
            <w:vAlign w:val="top"/>
            <w:hideMark/>
          </w:tcPr>
          <w:p w14:paraId="29C76F2E"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Dave Devonshire as the individual person (in the capacity of trustee).</w:t>
            </w:r>
          </w:p>
        </w:tc>
        <w:tc>
          <w:tcPr>
            <w:tcW w:w="2580" w:type="dxa"/>
            <w:vAlign w:val="top"/>
            <w:hideMark/>
          </w:tcPr>
          <w:p w14:paraId="6300F1DB"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The business name or trading name has no legal status for grouping or payroll tax purposes – it is for advertising and customer information purposes only.</w:t>
            </w:r>
          </w:p>
          <w:p w14:paraId="364B421A"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The business entity is ‘Dave Devonshire as trustee for the Dave Family Trust’.</w:t>
            </w:r>
          </w:p>
        </w:tc>
      </w:tr>
      <w:tr w:rsidR="00FD3D5C" w:rsidRPr="00375B9D" w14:paraId="318CE8B4" w14:textId="77777777" w:rsidTr="001A2447">
        <w:trPr>
          <w:cnfStyle w:val="000000010000" w:firstRow="0" w:lastRow="0" w:firstColumn="0" w:lastColumn="0" w:oddVBand="0" w:evenVBand="0" w:oddHBand="0" w:evenHBand="1" w:firstRowFirstColumn="0" w:firstRowLastColumn="0" w:lastRowFirstColumn="0" w:lastRowLastColumn="0"/>
          <w:cantSplit/>
          <w:trHeight w:val="542"/>
        </w:trPr>
        <w:tc>
          <w:tcPr>
            <w:cnfStyle w:val="001000000000" w:firstRow="0" w:lastRow="0" w:firstColumn="1" w:lastColumn="0" w:oddVBand="0" w:evenVBand="0" w:oddHBand="0" w:evenHBand="0" w:firstRowFirstColumn="0" w:firstRowLastColumn="0" w:lastRowFirstColumn="0" w:lastRowLastColumn="0"/>
            <w:tcW w:w="608" w:type="dxa"/>
            <w:vAlign w:val="top"/>
            <w:hideMark/>
          </w:tcPr>
          <w:p w14:paraId="5A4123BC" w14:textId="77777777" w:rsidR="00375B9D" w:rsidRPr="001A2447" w:rsidRDefault="00375B9D" w:rsidP="001A2447">
            <w:pPr>
              <w:rPr>
                <w:noProof/>
                <w:sz w:val="20"/>
                <w:szCs w:val="20"/>
                <w:lang w:eastAsia="en-AU"/>
              </w:rPr>
            </w:pPr>
            <w:r w:rsidRPr="001A2447">
              <w:rPr>
                <w:noProof/>
                <w:sz w:val="20"/>
                <w:szCs w:val="20"/>
                <w:lang w:eastAsia="en-AU"/>
              </w:rPr>
              <w:t>4</w:t>
            </w:r>
          </w:p>
        </w:tc>
        <w:tc>
          <w:tcPr>
            <w:tcW w:w="1682" w:type="dxa"/>
            <w:vAlign w:val="top"/>
            <w:hideMark/>
          </w:tcPr>
          <w:p w14:paraId="1004CCCD"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Company (private or public) carrying on business in own right</w:t>
            </w:r>
          </w:p>
        </w:tc>
        <w:tc>
          <w:tcPr>
            <w:tcW w:w="1533" w:type="dxa"/>
            <w:vAlign w:val="top"/>
            <w:hideMark/>
          </w:tcPr>
          <w:p w14:paraId="23318CBF"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Majority of directors</w:t>
            </w:r>
          </w:p>
        </w:tc>
        <w:tc>
          <w:tcPr>
            <w:tcW w:w="1984" w:type="dxa"/>
            <w:vAlign w:val="top"/>
            <w:hideMark/>
          </w:tcPr>
          <w:p w14:paraId="3EF13EAC"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ABC Pty Ltd</w:t>
            </w:r>
            <w:r w:rsidR="00A73CE7">
              <w:rPr>
                <w:noProof/>
                <w:sz w:val="20"/>
                <w:szCs w:val="20"/>
                <w:lang w:eastAsia="en-AU"/>
              </w:rPr>
              <w:t>,</w:t>
            </w:r>
            <w:r w:rsidRPr="001A2447">
              <w:rPr>
                <w:noProof/>
                <w:sz w:val="20"/>
                <w:szCs w:val="20"/>
                <w:lang w:eastAsia="en-AU"/>
              </w:rPr>
              <w:t xml:space="preserve"> with two directors.</w:t>
            </w:r>
          </w:p>
        </w:tc>
        <w:tc>
          <w:tcPr>
            <w:tcW w:w="1921" w:type="dxa"/>
            <w:vAlign w:val="top"/>
            <w:hideMark/>
          </w:tcPr>
          <w:p w14:paraId="47FE2AAB"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At director level must be unanimous, as one of two is not a majority.</w:t>
            </w:r>
          </w:p>
        </w:tc>
        <w:tc>
          <w:tcPr>
            <w:tcW w:w="2580" w:type="dxa"/>
            <w:vAlign w:val="top"/>
            <w:hideMark/>
          </w:tcPr>
          <w:p w14:paraId="7CB7C852"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If ABC Pty Ltd had three directors, two would constitute a majority.</w:t>
            </w:r>
          </w:p>
        </w:tc>
      </w:tr>
      <w:tr w:rsidR="001A2447" w:rsidRPr="00375B9D" w14:paraId="35AA66EF" w14:textId="77777777" w:rsidTr="001A24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8" w:type="dxa"/>
            <w:vAlign w:val="top"/>
            <w:hideMark/>
          </w:tcPr>
          <w:p w14:paraId="05C7FF0F" w14:textId="77777777" w:rsidR="00375B9D" w:rsidRPr="001A2447" w:rsidRDefault="00375B9D" w:rsidP="001A2447">
            <w:pPr>
              <w:rPr>
                <w:noProof/>
                <w:sz w:val="20"/>
                <w:szCs w:val="20"/>
                <w:lang w:eastAsia="en-AU"/>
              </w:rPr>
            </w:pPr>
            <w:r w:rsidRPr="001A2447">
              <w:rPr>
                <w:noProof/>
                <w:sz w:val="20"/>
                <w:szCs w:val="20"/>
                <w:lang w:eastAsia="en-AU"/>
              </w:rPr>
              <w:t>5</w:t>
            </w:r>
          </w:p>
        </w:tc>
        <w:tc>
          <w:tcPr>
            <w:tcW w:w="1682" w:type="dxa"/>
            <w:vAlign w:val="top"/>
            <w:hideMark/>
          </w:tcPr>
          <w:p w14:paraId="6490A8BB"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Company (public or private) carrying on business in own right</w:t>
            </w:r>
          </w:p>
        </w:tc>
        <w:tc>
          <w:tcPr>
            <w:tcW w:w="1533" w:type="dxa"/>
            <w:vAlign w:val="top"/>
            <w:hideMark/>
          </w:tcPr>
          <w:p w14:paraId="1CA5F650"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Majority of voting shares</w:t>
            </w:r>
          </w:p>
        </w:tc>
        <w:tc>
          <w:tcPr>
            <w:tcW w:w="1984" w:type="dxa"/>
            <w:vAlign w:val="top"/>
            <w:hideMark/>
          </w:tcPr>
          <w:p w14:paraId="25E70F84"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ABC Pty Ltd has 100 voting shares, spread evenly over four individuals (25 voting shares each).</w:t>
            </w:r>
          </w:p>
        </w:tc>
        <w:tc>
          <w:tcPr>
            <w:tcW w:w="1921" w:type="dxa"/>
            <w:vAlign w:val="top"/>
            <w:hideMark/>
          </w:tcPr>
          <w:p w14:paraId="2C4AF420"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Any three of the four shareholders together would be a controlling interest.</w:t>
            </w:r>
          </w:p>
        </w:tc>
        <w:tc>
          <w:tcPr>
            <w:tcW w:w="2580" w:type="dxa"/>
            <w:vAlign w:val="top"/>
            <w:hideMark/>
          </w:tcPr>
          <w:p w14:paraId="528439CE"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Any two shareholders together represent exactly 50% of voting shares, which is not a majority, which must be greater than 50%.</w:t>
            </w:r>
          </w:p>
        </w:tc>
      </w:tr>
      <w:tr w:rsidR="00FD3D5C" w:rsidRPr="00375B9D" w14:paraId="7E3FEC91" w14:textId="77777777" w:rsidTr="001A244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8" w:type="dxa"/>
            <w:vAlign w:val="top"/>
            <w:hideMark/>
          </w:tcPr>
          <w:p w14:paraId="653BA328" w14:textId="77777777" w:rsidR="00375B9D" w:rsidRPr="001A2447" w:rsidRDefault="00375B9D" w:rsidP="001A2447">
            <w:pPr>
              <w:rPr>
                <w:noProof/>
                <w:sz w:val="20"/>
                <w:szCs w:val="20"/>
                <w:lang w:eastAsia="en-AU"/>
              </w:rPr>
            </w:pPr>
            <w:r w:rsidRPr="001A2447">
              <w:rPr>
                <w:noProof/>
                <w:sz w:val="20"/>
                <w:szCs w:val="20"/>
                <w:lang w:eastAsia="en-AU"/>
              </w:rPr>
              <w:t>6</w:t>
            </w:r>
          </w:p>
        </w:tc>
        <w:tc>
          <w:tcPr>
            <w:tcW w:w="1682" w:type="dxa"/>
            <w:vAlign w:val="top"/>
            <w:hideMark/>
          </w:tcPr>
          <w:p w14:paraId="3BEF288C"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Company (public or private) acting as trustee</w:t>
            </w:r>
          </w:p>
        </w:tc>
        <w:tc>
          <w:tcPr>
            <w:tcW w:w="1533" w:type="dxa"/>
            <w:vAlign w:val="top"/>
            <w:hideMark/>
          </w:tcPr>
          <w:p w14:paraId="60F355BA"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Majority of voting shares</w:t>
            </w:r>
          </w:p>
          <w:p w14:paraId="722CBCB9"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Majority of directors</w:t>
            </w:r>
          </w:p>
        </w:tc>
        <w:tc>
          <w:tcPr>
            <w:tcW w:w="1984" w:type="dxa"/>
            <w:vAlign w:val="top"/>
            <w:hideMark/>
          </w:tcPr>
          <w:p w14:paraId="39510496"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As per 4 and 5 above.</w:t>
            </w:r>
          </w:p>
        </w:tc>
        <w:tc>
          <w:tcPr>
            <w:tcW w:w="1921" w:type="dxa"/>
            <w:vAlign w:val="top"/>
            <w:hideMark/>
          </w:tcPr>
          <w:p w14:paraId="7429C03C"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As per 4 and 5 above.</w:t>
            </w:r>
          </w:p>
        </w:tc>
        <w:tc>
          <w:tcPr>
            <w:tcW w:w="2580" w:type="dxa"/>
            <w:vAlign w:val="top"/>
            <w:hideMark/>
          </w:tcPr>
          <w:p w14:paraId="00C0C486"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As per 4 and 5 above.</w:t>
            </w:r>
          </w:p>
        </w:tc>
      </w:tr>
      <w:tr w:rsidR="001A2447" w:rsidRPr="00375B9D" w14:paraId="0768CBA5" w14:textId="77777777" w:rsidTr="001A2447">
        <w:trPr>
          <w:cnfStyle w:val="000000100000" w:firstRow="0" w:lastRow="0" w:firstColumn="0" w:lastColumn="0" w:oddVBand="0" w:evenVBand="0" w:oddHBand="1" w:evenHBand="0" w:firstRowFirstColumn="0" w:firstRowLastColumn="0" w:lastRowFirstColumn="0" w:lastRowLastColumn="0"/>
          <w:cantSplit/>
          <w:trHeight w:val="1457"/>
        </w:trPr>
        <w:tc>
          <w:tcPr>
            <w:cnfStyle w:val="001000000000" w:firstRow="0" w:lastRow="0" w:firstColumn="1" w:lastColumn="0" w:oddVBand="0" w:evenVBand="0" w:oddHBand="0" w:evenHBand="0" w:firstRowFirstColumn="0" w:firstRowLastColumn="0" w:lastRowFirstColumn="0" w:lastRowLastColumn="0"/>
            <w:tcW w:w="608" w:type="dxa"/>
            <w:vAlign w:val="top"/>
            <w:hideMark/>
          </w:tcPr>
          <w:p w14:paraId="7563771A" w14:textId="77777777" w:rsidR="00375B9D" w:rsidRPr="001A2447" w:rsidRDefault="00375B9D" w:rsidP="001A2447">
            <w:pPr>
              <w:rPr>
                <w:noProof/>
                <w:sz w:val="20"/>
                <w:szCs w:val="20"/>
                <w:lang w:eastAsia="en-AU"/>
              </w:rPr>
            </w:pPr>
            <w:r w:rsidRPr="001A2447">
              <w:rPr>
                <w:noProof/>
                <w:sz w:val="20"/>
                <w:szCs w:val="20"/>
                <w:lang w:eastAsia="en-AU"/>
              </w:rPr>
              <w:lastRenderedPageBreak/>
              <w:t>7</w:t>
            </w:r>
          </w:p>
        </w:tc>
        <w:tc>
          <w:tcPr>
            <w:tcW w:w="1682" w:type="dxa"/>
            <w:vAlign w:val="top"/>
            <w:hideMark/>
          </w:tcPr>
          <w:p w14:paraId="03DD1291"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Association</w:t>
            </w:r>
          </w:p>
        </w:tc>
        <w:tc>
          <w:tcPr>
            <w:tcW w:w="1533" w:type="dxa"/>
            <w:vAlign w:val="top"/>
          </w:tcPr>
          <w:p w14:paraId="531DEA5D"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Persons who together constitute more than 50% of the board of management (sometimes called ‘the committee’) (or equivalent).</w:t>
            </w:r>
          </w:p>
        </w:tc>
        <w:tc>
          <w:tcPr>
            <w:tcW w:w="1984" w:type="dxa"/>
            <w:vAlign w:val="top"/>
            <w:hideMark/>
          </w:tcPr>
          <w:p w14:paraId="3DB4D9A3"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 xml:space="preserve">Darwin South Surf Riders Association has a board of management of seven. All members of the board of management are elected by and from the local members. </w:t>
            </w:r>
          </w:p>
        </w:tc>
        <w:tc>
          <w:tcPr>
            <w:tcW w:w="1921" w:type="dxa"/>
            <w:vAlign w:val="top"/>
            <w:hideMark/>
          </w:tcPr>
          <w:p w14:paraId="5E0E129D"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Any four of these persons acting together have a controlling interest.</w:t>
            </w:r>
          </w:p>
        </w:tc>
        <w:tc>
          <w:tcPr>
            <w:tcW w:w="2580" w:type="dxa"/>
            <w:vAlign w:val="top"/>
          </w:tcPr>
          <w:p w14:paraId="5CECE70D"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p>
        </w:tc>
      </w:tr>
      <w:tr w:rsidR="00FD3D5C" w:rsidRPr="00375B9D" w14:paraId="329B735A" w14:textId="77777777" w:rsidTr="001A2447">
        <w:trPr>
          <w:cnfStyle w:val="000000010000" w:firstRow="0" w:lastRow="0" w:firstColumn="0" w:lastColumn="0" w:oddVBand="0" w:evenVBand="0" w:oddHBand="0" w:evenHBand="1" w:firstRowFirstColumn="0" w:firstRowLastColumn="0" w:lastRowFirstColumn="0" w:lastRowLastColumn="0"/>
          <w:cantSplit/>
          <w:trHeight w:val="2019"/>
        </w:trPr>
        <w:tc>
          <w:tcPr>
            <w:cnfStyle w:val="001000000000" w:firstRow="0" w:lastRow="0" w:firstColumn="1" w:lastColumn="0" w:oddVBand="0" w:evenVBand="0" w:oddHBand="0" w:evenHBand="0" w:firstRowFirstColumn="0" w:firstRowLastColumn="0" w:lastRowFirstColumn="0" w:lastRowLastColumn="0"/>
            <w:tcW w:w="608" w:type="dxa"/>
            <w:vAlign w:val="top"/>
            <w:hideMark/>
          </w:tcPr>
          <w:p w14:paraId="5A593E53" w14:textId="77777777" w:rsidR="00375B9D" w:rsidRPr="001A2447" w:rsidRDefault="00375B9D" w:rsidP="001A2447">
            <w:pPr>
              <w:rPr>
                <w:noProof/>
                <w:sz w:val="20"/>
                <w:szCs w:val="20"/>
                <w:lang w:eastAsia="en-AU"/>
              </w:rPr>
            </w:pPr>
            <w:r w:rsidRPr="001A2447">
              <w:rPr>
                <w:noProof/>
                <w:sz w:val="20"/>
                <w:szCs w:val="20"/>
                <w:lang w:eastAsia="en-AU"/>
              </w:rPr>
              <w:t>8</w:t>
            </w:r>
          </w:p>
        </w:tc>
        <w:tc>
          <w:tcPr>
            <w:tcW w:w="1682" w:type="dxa"/>
            <w:vAlign w:val="top"/>
            <w:hideMark/>
          </w:tcPr>
          <w:p w14:paraId="2CB8D7A3"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Association</w:t>
            </w:r>
          </w:p>
        </w:tc>
        <w:tc>
          <w:tcPr>
            <w:tcW w:w="1533" w:type="dxa"/>
            <w:vAlign w:val="top"/>
            <w:hideMark/>
          </w:tcPr>
          <w:p w14:paraId="4A3547C1"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Persons who can control the composition of the board of management.</w:t>
            </w:r>
          </w:p>
        </w:tc>
        <w:tc>
          <w:tcPr>
            <w:tcW w:w="1984" w:type="dxa"/>
            <w:vAlign w:val="top"/>
          </w:tcPr>
          <w:p w14:paraId="790E9226"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The articles of Darwin South Surf Riders Association allow a simple majority of members in a general meeting of which proper notice has been given and at which a quorum is present to change any or all of the board of management.</w:t>
            </w:r>
          </w:p>
        </w:tc>
        <w:tc>
          <w:tcPr>
            <w:tcW w:w="1921" w:type="dxa"/>
            <w:vAlign w:val="top"/>
            <w:hideMark/>
          </w:tcPr>
          <w:p w14:paraId="3F09B03E"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A majority of members in general meeting as specified in articles.</w:t>
            </w:r>
          </w:p>
        </w:tc>
        <w:tc>
          <w:tcPr>
            <w:tcW w:w="2580" w:type="dxa"/>
            <w:vAlign w:val="top"/>
          </w:tcPr>
          <w:p w14:paraId="71BB1EDA"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p>
        </w:tc>
      </w:tr>
      <w:tr w:rsidR="001A2447" w:rsidRPr="00375B9D" w14:paraId="6E2D36EA" w14:textId="77777777" w:rsidTr="001A24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8" w:type="dxa"/>
            <w:vAlign w:val="top"/>
            <w:hideMark/>
          </w:tcPr>
          <w:p w14:paraId="10A51BBD" w14:textId="77777777" w:rsidR="00375B9D" w:rsidRPr="001A2447" w:rsidRDefault="00375B9D" w:rsidP="001A2447">
            <w:pPr>
              <w:rPr>
                <w:noProof/>
                <w:sz w:val="20"/>
                <w:szCs w:val="20"/>
                <w:lang w:eastAsia="en-AU"/>
              </w:rPr>
            </w:pPr>
            <w:r w:rsidRPr="001A2447">
              <w:rPr>
                <w:noProof/>
                <w:sz w:val="20"/>
                <w:szCs w:val="20"/>
                <w:lang w:eastAsia="en-AU"/>
              </w:rPr>
              <w:t>9</w:t>
            </w:r>
          </w:p>
        </w:tc>
        <w:tc>
          <w:tcPr>
            <w:tcW w:w="1682" w:type="dxa"/>
            <w:vAlign w:val="top"/>
            <w:hideMark/>
          </w:tcPr>
          <w:p w14:paraId="2925E58C"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Association</w:t>
            </w:r>
          </w:p>
        </w:tc>
        <w:tc>
          <w:tcPr>
            <w:tcW w:w="1533" w:type="dxa"/>
            <w:vAlign w:val="top"/>
            <w:hideMark/>
          </w:tcPr>
          <w:p w14:paraId="2DE3F511"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Persons who can control the composition of the board of management.</w:t>
            </w:r>
          </w:p>
        </w:tc>
        <w:tc>
          <w:tcPr>
            <w:tcW w:w="1984" w:type="dxa"/>
            <w:vAlign w:val="top"/>
            <w:hideMark/>
          </w:tcPr>
          <w:p w14:paraId="1D3D5269"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The Darwin-Timor</w:t>
            </w:r>
            <w:r w:rsidRPr="001A2447">
              <w:rPr>
                <w:noProof/>
                <w:sz w:val="20"/>
                <w:szCs w:val="20"/>
                <w:lang w:eastAsia="en-AU"/>
              </w:rPr>
              <w:noBreakHyphen/>
              <w:t xml:space="preserve">Leste Origami Association has a board of management of 11 people. Under its articles, five of these people are elected by and from local members, and the remaining six are appointed by the Australian Association of Origami Clubs. </w:t>
            </w:r>
          </w:p>
        </w:tc>
        <w:tc>
          <w:tcPr>
            <w:tcW w:w="1921" w:type="dxa"/>
            <w:vAlign w:val="top"/>
            <w:hideMark/>
          </w:tcPr>
          <w:p w14:paraId="548F59B0"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The Australian Association of Origami Clubs (who can appoint the majority of committee members).</w:t>
            </w:r>
          </w:p>
        </w:tc>
        <w:tc>
          <w:tcPr>
            <w:tcW w:w="2580" w:type="dxa"/>
            <w:vAlign w:val="top"/>
            <w:hideMark/>
          </w:tcPr>
          <w:p w14:paraId="1A70A316"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As a consequence, the Australian Association of Origami Clubs is grouped with the Darwin-Timor</w:t>
            </w:r>
            <w:r w:rsidRPr="001A2447">
              <w:rPr>
                <w:noProof/>
                <w:sz w:val="20"/>
                <w:szCs w:val="20"/>
                <w:lang w:eastAsia="en-AU"/>
              </w:rPr>
              <w:noBreakHyphen/>
              <w:t>Leste Origami Association.</w:t>
            </w:r>
          </w:p>
        </w:tc>
      </w:tr>
      <w:tr w:rsidR="00FD3D5C" w:rsidRPr="00375B9D" w14:paraId="56E12301" w14:textId="77777777" w:rsidTr="001A244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8" w:type="dxa"/>
            <w:vAlign w:val="top"/>
            <w:hideMark/>
          </w:tcPr>
          <w:p w14:paraId="57A0AA7D" w14:textId="77777777" w:rsidR="00375B9D" w:rsidRPr="001A2447" w:rsidRDefault="00375B9D" w:rsidP="001A2447">
            <w:pPr>
              <w:rPr>
                <w:noProof/>
                <w:sz w:val="20"/>
                <w:szCs w:val="20"/>
                <w:lang w:eastAsia="en-AU"/>
              </w:rPr>
            </w:pPr>
            <w:r w:rsidRPr="001A2447">
              <w:rPr>
                <w:noProof/>
                <w:sz w:val="20"/>
                <w:szCs w:val="20"/>
                <w:lang w:eastAsia="en-AU"/>
              </w:rPr>
              <w:t>10</w:t>
            </w:r>
          </w:p>
        </w:tc>
        <w:tc>
          <w:tcPr>
            <w:tcW w:w="1682" w:type="dxa"/>
            <w:vAlign w:val="top"/>
            <w:hideMark/>
          </w:tcPr>
          <w:p w14:paraId="49B96470"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Partnership</w:t>
            </w:r>
          </w:p>
        </w:tc>
        <w:tc>
          <w:tcPr>
            <w:tcW w:w="1533" w:type="dxa"/>
            <w:vAlign w:val="top"/>
            <w:hideMark/>
          </w:tcPr>
          <w:p w14:paraId="684EED29"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Persons who are entitled to, individually or together, (beneficially or not) more than 50% of the partnership’s capital and or income.</w:t>
            </w:r>
          </w:p>
        </w:tc>
        <w:tc>
          <w:tcPr>
            <w:tcW w:w="1984" w:type="dxa"/>
            <w:vAlign w:val="top"/>
            <w:hideMark/>
          </w:tcPr>
          <w:p w14:paraId="36ED1AE2"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 xml:space="preserve">A, B and C carry on business as ABC Services under the ABC Partnership. Each has a one-third entitlement to capital and profits. </w:t>
            </w:r>
          </w:p>
        </w:tc>
        <w:tc>
          <w:tcPr>
            <w:tcW w:w="1921" w:type="dxa"/>
            <w:vAlign w:val="top"/>
          </w:tcPr>
          <w:p w14:paraId="412D138A"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A and B together</w:t>
            </w:r>
          </w:p>
          <w:p w14:paraId="79535AE3"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A and C together</w:t>
            </w:r>
          </w:p>
          <w:p w14:paraId="0DD2BACB"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B and C together</w:t>
            </w:r>
          </w:p>
          <w:p w14:paraId="6854A8D4"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A, B and C together.</w:t>
            </w:r>
          </w:p>
          <w:p w14:paraId="12DDB7DE"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p>
        </w:tc>
        <w:tc>
          <w:tcPr>
            <w:tcW w:w="2580" w:type="dxa"/>
            <w:vAlign w:val="top"/>
          </w:tcPr>
          <w:p w14:paraId="5EE373DF"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p>
        </w:tc>
      </w:tr>
      <w:tr w:rsidR="001A2447" w:rsidRPr="00375B9D" w14:paraId="74886CF7" w14:textId="77777777" w:rsidTr="001A24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8" w:type="dxa"/>
            <w:vAlign w:val="top"/>
            <w:hideMark/>
          </w:tcPr>
          <w:p w14:paraId="1608B3E9" w14:textId="77777777" w:rsidR="00375B9D" w:rsidRPr="001A2447" w:rsidRDefault="00375B9D" w:rsidP="001A2447">
            <w:pPr>
              <w:rPr>
                <w:noProof/>
                <w:sz w:val="20"/>
                <w:szCs w:val="20"/>
                <w:lang w:eastAsia="en-AU"/>
              </w:rPr>
            </w:pPr>
            <w:r w:rsidRPr="001A2447">
              <w:rPr>
                <w:noProof/>
                <w:sz w:val="20"/>
                <w:szCs w:val="20"/>
                <w:lang w:eastAsia="en-AU"/>
              </w:rPr>
              <w:lastRenderedPageBreak/>
              <w:t>11</w:t>
            </w:r>
          </w:p>
        </w:tc>
        <w:tc>
          <w:tcPr>
            <w:tcW w:w="1682" w:type="dxa"/>
            <w:vAlign w:val="top"/>
            <w:hideMark/>
          </w:tcPr>
          <w:p w14:paraId="66EA9D40"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Partnership</w:t>
            </w:r>
          </w:p>
        </w:tc>
        <w:tc>
          <w:tcPr>
            <w:tcW w:w="1533" w:type="dxa"/>
            <w:vAlign w:val="top"/>
            <w:hideMark/>
          </w:tcPr>
          <w:p w14:paraId="519F9583"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Persons who are entitled to, individually or together, (beneficially or not) more than 50% of the partnership’s capital.</w:t>
            </w:r>
          </w:p>
        </w:tc>
        <w:tc>
          <w:tcPr>
            <w:tcW w:w="1984" w:type="dxa"/>
            <w:vAlign w:val="top"/>
            <w:hideMark/>
          </w:tcPr>
          <w:p w14:paraId="7237A6B1"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D, E and F carry on business as DEF Services under the DEF Partnership.</w:t>
            </w:r>
          </w:p>
          <w:p w14:paraId="5C02C7EA"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D and E are each entitled to 50% of the partnership’s capital (F has no entitlement to capital).</w:t>
            </w:r>
          </w:p>
        </w:tc>
        <w:tc>
          <w:tcPr>
            <w:tcW w:w="1921" w:type="dxa"/>
            <w:vAlign w:val="top"/>
          </w:tcPr>
          <w:p w14:paraId="71BC4056"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D and E together only.</w:t>
            </w:r>
          </w:p>
          <w:p w14:paraId="5DFD0566"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p>
        </w:tc>
        <w:tc>
          <w:tcPr>
            <w:tcW w:w="2580" w:type="dxa"/>
            <w:vAlign w:val="top"/>
          </w:tcPr>
          <w:p w14:paraId="4EC4F218"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p>
        </w:tc>
      </w:tr>
      <w:tr w:rsidR="00FD3D5C" w:rsidRPr="00375B9D" w14:paraId="7BB29F8A" w14:textId="77777777" w:rsidTr="001A244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8" w:type="dxa"/>
            <w:vAlign w:val="top"/>
            <w:hideMark/>
          </w:tcPr>
          <w:p w14:paraId="30C92F4D" w14:textId="77777777" w:rsidR="00375B9D" w:rsidRPr="001A2447" w:rsidRDefault="00375B9D" w:rsidP="001A2447">
            <w:pPr>
              <w:rPr>
                <w:noProof/>
                <w:sz w:val="20"/>
                <w:szCs w:val="20"/>
                <w:lang w:eastAsia="en-AU"/>
              </w:rPr>
            </w:pPr>
            <w:r w:rsidRPr="001A2447">
              <w:rPr>
                <w:noProof/>
                <w:sz w:val="20"/>
                <w:szCs w:val="20"/>
                <w:lang w:eastAsia="en-AU"/>
              </w:rPr>
              <w:t>12</w:t>
            </w:r>
          </w:p>
        </w:tc>
        <w:tc>
          <w:tcPr>
            <w:tcW w:w="1682" w:type="dxa"/>
            <w:vAlign w:val="top"/>
            <w:hideMark/>
          </w:tcPr>
          <w:p w14:paraId="31286248"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Partnership</w:t>
            </w:r>
          </w:p>
        </w:tc>
        <w:tc>
          <w:tcPr>
            <w:tcW w:w="1533" w:type="dxa"/>
            <w:vAlign w:val="top"/>
            <w:hideMark/>
          </w:tcPr>
          <w:p w14:paraId="754F3EAB"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Persons who are entitled to, individually or together, (beneficially or not) more than 50% of the partnership’s income.</w:t>
            </w:r>
          </w:p>
        </w:tc>
        <w:tc>
          <w:tcPr>
            <w:tcW w:w="1984" w:type="dxa"/>
            <w:vAlign w:val="top"/>
            <w:hideMark/>
          </w:tcPr>
          <w:p w14:paraId="7C241024"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D, E and F carry on business as DEF Services under the DEF Partnership.</w:t>
            </w:r>
          </w:p>
          <w:p w14:paraId="0E8C362F"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D and E are each entitled to 20% of the partnership’s income. F is entitled to 60% of the partnership’s income.</w:t>
            </w:r>
          </w:p>
        </w:tc>
        <w:tc>
          <w:tcPr>
            <w:tcW w:w="1921" w:type="dxa"/>
            <w:vAlign w:val="top"/>
          </w:tcPr>
          <w:p w14:paraId="34075B5A"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 xml:space="preserve">F alone </w:t>
            </w:r>
          </w:p>
          <w:p w14:paraId="194860F7"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D and F</w:t>
            </w:r>
          </w:p>
          <w:p w14:paraId="08BCB255"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E and F</w:t>
            </w:r>
          </w:p>
          <w:p w14:paraId="4A122F1C"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D, E and F together.</w:t>
            </w:r>
          </w:p>
          <w:p w14:paraId="36A622E8"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p>
        </w:tc>
        <w:tc>
          <w:tcPr>
            <w:tcW w:w="2580" w:type="dxa"/>
            <w:vAlign w:val="top"/>
            <w:hideMark/>
          </w:tcPr>
          <w:p w14:paraId="1E96010A"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F also carries on business as a sole trader under the business name ‘Fernando’s Pizzeria’. Because F has a 100% controlling interest in Fernando’s Pizzeria and a 60% controlling interest in DEF Services, the two businesses are grouped.</w:t>
            </w:r>
          </w:p>
        </w:tc>
      </w:tr>
      <w:tr w:rsidR="001A2447" w:rsidRPr="00375B9D" w14:paraId="6CFEAA7A" w14:textId="77777777" w:rsidTr="001A24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8" w:type="dxa"/>
            <w:vAlign w:val="top"/>
            <w:hideMark/>
          </w:tcPr>
          <w:p w14:paraId="0E9F7935" w14:textId="77777777" w:rsidR="00375B9D" w:rsidRPr="001A2447" w:rsidRDefault="00375B9D" w:rsidP="001A2447">
            <w:pPr>
              <w:rPr>
                <w:noProof/>
                <w:sz w:val="20"/>
                <w:szCs w:val="20"/>
                <w:lang w:eastAsia="en-AU"/>
              </w:rPr>
            </w:pPr>
            <w:r w:rsidRPr="001A2447">
              <w:rPr>
                <w:noProof/>
                <w:sz w:val="20"/>
                <w:szCs w:val="20"/>
                <w:lang w:eastAsia="en-AU"/>
              </w:rPr>
              <w:t>13</w:t>
            </w:r>
          </w:p>
        </w:tc>
        <w:tc>
          <w:tcPr>
            <w:tcW w:w="1682" w:type="dxa"/>
            <w:vAlign w:val="top"/>
            <w:hideMark/>
          </w:tcPr>
          <w:p w14:paraId="16F99456"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Unit Trust</w:t>
            </w:r>
          </w:p>
        </w:tc>
        <w:tc>
          <w:tcPr>
            <w:tcW w:w="1533" w:type="dxa"/>
            <w:vAlign w:val="top"/>
            <w:hideMark/>
          </w:tcPr>
          <w:p w14:paraId="7FBC75EA"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Persons who are entitled to more than 50% of the units, in terms of income and/or capital, in accordance with the provisions of the trust deed.</w:t>
            </w:r>
          </w:p>
        </w:tc>
        <w:tc>
          <w:tcPr>
            <w:tcW w:w="1984" w:type="dxa"/>
            <w:vAlign w:val="top"/>
            <w:hideMark/>
          </w:tcPr>
          <w:p w14:paraId="7C048791"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Western Transport &amp; Logistics Pty Ltd (WTLPL) is the trustee of the WTL Unit Trust, which carries on business as Western Transport &amp; Logistics.</w:t>
            </w:r>
          </w:p>
          <w:p w14:paraId="54D1C5BA"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John, Mary, Annabel and Jack each hold 25% of the units in the WTL Unit Trust.</w:t>
            </w:r>
          </w:p>
        </w:tc>
        <w:tc>
          <w:tcPr>
            <w:tcW w:w="1921" w:type="dxa"/>
            <w:vAlign w:val="top"/>
          </w:tcPr>
          <w:p w14:paraId="0E9B5ABF"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Any three or more of John, Mary, Annabel or Jack together.</w:t>
            </w:r>
          </w:p>
        </w:tc>
        <w:tc>
          <w:tcPr>
            <w:tcW w:w="2580" w:type="dxa"/>
            <w:vAlign w:val="top"/>
          </w:tcPr>
          <w:p w14:paraId="78F5139F"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p>
        </w:tc>
      </w:tr>
      <w:tr w:rsidR="00FD3D5C" w:rsidRPr="00375B9D" w14:paraId="16B04929" w14:textId="77777777" w:rsidTr="001A244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8" w:type="dxa"/>
            <w:vAlign w:val="top"/>
            <w:hideMark/>
          </w:tcPr>
          <w:p w14:paraId="00DF03EF" w14:textId="77777777" w:rsidR="00375B9D" w:rsidRPr="001A2447" w:rsidRDefault="00375B9D" w:rsidP="001A2447">
            <w:pPr>
              <w:rPr>
                <w:noProof/>
                <w:sz w:val="20"/>
                <w:szCs w:val="20"/>
                <w:lang w:eastAsia="en-AU"/>
              </w:rPr>
            </w:pPr>
            <w:r w:rsidRPr="001A2447">
              <w:rPr>
                <w:noProof/>
                <w:sz w:val="20"/>
                <w:szCs w:val="20"/>
                <w:lang w:eastAsia="en-AU"/>
              </w:rPr>
              <w:lastRenderedPageBreak/>
              <w:t>14</w:t>
            </w:r>
          </w:p>
        </w:tc>
        <w:tc>
          <w:tcPr>
            <w:tcW w:w="1682" w:type="dxa"/>
            <w:vAlign w:val="top"/>
            <w:hideMark/>
          </w:tcPr>
          <w:p w14:paraId="06A693D0"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 xml:space="preserve">Discretionary trust </w:t>
            </w:r>
          </w:p>
        </w:tc>
        <w:tc>
          <w:tcPr>
            <w:tcW w:w="1533" w:type="dxa"/>
            <w:vAlign w:val="top"/>
            <w:hideMark/>
          </w:tcPr>
          <w:p w14:paraId="3F813794"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Any beneficiary or combination of beneficiaries.</w:t>
            </w:r>
          </w:p>
        </w:tc>
        <w:tc>
          <w:tcPr>
            <w:tcW w:w="1984" w:type="dxa"/>
            <w:vAlign w:val="top"/>
            <w:hideMark/>
          </w:tcPr>
          <w:p w14:paraId="5B3E03C3"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XYZ Pty Ltd acts as trustee for the Jones Family Trust, which carries on business as Jones Painting Services. The trust has been set up as a discretionary trust. The beneficiaries are John, Mary, Annabel, Jack and David Jones.</w:t>
            </w:r>
          </w:p>
        </w:tc>
        <w:tc>
          <w:tcPr>
            <w:tcW w:w="1921" w:type="dxa"/>
            <w:vAlign w:val="top"/>
            <w:hideMark/>
          </w:tcPr>
          <w:p w14:paraId="75232601"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John alone</w:t>
            </w:r>
          </w:p>
          <w:p w14:paraId="6075F038"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Mary alone</w:t>
            </w:r>
          </w:p>
          <w:p w14:paraId="278D77ED"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Annabel alone</w:t>
            </w:r>
          </w:p>
          <w:p w14:paraId="793E81EE"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Jack alone</w:t>
            </w:r>
          </w:p>
          <w:p w14:paraId="6E0B888F"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David alone, or</w:t>
            </w:r>
          </w:p>
          <w:p w14:paraId="4B82D4F4"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any combination of any two, three or four of the above five individuals, or</w:t>
            </w:r>
          </w:p>
          <w:p w14:paraId="753069FB"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all five of the above individuals together.</w:t>
            </w:r>
          </w:p>
        </w:tc>
        <w:tc>
          <w:tcPr>
            <w:tcW w:w="2580" w:type="dxa"/>
            <w:vAlign w:val="top"/>
            <w:hideMark/>
          </w:tcPr>
          <w:p w14:paraId="5D5EBE1D" w14:textId="77777777" w:rsidR="00375B9D" w:rsidRPr="001A2447" w:rsidRDefault="00375B9D" w:rsidP="001A2447">
            <w:pPr>
              <w:cnfStyle w:val="000000010000" w:firstRow="0" w:lastRow="0" w:firstColumn="0" w:lastColumn="0" w:oddVBand="0" w:evenVBand="0" w:oddHBand="0" w:evenHBand="1" w:firstRowFirstColumn="0" w:firstRowLastColumn="0" w:lastRowFirstColumn="0" w:lastRowLastColumn="0"/>
              <w:rPr>
                <w:noProof/>
                <w:sz w:val="20"/>
                <w:szCs w:val="20"/>
                <w:lang w:eastAsia="en-AU"/>
              </w:rPr>
            </w:pPr>
            <w:r w:rsidRPr="001A2447">
              <w:rPr>
                <w:noProof/>
                <w:sz w:val="20"/>
                <w:szCs w:val="20"/>
                <w:lang w:eastAsia="en-AU"/>
              </w:rPr>
              <w:t>Most family trusts are discretionary trusts. The defining characteristic of a discretionary trust is that the trustee has the unfettered power to distribute income and/or capital to any or none of the beneficiaries, in any proportion between zero and 100%. As a consequence, any beneficiary, or any combination of beneficiaries, as a potential recipient of 100% of the capital and income, is deemed to have a controlling interest in the business carried on under the trust.</w:t>
            </w:r>
          </w:p>
        </w:tc>
      </w:tr>
      <w:tr w:rsidR="001A2447" w:rsidRPr="00375B9D" w14:paraId="5581BC0E" w14:textId="77777777" w:rsidTr="001A24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8" w:type="dxa"/>
            <w:vAlign w:val="top"/>
            <w:hideMark/>
          </w:tcPr>
          <w:p w14:paraId="03F36F95" w14:textId="77777777" w:rsidR="00375B9D" w:rsidRPr="001A2447" w:rsidRDefault="00375B9D" w:rsidP="001A2447">
            <w:pPr>
              <w:rPr>
                <w:noProof/>
                <w:sz w:val="20"/>
                <w:szCs w:val="20"/>
                <w:lang w:eastAsia="en-AU"/>
              </w:rPr>
            </w:pPr>
            <w:r w:rsidRPr="001A2447">
              <w:rPr>
                <w:noProof/>
                <w:sz w:val="20"/>
                <w:szCs w:val="20"/>
                <w:lang w:eastAsia="en-AU"/>
              </w:rPr>
              <w:t>15</w:t>
            </w:r>
          </w:p>
        </w:tc>
        <w:tc>
          <w:tcPr>
            <w:tcW w:w="1682" w:type="dxa"/>
            <w:vAlign w:val="top"/>
            <w:hideMark/>
          </w:tcPr>
          <w:p w14:paraId="2D0C57C2"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Other types of trusts</w:t>
            </w:r>
          </w:p>
        </w:tc>
        <w:tc>
          <w:tcPr>
            <w:tcW w:w="1533" w:type="dxa"/>
            <w:vAlign w:val="top"/>
            <w:hideMark/>
          </w:tcPr>
          <w:p w14:paraId="4D8F82E5"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The person or persons with an entitlement to more than 50% of the income and or capital of the trust.</w:t>
            </w:r>
          </w:p>
        </w:tc>
        <w:tc>
          <w:tcPr>
            <w:tcW w:w="1984" w:type="dxa"/>
            <w:vAlign w:val="top"/>
            <w:hideMark/>
          </w:tcPr>
          <w:p w14:paraId="159D67BB"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w:t>
            </w:r>
          </w:p>
        </w:tc>
        <w:tc>
          <w:tcPr>
            <w:tcW w:w="1921" w:type="dxa"/>
            <w:vAlign w:val="top"/>
            <w:hideMark/>
          </w:tcPr>
          <w:p w14:paraId="52A130EC"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The person or persons with an entitlement to more than 50% of the income and or capital of the trust</w:t>
            </w:r>
          </w:p>
        </w:tc>
        <w:tc>
          <w:tcPr>
            <w:tcW w:w="2580" w:type="dxa"/>
            <w:vAlign w:val="top"/>
            <w:hideMark/>
          </w:tcPr>
          <w:p w14:paraId="0CDEAC39" w14:textId="77777777" w:rsidR="00375B9D" w:rsidRPr="001A2447" w:rsidRDefault="00375B9D" w:rsidP="001A2447">
            <w:pP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A2447">
              <w:rPr>
                <w:noProof/>
                <w:sz w:val="20"/>
                <w:szCs w:val="20"/>
                <w:lang w:eastAsia="en-AU"/>
              </w:rPr>
              <w:t>Each trust deed will be reviewed by TRO to determine the controlling interest provisions. Where a trust contains a provision that provides broad powers to the trustee, the trust may be determined to be discretionary in nature, under which any beneficiary alone, or any combination of beneficiaries acting together, have a controlling interest (see reference 14 above).</w:t>
            </w:r>
          </w:p>
        </w:tc>
      </w:tr>
    </w:tbl>
    <w:p w14:paraId="6D184B83" w14:textId="77777777" w:rsidR="00375B9D" w:rsidRPr="00375B9D" w:rsidRDefault="00375B9D" w:rsidP="00375B9D">
      <w:pPr>
        <w:rPr>
          <w:noProof/>
          <w:lang w:eastAsia="en-AU"/>
        </w:rPr>
      </w:pPr>
    </w:p>
    <w:tbl>
      <w:tblPr>
        <w:tblStyle w:val="DTFpayrolltaxguidestyle1"/>
        <w:tblW w:w="10343" w:type="dxa"/>
        <w:tblLook w:val="04A0" w:firstRow="1" w:lastRow="0" w:firstColumn="1" w:lastColumn="0" w:noHBand="0" w:noVBand="1"/>
        <w:tblDescription w:val="Note: Controlling Interests When Exercise of Power is Inconsistent with Constitutions or Articles"/>
      </w:tblPr>
      <w:tblGrid>
        <w:gridCol w:w="10343"/>
      </w:tblGrid>
      <w:tr w:rsidR="00375B9D" w:rsidRPr="00375B9D" w14:paraId="517445AC" w14:textId="77777777" w:rsidTr="00937629">
        <w:trPr>
          <w:trHeight w:val="4906"/>
          <w:tblHeader/>
        </w:trPr>
        <w:tc>
          <w:tcPr>
            <w:tcW w:w="10343" w:type="dxa"/>
          </w:tcPr>
          <w:p w14:paraId="5815C60B" w14:textId="77777777" w:rsidR="00375B9D" w:rsidRPr="00375B9D" w:rsidRDefault="00375B9D" w:rsidP="00375B9D">
            <w:pPr>
              <w:spacing w:after="200"/>
              <w:rPr>
                <w:noProof/>
                <w:lang w:eastAsia="en-AU"/>
              </w:rPr>
            </w:pPr>
            <w:r w:rsidRPr="00375B9D">
              <w:rPr>
                <w:b/>
                <w:noProof/>
                <w:lang w:eastAsia="en-AU"/>
              </w:rPr>
              <w:lastRenderedPageBreak/>
              <w:t>Note</w:t>
            </w:r>
            <w:r w:rsidRPr="00375B9D">
              <w:rPr>
                <w:noProof/>
                <w:lang w:eastAsia="en-AU"/>
              </w:rPr>
              <w:t xml:space="preserve">: Controlling </w:t>
            </w:r>
            <w:r w:rsidR="008611EA" w:rsidRPr="00375B9D">
              <w:rPr>
                <w:noProof/>
                <w:lang w:eastAsia="en-AU"/>
              </w:rPr>
              <w:t>interests when exercise of power is inconsistent with constitutions or articles</w:t>
            </w:r>
          </w:p>
          <w:p w14:paraId="565B6BBC" w14:textId="77777777" w:rsidR="00375B9D" w:rsidRPr="00375B9D" w:rsidRDefault="00375B9D" w:rsidP="00375B9D">
            <w:pPr>
              <w:spacing w:after="200"/>
              <w:rPr>
                <w:noProof/>
                <w:lang w:eastAsia="en-AU"/>
              </w:rPr>
            </w:pPr>
            <w:r w:rsidRPr="00375B9D">
              <w:rPr>
                <w:noProof/>
                <w:lang w:eastAsia="en-AU"/>
              </w:rPr>
              <w:t>On occasions, situations may arise where decisions are made (control is exercised) by a business in a manner that is not consistent with a reading of the articles or constitution.</w:t>
            </w:r>
          </w:p>
          <w:p w14:paraId="0C41000A" w14:textId="77777777" w:rsidR="00375B9D" w:rsidRPr="00375B9D" w:rsidRDefault="00375B9D" w:rsidP="00375B9D">
            <w:pPr>
              <w:spacing w:after="200"/>
              <w:rPr>
                <w:noProof/>
                <w:lang w:eastAsia="en-AU"/>
              </w:rPr>
            </w:pPr>
            <w:r w:rsidRPr="00375B9D">
              <w:rPr>
                <w:noProof/>
                <w:lang w:eastAsia="en-AU"/>
              </w:rPr>
              <w:t>For example:</w:t>
            </w:r>
          </w:p>
          <w:p w14:paraId="34AB32F6" w14:textId="77777777" w:rsidR="00375B9D" w:rsidRPr="00375B9D" w:rsidRDefault="00375B9D" w:rsidP="00375B9D">
            <w:pPr>
              <w:spacing w:after="200"/>
              <w:rPr>
                <w:noProof/>
                <w:lang w:eastAsia="en-AU"/>
              </w:rPr>
            </w:pPr>
            <w:r w:rsidRPr="00375B9D">
              <w:rPr>
                <w:noProof/>
                <w:lang w:eastAsia="en-AU"/>
              </w:rPr>
              <w:t>Cheap Chips Pty Ltd carries on an information technology business with the business name of CC Infotech Services.</w:t>
            </w:r>
          </w:p>
          <w:p w14:paraId="26CECB1B" w14:textId="77777777" w:rsidR="00375B9D" w:rsidRPr="00375B9D" w:rsidRDefault="00375B9D" w:rsidP="00375B9D">
            <w:pPr>
              <w:spacing w:after="200"/>
              <w:rPr>
                <w:noProof/>
                <w:lang w:eastAsia="en-AU"/>
              </w:rPr>
            </w:pPr>
            <w:r w:rsidRPr="00375B9D">
              <w:rPr>
                <w:noProof/>
                <w:lang w:eastAsia="en-AU"/>
              </w:rPr>
              <w:t xml:space="preserve">Lorna and John are the only directors and are also 50/50 shareholders of Cheap Chips Pty Ltd. </w:t>
            </w:r>
          </w:p>
          <w:p w14:paraId="66528613" w14:textId="77777777" w:rsidR="00375B9D" w:rsidRPr="00375B9D" w:rsidRDefault="00375B9D" w:rsidP="00375B9D">
            <w:pPr>
              <w:spacing w:after="200"/>
              <w:rPr>
                <w:noProof/>
                <w:lang w:eastAsia="en-AU"/>
              </w:rPr>
            </w:pPr>
            <w:r w:rsidRPr="00375B9D">
              <w:rPr>
                <w:noProof/>
                <w:lang w:eastAsia="en-AU"/>
              </w:rPr>
              <w:t>John is employed as production manager in an unrelated construction business.</w:t>
            </w:r>
          </w:p>
          <w:p w14:paraId="06EE7ABF" w14:textId="77777777" w:rsidR="00375B9D" w:rsidRPr="00375B9D" w:rsidRDefault="00375B9D" w:rsidP="00375B9D">
            <w:pPr>
              <w:spacing w:after="200"/>
              <w:rPr>
                <w:noProof/>
                <w:lang w:eastAsia="en-AU"/>
              </w:rPr>
            </w:pPr>
            <w:r w:rsidRPr="00375B9D">
              <w:rPr>
                <w:noProof/>
                <w:lang w:eastAsia="en-AU"/>
              </w:rPr>
              <w:t>Lorna works full-time in CC Infotech Services, along with three employees that she manages.</w:t>
            </w:r>
          </w:p>
          <w:p w14:paraId="05E79DD3" w14:textId="77777777" w:rsidR="00375B9D" w:rsidRPr="00375B9D" w:rsidRDefault="00375B9D" w:rsidP="00375B9D">
            <w:pPr>
              <w:spacing w:after="200"/>
              <w:rPr>
                <w:noProof/>
                <w:lang w:eastAsia="en-AU"/>
              </w:rPr>
            </w:pPr>
            <w:r w:rsidRPr="00375B9D">
              <w:rPr>
                <w:noProof/>
                <w:lang w:eastAsia="en-AU"/>
              </w:rPr>
              <w:t>While John and Lorna nominally together control the directors’ and shareholders’ decisions of Cheap Chips Pty Ltd, in practice, John delegates all decisions related to CC Infotech Services to Lorna.</w:t>
            </w:r>
          </w:p>
          <w:p w14:paraId="219E501E" w14:textId="77777777" w:rsidR="00375B9D" w:rsidRPr="00375B9D" w:rsidRDefault="00375B9D" w:rsidP="00375B9D">
            <w:pPr>
              <w:spacing w:after="200"/>
              <w:rPr>
                <w:noProof/>
                <w:lang w:eastAsia="en-AU"/>
              </w:rPr>
            </w:pPr>
            <w:r w:rsidRPr="00375B9D">
              <w:rPr>
                <w:noProof/>
                <w:lang w:eastAsia="en-AU"/>
              </w:rPr>
              <w:t>In these circumstances, Lorna acting alone is considered to have a controlling interest in CC Infotech Services.</w:t>
            </w:r>
          </w:p>
        </w:tc>
      </w:tr>
    </w:tbl>
    <w:p w14:paraId="74A1A8DB" w14:textId="77777777" w:rsidR="00375B9D" w:rsidRPr="00375B9D" w:rsidRDefault="00375B9D" w:rsidP="00375B9D">
      <w:pPr>
        <w:rPr>
          <w:noProof/>
          <w:lang w:eastAsia="en-AU"/>
        </w:rPr>
      </w:pPr>
    </w:p>
    <w:p w14:paraId="78D7BD6F" w14:textId="77777777" w:rsidR="00375B9D" w:rsidRPr="00375B9D" w:rsidRDefault="00375B9D" w:rsidP="00375B9D">
      <w:pPr>
        <w:rPr>
          <w:noProof/>
          <w:lang w:eastAsia="en-AU"/>
        </w:rPr>
      </w:pPr>
      <w:r w:rsidRPr="00375B9D">
        <w:rPr>
          <w:noProof/>
          <w:lang w:eastAsia="en-AU"/>
        </w:rPr>
        <w:br w:type="page"/>
      </w:r>
    </w:p>
    <w:p w14:paraId="078B507A" w14:textId="77777777" w:rsidR="00375B9D" w:rsidRPr="00375B9D" w:rsidRDefault="00375B9D" w:rsidP="00A7303B">
      <w:pPr>
        <w:pStyle w:val="Heading2"/>
      </w:pPr>
      <w:bookmarkStart w:id="94" w:name="_Toc467842756"/>
      <w:bookmarkStart w:id="95" w:name="_Toc108789596"/>
      <w:r w:rsidRPr="00375B9D">
        <w:lastRenderedPageBreak/>
        <w:t xml:space="preserve">Tracing </w:t>
      </w:r>
      <w:r w:rsidR="00045A88">
        <w:t>p</w:t>
      </w:r>
      <w:r w:rsidRPr="00375B9D">
        <w:t xml:space="preserve">rovisions – </w:t>
      </w:r>
      <w:r w:rsidR="006C2F23">
        <w:t>d</w:t>
      </w:r>
      <w:r w:rsidRPr="00375B9D">
        <w:t xml:space="preserve">irect, </w:t>
      </w:r>
      <w:r w:rsidR="00AA5FCB">
        <w:t>i</w:t>
      </w:r>
      <w:r w:rsidRPr="00375B9D">
        <w:t xml:space="preserve">ndirect </w:t>
      </w:r>
      <w:r w:rsidRPr="000137E9">
        <w:t>and</w:t>
      </w:r>
      <w:r w:rsidRPr="00375B9D">
        <w:t xml:space="preserve"> </w:t>
      </w:r>
      <w:r w:rsidR="00045A88">
        <w:t>a</w:t>
      </w:r>
      <w:r w:rsidRPr="00375B9D">
        <w:t xml:space="preserve">ggregation of </w:t>
      </w:r>
      <w:r w:rsidR="00045A88">
        <w:t>i</w:t>
      </w:r>
      <w:r w:rsidRPr="00375B9D">
        <w:t xml:space="preserve">nterests in </w:t>
      </w:r>
      <w:r w:rsidR="00045A88">
        <w:t>c</w:t>
      </w:r>
      <w:r w:rsidRPr="00375B9D">
        <w:t>ompanies</w:t>
      </w:r>
      <w:bookmarkEnd w:id="94"/>
      <w:bookmarkEnd w:id="95"/>
    </w:p>
    <w:p w14:paraId="069B0342" w14:textId="77777777" w:rsidR="00375B9D" w:rsidRPr="00375B9D" w:rsidRDefault="00375B9D" w:rsidP="00823AEC">
      <w:pPr>
        <w:pStyle w:val="Heading3"/>
        <w:rPr>
          <w:noProof/>
          <w:lang w:eastAsia="en-AU"/>
        </w:rPr>
      </w:pPr>
      <w:bookmarkStart w:id="96" w:name="_Toc467842757"/>
      <w:r w:rsidRPr="00375B9D">
        <w:rPr>
          <w:noProof/>
          <w:lang w:eastAsia="en-AU"/>
        </w:rPr>
        <w:t>Introduction</w:t>
      </w:r>
      <w:bookmarkEnd w:id="96"/>
    </w:p>
    <w:p w14:paraId="03D8B187" w14:textId="77777777" w:rsidR="00375B9D" w:rsidRPr="00375B9D" w:rsidRDefault="00375B9D" w:rsidP="00375B9D">
      <w:pPr>
        <w:rPr>
          <w:noProof/>
          <w:lang w:eastAsia="en-AU"/>
        </w:rPr>
      </w:pPr>
      <w:r w:rsidRPr="00375B9D">
        <w:rPr>
          <w:noProof/>
          <w:lang w:eastAsia="en-AU"/>
        </w:rPr>
        <w:t>The ‘tracing’ provisions cause a ‘person’, or a set of ‘associated persons’ to be grouped with a company if the person or associated persons has or have a controlling interest in the company.</w:t>
      </w:r>
    </w:p>
    <w:p w14:paraId="2B1F4483" w14:textId="77777777" w:rsidR="00375B9D" w:rsidRPr="00375B9D" w:rsidRDefault="00375B9D" w:rsidP="00375B9D">
      <w:pPr>
        <w:rPr>
          <w:noProof/>
          <w:lang w:eastAsia="en-AU"/>
        </w:rPr>
      </w:pPr>
      <w:r w:rsidRPr="00375B9D">
        <w:rPr>
          <w:noProof/>
          <w:lang w:eastAsia="en-AU"/>
        </w:rPr>
        <w:t>In this section, ‘person’ means an individual, two or more individuals together, companies, trusts or partnerships.</w:t>
      </w:r>
    </w:p>
    <w:p w14:paraId="69941F78" w14:textId="77777777" w:rsidR="00375B9D" w:rsidRPr="00375B9D" w:rsidRDefault="00375B9D" w:rsidP="00375B9D">
      <w:pPr>
        <w:rPr>
          <w:noProof/>
          <w:lang w:eastAsia="en-AU"/>
        </w:rPr>
      </w:pPr>
      <w:r w:rsidRPr="00375B9D">
        <w:rPr>
          <w:noProof/>
          <w:lang w:eastAsia="en-AU"/>
        </w:rPr>
        <w:t>‘Associated person’ means family members, partners in a partnership, private companies with common shareholders with majority interests, and trustees of trusts where there are common beneficiaries.</w:t>
      </w:r>
    </w:p>
    <w:p w14:paraId="72881C2D" w14:textId="77777777" w:rsidR="00375B9D" w:rsidRPr="00375B9D" w:rsidRDefault="00375B9D" w:rsidP="00823AEC">
      <w:pPr>
        <w:pStyle w:val="Heading3"/>
        <w:rPr>
          <w:noProof/>
          <w:lang w:eastAsia="en-AU"/>
        </w:rPr>
      </w:pPr>
      <w:bookmarkStart w:id="97" w:name="_Toc467842758"/>
      <w:r w:rsidRPr="00375B9D">
        <w:rPr>
          <w:noProof/>
          <w:lang w:eastAsia="en-AU"/>
        </w:rPr>
        <w:t xml:space="preserve">Fundamental </w:t>
      </w:r>
      <w:r w:rsidR="008B6620">
        <w:rPr>
          <w:noProof/>
          <w:lang w:eastAsia="en-AU"/>
        </w:rPr>
        <w:t>p</w:t>
      </w:r>
      <w:r w:rsidRPr="00375B9D">
        <w:rPr>
          <w:noProof/>
          <w:lang w:eastAsia="en-AU"/>
        </w:rPr>
        <w:t>rinciple</w:t>
      </w:r>
      <w:bookmarkEnd w:id="97"/>
    </w:p>
    <w:p w14:paraId="6AADE587" w14:textId="77777777" w:rsidR="00375B9D" w:rsidRPr="00375B9D" w:rsidRDefault="00375B9D" w:rsidP="00375B9D">
      <w:pPr>
        <w:rPr>
          <w:noProof/>
          <w:lang w:eastAsia="en-AU"/>
        </w:rPr>
      </w:pPr>
      <w:r w:rsidRPr="00375B9D">
        <w:rPr>
          <w:noProof/>
          <w:lang w:eastAsia="en-AU"/>
        </w:rPr>
        <w:t>A person or set of associated persons has a controlling interest in a company if it has:</w:t>
      </w:r>
    </w:p>
    <w:p w14:paraId="2C4B5D90" w14:textId="77777777" w:rsidR="00375B9D" w:rsidRPr="00375B9D" w:rsidRDefault="00375B9D" w:rsidP="00AE756D">
      <w:pPr>
        <w:pStyle w:val="DTFBulletlist"/>
      </w:pPr>
      <w:r w:rsidRPr="00375B9D">
        <w:t>a direct interest in excess of 50</w:t>
      </w:r>
      <w:r w:rsidR="00A73CE7">
        <w:t>%</w:t>
      </w:r>
    </w:p>
    <w:p w14:paraId="625117E8" w14:textId="77777777" w:rsidR="00375B9D" w:rsidRPr="00375B9D" w:rsidRDefault="00375B9D" w:rsidP="00AE756D">
      <w:pPr>
        <w:pStyle w:val="DTFBulletlist"/>
      </w:pPr>
      <w:r w:rsidRPr="00375B9D">
        <w:t>an indirect interest in excess of 50</w:t>
      </w:r>
      <w:r w:rsidR="00A73CE7">
        <w:t>%</w:t>
      </w:r>
    </w:p>
    <w:p w14:paraId="5C0EFAC4" w14:textId="77777777" w:rsidR="00375B9D" w:rsidRPr="00375B9D" w:rsidRDefault="00A73CE7" w:rsidP="00AE756D">
      <w:pPr>
        <w:pStyle w:val="DTFBulletlist"/>
      </w:pPr>
      <w:r>
        <w:t xml:space="preserve">or </w:t>
      </w:r>
      <w:r w:rsidR="00375B9D" w:rsidRPr="00375B9D">
        <w:t>an aggregate of direct and indirect interests in excess of 50</w:t>
      </w:r>
      <w:r>
        <w:t>%</w:t>
      </w:r>
      <w:r w:rsidR="00375B9D" w:rsidRPr="00375B9D">
        <w:t>.</w:t>
      </w:r>
    </w:p>
    <w:p w14:paraId="45B72917" w14:textId="77777777" w:rsidR="00375B9D" w:rsidRPr="00375B9D" w:rsidRDefault="00375B9D" w:rsidP="000137E9">
      <w:pPr>
        <w:pStyle w:val="Heading3"/>
        <w:rPr>
          <w:noProof/>
        </w:rPr>
      </w:pPr>
      <w:bookmarkStart w:id="98" w:name="_Ref108099217"/>
      <w:bookmarkStart w:id="99" w:name="ExamplesApplicationFundamentTracingPrinc"/>
      <w:r w:rsidRPr="00375B9D">
        <w:rPr>
          <w:noProof/>
        </w:rPr>
        <w:t xml:space="preserve">Examples of the </w:t>
      </w:r>
      <w:r w:rsidR="008B6620">
        <w:rPr>
          <w:noProof/>
        </w:rPr>
        <w:t>a</w:t>
      </w:r>
      <w:r w:rsidRPr="00375B9D">
        <w:rPr>
          <w:noProof/>
        </w:rPr>
        <w:t xml:space="preserve">pplication of </w:t>
      </w:r>
      <w:r w:rsidR="008B6620">
        <w:rPr>
          <w:noProof/>
        </w:rPr>
        <w:t>f</w:t>
      </w:r>
      <w:r w:rsidRPr="00375B9D">
        <w:rPr>
          <w:noProof/>
        </w:rPr>
        <w:t xml:space="preserve">undamental </w:t>
      </w:r>
      <w:r w:rsidR="008B6620">
        <w:rPr>
          <w:noProof/>
        </w:rPr>
        <w:t>t</w:t>
      </w:r>
      <w:r w:rsidRPr="00375B9D">
        <w:rPr>
          <w:noProof/>
        </w:rPr>
        <w:t xml:space="preserve">racing </w:t>
      </w:r>
      <w:r w:rsidR="008B6620">
        <w:rPr>
          <w:noProof/>
        </w:rPr>
        <w:t>p</w:t>
      </w:r>
      <w:r w:rsidRPr="00375B9D">
        <w:rPr>
          <w:noProof/>
        </w:rPr>
        <w:t>rinciples</w:t>
      </w:r>
      <w:bookmarkEnd w:id="98"/>
    </w:p>
    <w:tbl>
      <w:tblPr>
        <w:tblStyle w:val="DTFpayrolltaxguidestyle1"/>
        <w:tblW w:w="10343" w:type="dxa"/>
        <w:tblLook w:val="04A0" w:firstRow="1" w:lastRow="0" w:firstColumn="1" w:lastColumn="0" w:noHBand="0" w:noVBand="1"/>
        <w:tblDescription w:val="Scenario 1: Direct Interest Exceeding 50 Per Cent"/>
      </w:tblPr>
      <w:tblGrid>
        <w:gridCol w:w="10343"/>
      </w:tblGrid>
      <w:tr w:rsidR="00375B9D" w:rsidRPr="00375B9D" w14:paraId="7D2AC89B" w14:textId="77777777" w:rsidTr="00937629">
        <w:trPr>
          <w:trHeight w:val="4635"/>
          <w:tblHeader/>
        </w:trPr>
        <w:tc>
          <w:tcPr>
            <w:tcW w:w="10343" w:type="dxa"/>
          </w:tcPr>
          <w:bookmarkEnd w:id="99"/>
          <w:p w14:paraId="1EB022D0" w14:textId="77777777" w:rsidR="00375B9D" w:rsidRPr="00375B9D" w:rsidRDefault="00375B9D" w:rsidP="00375B9D">
            <w:pPr>
              <w:spacing w:after="200"/>
              <w:rPr>
                <w:noProof/>
                <w:lang w:eastAsia="en-AU"/>
              </w:rPr>
            </w:pPr>
            <w:r w:rsidRPr="00375B9D">
              <w:rPr>
                <w:b/>
                <w:noProof/>
                <w:lang w:eastAsia="en-AU"/>
              </w:rPr>
              <w:t>Scenario</w:t>
            </w:r>
            <w:r w:rsidRPr="00375B9D">
              <w:rPr>
                <w:noProof/>
                <w:lang w:eastAsia="en-AU"/>
              </w:rPr>
              <w:t xml:space="preserve"> </w:t>
            </w:r>
            <w:r w:rsidRPr="00375B9D">
              <w:rPr>
                <w:b/>
                <w:noProof/>
                <w:lang w:eastAsia="en-AU"/>
              </w:rPr>
              <w:t>1</w:t>
            </w:r>
            <w:r w:rsidRPr="00375B9D">
              <w:rPr>
                <w:noProof/>
                <w:lang w:eastAsia="en-AU"/>
              </w:rPr>
              <w:t xml:space="preserve">: Direct </w:t>
            </w:r>
            <w:r w:rsidR="009E4EAB" w:rsidRPr="00375B9D">
              <w:rPr>
                <w:noProof/>
                <w:lang w:eastAsia="en-AU"/>
              </w:rPr>
              <w:t xml:space="preserve">interest exceeding </w:t>
            </w:r>
            <w:r w:rsidRPr="00375B9D">
              <w:rPr>
                <w:noProof/>
                <w:lang w:eastAsia="en-AU"/>
              </w:rPr>
              <w:t>50</w:t>
            </w:r>
            <w:r w:rsidR="00A73CE7">
              <w:rPr>
                <w:noProof/>
                <w:lang w:eastAsia="en-AU"/>
              </w:rPr>
              <w:t>%</w:t>
            </w:r>
          </w:p>
          <w:p w14:paraId="663435AA" w14:textId="77777777" w:rsidR="00375B9D" w:rsidRPr="00375B9D" w:rsidRDefault="00375B9D" w:rsidP="003920F7">
            <w:pPr>
              <w:spacing w:after="120"/>
              <w:rPr>
                <w:noProof/>
                <w:lang w:eastAsia="en-AU"/>
              </w:rPr>
            </w:pPr>
            <w:r w:rsidRPr="00375B9D">
              <w:rPr>
                <w:noProof/>
                <w:lang w:eastAsia="en-AU"/>
              </w:rPr>
              <w:t xml:space="preserve">A direct interest exists if the entity can directly or indirectly: </w:t>
            </w:r>
          </w:p>
          <w:p w14:paraId="7BFBAC1F" w14:textId="77777777" w:rsidR="00375B9D" w:rsidRPr="00375B9D" w:rsidRDefault="00375B9D" w:rsidP="003920F7">
            <w:pPr>
              <w:pStyle w:val="DTFBulletlist"/>
              <w:spacing w:after="120"/>
            </w:pPr>
            <w:r w:rsidRPr="00375B9D">
              <w:t xml:space="preserve">exercise the voting power attached to the voting shares in the corporation </w:t>
            </w:r>
          </w:p>
          <w:p w14:paraId="01071AA6" w14:textId="77777777" w:rsidR="00375B9D" w:rsidRPr="00375B9D" w:rsidRDefault="00375B9D" w:rsidP="003920F7">
            <w:pPr>
              <w:pStyle w:val="DTFBulletlist"/>
              <w:spacing w:after="120"/>
            </w:pPr>
            <w:r w:rsidRPr="00375B9D">
              <w:t>control the exercise of voting power attached to the voting shares in the corporation</w:t>
            </w:r>
          </w:p>
          <w:p w14:paraId="08960FAD" w14:textId="77777777" w:rsidR="00375B9D" w:rsidRPr="00375B9D" w:rsidRDefault="00A73CE7" w:rsidP="003920F7">
            <w:pPr>
              <w:pStyle w:val="DTFBulletlist"/>
              <w:spacing w:after="120"/>
            </w:pPr>
            <w:r>
              <w:t xml:space="preserve">or </w:t>
            </w:r>
            <w:r w:rsidR="00375B9D" w:rsidRPr="00375B9D">
              <w:t xml:space="preserve">substantially influence the exercise of the voting power attached to the majority of voting shares in the corporation. </w:t>
            </w:r>
          </w:p>
          <w:p w14:paraId="7FE40A41" w14:textId="77777777" w:rsidR="00375B9D" w:rsidRPr="003920F7" w:rsidRDefault="00375B9D" w:rsidP="003920F7">
            <w:pPr>
              <w:spacing w:after="120"/>
              <w:rPr>
                <w:noProof/>
                <w:lang w:eastAsia="en-AU"/>
              </w:rPr>
            </w:pPr>
            <w:r w:rsidRPr="003920F7">
              <w:rPr>
                <w:noProof/>
                <w:lang w:eastAsia="en-AU"/>
              </w:rPr>
              <w:t>Example:</w:t>
            </w:r>
          </w:p>
          <w:p w14:paraId="6A6A63F9" w14:textId="77777777" w:rsidR="00375B9D" w:rsidRPr="00375B9D" w:rsidRDefault="00375B9D" w:rsidP="003920F7">
            <w:pPr>
              <w:pStyle w:val="DTFBulletlist"/>
              <w:spacing w:after="120"/>
            </w:pPr>
            <w:r w:rsidRPr="00375B9D">
              <w:t>Entity A controls 80% of the voting shares in Company B</w:t>
            </w:r>
          </w:p>
          <w:p w14:paraId="0E8A2F89" w14:textId="77777777" w:rsidR="00375B9D" w:rsidRPr="00375B9D" w:rsidRDefault="00A73CE7" w:rsidP="003920F7">
            <w:pPr>
              <w:pStyle w:val="DTFBulletlist"/>
              <w:spacing w:after="120"/>
            </w:pPr>
            <w:r>
              <w:t>or e</w:t>
            </w:r>
            <w:r w:rsidR="00375B9D" w:rsidRPr="00375B9D">
              <w:t>ntity A can control, or substantially influence, the use of voting power by the majority of shareholders of Company B.</w:t>
            </w:r>
          </w:p>
          <w:p w14:paraId="664E59B5" w14:textId="77777777" w:rsidR="00375B9D" w:rsidRPr="00375B9D" w:rsidRDefault="00375B9D" w:rsidP="00375B9D">
            <w:pPr>
              <w:spacing w:after="200"/>
              <w:rPr>
                <w:noProof/>
                <w:lang w:eastAsia="en-AU"/>
              </w:rPr>
            </w:pPr>
            <w:r w:rsidRPr="00375B9D">
              <w:rPr>
                <w:noProof/>
                <w:lang w:eastAsia="en-AU"/>
              </w:rPr>
              <w:t xml:space="preserve">Entity A could be a natural person, a company, a trustee or a partnership. In this case, Entity A has a direct interest in Company B and therefore has a controlling interest. </w:t>
            </w:r>
          </w:p>
          <w:p w14:paraId="66D464C5" w14:textId="77777777" w:rsidR="00375B9D" w:rsidRPr="00375B9D" w:rsidRDefault="00375B9D" w:rsidP="00375B9D">
            <w:pPr>
              <w:spacing w:after="200"/>
              <w:rPr>
                <w:noProof/>
                <w:lang w:eastAsia="en-AU"/>
              </w:rPr>
            </w:pPr>
            <w:r w:rsidRPr="00375B9D">
              <w:rPr>
                <w:noProof/>
                <w:lang w:eastAsia="en-AU"/>
              </w:rPr>
              <w:t>As a consequence, Entity A and Company B are grouped for payroll tax purposes.</w:t>
            </w:r>
          </w:p>
        </w:tc>
      </w:tr>
    </w:tbl>
    <w:p w14:paraId="6D5EE9DA" w14:textId="77777777" w:rsidR="00375B9D" w:rsidRPr="00375B9D" w:rsidRDefault="00375B9D" w:rsidP="00375B9D">
      <w:pPr>
        <w:rPr>
          <w:noProof/>
          <w:lang w:eastAsia="en-AU"/>
        </w:rPr>
      </w:pPr>
    </w:p>
    <w:tbl>
      <w:tblPr>
        <w:tblStyle w:val="DTFpayrolltaxguidestyle1"/>
        <w:tblW w:w="10343" w:type="dxa"/>
        <w:tblLook w:val="04A0" w:firstRow="1" w:lastRow="0" w:firstColumn="1" w:lastColumn="0" w:noHBand="0" w:noVBand="1"/>
        <w:tblDescription w:val="Scenario 2: Indirect Interest Exceeding 50 Per Cent"/>
      </w:tblPr>
      <w:tblGrid>
        <w:gridCol w:w="10343"/>
      </w:tblGrid>
      <w:tr w:rsidR="00375B9D" w:rsidRPr="00375B9D" w14:paraId="1A9F5F36" w14:textId="77777777" w:rsidTr="00937629">
        <w:trPr>
          <w:trHeight w:val="8294"/>
          <w:tblHeader/>
        </w:trPr>
        <w:tc>
          <w:tcPr>
            <w:tcW w:w="10343" w:type="dxa"/>
          </w:tcPr>
          <w:p w14:paraId="6D3E40A9" w14:textId="77777777" w:rsidR="00375B9D" w:rsidRPr="00375B9D" w:rsidRDefault="00375B9D" w:rsidP="00375B9D">
            <w:pPr>
              <w:spacing w:after="200"/>
              <w:rPr>
                <w:noProof/>
                <w:lang w:eastAsia="en-AU"/>
              </w:rPr>
            </w:pPr>
            <w:r w:rsidRPr="00375B9D">
              <w:rPr>
                <w:b/>
                <w:noProof/>
                <w:lang w:eastAsia="en-AU"/>
              </w:rPr>
              <w:lastRenderedPageBreak/>
              <w:t>Scenario 2</w:t>
            </w:r>
            <w:r w:rsidRPr="00375B9D">
              <w:rPr>
                <w:noProof/>
                <w:lang w:eastAsia="en-AU"/>
              </w:rPr>
              <w:t xml:space="preserve">: Indirect </w:t>
            </w:r>
            <w:r w:rsidR="009E4EAB" w:rsidRPr="00375B9D">
              <w:rPr>
                <w:noProof/>
                <w:lang w:eastAsia="en-AU"/>
              </w:rPr>
              <w:t xml:space="preserve">interest exceeding </w:t>
            </w:r>
            <w:r w:rsidRPr="00375B9D">
              <w:rPr>
                <w:noProof/>
                <w:lang w:eastAsia="en-AU"/>
              </w:rPr>
              <w:t>50</w:t>
            </w:r>
            <w:r w:rsidR="00A73CE7">
              <w:rPr>
                <w:noProof/>
                <w:lang w:eastAsia="en-AU"/>
              </w:rPr>
              <w:t>%</w:t>
            </w:r>
          </w:p>
          <w:p w14:paraId="084385F7" w14:textId="77777777" w:rsidR="00375B9D" w:rsidRPr="00375B9D" w:rsidRDefault="00375B9D" w:rsidP="00375B9D">
            <w:pPr>
              <w:spacing w:after="200"/>
              <w:rPr>
                <w:noProof/>
                <w:lang w:eastAsia="en-AU"/>
              </w:rPr>
            </w:pPr>
            <w:r w:rsidRPr="00375B9D">
              <w:rPr>
                <w:noProof/>
                <w:lang w:eastAsia="en-AU"/>
              </w:rPr>
              <w:t>An indirect interest in a corporation exists if the entity is linked to that corporation by a direct interest in another corporation with a direct or indirect interest in the indirectly controlled corporation.</w:t>
            </w:r>
          </w:p>
          <w:p w14:paraId="2176FDDE" w14:textId="77777777" w:rsidR="00375B9D" w:rsidRPr="00375B9D" w:rsidRDefault="00375B9D" w:rsidP="003920F7">
            <w:pPr>
              <w:spacing w:after="120"/>
              <w:rPr>
                <w:noProof/>
                <w:lang w:eastAsia="en-AU"/>
              </w:rPr>
            </w:pPr>
            <w:r w:rsidRPr="00375B9D">
              <w:rPr>
                <w:noProof/>
                <w:lang w:eastAsia="en-AU"/>
              </w:rPr>
              <w:t>The value of an indirect interest in an indirectly controlled corporation is determined by multiplying the value of the entity’s direct interest in the directly controlled corporation by the value of the directly controlled corporation’s interest in the indirectly controlled corporation.</w:t>
            </w:r>
          </w:p>
          <w:p w14:paraId="6CF5FCC5" w14:textId="77777777" w:rsidR="00375B9D" w:rsidRPr="00375B9D" w:rsidRDefault="00375B9D" w:rsidP="003920F7">
            <w:pPr>
              <w:spacing w:after="120"/>
              <w:rPr>
                <w:noProof/>
                <w:lang w:eastAsia="en-AU"/>
              </w:rPr>
            </w:pPr>
            <w:r w:rsidRPr="00375B9D">
              <w:rPr>
                <w:noProof/>
                <w:lang w:eastAsia="en-AU"/>
              </w:rPr>
              <w:t>Example:</w:t>
            </w:r>
          </w:p>
          <w:p w14:paraId="33EF0A94" w14:textId="77777777" w:rsidR="00375B9D" w:rsidRPr="00375B9D" w:rsidRDefault="00375B9D" w:rsidP="003920F7">
            <w:pPr>
              <w:pStyle w:val="DTFBulletlist"/>
              <w:spacing w:after="120"/>
            </w:pPr>
            <w:r w:rsidRPr="00375B9D">
              <w:t>Entity A controls 90% of the voting shares in Company B</w:t>
            </w:r>
          </w:p>
          <w:p w14:paraId="747590BA" w14:textId="77777777" w:rsidR="00375B9D" w:rsidRPr="00375B9D" w:rsidRDefault="00375B9D" w:rsidP="003920F7">
            <w:pPr>
              <w:pStyle w:val="DTFBulletlist"/>
              <w:spacing w:after="120"/>
            </w:pPr>
            <w:r w:rsidRPr="00375B9D">
              <w:t>Company B controls 90% of the voting shares in Company C</w:t>
            </w:r>
          </w:p>
          <w:p w14:paraId="5D3E1BEA" w14:textId="77777777" w:rsidR="00375B9D" w:rsidRPr="00375B9D" w:rsidRDefault="00375B9D" w:rsidP="003920F7">
            <w:pPr>
              <w:pStyle w:val="DTFBulletlist"/>
              <w:spacing w:after="120"/>
            </w:pPr>
            <w:r w:rsidRPr="00375B9D">
              <w:t>Company C controls 80% of</w:t>
            </w:r>
            <w:r w:rsidR="00A73CE7">
              <w:t xml:space="preserve"> the voting shares in Company D</w:t>
            </w:r>
          </w:p>
          <w:p w14:paraId="32C1D306" w14:textId="77777777" w:rsidR="00375B9D" w:rsidRPr="00375B9D" w:rsidRDefault="00375B9D" w:rsidP="003920F7">
            <w:pPr>
              <w:pStyle w:val="DTFBulletlist"/>
              <w:spacing w:after="120"/>
            </w:pPr>
            <w:r w:rsidRPr="00375B9D">
              <w:t>Company D controls 50% of the voting shares in Company E.</w:t>
            </w:r>
          </w:p>
          <w:p w14:paraId="50C9600D" w14:textId="77777777" w:rsidR="00375B9D" w:rsidRPr="00375B9D" w:rsidRDefault="00375B9D" w:rsidP="003920F7">
            <w:pPr>
              <w:spacing w:after="120"/>
              <w:rPr>
                <w:noProof/>
                <w:lang w:eastAsia="en-AU"/>
              </w:rPr>
            </w:pPr>
            <w:r w:rsidRPr="00375B9D">
              <w:rPr>
                <w:noProof/>
                <w:lang w:eastAsia="en-AU"/>
              </w:rPr>
              <w:t>As a consequence:</w:t>
            </w:r>
          </w:p>
          <w:p w14:paraId="5876A884" w14:textId="77777777" w:rsidR="00375B9D" w:rsidRPr="00375B9D" w:rsidRDefault="00375B9D" w:rsidP="003920F7">
            <w:pPr>
              <w:pStyle w:val="DTFBulletlist"/>
              <w:spacing w:after="120"/>
            </w:pPr>
            <w:r w:rsidRPr="00375B9D">
              <w:t>Entity A has a 90% direct interest in Company B</w:t>
            </w:r>
          </w:p>
          <w:p w14:paraId="5B2BA8F7" w14:textId="77777777" w:rsidR="00375B9D" w:rsidRPr="00375B9D" w:rsidRDefault="00375B9D" w:rsidP="003920F7">
            <w:pPr>
              <w:pStyle w:val="DTFBulletlist"/>
              <w:spacing w:after="120"/>
            </w:pPr>
            <w:r w:rsidRPr="00375B9D">
              <w:t>Entity A has an 81% (90% x 90%) indirect interest in Company C</w:t>
            </w:r>
          </w:p>
          <w:p w14:paraId="34FE03D7" w14:textId="77777777" w:rsidR="00375B9D" w:rsidRPr="00375B9D" w:rsidRDefault="00375B9D" w:rsidP="003920F7">
            <w:pPr>
              <w:pStyle w:val="DTFBulletlist"/>
              <w:spacing w:after="120"/>
            </w:pPr>
            <w:r w:rsidRPr="00375B9D">
              <w:t>Entity A has a 64.8% (81% x 80%)</w:t>
            </w:r>
            <w:r w:rsidR="00A73CE7">
              <w:t xml:space="preserve"> indirect interest in Company D</w:t>
            </w:r>
          </w:p>
          <w:p w14:paraId="0FE62F77" w14:textId="77777777" w:rsidR="00375B9D" w:rsidRPr="00375B9D" w:rsidRDefault="00375B9D" w:rsidP="003920F7">
            <w:pPr>
              <w:pStyle w:val="DTFBulletlist"/>
              <w:spacing w:after="120"/>
            </w:pPr>
            <w:r w:rsidRPr="00375B9D">
              <w:t>Entity A has a 32.4% (64.8% x 50%)</w:t>
            </w:r>
            <w:r w:rsidR="00A73CE7">
              <w:t xml:space="preserve"> indirect interest in Company E</w:t>
            </w:r>
          </w:p>
          <w:p w14:paraId="0CB7B257" w14:textId="77777777" w:rsidR="00375B9D" w:rsidRPr="00375B9D" w:rsidRDefault="00375B9D" w:rsidP="003920F7">
            <w:pPr>
              <w:pStyle w:val="DTFBulletlist"/>
              <w:spacing w:after="120"/>
            </w:pPr>
            <w:r w:rsidRPr="00375B9D">
              <w:t>Entity A is grouped with Company B</w:t>
            </w:r>
          </w:p>
          <w:p w14:paraId="7E41595E" w14:textId="77777777" w:rsidR="00375B9D" w:rsidRPr="00375B9D" w:rsidRDefault="00375B9D" w:rsidP="003920F7">
            <w:pPr>
              <w:pStyle w:val="DTFBulletlist"/>
              <w:spacing w:after="120"/>
            </w:pPr>
            <w:r w:rsidRPr="00375B9D">
              <w:t>Entity A is grouped with Company C</w:t>
            </w:r>
          </w:p>
          <w:p w14:paraId="2C0E59F8" w14:textId="77777777" w:rsidR="00375B9D" w:rsidRPr="00375B9D" w:rsidRDefault="00375B9D" w:rsidP="003920F7">
            <w:pPr>
              <w:pStyle w:val="DTFBulletlist"/>
              <w:spacing w:after="120"/>
            </w:pPr>
            <w:r w:rsidRPr="00375B9D">
              <w:t>Entity A is grouped with Company D</w:t>
            </w:r>
          </w:p>
          <w:p w14:paraId="3D9E4B72" w14:textId="77777777" w:rsidR="00375B9D" w:rsidRPr="00375B9D" w:rsidRDefault="00375B9D" w:rsidP="003920F7">
            <w:pPr>
              <w:pStyle w:val="DTFBulletlist"/>
              <w:spacing w:after="120"/>
            </w:pPr>
            <w:r w:rsidRPr="00375B9D">
              <w:t>Entity A, Company B, Company C and Company D are subsumed into a single ‘master’ group</w:t>
            </w:r>
          </w:p>
          <w:p w14:paraId="7CC131C5" w14:textId="77777777" w:rsidR="00375B9D" w:rsidRPr="00375B9D" w:rsidRDefault="00375B9D" w:rsidP="003920F7">
            <w:pPr>
              <w:pStyle w:val="DTFBulletlist"/>
            </w:pPr>
            <w:r w:rsidRPr="00375B9D">
              <w:t>Company E remains ungrouped (unless grouped on another basis such as use of common employees or common control with any of the other companies or entities on the basis of common directors).</w:t>
            </w:r>
          </w:p>
        </w:tc>
      </w:tr>
    </w:tbl>
    <w:p w14:paraId="6F144BD8" w14:textId="77777777" w:rsidR="00375B9D" w:rsidRPr="00375B9D" w:rsidRDefault="00375B9D" w:rsidP="00375B9D">
      <w:pPr>
        <w:rPr>
          <w:noProof/>
          <w:lang w:eastAsia="en-AU"/>
        </w:rPr>
      </w:pPr>
    </w:p>
    <w:p w14:paraId="78AE8444" w14:textId="77777777" w:rsidR="00375B9D" w:rsidRPr="00375B9D" w:rsidRDefault="00375B9D" w:rsidP="00375B9D">
      <w:pPr>
        <w:rPr>
          <w:noProof/>
          <w:lang w:eastAsia="en-AU"/>
        </w:rPr>
      </w:pPr>
      <w:r w:rsidRPr="00375B9D">
        <w:rPr>
          <w:noProof/>
          <w:lang w:eastAsia="en-AU"/>
        </w:rPr>
        <w:br w:type="page"/>
      </w:r>
    </w:p>
    <w:tbl>
      <w:tblPr>
        <w:tblStyle w:val="DTFpayrolltaxguidestyle1"/>
        <w:tblW w:w="10343" w:type="dxa"/>
        <w:tblLook w:val="04A0" w:firstRow="1" w:lastRow="0" w:firstColumn="1" w:lastColumn="0" w:noHBand="0" w:noVBand="1"/>
        <w:tblDescription w:val="Scenario 3: Aggregate (of Direct and Indirect Interests) Exceeding 50 Per Cent"/>
      </w:tblPr>
      <w:tblGrid>
        <w:gridCol w:w="3113"/>
        <w:gridCol w:w="993"/>
        <w:gridCol w:w="6237"/>
      </w:tblGrid>
      <w:tr w:rsidR="00375B9D" w:rsidRPr="00375B9D" w14:paraId="3B1C7412" w14:textId="77777777" w:rsidTr="00937629">
        <w:trPr>
          <w:trHeight w:val="1306"/>
          <w:tblHeader/>
        </w:trPr>
        <w:tc>
          <w:tcPr>
            <w:tcW w:w="10343" w:type="dxa"/>
            <w:gridSpan w:val="3"/>
          </w:tcPr>
          <w:p w14:paraId="5A152CFF" w14:textId="77777777" w:rsidR="00375B9D" w:rsidRPr="00375B9D" w:rsidRDefault="00375B9D" w:rsidP="00375B9D">
            <w:pPr>
              <w:spacing w:after="200"/>
              <w:rPr>
                <w:noProof/>
                <w:lang w:eastAsia="en-AU"/>
              </w:rPr>
            </w:pPr>
            <w:r w:rsidRPr="00375B9D">
              <w:rPr>
                <w:b/>
                <w:noProof/>
                <w:lang w:eastAsia="en-AU"/>
              </w:rPr>
              <w:lastRenderedPageBreak/>
              <w:t>Scenario 3</w:t>
            </w:r>
            <w:r w:rsidRPr="00375B9D">
              <w:rPr>
                <w:noProof/>
                <w:lang w:eastAsia="en-AU"/>
              </w:rPr>
              <w:t xml:space="preserve">: Aggregate (of </w:t>
            </w:r>
            <w:r w:rsidR="009E4EAB" w:rsidRPr="00375B9D">
              <w:rPr>
                <w:noProof/>
                <w:lang w:eastAsia="en-AU"/>
              </w:rPr>
              <w:t xml:space="preserve">direct and indirect interests) exceeding </w:t>
            </w:r>
            <w:r w:rsidRPr="00375B9D">
              <w:rPr>
                <w:noProof/>
                <w:lang w:eastAsia="en-AU"/>
              </w:rPr>
              <w:t>50</w:t>
            </w:r>
            <w:r w:rsidR="00A73CE7">
              <w:rPr>
                <w:noProof/>
                <w:lang w:eastAsia="en-AU"/>
              </w:rPr>
              <w:t>%</w:t>
            </w:r>
          </w:p>
          <w:p w14:paraId="796C1C0F" w14:textId="77777777" w:rsidR="00375B9D" w:rsidRPr="00375B9D" w:rsidRDefault="00375B9D" w:rsidP="00375B9D">
            <w:pPr>
              <w:spacing w:after="200"/>
              <w:rPr>
                <w:noProof/>
                <w:lang w:eastAsia="en-AU"/>
              </w:rPr>
            </w:pPr>
            <w:r w:rsidRPr="00375B9D">
              <w:rPr>
                <w:noProof/>
                <w:lang w:eastAsia="en-AU"/>
              </w:rPr>
              <w:t>An aggregate interest exists if an entity has a direct and an indirect interest or two or more indirect interests. The aggregate interest is the sum of the entity’s direct and indirect interests in the corporation.</w:t>
            </w:r>
          </w:p>
          <w:p w14:paraId="437D5B18" w14:textId="77777777" w:rsidR="00375B9D" w:rsidRPr="003920F7" w:rsidRDefault="00375B9D" w:rsidP="00375B9D">
            <w:pPr>
              <w:spacing w:after="200"/>
              <w:rPr>
                <w:noProof/>
                <w:lang w:eastAsia="en-AU"/>
              </w:rPr>
            </w:pPr>
            <w:r w:rsidRPr="003920F7">
              <w:rPr>
                <w:noProof/>
                <w:lang w:eastAsia="en-AU"/>
              </w:rPr>
              <w:drawing>
                <wp:anchor distT="0" distB="0" distL="114300" distR="114300" simplePos="0" relativeHeight="251659264" behindDoc="0" locked="0" layoutInCell="1" allowOverlap="1" wp14:anchorId="779022A3" wp14:editId="6F8DAD0A">
                  <wp:simplePos x="0" y="0"/>
                  <wp:positionH relativeFrom="column">
                    <wp:posOffset>393081</wp:posOffset>
                  </wp:positionH>
                  <wp:positionV relativeFrom="paragraph">
                    <wp:posOffset>281940</wp:posOffset>
                  </wp:positionV>
                  <wp:extent cx="1756800" cy="2379600"/>
                  <wp:effectExtent l="0" t="0" r="0" b="1905"/>
                  <wp:wrapNone/>
                  <wp:docPr id="6" name="Picture 6" descr="Scenario 3: Aggregate (of Direct and Indirect Interests) Exceeding 50 Per Cent" title="Example 1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arios.png"/>
                          <pic:cNvPicPr/>
                        </pic:nvPicPr>
                        <pic:blipFill>
                          <a:blip r:embed="rId56">
                            <a:extLst>
                              <a:ext uri="{28A0092B-C50C-407E-A947-70E740481C1C}">
                                <a14:useLocalDpi xmlns:a14="http://schemas.microsoft.com/office/drawing/2010/main" val="0"/>
                              </a:ext>
                            </a:extLst>
                          </a:blip>
                          <a:stretch>
                            <a:fillRect/>
                          </a:stretch>
                        </pic:blipFill>
                        <pic:spPr bwMode="auto">
                          <a:xfrm>
                            <a:off x="0" y="0"/>
                            <a:ext cx="1756800" cy="237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920F7">
              <w:rPr>
                <w:noProof/>
                <w:lang w:eastAsia="en-AU"/>
              </w:rPr>
              <w:t>Example 1:</w:t>
            </w:r>
          </w:p>
        </w:tc>
      </w:tr>
      <w:tr w:rsidR="00375B9D" w:rsidRPr="00375B9D" w14:paraId="7C2FDF4E" w14:textId="77777777" w:rsidTr="00945C97">
        <w:trPr>
          <w:trHeight w:val="3617"/>
        </w:trPr>
        <w:tc>
          <w:tcPr>
            <w:tcW w:w="4106" w:type="dxa"/>
            <w:gridSpan w:val="2"/>
          </w:tcPr>
          <w:p w14:paraId="4D9DB3E6" w14:textId="77777777" w:rsidR="00375B9D" w:rsidRPr="00375B9D" w:rsidRDefault="00375B9D" w:rsidP="00375B9D">
            <w:pPr>
              <w:spacing w:after="200"/>
              <w:rPr>
                <w:b/>
                <w:noProof/>
                <w:lang w:eastAsia="en-AU"/>
              </w:rPr>
            </w:pPr>
          </w:p>
        </w:tc>
        <w:tc>
          <w:tcPr>
            <w:tcW w:w="6237" w:type="dxa"/>
          </w:tcPr>
          <w:p w14:paraId="360B64D5" w14:textId="77777777" w:rsidR="00375B9D" w:rsidRPr="00375B9D" w:rsidRDefault="00375B9D" w:rsidP="00375B9D">
            <w:pPr>
              <w:spacing w:after="200"/>
              <w:rPr>
                <w:noProof/>
                <w:lang w:eastAsia="en-AU"/>
              </w:rPr>
            </w:pPr>
            <w:r w:rsidRPr="00375B9D">
              <w:rPr>
                <w:noProof/>
                <w:lang w:eastAsia="en-AU"/>
              </w:rPr>
              <w:t xml:space="preserve">Entity A has a direct interest in </w:t>
            </w:r>
            <w:r w:rsidRPr="00375B9D">
              <w:rPr>
                <w:noProof/>
                <w:lang w:eastAsia="en-AU"/>
              </w:rPr>
              <w:br/>
              <w:t>Corporation C of 40%.</w:t>
            </w:r>
          </w:p>
          <w:p w14:paraId="6E2816E5" w14:textId="77777777" w:rsidR="00375B9D" w:rsidRPr="00375B9D" w:rsidRDefault="00375B9D" w:rsidP="00375B9D">
            <w:pPr>
              <w:spacing w:after="200"/>
              <w:rPr>
                <w:noProof/>
                <w:lang w:eastAsia="en-AU"/>
              </w:rPr>
            </w:pPr>
            <w:r w:rsidRPr="00375B9D">
              <w:rPr>
                <w:noProof/>
                <w:lang w:eastAsia="en-AU"/>
              </w:rPr>
              <w:t xml:space="preserve">Entity A also has an indirect interest in Corporation C of 15% </w:t>
            </w:r>
            <w:r w:rsidRPr="00375B9D">
              <w:rPr>
                <w:noProof/>
                <w:lang w:eastAsia="en-AU"/>
              </w:rPr>
              <w:br/>
              <w:t>(that is, 25% x 60% = 15%).</w:t>
            </w:r>
          </w:p>
          <w:p w14:paraId="13032F07" w14:textId="77777777" w:rsidR="00375B9D" w:rsidRPr="00375B9D" w:rsidRDefault="00375B9D" w:rsidP="00375B9D">
            <w:pPr>
              <w:spacing w:after="200"/>
              <w:rPr>
                <w:noProof/>
                <w:lang w:eastAsia="en-AU"/>
              </w:rPr>
            </w:pPr>
            <w:r w:rsidRPr="00375B9D">
              <w:rPr>
                <w:noProof/>
                <w:lang w:eastAsia="en-AU"/>
              </w:rPr>
              <w:t xml:space="preserve">The total aggregate interest that Entity A holds in Corporation C is 55% </w:t>
            </w:r>
            <w:r w:rsidRPr="00375B9D">
              <w:rPr>
                <w:noProof/>
                <w:lang w:eastAsia="en-AU"/>
              </w:rPr>
              <w:br/>
              <w:t>(that is, 40% + 15% = 55%).</w:t>
            </w:r>
          </w:p>
        </w:tc>
      </w:tr>
      <w:tr w:rsidR="00375B9D" w:rsidRPr="00375B9D" w14:paraId="660063B1" w14:textId="77777777" w:rsidTr="00945C97">
        <w:trPr>
          <w:trHeight w:val="18"/>
        </w:trPr>
        <w:tc>
          <w:tcPr>
            <w:tcW w:w="3113" w:type="dxa"/>
          </w:tcPr>
          <w:p w14:paraId="5396A347" w14:textId="77777777" w:rsidR="00375B9D" w:rsidRPr="003920F7" w:rsidRDefault="00375B9D" w:rsidP="00375B9D">
            <w:pPr>
              <w:spacing w:after="200"/>
              <w:rPr>
                <w:noProof/>
                <w:lang w:eastAsia="en-AU"/>
              </w:rPr>
            </w:pPr>
            <w:r w:rsidRPr="003920F7">
              <w:rPr>
                <w:noProof/>
                <w:lang w:eastAsia="en-AU"/>
              </w:rPr>
              <w:t>Example 2:</w:t>
            </w:r>
          </w:p>
        </w:tc>
        <w:tc>
          <w:tcPr>
            <w:tcW w:w="7230" w:type="dxa"/>
            <w:gridSpan w:val="2"/>
          </w:tcPr>
          <w:p w14:paraId="5502C304" w14:textId="77777777" w:rsidR="00375B9D" w:rsidRPr="00375B9D" w:rsidRDefault="00375B9D" w:rsidP="00375B9D">
            <w:pPr>
              <w:spacing w:after="200"/>
              <w:rPr>
                <w:noProof/>
                <w:lang w:eastAsia="en-AU"/>
              </w:rPr>
            </w:pPr>
          </w:p>
        </w:tc>
      </w:tr>
      <w:tr w:rsidR="00375B9D" w:rsidRPr="00375B9D" w14:paraId="37A8ADEE" w14:textId="77777777" w:rsidTr="00945C97">
        <w:trPr>
          <w:trHeight w:val="3617"/>
        </w:trPr>
        <w:tc>
          <w:tcPr>
            <w:tcW w:w="4106" w:type="dxa"/>
            <w:gridSpan w:val="2"/>
          </w:tcPr>
          <w:p w14:paraId="37FD6514" w14:textId="77777777" w:rsidR="00375B9D" w:rsidRPr="00375B9D" w:rsidRDefault="00375B9D" w:rsidP="00375B9D">
            <w:pPr>
              <w:spacing w:after="200"/>
              <w:rPr>
                <w:b/>
                <w:noProof/>
                <w:lang w:eastAsia="en-AU"/>
              </w:rPr>
            </w:pPr>
            <w:r w:rsidRPr="00375B9D">
              <w:rPr>
                <w:noProof/>
                <w:lang w:eastAsia="en-AU"/>
              </w:rPr>
              <w:drawing>
                <wp:anchor distT="0" distB="0" distL="114300" distR="114300" simplePos="0" relativeHeight="251660288" behindDoc="0" locked="0" layoutInCell="1" allowOverlap="1" wp14:anchorId="29345324" wp14:editId="57666551">
                  <wp:simplePos x="0" y="0"/>
                  <wp:positionH relativeFrom="column">
                    <wp:posOffset>-43815</wp:posOffset>
                  </wp:positionH>
                  <wp:positionV relativeFrom="paragraph">
                    <wp:posOffset>56368</wp:posOffset>
                  </wp:positionV>
                  <wp:extent cx="2574000" cy="2206800"/>
                  <wp:effectExtent l="0" t="0" r="0" b="3175"/>
                  <wp:wrapNone/>
                  <wp:docPr id="5" name="Picture 5" descr="Scenario 3: Aggregate (of Direct and Indirect Interests) Exceeding 50 Per Cent" title="Example 2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arios.png"/>
                          <pic:cNvPicPr/>
                        </pic:nvPicPr>
                        <pic:blipFill>
                          <a:blip r:embed="rId57">
                            <a:extLst>
                              <a:ext uri="{28A0092B-C50C-407E-A947-70E740481C1C}">
                                <a14:useLocalDpi xmlns:a14="http://schemas.microsoft.com/office/drawing/2010/main" val="0"/>
                              </a:ext>
                            </a:extLst>
                          </a:blip>
                          <a:stretch>
                            <a:fillRect/>
                          </a:stretch>
                        </pic:blipFill>
                        <pic:spPr bwMode="auto">
                          <a:xfrm>
                            <a:off x="0" y="0"/>
                            <a:ext cx="2574000" cy="220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237" w:type="dxa"/>
          </w:tcPr>
          <w:p w14:paraId="0F1B79B3" w14:textId="77777777" w:rsidR="00375B9D" w:rsidRPr="00375B9D" w:rsidRDefault="00375B9D" w:rsidP="00375B9D">
            <w:pPr>
              <w:spacing w:after="200"/>
              <w:rPr>
                <w:noProof/>
                <w:lang w:eastAsia="en-AU"/>
              </w:rPr>
            </w:pPr>
            <w:r w:rsidRPr="00375B9D">
              <w:rPr>
                <w:noProof/>
                <w:lang w:eastAsia="en-AU"/>
              </w:rPr>
              <w:t>Mr Murray has a direct interest in Corporation A of 80%.</w:t>
            </w:r>
          </w:p>
          <w:p w14:paraId="2C187BCE" w14:textId="77777777" w:rsidR="00375B9D" w:rsidRPr="00375B9D" w:rsidRDefault="00375B9D" w:rsidP="00375B9D">
            <w:pPr>
              <w:spacing w:after="200"/>
              <w:rPr>
                <w:noProof/>
                <w:lang w:eastAsia="en-AU"/>
              </w:rPr>
            </w:pPr>
            <w:r w:rsidRPr="00375B9D">
              <w:rPr>
                <w:noProof/>
                <w:lang w:eastAsia="en-AU"/>
              </w:rPr>
              <w:t xml:space="preserve">Mr Murray has a direct interest in </w:t>
            </w:r>
            <w:r w:rsidRPr="00375B9D">
              <w:rPr>
                <w:noProof/>
                <w:lang w:eastAsia="en-AU"/>
              </w:rPr>
              <w:br/>
              <w:t xml:space="preserve">Corporation C of 45% and an indirect interest in Corporation C of 12% (through Corporation A and B, that is, 80% x 30% x 50% = 12%). Therefore, Mr Murray holds a total aggregate interest in Corporation C of 57%. </w:t>
            </w:r>
          </w:p>
          <w:p w14:paraId="42525505" w14:textId="77777777" w:rsidR="00375B9D" w:rsidRPr="00375B9D" w:rsidRDefault="00375B9D" w:rsidP="00375B9D">
            <w:pPr>
              <w:spacing w:after="200"/>
              <w:rPr>
                <w:noProof/>
                <w:lang w:eastAsia="en-AU"/>
              </w:rPr>
            </w:pPr>
            <w:r w:rsidRPr="00375B9D">
              <w:rPr>
                <w:noProof/>
                <w:lang w:eastAsia="en-AU"/>
              </w:rPr>
              <w:t xml:space="preserve">Corporation A, Corporation C and Mr Murray’s interest in both companies </w:t>
            </w:r>
            <w:r w:rsidRPr="00375B9D">
              <w:rPr>
                <w:noProof/>
                <w:lang w:eastAsia="en-AU"/>
              </w:rPr>
              <w:br/>
              <w:t>is greater than 50%.</w:t>
            </w:r>
          </w:p>
          <w:p w14:paraId="6B9469B8" w14:textId="77777777" w:rsidR="00375B9D" w:rsidRPr="00375B9D" w:rsidRDefault="00375B9D" w:rsidP="00375B9D">
            <w:pPr>
              <w:spacing w:after="200"/>
              <w:rPr>
                <w:noProof/>
                <w:lang w:eastAsia="en-AU"/>
              </w:rPr>
            </w:pPr>
            <w:r w:rsidRPr="00375B9D">
              <w:rPr>
                <w:noProof/>
                <w:lang w:eastAsia="en-AU"/>
              </w:rPr>
              <w:t>Corporation B cannot be part of the group because the level of interest in each of the entities is 50% or less.</w:t>
            </w:r>
          </w:p>
        </w:tc>
      </w:tr>
    </w:tbl>
    <w:p w14:paraId="5D25677D" w14:textId="77777777" w:rsidR="00375B9D" w:rsidRPr="00375B9D" w:rsidRDefault="00375B9D" w:rsidP="00375B9D">
      <w:pPr>
        <w:rPr>
          <w:noProof/>
          <w:lang w:val="en-US" w:eastAsia="en-AU"/>
        </w:rPr>
      </w:pPr>
    </w:p>
    <w:p w14:paraId="7F00130D" w14:textId="77777777" w:rsidR="00375B9D" w:rsidRPr="00375B9D" w:rsidRDefault="00375B9D" w:rsidP="00375B9D">
      <w:pPr>
        <w:rPr>
          <w:noProof/>
          <w:lang w:val="en-US" w:eastAsia="en-AU"/>
        </w:rPr>
      </w:pPr>
      <w:r w:rsidRPr="00375B9D">
        <w:rPr>
          <w:noProof/>
          <w:lang w:eastAsia="en-AU"/>
        </w:rPr>
        <w:br w:type="page"/>
      </w:r>
    </w:p>
    <w:p w14:paraId="40E7E876" w14:textId="77777777" w:rsidR="00375B9D" w:rsidRPr="00375B9D" w:rsidRDefault="00375B9D" w:rsidP="00A7303B">
      <w:pPr>
        <w:pStyle w:val="Heading2"/>
      </w:pPr>
      <w:bookmarkStart w:id="100" w:name="_Toc467842759"/>
      <w:bookmarkStart w:id="101" w:name="_Toc108789597"/>
      <w:r w:rsidRPr="00375B9D">
        <w:lastRenderedPageBreak/>
        <w:t xml:space="preserve">Exclusion from a </w:t>
      </w:r>
      <w:r w:rsidR="008B6620">
        <w:t>g</w:t>
      </w:r>
      <w:r w:rsidRPr="00375B9D">
        <w:t>roup</w:t>
      </w:r>
      <w:bookmarkEnd w:id="100"/>
      <w:bookmarkEnd w:id="101"/>
    </w:p>
    <w:p w14:paraId="1BCDD1C2" w14:textId="77777777" w:rsidR="00375B9D" w:rsidRPr="00375B9D" w:rsidRDefault="00375B9D" w:rsidP="00375B9D">
      <w:pPr>
        <w:rPr>
          <w:noProof/>
          <w:lang w:eastAsia="en-AU"/>
        </w:rPr>
      </w:pPr>
      <w:r w:rsidRPr="00375B9D">
        <w:rPr>
          <w:noProof/>
          <w:lang w:eastAsia="en-AU"/>
        </w:rPr>
        <w:t>As previously highlighted, grouping is an automatic process depending on the status of each business that constitutes the group.</w:t>
      </w:r>
    </w:p>
    <w:p w14:paraId="41F4BF9E" w14:textId="77777777" w:rsidR="00375B9D" w:rsidRPr="00375B9D" w:rsidRDefault="00375B9D" w:rsidP="00375B9D">
      <w:pPr>
        <w:rPr>
          <w:noProof/>
          <w:lang w:eastAsia="en-AU"/>
        </w:rPr>
      </w:pPr>
      <w:r w:rsidRPr="00375B9D">
        <w:rPr>
          <w:noProof/>
          <w:lang w:eastAsia="en-AU"/>
        </w:rPr>
        <w:t>That is, grouping will automatically arise from any one or more of the following circumstances:</w:t>
      </w:r>
    </w:p>
    <w:p w14:paraId="6567D674" w14:textId="77777777" w:rsidR="00375B9D" w:rsidRPr="00375B9D" w:rsidRDefault="00375B9D" w:rsidP="00AE756D">
      <w:pPr>
        <w:pStyle w:val="DTFBulletlist"/>
      </w:pPr>
      <w:r w:rsidRPr="00375B9D">
        <w:t xml:space="preserve">common (majority) control at the level of shareholder(s), director(s), partners, or trust beneficiaries </w:t>
      </w:r>
    </w:p>
    <w:p w14:paraId="5B9B19F9" w14:textId="77777777" w:rsidR="00375B9D" w:rsidRPr="00375B9D" w:rsidRDefault="00375B9D" w:rsidP="00AE756D">
      <w:pPr>
        <w:pStyle w:val="DTFBulletlist"/>
      </w:pPr>
      <w:r w:rsidRPr="00375B9D">
        <w:t>controlling interests arising from direct interests, indirect interests or aggregation of interests</w:t>
      </w:r>
    </w:p>
    <w:p w14:paraId="68404CA2" w14:textId="77777777" w:rsidR="00375B9D" w:rsidRPr="00375B9D" w:rsidRDefault="00A73CE7" w:rsidP="00AE756D">
      <w:pPr>
        <w:pStyle w:val="DTFBulletlist"/>
      </w:pPr>
      <w:r>
        <w:t xml:space="preserve">or </w:t>
      </w:r>
      <w:r w:rsidR="00375B9D" w:rsidRPr="00375B9D">
        <w:t>the use of common employees.</w:t>
      </w:r>
    </w:p>
    <w:p w14:paraId="05C8C144" w14:textId="77777777" w:rsidR="00375B9D" w:rsidRPr="00375B9D" w:rsidRDefault="00375B9D" w:rsidP="00375B9D">
      <w:pPr>
        <w:rPr>
          <w:noProof/>
          <w:lang w:eastAsia="en-AU"/>
        </w:rPr>
      </w:pPr>
      <w:r w:rsidRPr="00375B9D">
        <w:rPr>
          <w:noProof/>
          <w:lang w:eastAsia="en-AU"/>
        </w:rPr>
        <w:t>The PRTA recognises that in certain circumstances the strict application of these provisions may result in unintended consequences.</w:t>
      </w:r>
    </w:p>
    <w:p w14:paraId="01AAFC16" w14:textId="77777777" w:rsidR="00375B9D" w:rsidRPr="00375B9D" w:rsidRDefault="00375B9D" w:rsidP="00375B9D">
      <w:pPr>
        <w:rPr>
          <w:noProof/>
          <w:lang w:eastAsia="en-AU"/>
        </w:rPr>
      </w:pPr>
      <w:r w:rsidRPr="00375B9D">
        <w:rPr>
          <w:noProof/>
          <w:lang w:eastAsia="en-AU"/>
        </w:rPr>
        <w:t>As a consequence, the PRTA makes provision for the Commissioner (with one exception) to exercise the discretion to exclude a business from a group when it would otherwise be part of the group.</w:t>
      </w:r>
    </w:p>
    <w:tbl>
      <w:tblPr>
        <w:tblStyle w:val="DTFpayrolltaxguidestyle1"/>
        <w:tblW w:w="10343" w:type="dxa"/>
        <w:tblLook w:val="04A0" w:firstRow="1" w:lastRow="0" w:firstColumn="1" w:lastColumn="0" w:noHBand="0" w:noVBand="1"/>
        <w:tblDescription w:val="Note: The one exception to this rule is where the business is grouped because it is a ‘related body corporate’ under section 50 of the Corporations Act 2001(Cth). In that circumstance the business remains grouped. The Commissioner has no capacity to consider exclusion. This also applies to groups created by subsuming of two or more groups with common members where the common member is itself grouped by reason of being a related body corporate."/>
      </w:tblPr>
      <w:tblGrid>
        <w:gridCol w:w="10343"/>
      </w:tblGrid>
      <w:tr w:rsidR="00375B9D" w:rsidRPr="00375B9D" w14:paraId="61954F6D" w14:textId="77777777" w:rsidTr="00937629">
        <w:trPr>
          <w:tblHeader/>
        </w:trPr>
        <w:tc>
          <w:tcPr>
            <w:tcW w:w="10343" w:type="dxa"/>
          </w:tcPr>
          <w:p w14:paraId="17959C2E" w14:textId="77777777" w:rsidR="00375B9D" w:rsidRPr="00375B9D" w:rsidRDefault="00375B9D" w:rsidP="00375B9D">
            <w:pPr>
              <w:spacing w:after="200"/>
              <w:rPr>
                <w:noProof/>
                <w:lang w:eastAsia="en-AU"/>
              </w:rPr>
            </w:pPr>
            <w:r w:rsidRPr="00375B9D">
              <w:rPr>
                <w:b/>
                <w:noProof/>
                <w:lang w:eastAsia="en-AU"/>
              </w:rPr>
              <w:t>Note</w:t>
            </w:r>
            <w:r w:rsidRPr="00375B9D">
              <w:rPr>
                <w:noProof/>
                <w:lang w:eastAsia="en-AU"/>
              </w:rPr>
              <w:t xml:space="preserve">: The one exception to this rule is where the business is grouped because it is a ‘related body corporate’ under section 50 of the </w:t>
            </w:r>
            <w:r w:rsidRPr="00375B9D">
              <w:rPr>
                <w:i/>
                <w:noProof/>
                <w:lang w:eastAsia="en-AU"/>
              </w:rPr>
              <w:t>Corporations Act 2001</w:t>
            </w:r>
            <w:r w:rsidRPr="00375B9D">
              <w:rPr>
                <w:noProof/>
                <w:lang w:eastAsia="en-AU"/>
              </w:rPr>
              <w:t>(Cth). In that circumstance the business remains grouped and the Commissioner has no capacity to consider exclusion. This also applies to groups created by subsuming of two or more groups with common members where the common member is itself grouped by reason of being a related body corporate.</w:t>
            </w:r>
          </w:p>
        </w:tc>
      </w:tr>
    </w:tbl>
    <w:p w14:paraId="3814FAB7" w14:textId="77777777" w:rsidR="00375B9D" w:rsidRPr="00375B9D" w:rsidRDefault="00375B9D" w:rsidP="006A4776">
      <w:pPr>
        <w:pStyle w:val="Heading3"/>
        <w:rPr>
          <w:noProof/>
          <w:lang w:eastAsia="en-AU"/>
        </w:rPr>
      </w:pPr>
      <w:r w:rsidRPr="00375B9D">
        <w:rPr>
          <w:noProof/>
          <w:lang w:eastAsia="en-AU"/>
        </w:rPr>
        <w:t xml:space="preserve">How the </w:t>
      </w:r>
      <w:r w:rsidR="008B6620">
        <w:rPr>
          <w:noProof/>
          <w:lang w:eastAsia="en-AU"/>
        </w:rPr>
        <w:t>p</w:t>
      </w:r>
      <w:r w:rsidRPr="00375B9D">
        <w:rPr>
          <w:noProof/>
          <w:lang w:eastAsia="en-AU"/>
        </w:rPr>
        <w:t xml:space="preserve">rocess </w:t>
      </w:r>
      <w:r w:rsidR="008B6620">
        <w:rPr>
          <w:noProof/>
          <w:lang w:eastAsia="en-AU"/>
        </w:rPr>
        <w:t>w</w:t>
      </w:r>
      <w:r w:rsidRPr="00375B9D">
        <w:rPr>
          <w:noProof/>
          <w:lang w:eastAsia="en-AU"/>
        </w:rPr>
        <w:t>orks</w:t>
      </w:r>
    </w:p>
    <w:p w14:paraId="17E30A76" w14:textId="77777777" w:rsidR="00375B9D" w:rsidRPr="00375B9D" w:rsidRDefault="00375B9D" w:rsidP="006A4776">
      <w:pPr>
        <w:pStyle w:val="DTFNumberedlist"/>
        <w:numPr>
          <w:ilvl w:val="0"/>
          <w:numId w:val="36"/>
        </w:numPr>
      </w:pPr>
      <w:r w:rsidRPr="00375B9D">
        <w:t>The onus is on a grouped business to provide the Commissioner with detailed submissions and evidence as to why it should be excluded from the group.</w:t>
      </w:r>
    </w:p>
    <w:p w14:paraId="7C150B62" w14:textId="77777777" w:rsidR="00375B9D" w:rsidRPr="00375B9D" w:rsidRDefault="00375B9D" w:rsidP="006A4776">
      <w:pPr>
        <w:pStyle w:val="DTFNumberedlist"/>
        <w:numPr>
          <w:ilvl w:val="0"/>
          <w:numId w:val="36"/>
        </w:numPr>
      </w:pPr>
      <w:r w:rsidRPr="00375B9D">
        <w:t>The business must continue to lodge and pay its returns on the basis that it is grouped until such time as the Commissioner approves an application for exclusion.</w:t>
      </w:r>
    </w:p>
    <w:p w14:paraId="4E62A97C" w14:textId="77777777" w:rsidR="00375B9D" w:rsidRPr="00375B9D" w:rsidRDefault="00375B9D" w:rsidP="006A4776">
      <w:pPr>
        <w:pStyle w:val="DTFNumberedlist"/>
        <w:numPr>
          <w:ilvl w:val="0"/>
          <w:numId w:val="36"/>
        </w:numPr>
        <w:rPr>
          <w:rStyle w:val="Hyperlink"/>
        </w:rPr>
      </w:pPr>
      <w:r w:rsidRPr="00375B9D">
        <w:t xml:space="preserve">An application for exclusion is to be made on the form </w:t>
      </w:r>
      <w:r w:rsidRPr="00375B9D">
        <w:fldChar w:fldCharType="begin"/>
      </w:r>
      <w:r w:rsidRPr="00375B9D">
        <w:instrText xml:space="preserve"> HYPERLINK "https://treasury.nt.gov.au/dtf/territory-revenue-office/publications" </w:instrText>
      </w:r>
      <w:r w:rsidRPr="00375B9D">
        <w:fldChar w:fldCharType="separate"/>
      </w:r>
      <w:r w:rsidRPr="00375B9D">
        <w:rPr>
          <w:rStyle w:val="Hyperlink"/>
        </w:rPr>
        <w:t>F-PRT-015 Application for</w:t>
      </w:r>
      <w:r w:rsidR="009E4EAB" w:rsidRPr="00375B9D">
        <w:rPr>
          <w:rStyle w:val="Hyperlink"/>
        </w:rPr>
        <w:t xml:space="preserve"> exclusion from a gr</w:t>
      </w:r>
      <w:r w:rsidRPr="00375B9D">
        <w:rPr>
          <w:rStyle w:val="Hyperlink"/>
        </w:rPr>
        <w:t>oup.</w:t>
      </w:r>
    </w:p>
    <w:p w14:paraId="3A0CCFB1" w14:textId="77777777" w:rsidR="00375B9D" w:rsidRPr="00375B9D" w:rsidRDefault="00375B9D" w:rsidP="006A4776">
      <w:pPr>
        <w:pStyle w:val="DTFNumberedlist"/>
        <w:numPr>
          <w:ilvl w:val="0"/>
          <w:numId w:val="36"/>
        </w:numPr>
      </w:pPr>
      <w:r w:rsidRPr="00375B9D">
        <w:fldChar w:fldCharType="end"/>
      </w:r>
      <w:r w:rsidRPr="00375B9D">
        <w:t xml:space="preserve">Further background information on the subject can be found at </w:t>
      </w:r>
      <w:hyperlink r:id="rId58" w:history="1">
        <w:r w:rsidRPr="00375B9D">
          <w:rPr>
            <w:rStyle w:val="Hyperlink"/>
          </w:rPr>
          <w:t xml:space="preserve">PTA031 Commissioner’s </w:t>
        </w:r>
        <w:r w:rsidR="009E4EAB" w:rsidRPr="00375B9D">
          <w:rPr>
            <w:rStyle w:val="Hyperlink"/>
          </w:rPr>
          <w:t xml:space="preserve">discretion </w:t>
        </w:r>
        <w:r w:rsidRPr="00375B9D">
          <w:rPr>
            <w:rStyle w:val="Hyperlink"/>
          </w:rPr>
          <w:t xml:space="preserve">to </w:t>
        </w:r>
        <w:r w:rsidR="009E4EAB" w:rsidRPr="00375B9D">
          <w:rPr>
            <w:rStyle w:val="Hyperlink"/>
          </w:rPr>
          <w:t>exclude from a gr</w:t>
        </w:r>
        <w:r w:rsidRPr="00375B9D">
          <w:rPr>
            <w:rStyle w:val="Hyperlink"/>
          </w:rPr>
          <w:t>oup</w:t>
        </w:r>
      </w:hyperlink>
      <w:r w:rsidRPr="00375B9D">
        <w:t>.</w:t>
      </w:r>
    </w:p>
    <w:tbl>
      <w:tblPr>
        <w:tblStyle w:val="DTFpayrolltaxguidestyle1"/>
        <w:tblW w:w="10343" w:type="dxa"/>
        <w:tblLook w:val="04A0" w:firstRow="1" w:lastRow="0" w:firstColumn="1" w:lastColumn="0" w:noHBand="0" w:noVBand="1"/>
        <w:tblDescription w:val="Note: If the exclusion is approved by the Commissioner a reassessment would be performed and any overpayment of payroll tax refunded plus market interest."/>
      </w:tblPr>
      <w:tblGrid>
        <w:gridCol w:w="10343"/>
      </w:tblGrid>
      <w:tr w:rsidR="00375B9D" w:rsidRPr="00375B9D" w14:paraId="484B573A" w14:textId="77777777" w:rsidTr="00937629">
        <w:trPr>
          <w:tblHeader/>
        </w:trPr>
        <w:tc>
          <w:tcPr>
            <w:tcW w:w="10343" w:type="dxa"/>
          </w:tcPr>
          <w:p w14:paraId="18888462" w14:textId="77777777" w:rsidR="00375B9D" w:rsidRPr="00375B9D" w:rsidRDefault="00375B9D" w:rsidP="00375B9D">
            <w:pPr>
              <w:spacing w:after="200"/>
              <w:rPr>
                <w:noProof/>
                <w:lang w:eastAsia="en-AU"/>
              </w:rPr>
            </w:pPr>
            <w:r w:rsidRPr="00375B9D">
              <w:rPr>
                <w:b/>
                <w:noProof/>
                <w:lang w:eastAsia="en-AU"/>
              </w:rPr>
              <w:t>Note</w:t>
            </w:r>
            <w:r w:rsidRPr="00375B9D">
              <w:rPr>
                <w:noProof/>
                <w:lang w:eastAsia="en-AU"/>
              </w:rPr>
              <w:t>: If the exclusion is approved by the Commissioner, it can be backdated which may result in a reassessment and/or refund of payroll tax paid to date.</w:t>
            </w:r>
          </w:p>
        </w:tc>
      </w:tr>
    </w:tbl>
    <w:p w14:paraId="0D5E2BAF" w14:textId="77777777" w:rsidR="00375B9D" w:rsidRPr="00375B9D" w:rsidRDefault="00375B9D" w:rsidP="006A4776">
      <w:pPr>
        <w:pStyle w:val="Heading3"/>
        <w:rPr>
          <w:noProof/>
          <w:lang w:eastAsia="en-AU"/>
        </w:rPr>
      </w:pPr>
      <w:r w:rsidRPr="00375B9D">
        <w:rPr>
          <w:noProof/>
          <w:lang w:eastAsia="en-AU"/>
        </w:rPr>
        <w:t xml:space="preserve">What the </w:t>
      </w:r>
      <w:r w:rsidRPr="006A4776">
        <w:t>Commissioner</w:t>
      </w:r>
      <w:r w:rsidRPr="00375B9D">
        <w:rPr>
          <w:noProof/>
          <w:lang w:eastAsia="en-AU"/>
        </w:rPr>
        <w:t xml:space="preserve"> </w:t>
      </w:r>
      <w:r w:rsidR="00312012">
        <w:rPr>
          <w:noProof/>
          <w:lang w:eastAsia="en-AU"/>
        </w:rPr>
        <w:t>c</w:t>
      </w:r>
      <w:r w:rsidRPr="00375B9D">
        <w:rPr>
          <w:noProof/>
          <w:lang w:eastAsia="en-AU"/>
        </w:rPr>
        <w:t>onsiders</w:t>
      </w:r>
    </w:p>
    <w:p w14:paraId="70BE835B" w14:textId="77777777" w:rsidR="00375B9D" w:rsidRPr="00375B9D" w:rsidRDefault="00375B9D" w:rsidP="00375B9D">
      <w:pPr>
        <w:rPr>
          <w:noProof/>
          <w:lang w:eastAsia="en-AU"/>
        </w:rPr>
      </w:pPr>
      <w:r w:rsidRPr="00375B9D">
        <w:rPr>
          <w:noProof/>
          <w:lang w:eastAsia="en-AU"/>
        </w:rPr>
        <w:t>To grant exclusion, the Commissioner must be satisfied that the business carried on by the employer seeking exclusion is independent of and not connected with businesses carried on by other group members.</w:t>
      </w:r>
    </w:p>
    <w:p w14:paraId="57C22F65" w14:textId="77777777" w:rsidR="00375B9D" w:rsidRPr="00375B9D" w:rsidRDefault="00375B9D" w:rsidP="00375B9D">
      <w:pPr>
        <w:rPr>
          <w:noProof/>
          <w:lang w:eastAsia="en-AU"/>
        </w:rPr>
      </w:pPr>
      <w:r w:rsidRPr="00375B9D">
        <w:rPr>
          <w:noProof/>
          <w:lang w:eastAsia="en-AU"/>
        </w:rPr>
        <w:t>The Commissioner needs to be satisfied that the connections between the businesses are no more than casual, irregular or occasional occurrences.</w:t>
      </w:r>
    </w:p>
    <w:p w14:paraId="4FA120EA" w14:textId="77777777" w:rsidR="00375B9D" w:rsidRPr="00375B9D" w:rsidRDefault="00375B9D" w:rsidP="00375B9D">
      <w:pPr>
        <w:rPr>
          <w:noProof/>
          <w:lang w:eastAsia="en-AU"/>
        </w:rPr>
      </w:pPr>
      <w:r w:rsidRPr="00375B9D">
        <w:rPr>
          <w:noProof/>
          <w:lang w:eastAsia="en-AU"/>
        </w:rPr>
        <w:lastRenderedPageBreak/>
        <w:t>The Commissioner will look at a broad range of matters, including:</w:t>
      </w:r>
    </w:p>
    <w:p w14:paraId="73788812" w14:textId="77777777" w:rsidR="00375B9D" w:rsidRPr="00375B9D" w:rsidRDefault="00375B9D" w:rsidP="00AE756D">
      <w:pPr>
        <w:pStyle w:val="DTFBulletlist"/>
      </w:pPr>
      <w:r w:rsidRPr="00375B9D">
        <w:t>business dealings between group members</w:t>
      </w:r>
    </w:p>
    <w:p w14:paraId="72091D49" w14:textId="77777777" w:rsidR="00375B9D" w:rsidRPr="00375B9D" w:rsidRDefault="00375B9D" w:rsidP="00AE756D">
      <w:pPr>
        <w:pStyle w:val="DTFBulletlist"/>
      </w:pPr>
      <w:r w:rsidRPr="00375B9D">
        <w:t>any sharing of staff, premises, equipment and facilities</w:t>
      </w:r>
    </w:p>
    <w:p w14:paraId="62B5785F" w14:textId="77777777" w:rsidR="00375B9D" w:rsidRPr="00375B9D" w:rsidRDefault="00375B9D" w:rsidP="00AE756D">
      <w:pPr>
        <w:pStyle w:val="DTFBulletlist"/>
      </w:pPr>
      <w:r w:rsidRPr="00375B9D">
        <w:t>how business decisions are made and who makes them</w:t>
      </w:r>
    </w:p>
    <w:p w14:paraId="66D7C248" w14:textId="77777777" w:rsidR="00375B9D" w:rsidRPr="00375B9D" w:rsidRDefault="00375B9D" w:rsidP="00AE756D">
      <w:pPr>
        <w:pStyle w:val="DTFBulletlist"/>
      </w:pPr>
      <w:r w:rsidRPr="00375B9D">
        <w:t>the extent of financial interdependence between group members, including intra-group loans and the rates of interest charged</w:t>
      </w:r>
    </w:p>
    <w:p w14:paraId="7E4521F7" w14:textId="77777777" w:rsidR="00375B9D" w:rsidRPr="00375B9D" w:rsidRDefault="00375B9D" w:rsidP="00AE756D">
      <w:pPr>
        <w:pStyle w:val="DTFBulletlist"/>
      </w:pPr>
      <w:r w:rsidRPr="00375B9D">
        <w:t>whether there are common customers of group members</w:t>
      </w:r>
    </w:p>
    <w:p w14:paraId="3D34EA74" w14:textId="77777777" w:rsidR="00375B9D" w:rsidRPr="00375B9D" w:rsidRDefault="00375B9D" w:rsidP="00AE756D">
      <w:pPr>
        <w:pStyle w:val="DTFBulletlist"/>
      </w:pPr>
      <w:r w:rsidRPr="00375B9D">
        <w:t>purchases made by one group member from another</w:t>
      </w:r>
    </w:p>
    <w:p w14:paraId="3213495F" w14:textId="77777777" w:rsidR="00375B9D" w:rsidRPr="00375B9D" w:rsidRDefault="00375B9D" w:rsidP="00AE756D">
      <w:pPr>
        <w:pStyle w:val="DTFBulletlist"/>
      </w:pPr>
      <w:r w:rsidRPr="00375B9D">
        <w:t>whether goods or services are purchased by one group member for sharing between group members</w:t>
      </w:r>
    </w:p>
    <w:p w14:paraId="28F28433" w14:textId="77777777" w:rsidR="00375B9D" w:rsidRPr="00375B9D" w:rsidRDefault="00375B9D" w:rsidP="00AE756D">
      <w:pPr>
        <w:pStyle w:val="DTFBulletlist"/>
      </w:pPr>
      <w:r w:rsidRPr="00375B9D">
        <w:t>economies of scale generated by the cooperative activities of group members</w:t>
      </w:r>
    </w:p>
    <w:p w14:paraId="7AC66553" w14:textId="77777777" w:rsidR="00375B9D" w:rsidRPr="00375B9D" w:rsidRDefault="00375B9D" w:rsidP="00AE756D">
      <w:pPr>
        <w:pStyle w:val="DTFBulletlist"/>
      </w:pPr>
      <w:r w:rsidRPr="00375B9D">
        <w:t>the types of businesses conducted by each group member and the extent to which they are complementary</w:t>
      </w:r>
    </w:p>
    <w:p w14:paraId="282A2853" w14:textId="77777777" w:rsidR="00375B9D" w:rsidRPr="00375B9D" w:rsidRDefault="00375B9D" w:rsidP="00AE756D">
      <w:pPr>
        <w:pStyle w:val="DTFBulletlist"/>
      </w:pPr>
      <w:r w:rsidRPr="00375B9D">
        <w:t>the connection(s) between the ultimate owners of each group member.</w:t>
      </w:r>
    </w:p>
    <w:p w14:paraId="7459C5B3" w14:textId="77777777" w:rsidR="00823AEC" w:rsidRDefault="00823AEC">
      <w:pPr>
        <w:rPr>
          <w:rFonts w:asciiTheme="majorHAnsi" w:eastAsiaTheme="majorEastAsia" w:hAnsiTheme="majorHAnsi" w:cstheme="majorBidi"/>
          <w:bCs/>
          <w:noProof/>
          <w:color w:val="1F1F5F" w:themeColor="text1"/>
          <w:kern w:val="32"/>
          <w:sz w:val="36"/>
          <w:szCs w:val="32"/>
          <w:lang w:eastAsia="en-AU"/>
        </w:rPr>
      </w:pPr>
      <w:bookmarkStart w:id="102" w:name="_Toc467842760"/>
      <w:r>
        <w:rPr>
          <w:noProof/>
          <w:lang w:eastAsia="en-AU"/>
        </w:rPr>
        <w:br w:type="page"/>
      </w:r>
    </w:p>
    <w:p w14:paraId="33026428" w14:textId="77777777" w:rsidR="00375B9D" w:rsidRPr="00375B9D" w:rsidRDefault="00375B9D" w:rsidP="00823AEC">
      <w:pPr>
        <w:pStyle w:val="Heading1"/>
        <w:rPr>
          <w:noProof/>
          <w:lang w:eastAsia="en-AU"/>
        </w:rPr>
      </w:pPr>
      <w:bookmarkStart w:id="103" w:name="_Toc108789598"/>
      <w:r w:rsidRPr="00375B9D">
        <w:rPr>
          <w:noProof/>
          <w:lang w:eastAsia="en-AU"/>
        </w:rPr>
        <w:lastRenderedPageBreak/>
        <w:t xml:space="preserve">Administration of </w:t>
      </w:r>
      <w:r w:rsidR="00E6710D">
        <w:rPr>
          <w:noProof/>
          <w:lang w:eastAsia="en-AU"/>
        </w:rPr>
        <w:t>p</w:t>
      </w:r>
      <w:proofErr w:type="spellStart"/>
      <w:r w:rsidRPr="006A4776">
        <w:t>ayroll</w:t>
      </w:r>
      <w:proofErr w:type="spellEnd"/>
      <w:r w:rsidRPr="00375B9D">
        <w:rPr>
          <w:noProof/>
          <w:lang w:eastAsia="en-AU"/>
        </w:rPr>
        <w:t xml:space="preserve"> </w:t>
      </w:r>
      <w:r w:rsidR="00E6710D">
        <w:rPr>
          <w:noProof/>
          <w:lang w:eastAsia="en-AU"/>
        </w:rPr>
        <w:t>t</w:t>
      </w:r>
      <w:r w:rsidRPr="00375B9D">
        <w:rPr>
          <w:noProof/>
          <w:lang w:eastAsia="en-AU"/>
        </w:rPr>
        <w:t>ax</w:t>
      </w:r>
      <w:bookmarkEnd w:id="102"/>
      <w:bookmarkEnd w:id="103"/>
    </w:p>
    <w:p w14:paraId="7DC91D62" w14:textId="77777777" w:rsidR="00375B9D" w:rsidRPr="00375B9D" w:rsidRDefault="00375B9D" w:rsidP="00375B9D">
      <w:pPr>
        <w:rPr>
          <w:noProof/>
          <w:lang w:eastAsia="en-AU"/>
        </w:rPr>
      </w:pPr>
      <w:r w:rsidRPr="00375B9D">
        <w:rPr>
          <w:noProof/>
          <w:lang w:eastAsia="en-AU"/>
        </w:rPr>
        <w:t>Payroll tax liabilities arise under the PRTA.</w:t>
      </w:r>
    </w:p>
    <w:p w14:paraId="2779240D" w14:textId="77777777" w:rsidR="00375B9D" w:rsidRPr="00375B9D" w:rsidRDefault="00375B9D" w:rsidP="00375B9D">
      <w:pPr>
        <w:rPr>
          <w:noProof/>
          <w:lang w:eastAsia="en-AU"/>
        </w:rPr>
      </w:pPr>
      <w:r w:rsidRPr="00375B9D">
        <w:rPr>
          <w:noProof/>
          <w:lang w:eastAsia="en-AU"/>
        </w:rPr>
        <w:t>The TAA regulates the administration of NT revenue, including payroll tax, and related matters such as:</w:t>
      </w:r>
    </w:p>
    <w:p w14:paraId="6D68CC7A" w14:textId="77777777" w:rsidR="00375B9D" w:rsidRPr="00375B9D" w:rsidRDefault="00375B9D" w:rsidP="00AE756D">
      <w:pPr>
        <w:pStyle w:val="DTFBulletlist"/>
      </w:pPr>
      <w:r w:rsidRPr="00375B9D">
        <w:t>interest and penalty tax</w:t>
      </w:r>
    </w:p>
    <w:p w14:paraId="687968A4" w14:textId="77777777" w:rsidR="00375B9D" w:rsidRPr="00375B9D" w:rsidRDefault="00375B9D" w:rsidP="00AE756D">
      <w:pPr>
        <w:pStyle w:val="DTFBulletlist"/>
      </w:pPr>
      <w:r w:rsidRPr="00375B9D">
        <w:t>record keeping requirements</w:t>
      </w:r>
    </w:p>
    <w:p w14:paraId="14B05364" w14:textId="77777777" w:rsidR="00375B9D" w:rsidRPr="00375B9D" w:rsidRDefault="00375B9D" w:rsidP="00AE756D">
      <w:pPr>
        <w:pStyle w:val="DTFBulletlist"/>
      </w:pPr>
      <w:r w:rsidRPr="00375B9D">
        <w:t>refunds</w:t>
      </w:r>
    </w:p>
    <w:p w14:paraId="4B7BE7D0" w14:textId="77777777" w:rsidR="00375B9D" w:rsidRPr="00375B9D" w:rsidRDefault="00375B9D" w:rsidP="00AE756D">
      <w:pPr>
        <w:pStyle w:val="DTFBulletlist"/>
      </w:pPr>
      <w:r w:rsidRPr="00375B9D">
        <w:t>power of investigation</w:t>
      </w:r>
    </w:p>
    <w:p w14:paraId="6B78F126" w14:textId="77777777" w:rsidR="00375B9D" w:rsidRPr="00375B9D" w:rsidRDefault="00375B9D" w:rsidP="00AE756D">
      <w:pPr>
        <w:pStyle w:val="DTFBulletlist"/>
      </w:pPr>
      <w:r w:rsidRPr="00375B9D">
        <w:t>power to require taxpayer to provide documents or attend an interview</w:t>
      </w:r>
    </w:p>
    <w:p w14:paraId="19C82FCD" w14:textId="77777777" w:rsidR="00375B9D" w:rsidRPr="00375B9D" w:rsidRDefault="00375B9D" w:rsidP="00AE756D">
      <w:pPr>
        <w:pStyle w:val="DTFBulletlist"/>
      </w:pPr>
      <w:r w:rsidRPr="00375B9D">
        <w:t>objections and appeals</w:t>
      </w:r>
    </w:p>
    <w:p w14:paraId="2FDE7BA7" w14:textId="77777777" w:rsidR="00375B9D" w:rsidRPr="00375B9D" w:rsidRDefault="00375B9D" w:rsidP="00AE756D">
      <w:pPr>
        <w:pStyle w:val="DTFBulletlist"/>
      </w:pPr>
      <w:r w:rsidRPr="00375B9D">
        <w:t>general penalties for non-compliance (for example, failure to keep records, failure to provide required information, failure to provide information requested for an investigation).</w:t>
      </w:r>
    </w:p>
    <w:p w14:paraId="053A87A5" w14:textId="77777777" w:rsidR="00375B9D" w:rsidRPr="00375B9D" w:rsidRDefault="00375B9D" w:rsidP="00A7303B">
      <w:pPr>
        <w:pStyle w:val="Heading2"/>
      </w:pPr>
      <w:bookmarkStart w:id="104" w:name="_Toc467842761"/>
      <w:bookmarkStart w:id="105" w:name="_Toc108789599"/>
      <w:r w:rsidRPr="00375B9D">
        <w:t xml:space="preserve">Record </w:t>
      </w:r>
      <w:r w:rsidR="0093233E">
        <w:t>k</w:t>
      </w:r>
      <w:r w:rsidRPr="00375B9D">
        <w:t>eeping</w:t>
      </w:r>
      <w:bookmarkEnd w:id="104"/>
      <w:bookmarkEnd w:id="105"/>
    </w:p>
    <w:p w14:paraId="31726D7B" w14:textId="77777777" w:rsidR="00375B9D" w:rsidRPr="00375B9D" w:rsidRDefault="00375B9D" w:rsidP="006A4776">
      <w:pPr>
        <w:pStyle w:val="Heading3"/>
        <w:rPr>
          <w:noProof/>
          <w:lang w:eastAsia="en-AU"/>
        </w:rPr>
      </w:pPr>
      <w:r w:rsidRPr="00375B9D">
        <w:rPr>
          <w:noProof/>
          <w:lang w:eastAsia="en-AU"/>
        </w:rPr>
        <w:t>Background</w:t>
      </w:r>
    </w:p>
    <w:p w14:paraId="0DDEC56E" w14:textId="77777777" w:rsidR="00375B9D" w:rsidRDefault="00375B9D" w:rsidP="00375B9D">
      <w:pPr>
        <w:rPr>
          <w:noProof/>
          <w:lang w:eastAsia="en-AU"/>
        </w:rPr>
      </w:pPr>
      <w:r w:rsidRPr="00375B9D">
        <w:rPr>
          <w:noProof/>
          <w:lang w:eastAsia="en-AU"/>
        </w:rPr>
        <w:t>TRO relies on access to a range of business and employer records in order to verify a taxpayer’s payroll tax liability, in the event of an investigation.</w:t>
      </w:r>
    </w:p>
    <w:p w14:paraId="3648B3DA" w14:textId="77777777" w:rsidR="00375B9D" w:rsidRPr="00375B9D" w:rsidRDefault="00375B9D" w:rsidP="006A4776">
      <w:pPr>
        <w:pStyle w:val="Heading3"/>
        <w:rPr>
          <w:noProof/>
          <w:lang w:eastAsia="en-AU"/>
        </w:rPr>
      </w:pPr>
      <w:r w:rsidRPr="00375B9D">
        <w:rPr>
          <w:noProof/>
          <w:lang w:eastAsia="en-AU"/>
        </w:rPr>
        <w:t xml:space="preserve">What </w:t>
      </w:r>
      <w:r w:rsidR="00CA568C">
        <w:rPr>
          <w:noProof/>
          <w:lang w:eastAsia="en-AU"/>
        </w:rPr>
        <w:t>r</w:t>
      </w:r>
      <w:r w:rsidRPr="00375B9D">
        <w:rPr>
          <w:noProof/>
          <w:lang w:eastAsia="en-AU"/>
        </w:rPr>
        <w:t xml:space="preserve">ecords </w:t>
      </w:r>
      <w:r w:rsidR="00CA568C">
        <w:rPr>
          <w:noProof/>
          <w:lang w:eastAsia="en-AU"/>
        </w:rPr>
        <w:t>n</w:t>
      </w:r>
      <w:r w:rsidRPr="00375B9D">
        <w:rPr>
          <w:noProof/>
          <w:lang w:eastAsia="en-AU"/>
        </w:rPr>
        <w:t xml:space="preserve">eed to be </w:t>
      </w:r>
      <w:r w:rsidR="00CA568C">
        <w:rPr>
          <w:noProof/>
          <w:lang w:eastAsia="en-AU"/>
        </w:rPr>
        <w:t>k</w:t>
      </w:r>
      <w:r w:rsidRPr="00375B9D">
        <w:rPr>
          <w:noProof/>
          <w:lang w:eastAsia="en-AU"/>
        </w:rPr>
        <w:t>ept?</w:t>
      </w:r>
    </w:p>
    <w:p w14:paraId="1E287017" w14:textId="77777777" w:rsidR="00375B9D" w:rsidRPr="00375B9D" w:rsidRDefault="00375B9D" w:rsidP="00375B9D">
      <w:pPr>
        <w:rPr>
          <w:noProof/>
          <w:lang w:eastAsia="en-AU"/>
        </w:rPr>
      </w:pPr>
      <w:r w:rsidRPr="00375B9D">
        <w:rPr>
          <w:noProof/>
          <w:lang w:eastAsia="en-AU"/>
        </w:rPr>
        <w:t>These records are similar to those a taxpayer is required to keep for ATO/income tax purposes and include, where relevant to the business structure of the taxpayer:</w:t>
      </w:r>
    </w:p>
    <w:p w14:paraId="1060D72F" w14:textId="77777777" w:rsidR="00375B9D" w:rsidRPr="00375B9D" w:rsidRDefault="00375B9D" w:rsidP="00AE756D">
      <w:pPr>
        <w:pStyle w:val="DTFBulletlist"/>
      </w:pPr>
      <w:r w:rsidRPr="00375B9D">
        <w:t>business financial statements in normal accounting standards format</w:t>
      </w:r>
    </w:p>
    <w:p w14:paraId="6E2BDBB8" w14:textId="77777777" w:rsidR="00375B9D" w:rsidRPr="00375B9D" w:rsidRDefault="00375B9D" w:rsidP="00AE756D">
      <w:pPr>
        <w:pStyle w:val="DTFBulletlist"/>
      </w:pPr>
      <w:r w:rsidRPr="00375B9D">
        <w:t>PAYG payment summaries</w:t>
      </w:r>
    </w:p>
    <w:p w14:paraId="23992425" w14:textId="77777777" w:rsidR="00375B9D" w:rsidRPr="00375B9D" w:rsidRDefault="00375B9D" w:rsidP="00AE756D">
      <w:pPr>
        <w:pStyle w:val="DTFBulletlist"/>
      </w:pPr>
      <w:r w:rsidRPr="00375B9D">
        <w:t>payroll journals, timesheets and similar records</w:t>
      </w:r>
    </w:p>
    <w:p w14:paraId="450C747C" w14:textId="77777777" w:rsidR="00375B9D" w:rsidRPr="00375B9D" w:rsidRDefault="00375B9D" w:rsidP="00AE756D">
      <w:pPr>
        <w:pStyle w:val="DTFBulletlist"/>
      </w:pPr>
      <w:r w:rsidRPr="00375B9D">
        <w:t>employee superannuation contribution records</w:t>
      </w:r>
    </w:p>
    <w:p w14:paraId="09DD991C" w14:textId="77777777" w:rsidR="00375B9D" w:rsidRPr="00375B9D" w:rsidRDefault="00375B9D" w:rsidP="00AE756D">
      <w:pPr>
        <w:pStyle w:val="DTFBulletlist"/>
      </w:pPr>
      <w:r w:rsidRPr="00375B9D">
        <w:t>records of allowances, bonuses and expense reimbursements related to employees and directors</w:t>
      </w:r>
    </w:p>
    <w:p w14:paraId="15477568" w14:textId="77777777" w:rsidR="00375B9D" w:rsidRPr="00375B9D" w:rsidRDefault="00375B9D" w:rsidP="00AE756D">
      <w:pPr>
        <w:pStyle w:val="DTFBulletlist"/>
      </w:pPr>
      <w:r w:rsidRPr="00375B9D">
        <w:t>payment journals recording payments to contractors, subcontractors, consultants and similar categories of service providers</w:t>
      </w:r>
    </w:p>
    <w:p w14:paraId="716FCD07" w14:textId="77777777" w:rsidR="00375B9D" w:rsidRPr="00375B9D" w:rsidRDefault="00375B9D" w:rsidP="00AE756D">
      <w:pPr>
        <w:pStyle w:val="DTFBulletlist"/>
      </w:pPr>
      <w:r w:rsidRPr="00375B9D">
        <w:t>tax invoices received from persons paid via the payments journal</w:t>
      </w:r>
    </w:p>
    <w:p w14:paraId="691972DC" w14:textId="77777777" w:rsidR="00375B9D" w:rsidRPr="00375B9D" w:rsidRDefault="00375B9D" w:rsidP="00AE756D">
      <w:pPr>
        <w:pStyle w:val="DTFBulletlist"/>
      </w:pPr>
      <w:r w:rsidRPr="00375B9D">
        <w:t>contractor quotes, agreements, job sheets and similar records related to contractor payments</w:t>
      </w:r>
    </w:p>
    <w:p w14:paraId="105862BA" w14:textId="77777777" w:rsidR="00375B9D" w:rsidRPr="00375B9D" w:rsidRDefault="00375B9D" w:rsidP="00AE756D">
      <w:pPr>
        <w:pStyle w:val="DTFBulletlist"/>
      </w:pPr>
      <w:r w:rsidRPr="00375B9D">
        <w:t>business activity statements (BAS)</w:t>
      </w:r>
    </w:p>
    <w:p w14:paraId="29D03644" w14:textId="77777777" w:rsidR="00375B9D" w:rsidRPr="00375B9D" w:rsidRDefault="00375B9D" w:rsidP="00AE756D">
      <w:pPr>
        <w:pStyle w:val="DTFBulletlist"/>
      </w:pPr>
      <w:r w:rsidRPr="00375B9D">
        <w:t>income tax returns</w:t>
      </w:r>
    </w:p>
    <w:p w14:paraId="33BE8720" w14:textId="77777777" w:rsidR="00375B9D" w:rsidRPr="00375B9D" w:rsidRDefault="00375B9D" w:rsidP="00AE756D">
      <w:pPr>
        <w:pStyle w:val="DTFBulletlist"/>
      </w:pPr>
      <w:r w:rsidRPr="00375B9D">
        <w:lastRenderedPageBreak/>
        <w:t>FBT returns</w:t>
      </w:r>
    </w:p>
    <w:p w14:paraId="2F52A7D9" w14:textId="77777777" w:rsidR="00375B9D" w:rsidRPr="00375B9D" w:rsidRDefault="00375B9D" w:rsidP="00AE756D">
      <w:pPr>
        <w:pStyle w:val="DTFBulletlist"/>
      </w:pPr>
      <w:r w:rsidRPr="00375B9D">
        <w:t>minutes of directors’ and shareholders’ meetings</w:t>
      </w:r>
    </w:p>
    <w:p w14:paraId="10FE05C7" w14:textId="77777777" w:rsidR="00375B9D" w:rsidRPr="00375B9D" w:rsidRDefault="00375B9D" w:rsidP="00AE756D">
      <w:pPr>
        <w:pStyle w:val="DTFBulletlist"/>
      </w:pPr>
      <w:r w:rsidRPr="00375B9D">
        <w:t>minutes of meetings of trustees</w:t>
      </w:r>
    </w:p>
    <w:p w14:paraId="7C3063E1" w14:textId="77777777" w:rsidR="00375B9D" w:rsidRPr="00375B9D" w:rsidRDefault="00375B9D" w:rsidP="00AE756D">
      <w:pPr>
        <w:pStyle w:val="DTFBulletlist"/>
      </w:pPr>
      <w:r w:rsidRPr="00375B9D">
        <w:t>trust deeds</w:t>
      </w:r>
    </w:p>
    <w:p w14:paraId="67749E9B" w14:textId="77777777" w:rsidR="00375B9D" w:rsidRPr="00375B9D" w:rsidRDefault="00375B9D" w:rsidP="00AE756D">
      <w:pPr>
        <w:pStyle w:val="DTFBulletlist"/>
      </w:pPr>
      <w:r w:rsidRPr="00375B9D">
        <w:t xml:space="preserve">partnership agreements </w:t>
      </w:r>
    </w:p>
    <w:p w14:paraId="7FF5817D" w14:textId="77777777" w:rsidR="00375B9D" w:rsidRPr="00375B9D" w:rsidRDefault="00375B9D" w:rsidP="00AE756D">
      <w:pPr>
        <w:pStyle w:val="DTFBulletlist"/>
      </w:pPr>
      <w:r w:rsidRPr="00375B9D">
        <w:t>copy of company constitution</w:t>
      </w:r>
    </w:p>
    <w:p w14:paraId="087588CE" w14:textId="77777777" w:rsidR="00375B9D" w:rsidRPr="00375B9D" w:rsidRDefault="00375B9D" w:rsidP="00AE756D">
      <w:pPr>
        <w:pStyle w:val="DTFBulletlist"/>
      </w:pPr>
      <w:r w:rsidRPr="00375B9D">
        <w:t>copies of correspondence related to investigations conducted by other statutory authorities (including ATO and any other state revenue office)</w:t>
      </w:r>
    </w:p>
    <w:p w14:paraId="200E0BFF" w14:textId="77777777" w:rsidR="00375B9D" w:rsidRPr="00375B9D" w:rsidRDefault="00375B9D" w:rsidP="00AE756D">
      <w:pPr>
        <w:pStyle w:val="DTFBulletlist"/>
      </w:pPr>
      <w:r w:rsidRPr="00375B9D">
        <w:t>any other record to substantiate that the treatment of a payment to an employee or contractor was taxable, not taxable or otherwise exempt from tax (for example, a contract under which an employee or director purchased an asset from the employer, such as a company vehicle or a home unit constructed by the employer).</w:t>
      </w:r>
    </w:p>
    <w:p w14:paraId="55EF0236" w14:textId="77777777" w:rsidR="00375B9D" w:rsidRPr="00375B9D" w:rsidRDefault="00375B9D" w:rsidP="006A4776">
      <w:pPr>
        <w:pStyle w:val="Heading3"/>
        <w:rPr>
          <w:noProof/>
          <w:lang w:eastAsia="en-AU"/>
        </w:rPr>
      </w:pPr>
      <w:r w:rsidRPr="00375B9D">
        <w:rPr>
          <w:noProof/>
          <w:lang w:eastAsia="en-AU"/>
        </w:rPr>
        <w:t xml:space="preserve">Retention </w:t>
      </w:r>
      <w:r w:rsidR="002416B3">
        <w:rPr>
          <w:noProof/>
          <w:lang w:eastAsia="en-AU"/>
        </w:rPr>
        <w:t>p</w:t>
      </w:r>
      <w:r w:rsidRPr="00375B9D">
        <w:rPr>
          <w:noProof/>
          <w:lang w:eastAsia="en-AU"/>
        </w:rPr>
        <w:t>eriod</w:t>
      </w:r>
    </w:p>
    <w:p w14:paraId="4D34C3E2" w14:textId="77777777" w:rsidR="00375B9D" w:rsidRPr="00375B9D" w:rsidRDefault="00375B9D" w:rsidP="00375B9D">
      <w:pPr>
        <w:rPr>
          <w:noProof/>
          <w:lang w:eastAsia="en-AU"/>
        </w:rPr>
      </w:pPr>
      <w:r w:rsidRPr="00375B9D">
        <w:rPr>
          <w:noProof/>
          <w:lang w:eastAsia="en-AU"/>
        </w:rPr>
        <w:t>Each employer is required to keep these records for a period of not less than five years from the date of the transaction or the date the record was obtained or created.</w:t>
      </w:r>
    </w:p>
    <w:p w14:paraId="7C4B8F03" w14:textId="77777777" w:rsidR="00375B9D" w:rsidRDefault="00375B9D" w:rsidP="00375B9D">
      <w:pPr>
        <w:rPr>
          <w:noProof/>
          <w:lang w:eastAsia="en-AU"/>
        </w:rPr>
      </w:pPr>
      <w:r w:rsidRPr="00375B9D">
        <w:rPr>
          <w:noProof/>
          <w:lang w:eastAsia="en-AU"/>
        </w:rPr>
        <w:t>The records must be in the English language and in Australian currency.</w:t>
      </w:r>
    </w:p>
    <w:p w14:paraId="79BA6517" w14:textId="77777777" w:rsidR="00375B9D" w:rsidRPr="00375B9D" w:rsidRDefault="00375B9D" w:rsidP="00A7303B">
      <w:pPr>
        <w:pStyle w:val="Heading2"/>
      </w:pPr>
      <w:bookmarkStart w:id="106" w:name="_Toc467842762"/>
      <w:bookmarkStart w:id="107" w:name="_Toc108789600"/>
      <w:r w:rsidRPr="00375B9D">
        <w:t xml:space="preserve">Interest and </w:t>
      </w:r>
      <w:r w:rsidR="00371668">
        <w:t>p</w:t>
      </w:r>
      <w:r w:rsidRPr="00375B9D">
        <w:t xml:space="preserve">enalty </w:t>
      </w:r>
      <w:r w:rsidR="00371668">
        <w:t>t</w:t>
      </w:r>
      <w:r w:rsidRPr="00375B9D">
        <w:t>ax</w:t>
      </w:r>
      <w:bookmarkEnd w:id="106"/>
      <w:bookmarkEnd w:id="107"/>
    </w:p>
    <w:p w14:paraId="7EC51F0F" w14:textId="77777777" w:rsidR="00375B9D" w:rsidRPr="00375B9D" w:rsidRDefault="00375B9D" w:rsidP="00375B9D">
      <w:pPr>
        <w:rPr>
          <w:noProof/>
          <w:lang w:eastAsia="en-AU"/>
        </w:rPr>
      </w:pPr>
      <w:r w:rsidRPr="00375B9D">
        <w:rPr>
          <w:noProof/>
          <w:lang w:eastAsia="en-AU"/>
        </w:rPr>
        <w:t>The TAA provides for interest and penalty tax to apply to a ‘tax default’.</w:t>
      </w:r>
    </w:p>
    <w:p w14:paraId="6B457E74" w14:textId="77777777" w:rsidR="00375B9D" w:rsidRPr="00375B9D" w:rsidRDefault="00375B9D" w:rsidP="00375B9D">
      <w:pPr>
        <w:rPr>
          <w:noProof/>
          <w:lang w:eastAsia="en-AU"/>
        </w:rPr>
      </w:pPr>
      <w:r w:rsidRPr="00375B9D">
        <w:rPr>
          <w:noProof/>
          <w:lang w:eastAsia="en-AU"/>
        </w:rPr>
        <w:t>A tax default includes the non-payment, underpayment or late payment of payroll tax.</w:t>
      </w:r>
    </w:p>
    <w:p w14:paraId="641119A8" w14:textId="77777777" w:rsidR="00375B9D" w:rsidRPr="00375B9D" w:rsidRDefault="00375B9D" w:rsidP="00375B9D">
      <w:pPr>
        <w:rPr>
          <w:noProof/>
          <w:lang w:eastAsia="en-AU"/>
        </w:rPr>
      </w:pPr>
      <w:r w:rsidRPr="00375B9D">
        <w:rPr>
          <w:noProof/>
          <w:lang w:eastAsia="en-AU"/>
        </w:rPr>
        <w:t>Penalty tax and interest are calculated on the amount of payroll tax underpaid.</w:t>
      </w:r>
    </w:p>
    <w:p w14:paraId="7F12230F" w14:textId="77777777" w:rsidR="00375B9D" w:rsidRPr="00375B9D" w:rsidRDefault="00375B9D" w:rsidP="00375B9D">
      <w:pPr>
        <w:rPr>
          <w:noProof/>
          <w:lang w:eastAsia="en-AU"/>
        </w:rPr>
      </w:pPr>
      <w:r w:rsidRPr="00375B9D">
        <w:rPr>
          <w:noProof/>
          <w:lang w:eastAsia="en-AU"/>
        </w:rPr>
        <w:t>Penalty tax is charged on a one-off basis, whereas interest is time-based – the longer an underpayment is overdue, the higher the value of interest.</w:t>
      </w:r>
    </w:p>
    <w:p w14:paraId="75D7FF44" w14:textId="77777777" w:rsidR="00375B9D" w:rsidRPr="00375B9D" w:rsidRDefault="00375B9D" w:rsidP="00375B9D">
      <w:pPr>
        <w:rPr>
          <w:noProof/>
          <w:lang w:eastAsia="en-AU"/>
        </w:rPr>
      </w:pPr>
      <w:r w:rsidRPr="00375B9D">
        <w:rPr>
          <w:noProof/>
          <w:lang w:eastAsia="en-AU"/>
        </w:rPr>
        <w:t>The intent of interest and penalty tax is to ensure the majority of taxpayers who meet their obligations in full and on time are not penalised in comparison to those who do not and to compensate Government from revenue to which it was entitled after it became due.</w:t>
      </w:r>
    </w:p>
    <w:p w14:paraId="7A68C79D" w14:textId="77777777" w:rsidR="00375B9D" w:rsidRPr="00375B9D" w:rsidRDefault="00375B9D" w:rsidP="006A4776">
      <w:pPr>
        <w:pStyle w:val="Heading3"/>
        <w:rPr>
          <w:noProof/>
          <w:lang w:eastAsia="en-AU"/>
        </w:rPr>
      </w:pPr>
      <w:r w:rsidRPr="00375B9D">
        <w:rPr>
          <w:noProof/>
          <w:lang w:eastAsia="en-AU"/>
        </w:rPr>
        <w:t>Interest</w:t>
      </w:r>
    </w:p>
    <w:p w14:paraId="20BED23D" w14:textId="77777777" w:rsidR="00375B9D" w:rsidRPr="00375B9D" w:rsidRDefault="00375B9D" w:rsidP="00375B9D">
      <w:pPr>
        <w:rPr>
          <w:noProof/>
          <w:lang w:eastAsia="en-AU"/>
        </w:rPr>
      </w:pPr>
      <w:r w:rsidRPr="00375B9D">
        <w:rPr>
          <w:noProof/>
          <w:lang w:eastAsia="en-AU"/>
        </w:rPr>
        <w:t>The rate of interest is made up of two parts – the market rate (which varies from year to year in line with bond rates) and a ‘premium’ rate (currently fixed at 8</w:t>
      </w:r>
      <w:r w:rsidR="00A73CE7">
        <w:rPr>
          <w:noProof/>
          <w:lang w:eastAsia="en-AU"/>
        </w:rPr>
        <w:t>%</w:t>
      </w:r>
      <w:r w:rsidRPr="00375B9D">
        <w:rPr>
          <w:noProof/>
          <w:lang w:eastAsia="en-AU"/>
        </w:rPr>
        <w:t xml:space="preserve"> p.a.)</w:t>
      </w:r>
    </w:p>
    <w:p w14:paraId="53943FE8" w14:textId="77777777" w:rsidR="00375B9D" w:rsidRPr="00375B9D" w:rsidRDefault="00375B9D" w:rsidP="00375B9D">
      <w:pPr>
        <w:rPr>
          <w:noProof/>
          <w:lang w:eastAsia="en-AU"/>
        </w:rPr>
      </w:pPr>
      <w:r w:rsidRPr="00375B9D">
        <w:rPr>
          <w:noProof/>
          <w:lang w:eastAsia="en-AU"/>
        </w:rPr>
        <w:t xml:space="preserve">The market and premium rate together are called the ‘statutory’ rate. The statutory rate applies to all defaults other than in special circumstances where the default was beyond the control of the taxpayer. In those special circumstances, only the market rate will apply. </w:t>
      </w:r>
    </w:p>
    <w:p w14:paraId="796487A3" w14:textId="77777777" w:rsidR="00375B9D" w:rsidRPr="00375B9D" w:rsidRDefault="00375B9D" w:rsidP="00375B9D">
      <w:pPr>
        <w:rPr>
          <w:noProof/>
          <w:lang w:eastAsia="en-AU"/>
        </w:rPr>
      </w:pPr>
      <w:r w:rsidRPr="00375B9D">
        <w:rPr>
          <w:noProof/>
          <w:lang w:eastAsia="en-AU"/>
        </w:rPr>
        <w:t>The statutory rate will be reduced to zero where the employer can demonstrate that the payroll tax was paid in error to another state (within the time frame for payment) and, on discovering the error, immediate steps are taken to make payment to TRO.</w:t>
      </w:r>
    </w:p>
    <w:p w14:paraId="20B468AF" w14:textId="77777777" w:rsidR="00375B9D" w:rsidRPr="00375B9D" w:rsidRDefault="00375B9D" w:rsidP="00375B9D">
      <w:pPr>
        <w:rPr>
          <w:noProof/>
          <w:lang w:eastAsia="en-AU"/>
        </w:rPr>
      </w:pPr>
      <w:r w:rsidRPr="00375B9D">
        <w:rPr>
          <w:noProof/>
          <w:lang w:eastAsia="en-AU"/>
        </w:rPr>
        <w:lastRenderedPageBreak/>
        <w:t>The statutory rate is set at a level that ensures a taxpayer who underpays and or pays late will pay more than if the business had borrowed from a normal commercial lending facility to fund the payroll tax.</w:t>
      </w:r>
    </w:p>
    <w:p w14:paraId="4420CDC7" w14:textId="77777777" w:rsidR="00375B9D" w:rsidRPr="00375B9D" w:rsidRDefault="00375B9D" w:rsidP="00EB6A2F">
      <w:pPr>
        <w:pStyle w:val="Heading3"/>
        <w:rPr>
          <w:noProof/>
          <w:lang w:eastAsia="en-AU"/>
        </w:rPr>
      </w:pPr>
      <w:r w:rsidRPr="00375B9D">
        <w:rPr>
          <w:noProof/>
          <w:lang w:eastAsia="en-AU"/>
        </w:rPr>
        <w:t xml:space="preserve">Penalty </w:t>
      </w:r>
      <w:r w:rsidR="008133EB">
        <w:rPr>
          <w:noProof/>
          <w:lang w:eastAsia="en-AU"/>
        </w:rPr>
        <w:t>t</w:t>
      </w:r>
      <w:r w:rsidRPr="00375B9D">
        <w:rPr>
          <w:noProof/>
          <w:lang w:eastAsia="en-AU"/>
        </w:rPr>
        <w:t>ax</w:t>
      </w:r>
    </w:p>
    <w:p w14:paraId="39831AB8" w14:textId="77777777" w:rsidR="00375B9D" w:rsidRPr="00375B9D" w:rsidRDefault="00375B9D" w:rsidP="00375B9D">
      <w:pPr>
        <w:rPr>
          <w:noProof/>
          <w:lang w:eastAsia="en-AU"/>
        </w:rPr>
      </w:pPr>
      <w:r w:rsidRPr="00375B9D">
        <w:rPr>
          <w:noProof/>
          <w:lang w:eastAsia="en-AU"/>
        </w:rPr>
        <w:t>Penalty tax is a one-time administrative sanction set as a percentage of the amount of the tax default.</w:t>
      </w:r>
    </w:p>
    <w:p w14:paraId="75A4CCFF" w14:textId="77777777" w:rsidR="00375B9D" w:rsidRPr="00375B9D" w:rsidRDefault="00375B9D" w:rsidP="00375B9D">
      <w:pPr>
        <w:rPr>
          <w:noProof/>
          <w:lang w:eastAsia="en-AU"/>
        </w:rPr>
      </w:pPr>
      <w:r w:rsidRPr="00375B9D">
        <w:rPr>
          <w:noProof/>
          <w:lang w:eastAsia="en-AU"/>
        </w:rPr>
        <w:t>The penalty tax rate normally ranges between 2</w:t>
      </w:r>
      <w:r w:rsidR="00A73CE7">
        <w:rPr>
          <w:noProof/>
          <w:lang w:eastAsia="en-AU"/>
        </w:rPr>
        <w:t>%</w:t>
      </w:r>
      <w:r w:rsidRPr="00375B9D">
        <w:rPr>
          <w:noProof/>
          <w:lang w:eastAsia="en-AU"/>
        </w:rPr>
        <w:t xml:space="preserve"> and 95</w:t>
      </w:r>
      <w:r w:rsidR="00A73CE7">
        <w:rPr>
          <w:noProof/>
          <w:lang w:eastAsia="en-AU"/>
        </w:rPr>
        <w:t>%</w:t>
      </w:r>
      <w:r w:rsidRPr="00375B9D">
        <w:rPr>
          <w:noProof/>
          <w:lang w:eastAsia="en-AU"/>
        </w:rPr>
        <w:t xml:space="preserve">, depending on the circumstances of the taxpayer. </w:t>
      </w:r>
    </w:p>
    <w:p w14:paraId="4E594FC4" w14:textId="77777777" w:rsidR="00375B9D" w:rsidRPr="00375B9D" w:rsidRDefault="00375B9D" w:rsidP="00375B9D">
      <w:pPr>
        <w:rPr>
          <w:noProof/>
          <w:lang w:eastAsia="en-AU"/>
        </w:rPr>
      </w:pPr>
      <w:r w:rsidRPr="00375B9D">
        <w:rPr>
          <w:noProof/>
          <w:lang w:eastAsia="en-AU"/>
        </w:rPr>
        <w:t>The lower rates of penalty tax apply where TRO considers that the taxpayer has taken reasonable care in administering its tax obligations and the higher rate of 95</w:t>
      </w:r>
      <w:r w:rsidR="00A73CE7">
        <w:rPr>
          <w:noProof/>
          <w:lang w:eastAsia="en-AU"/>
        </w:rPr>
        <w:t>%</w:t>
      </w:r>
      <w:r w:rsidRPr="00375B9D">
        <w:rPr>
          <w:noProof/>
          <w:lang w:eastAsia="en-AU"/>
        </w:rPr>
        <w:t xml:space="preserve"> would apply where TRO has formed the view that the taxpayer has not taken reasonable care, has intentionally disregarded a taxation law and has deliberately concealed or suppressed information important to TRO in calculating the taxpayer’s liability.</w:t>
      </w:r>
    </w:p>
    <w:p w14:paraId="5355F93B" w14:textId="77777777" w:rsidR="00375B9D" w:rsidRPr="00375B9D" w:rsidRDefault="00375B9D" w:rsidP="00EB6A2F">
      <w:pPr>
        <w:pStyle w:val="Heading3"/>
        <w:rPr>
          <w:noProof/>
          <w:lang w:eastAsia="en-AU"/>
        </w:rPr>
      </w:pPr>
      <w:r w:rsidRPr="00375B9D">
        <w:rPr>
          <w:noProof/>
          <w:lang w:eastAsia="en-AU"/>
        </w:rPr>
        <w:t xml:space="preserve">Voluntary </w:t>
      </w:r>
      <w:r w:rsidR="008133EB">
        <w:rPr>
          <w:noProof/>
          <w:lang w:eastAsia="en-AU"/>
        </w:rPr>
        <w:t>d</w:t>
      </w:r>
      <w:r w:rsidRPr="00375B9D">
        <w:rPr>
          <w:noProof/>
          <w:lang w:eastAsia="en-AU"/>
        </w:rPr>
        <w:t xml:space="preserve">isclosure of </w:t>
      </w:r>
      <w:r w:rsidR="008133EB">
        <w:rPr>
          <w:noProof/>
          <w:lang w:eastAsia="en-AU"/>
        </w:rPr>
        <w:t>l</w:t>
      </w:r>
      <w:r w:rsidRPr="00375B9D">
        <w:rPr>
          <w:noProof/>
          <w:lang w:eastAsia="en-AU"/>
        </w:rPr>
        <w:t>iability</w:t>
      </w:r>
    </w:p>
    <w:p w14:paraId="24471CE9" w14:textId="77777777" w:rsidR="00375B9D" w:rsidRPr="00375B9D" w:rsidRDefault="00375B9D" w:rsidP="00375B9D">
      <w:pPr>
        <w:rPr>
          <w:noProof/>
          <w:lang w:eastAsia="en-AU"/>
        </w:rPr>
      </w:pPr>
      <w:r w:rsidRPr="00375B9D">
        <w:rPr>
          <w:noProof/>
          <w:lang w:eastAsia="en-AU"/>
        </w:rPr>
        <w:t>The rate of penalty tax will also be affected by whether the taxpayer made an unprompted voluntary disclosure of an underpayment (that is, before being approached by TRO) or whether the underpayment was detected by TRO as part of an investigation.</w:t>
      </w:r>
    </w:p>
    <w:p w14:paraId="572CCD44" w14:textId="77777777" w:rsidR="00375B9D" w:rsidRPr="00375B9D" w:rsidRDefault="00375B9D" w:rsidP="00375B9D">
      <w:pPr>
        <w:rPr>
          <w:noProof/>
          <w:lang w:eastAsia="en-AU"/>
        </w:rPr>
      </w:pPr>
      <w:r w:rsidRPr="00375B9D">
        <w:rPr>
          <w:noProof/>
          <w:lang w:eastAsia="en-AU"/>
        </w:rPr>
        <w:t>A voluntary disclosure will result in a lower rate of penalty tax.</w:t>
      </w:r>
    </w:p>
    <w:tbl>
      <w:tblPr>
        <w:tblStyle w:val="DTFpayrolltaxguidestyle1"/>
        <w:tblW w:w="10343" w:type="dxa"/>
        <w:tblLook w:val="04A0" w:firstRow="1" w:lastRow="0" w:firstColumn="1" w:lastColumn="0" w:noHBand="0" w:noVBand="1"/>
        <w:tblDescription w:val="For further information on interest and penalty tax, refer to Commissioner’s Guideline CG-GEN-002 Interest and penalty tax."/>
      </w:tblPr>
      <w:tblGrid>
        <w:gridCol w:w="10343"/>
      </w:tblGrid>
      <w:tr w:rsidR="00375B9D" w:rsidRPr="00375B9D" w14:paraId="58E6819F" w14:textId="77777777" w:rsidTr="00937629">
        <w:trPr>
          <w:tblHeader/>
        </w:trPr>
        <w:tc>
          <w:tcPr>
            <w:tcW w:w="10343" w:type="dxa"/>
          </w:tcPr>
          <w:p w14:paraId="6CCB9380" w14:textId="77777777" w:rsidR="00375B9D" w:rsidRPr="00375B9D" w:rsidRDefault="00375B9D" w:rsidP="00375B9D">
            <w:pPr>
              <w:spacing w:after="200"/>
              <w:rPr>
                <w:noProof/>
                <w:lang w:eastAsia="en-AU"/>
              </w:rPr>
            </w:pPr>
            <w:r w:rsidRPr="00375B9D">
              <w:rPr>
                <w:noProof/>
                <w:lang w:eastAsia="en-AU"/>
              </w:rPr>
              <w:t xml:space="preserve">For further information on interest and penalty tax, refer to </w:t>
            </w:r>
            <w:hyperlink r:id="rId59" w:history="1">
              <w:r w:rsidRPr="00375B9D">
                <w:rPr>
                  <w:rStyle w:val="Hyperlink"/>
                  <w:noProof/>
                  <w:lang w:eastAsia="en-AU"/>
                </w:rPr>
                <w:t>CG</w:t>
              </w:r>
              <w:r w:rsidRPr="00375B9D">
                <w:rPr>
                  <w:rStyle w:val="Hyperlink"/>
                  <w:noProof/>
                  <w:lang w:eastAsia="en-AU"/>
                </w:rPr>
                <w:noBreakHyphen/>
                <w:t xml:space="preserve">GEN-002 Interest and </w:t>
              </w:r>
              <w:r w:rsidR="009E4EAB" w:rsidRPr="00375B9D">
                <w:rPr>
                  <w:rStyle w:val="Hyperlink"/>
                  <w:noProof/>
                  <w:lang w:eastAsia="en-AU"/>
                </w:rPr>
                <w:t>penalty ta</w:t>
              </w:r>
              <w:r w:rsidRPr="00375B9D">
                <w:rPr>
                  <w:rStyle w:val="Hyperlink"/>
                  <w:noProof/>
                  <w:lang w:eastAsia="en-AU"/>
                </w:rPr>
                <w:t>x.</w:t>
              </w:r>
            </w:hyperlink>
          </w:p>
        </w:tc>
      </w:tr>
    </w:tbl>
    <w:p w14:paraId="1E078ECD" w14:textId="77777777" w:rsidR="00375B9D" w:rsidRPr="00375B9D" w:rsidRDefault="00375B9D" w:rsidP="00A7303B">
      <w:pPr>
        <w:pStyle w:val="Heading2"/>
      </w:pPr>
      <w:bookmarkStart w:id="108" w:name="_Toc467842763"/>
      <w:bookmarkStart w:id="109" w:name="_Toc108789601"/>
      <w:r w:rsidRPr="00375B9D">
        <w:t xml:space="preserve">Investigations, </w:t>
      </w:r>
      <w:r w:rsidR="003920F7" w:rsidRPr="00EB6A2F">
        <w:t>assessments</w:t>
      </w:r>
      <w:r w:rsidRPr="00375B9D">
        <w:t xml:space="preserve"> and </w:t>
      </w:r>
      <w:r w:rsidR="008133EB">
        <w:t>r</w:t>
      </w:r>
      <w:r w:rsidRPr="00375B9D">
        <w:t>eassessments</w:t>
      </w:r>
      <w:bookmarkEnd w:id="108"/>
      <w:bookmarkEnd w:id="109"/>
    </w:p>
    <w:p w14:paraId="22FE0061" w14:textId="77777777" w:rsidR="00375B9D" w:rsidRPr="00375B9D" w:rsidRDefault="00375B9D" w:rsidP="00375B9D">
      <w:pPr>
        <w:rPr>
          <w:noProof/>
          <w:lang w:eastAsia="en-AU"/>
        </w:rPr>
      </w:pPr>
      <w:r w:rsidRPr="00375B9D">
        <w:rPr>
          <w:noProof/>
          <w:lang w:eastAsia="en-AU"/>
        </w:rPr>
        <w:t xml:space="preserve">TRO conducts an active and continuous payroll tax compliance program investigating registered taxpayers and unregistered businesses. </w:t>
      </w:r>
    </w:p>
    <w:p w14:paraId="05613BAB" w14:textId="77777777" w:rsidR="00375B9D" w:rsidRPr="00375B9D" w:rsidRDefault="00375B9D" w:rsidP="00375B9D">
      <w:pPr>
        <w:rPr>
          <w:noProof/>
          <w:lang w:eastAsia="en-AU"/>
        </w:rPr>
      </w:pPr>
      <w:r w:rsidRPr="00375B9D">
        <w:rPr>
          <w:noProof/>
          <w:lang w:eastAsia="en-AU"/>
        </w:rPr>
        <w:t xml:space="preserve">Most investigations ultimately arise from TRO’s ongoing data-matching program, in particular using ATO income tax returns, BAS lodgements, ATO contractor payments report (the </w:t>
      </w:r>
      <w:hyperlink r:id="rId60" w:history="1">
        <w:r w:rsidRPr="00375B9D">
          <w:rPr>
            <w:rStyle w:val="Hyperlink"/>
            <w:noProof/>
            <w:lang w:eastAsia="en-AU"/>
          </w:rPr>
          <w:t xml:space="preserve">Taxable </w:t>
        </w:r>
        <w:r w:rsidR="009E4EAB" w:rsidRPr="00375B9D">
          <w:rPr>
            <w:rStyle w:val="Hyperlink"/>
            <w:noProof/>
            <w:lang w:eastAsia="en-AU"/>
          </w:rPr>
          <w:t>payments annual re</w:t>
        </w:r>
        <w:r w:rsidRPr="00375B9D">
          <w:rPr>
            <w:rStyle w:val="Hyperlink"/>
            <w:noProof/>
            <w:lang w:eastAsia="en-AU"/>
          </w:rPr>
          <w:t>port (TPAR)</w:t>
        </w:r>
      </w:hyperlink>
      <w:r w:rsidRPr="00375B9D">
        <w:rPr>
          <w:noProof/>
          <w:lang w:eastAsia="en-AU"/>
        </w:rPr>
        <w:t>), ATO PAYG payment summary records, work health premium payment records and motor vehicle registrations, to identify both unregistered businesses with potential payroll tax liabilities and underpayments or overpayments by existing registered taxpayers.</w:t>
      </w:r>
    </w:p>
    <w:p w14:paraId="7E3ACBF6" w14:textId="77777777" w:rsidR="00375B9D" w:rsidRPr="00375B9D" w:rsidRDefault="00375B9D" w:rsidP="00375B9D">
      <w:pPr>
        <w:rPr>
          <w:noProof/>
          <w:lang w:eastAsia="en-AU"/>
        </w:rPr>
      </w:pPr>
      <w:r w:rsidRPr="00375B9D">
        <w:rPr>
          <w:noProof/>
          <w:lang w:eastAsia="en-AU"/>
        </w:rPr>
        <w:t xml:space="preserve">TRO will normally contact the taxpayer and formally request copies of documents for analysis (see </w:t>
      </w:r>
      <w:hyperlink w:anchor="RecordKeeping" w:history="1">
        <w:r w:rsidR="007E1D6B">
          <w:rPr>
            <w:rStyle w:val="Hyperlink"/>
            <w:noProof/>
            <w:lang w:eastAsia="en-AU"/>
          </w:rPr>
          <w:t>R</w:t>
        </w:r>
        <w:r w:rsidR="009E4EAB" w:rsidRPr="00375B9D">
          <w:rPr>
            <w:rStyle w:val="Hyperlink"/>
            <w:noProof/>
            <w:lang w:eastAsia="en-AU"/>
          </w:rPr>
          <w:t>ecord</w:t>
        </w:r>
        <w:r w:rsidR="007E1D6B">
          <w:rPr>
            <w:rStyle w:val="Hyperlink"/>
            <w:noProof/>
            <w:lang w:eastAsia="en-AU"/>
          </w:rPr>
          <w:t> </w:t>
        </w:r>
        <w:r w:rsidR="009E4EAB" w:rsidRPr="00375B9D">
          <w:rPr>
            <w:rStyle w:val="Hyperlink"/>
            <w:noProof/>
            <w:lang w:eastAsia="en-AU"/>
          </w:rPr>
          <w:t>keeping</w:t>
        </w:r>
      </w:hyperlink>
      <w:r w:rsidRPr="00375B9D">
        <w:rPr>
          <w:noProof/>
          <w:lang w:eastAsia="en-AU"/>
        </w:rPr>
        <w:t>).</w:t>
      </w:r>
    </w:p>
    <w:p w14:paraId="30AF8917" w14:textId="77777777" w:rsidR="00375B9D" w:rsidRPr="00375B9D" w:rsidRDefault="00375B9D" w:rsidP="00375B9D">
      <w:pPr>
        <w:rPr>
          <w:noProof/>
          <w:lang w:eastAsia="en-AU"/>
        </w:rPr>
      </w:pPr>
      <w:r w:rsidRPr="00375B9D">
        <w:rPr>
          <w:noProof/>
          <w:lang w:eastAsia="en-AU"/>
        </w:rPr>
        <w:t>When the investigation is complete, if it appears that payroll tax has been underpaid, the taxpayer will normally be issued with a set of preliminary findings and a draft assessment for comment.</w:t>
      </w:r>
    </w:p>
    <w:p w14:paraId="592B0069" w14:textId="77777777" w:rsidR="00375B9D" w:rsidRPr="00375B9D" w:rsidRDefault="00375B9D" w:rsidP="00375B9D">
      <w:pPr>
        <w:rPr>
          <w:noProof/>
          <w:lang w:eastAsia="en-AU"/>
        </w:rPr>
      </w:pPr>
      <w:r w:rsidRPr="00375B9D">
        <w:rPr>
          <w:noProof/>
          <w:lang w:eastAsia="en-AU"/>
        </w:rPr>
        <w:t>After receipt of comments, TRO will consider any additional information or documentation provided before the case is finalised. Taxpayers have the right to expect that the outcome of any investigation, including the reasons for any decisions made, will be fully explained as part of the assessment process.</w:t>
      </w:r>
    </w:p>
    <w:p w14:paraId="61BB99CE" w14:textId="77777777" w:rsidR="00375B9D" w:rsidRPr="00375B9D" w:rsidRDefault="00375B9D" w:rsidP="00375B9D">
      <w:pPr>
        <w:rPr>
          <w:noProof/>
          <w:lang w:eastAsia="en-AU"/>
        </w:rPr>
      </w:pPr>
      <w:r w:rsidRPr="00375B9D">
        <w:rPr>
          <w:noProof/>
          <w:lang w:eastAsia="en-AU"/>
        </w:rPr>
        <w:t>Where payroll tax is owing, the assessment usually provides one-calendar month for payment.</w:t>
      </w:r>
    </w:p>
    <w:p w14:paraId="75084F9F" w14:textId="77777777" w:rsidR="00375B9D" w:rsidRPr="00375B9D" w:rsidRDefault="00375B9D" w:rsidP="00375B9D">
      <w:pPr>
        <w:rPr>
          <w:noProof/>
          <w:lang w:eastAsia="en-AU"/>
        </w:rPr>
      </w:pPr>
      <w:r w:rsidRPr="00375B9D">
        <w:rPr>
          <w:noProof/>
          <w:lang w:eastAsia="en-AU"/>
        </w:rPr>
        <w:t>In most cases the taxpayer will have the right to object to all or part of an assessment..</w:t>
      </w:r>
    </w:p>
    <w:p w14:paraId="5AE37428" w14:textId="77777777" w:rsidR="00375B9D" w:rsidRPr="00375B9D" w:rsidRDefault="00375B9D" w:rsidP="00375B9D">
      <w:pPr>
        <w:rPr>
          <w:noProof/>
          <w:lang w:eastAsia="en-AU"/>
        </w:rPr>
      </w:pPr>
      <w:r w:rsidRPr="00375B9D">
        <w:rPr>
          <w:noProof/>
          <w:lang w:eastAsia="en-AU"/>
        </w:rPr>
        <w:t>If an objection is upheld, TRO will issue a reassessment based upon the amended levels of taxable wages, payroll tax, interest and penalty tax resulting from the outcome of the objection.</w:t>
      </w:r>
    </w:p>
    <w:tbl>
      <w:tblPr>
        <w:tblStyle w:val="DTFpayrolltaxguidestyle1"/>
        <w:tblW w:w="10343" w:type="dxa"/>
        <w:tblLook w:val="04A0" w:firstRow="1" w:lastRow="0" w:firstColumn="1" w:lastColumn="0" w:noHBand="0" w:noVBand="1"/>
        <w:tblDescription w:val="For further information on audits and investigations, refer to Information Bulletin I-GEN-002 Investigation Process."/>
      </w:tblPr>
      <w:tblGrid>
        <w:gridCol w:w="10343"/>
      </w:tblGrid>
      <w:tr w:rsidR="00375B9D" w:rsidRPr="00375B9D" w14:paraId="135D0D41" w14:textId="77777777" w:rsidTr="00937629">
        <w:trPr>
          <w:tblHeader/>
        </w:trPr>
        <w:tc>
          <w:tcPr>
            <w:tcW w:w="10343" w:type="dxa"/>
          </w:tcPr>
          <w:p w14:paraId="62EC03DC" w14:textId="77777777" w:rsidR="00375B9D" w:rsidRPr="00375B9D" w:rsidRDefault="00375B9D" w:rsidP="00375B9D">
            <w:pPr>
              <w:spacing w:after="200"/>
              <w:rPr>
                <w:noProof/>
                <w:lang w:eastAsia="en-AU"/>
              </w:rPr>
            </w:pPr>
            <w:r w:rsidRPr="00375B9D">
              <w:rPr>
                <w:noProof/>
                <w:lang w:eastAsia="en-AU"/>
              </w:rPr>
              <w:lastRenderedPageBreak/>
              <w:t xml:space="preserve">For further information on the investigation process, refer to </w:t>
            </w:r>
            <w:hyperlink r:id="rId61" w:history="1">
              <w:r w:rsidRPr="00375B9D">
                <w:rPr>
                  <w:rStyle w:val="Hyperlink"/>
                  <w:noProof/>
                  <w:lang w:eastAsia="en-AU"/>
                </w:rPr>
                <w:t xml:space="preserve"> I-GEN-002 Investigation </w:t>
              </w:r>
              <w:r w:rsidR="007E1D6B" w:rsidRPr="00375B9D">
                <w:rPr>
                  <w:rStyle w:val="Hyperlink"/>
                  <w:noProof/>
                  <w:lang w:eastAsia="en-AU"/>
                </w:rPr>
                <w:t>P</w:t>
              </w:r>
              <w:r w:rsidRPr="00375B9D">
                <w:rPr>
                  <w:rStyle w:val="Hyperlink"/>
                  <w:noProof/>
                  <w:lang w:eastAsia="en-AU"/>
                </w:rPr>
                <w:t>rocess.</w:t>
              </w:r>
            </w:hyperlink>
          </w:p>
        </w:tc>
      </w:tr>
    </w:tbl>
    <w:p w14:paraId="73D23387" w14:textId="77777777" w:rsidR="00375B9D" w:rsidRPr="00375B9D" w:rsidRDefault="00375B9D" w:rsidP="00A7303B">
      <w:pPr>
        <w:pStyle w:val="Heading2"/>
      </w:pPr>
      <w:bookmarkStart w:id="110" w:name="_Toc108789602"/>
      <w:r w:rsidRPr="00375B9D">
        <w:t xml:space="preserve">Objections and </w:t>
      </w:r>
      <w:r w:rsidR="003920F7" w:rsidRPr="00EB6A2F">
        <w:t>appeals</w:t>
      </w:r>
      <w:bookmarkEnd w:id="110"/>
    </w:p>
    <w:p w14:paraId="620FB5BB" w14:textId="77777777" w:rsidR="00375B9D" w:rsidRPr="00375B9D" w:rsidRDefault="00375B9D" w:rsidP="00495F34">
      <w:pPr>
        <w:pStyle w:val="Heading3"/>
        <w:rPr>
          <w:noProof/>
          <w:lang w:eastAsia="en-AU"/>
        </w:rPr>
      </w:pPr>
      <w:r w:rsidRPr="00375B9D">
        <w:rPr>
          <w:noProof/>
          <w:lang w:eastAsia="en-AU"/>
        </w:rPr>
        <w:t xml:space="preserve">Objection to a </w:t>
      </w:r>
      <w:r w:rsidR="00D261E4">
        <w:rPr>
          <w:noProof/>
          <w:lang w:eastAsia="en-AU"/>
        </w:rPr>
        <w:t>p</w:t>
      </w:r>
      <w:r w:rsidRPr="00375B9D">
        <w:rPr>
          <w:noProof/>
          <w:lang w:eastAsia="en-AU"/>
        </w:rPr>
        <w:t xml:space="preserve">ayroll </w:t>
      </w:r>
      <w:r w:rsidR="00D261E4">
        <w:rPr>
          <w:noProof/>
          <w:lang w:eastAsia="en-AU"/>
        </w:rPr>
        <w:t>t</w:t>
      </w:r>
      <w:r w:rsidRPr="00375B9D">
        <w:rPr>
          <w:noProof/>
          <w:lang w:eastAsia="en-AU"/>
        </w:rPr>
        <w:t xml:space="preserve">ax </w:t>
      </w:r>
      <w:r w:rsidR="003920F7" w:rsidRPr="00495F34">
        <w:t>assessment</w:t>
      </w:r>
    </w:p>
    <w:p w14:paraId="0FBBB229" w14:textId="77777777" w:rsidR="00375B9D" w:rsidRPr="00375B9D" w:rsidRDefault="00375B9D" w:rsidP="00375B9D">
      <w:pPr>
        <w:rPr>
          <w:noProof/>
          <w:lang w:eastAsia="en-AU"/>
        </w:rPr>
      </w:pPr>
      <w:r w:rsidRPr="00375B9D">
        <w:rPr>
          <w:noProof/>
          <w:lang w:eastAsia="en-AU"/>
        </w:rPr>
        <w:t xml:space="preserve">A taxpayer has 60 days after an assessment is issued to lodge an objection. In special circumstances, the Commissioner may extend this period. </w:t>
      </w:r>
    </w:p>
    <w:p w14:paraId="2EAE7F99" w14:textId="77777777" w:rsidR="00375B9D" w:rsidRPr="00375B9D" w:rsidRDefault="00375B9D" w:rsidP="00375B9D">
      <w:pPr>
        <w:rPr>
          <w:noProof/>
          <w:lang w:eastAsia="en-AU"/>
        </w:rPr>
      </w:pPr>
      <w:r w:rsidRPr="00375B9D">
        <w:rPr>
          <w:noProof/>
          <w:lang w:eastAsia="en-AU"/>
        </w:rPr>
        <w:t>To maximise the integrity of the objection process, objections are reviewed by an independent group of employees within TRO who are not involved in the investigation and/or assessment process.</w:t>
      </w:r>
    </w:p>
    <w:p w14:paraId="7761ECF7" w14:textId="77777777" w:rsidR="00375B9D" w:rsidRPr="00375B9D" w:rsidRDefault="00375B9D" w:rsidP="00375B9D">
      <w:pPr>
        <w:rPr>
          <w:noProof/>
          <w:lang w:eastAsia="en-AU"/>
        </w:rPr>
      </w:pPr>
      <w:r w:rsidRPr="00375B9D">
        <w:rPr>
          <w:noProof/>
          <w:lang w:eastAsia="en-AU"/>
        </w:rPr>
        <w:t>The objection must be in writing and give detailed reasons why the assessment is incorrect.</w:t>
      </w:r>
    </w:p>
    <w:p w14:paraId="02CCBE83" w14:textId="77777777" w:rsidR="00375B9D" w:rsidRPr="00375B9D" w:rsidRDefault="00375B9D" w:rsidP="00375B9D">
      <w:pPr>
        <w:rPr>
          <w:noProof/>
          <w:lang w:eastAsia="en-AU"/>
        </w:rPr>
      </w:pPr>
      <w:r w:rsidRPr="00375B9D">
        <w:rPr>
          <w:noProof/>
          <w:lang w:eastAsia="en-AU"/>
        </w:rPr>
        <w:t>After the objection has been decided, TRO will issue the taxpayer with either:</w:t>
      </w:r>
    </w:p>
    <w:p w14:paraId="03B567F5" w14:textId="77777777" w:rsidR="00375B9D" w:rsidRPr="00375B9D" w:rsidRDefault="00375B9D" w:rsidP="00AE756D">
      <w:pPr>
        <w:pStyle w:val="DTFBulletlist"/>
      </w:pPr>
      <w:r w:rsidRPr="00375B9D">
        <w:t>a reassessment for an increased or decreased amount, depending on the objection decision</w:t>
      </w:r>
    </w:p>
    <w:p w14:paraId="6161D69B" w14:textId="77777777" w:rsidR="00375B9D" w:rsidRPr="00375B9D" w:rsidRDefault="00A73CE7" w:rsidP="00AE756D">
      <w:pPr>
        <w:pStyle w:val="DTFBulletlist"/>
      </w:pPr>
      <w:r>
        <w:t xml:space="preserve">or </w:t>
      </w:r>
      <w:r w:rsidR="00375B9D" w:rsidRPr="00375B9D">
        <w:t>a letter advising that the objection was not successful (therefore, there was no change to the amount owing).</w:t>
      </w:r>
    </w:p>
    <w:p w14:paraId="0172D66A" w14:textId="77777777" w:rsidR="00375B9D" w:rsidRPr="00375B9D" w:rsidRDefault="00375B9D" w:rsidP="00375B9D">
      <w:pPr>
        <w:rPr>
          <w:noProof/>
          <w:lang w:eastAsia="en-AU"/>
        </w:rPr>
      </w:pPr>
      <w:r w:rsidRPr="00375B9D">
        <w:rPr>
          <w:noProof/>
          <w:lang w:eastAsia="en-AU"/>
        </w:rPr>
        <w:t xml:space="preserve">The reasons for the objection decision will be explained in full. </w:t>
      </w:r>
    </w:p>
    <w:tbl>
      <w:tblPr>
        <w:tblStyle w:val="DTFpayrolltaxguidestyle1"/>
        <w:tblW w:w="10343" w:type="dxa"/>
        <w:tblLook w:val="04A0" w:firstRow="1" w:lastRow="0" w:firstColumn="1" w:lastColumn="0" w:noHBand="0" w:noVBand="1"/>
        <w:tblDescription w:val="Note: Lodgement of an objection does not suspend the requirement to pay the debt by a specified date. In the event of a successful objection, any overpayment plus market interest would be refunded to the taxpayer."/>
      </w:tblPr>
      <w:tblGrid>
        <w:gridCol w:w="10343"/>
      </w:tblGrid>
      <w:tr w:rsidR="00375B9D" w:rsidRPr="00375B9D" w14:paraId="465F4D4A" w14:textId="77777777" w:rsidTr="00937629">
        <w:trPr>
          <w:tblHeader/>
        </w:trPr>
        <w:tc>
          <w:tcPr>
            <w:tcW w:w="10343" w:type="dxa"/>
          </w:tcPr>
          <w:p w14:paraId="2D984A18" w14:textId="77777777" w:rsidR="00375B9D" w:rsidRPr="00375B9D" w:rsidRDefault="00375B9D" w:rsidP="00375B9D">
            <w:pPr>
              <w:spacing w:after="200"/>
              <w:rPr>
                <w:noProof/>
                <w:lang w:eastAsia="en-AU"/>
              </w:rPr>
            </w:pPr>
            <w:r w:rsidRPr="00375B9D">
              <w:rPr>
                <w:b/>
                <w:noProof/>
                <w:lang w:eastAsia="en-AU"/>
              </w:rPr>
              <w:t>Note</w:t>
            </w:r>
            <w:r w:rsidRPr="00375B9D">
              <w:rPr>
                <w:noProof/>
                <w:lang w:eastAsia="en-AU"/>
              </w:rPr>
              <w:t>: Lodgement of an objection does not suspend the requirement to pay the debt by the date specified in the assessment. In the event of a successful objection, any overpayment plus market interest would be refunded to the taxpayer.</w:t>
            </w:r>
          </w:p>
        </w:tc>
      </w:tr>
    </w:tbl>
    <w:p w14:paraId="5124FBAB" w14:textId="77777777" w:rsidR="00375B9D" w:rsidRPr="00375B9D" w:rsidRDefault="00375B9D" w:rsidP="00495F34">
      <w:pPr>
        <w:pStyle w:val="Heading3"/>
        <w:rPr>
          <w:noProof/>
          <w:lang w:eastAsia="en-AU"/>
        </w:rPr>
      </w:pPr>
      <w:r w:rsidRPr="00375B9D">
        <w:rPr>
          <w:noProof/>
          <w:lang w:eastAsia="en-AU"/>
        </w:rPr>
        <w:t xml:space="preserve">Objection to a </w:t>
      </w:r>
      <w:r w:rsidR="00891750">
        <w:rPr>
          <w:noProof/>
          <w:lang w:eastAsia="en-AU"/>
        </w:rPr>
        <w:t>p</w:t>
      </w:r>
      <w:r w:rsidRPr="00375B9D">
        <w:rPr>
          <w:noProof/>
          <w:lang w:eastAsia="en-AU"/>
        </w:rPr>
        <w:t xml:space="preserve">ayroll </w:t>
      </w:r>
      <w:r w:rsidR="00891750">
        <w:rPr>
          <w:noProof/>
          <w:lang w:eastAsia="en-AU"/>
        </w:rPr>
        <w:t>t</w:t>
      </w:r>
      <w:r w:rsidRPr="00375B9D">
        <w:rPr>
          <w:noProof/>
          <w:lang w:eastAsia="en-AU"/>
        </w:rPr>
        <w:t xml:space="preserve">ax </w:t>
      </w:r>
      <w:r w:rsidR="00A73CE7" w:rsidRPr="00495F34">
        <w:t>reassessment</w:t>
      </w:r>
    </w:p>
    <w:p w14:paraId="12D7A0F2" w14:textId="77777777" w:rsidR="00375B9D" w:rsidRPr="00375B9D" w:rsidRDefault="00375B9D" w:rsidP="00375B9D">
      <w:pPr>
        <w:rPr>
          <w:noProof/>
          <w:lang w:eastAsia="en-AU"/>
        </w:rPr>
      </w:pPr>
      <w:r w:rsidRPr="00375B9D">
        <w:rPr>
          <w:noProof/>
          <w:lang w:eastAsia="en-AU"/>
        </w:rPr>
        <w:t>A payroll tax reassessment can arise for a number of reasons, the most common of which are to apply the outcome of a successful objection to the original assessment or TRO becoming aware of new information after having issued an assessment.</w:t>
      </w:r>
    </w:p>
    <w:p w14:paraId="754624E0" w14:textId="77777777" w:rsidR="00375B9D" w:rsidRPr="00375B9D" w:rsidRDefault="00375B9D" w:rsidP="00375B9D">
      <w:pPr>
        <w:rPr>
          <w:noProof/>
          <w:lang w:eastAsia="en-AU"/>
        </w:rPr>
      </w:pPr>
      <w:r w:rsidRPr="00375B9D">
        <w:rPr>
          <w:noProof/>
          <w:lang w:eastAsia="en-AU"/>
        </w:rPr>
        <w:t>A taxpayer’s right</w:t>
      </w:r>
      <w:r w:rsidR="00040599">
        <w:rPr>
          <w:noProof/>
          <w:lang w:eastAsia="en-AU"/>
        </w:rPr>
        <w:t xml:space="preserve"> </w:t>
      </w:r>
      <w:r w:rsidRPr="00375B9D">
        <w:rPr>
          <w:noProof/>
          <w:lang w:eastAsia="en-AU"/>
        </w:rPr>
        <w:t>to object to a reassessment, which must be lodged within 60 days, is summarised as follows:</w:t>
      </w:r>
    </w:p>
    <w:p w14:paraId="1F0191B9" w14:textId="77777777" w:rsidR="00375B9D" w:rsidRPr="00375B9D" w:rsidRDefault="00375B9D" w:rsidP="00AE756D">
      <w:pPr>
        <w:pStyle w:val="DTFBulletlist"/>
      </w:pPr>
      <w:r w:rsidRPr="00375B9D">
        <w:t>if the payroll tax owing under the reassessment is less than that owing under the original assessment, there is no further right to object</w:t>
      </w:r>
    </w:p>
    <w:p w14:paraId="1A4032DC" w14:textId="77777777" w:rsidR="00375B9D" w:rsidRPr="00375B9D" w:rsidRDefault="00375B9D" w:rsidP="00AE756D">
      <w:pPr>
        <w:pStyle w:val="DTFBulletlist"/>
      </w:pPr>
      <w:r w:rsidRPr="00375B9D">
        <w:t>if the payroll tax owing under the reassessment is more than that owing under the original assessment, the taxpayer’s right to object is limited to the amount of the increase only.</w:t>
      </w:r>
    </w:p>
    <w:p w14:paraId="2BEBF4CB" w14:textId="77777777" w:rsidR="00375B9D" w:rsidRPr="00375B9D" w:rsidRDefault="00375B9D" w:rsidP="006D349D">
      <w:pPr>
        <w:pStyle w:val="Heading3"/>
        <w:rPr>
          <w:noProof/>
          <w:lang w:eastAsia="en-AU"/>
        </w:rPr>
      </w:pPr>
      <w:r w:rsidRPr="00375B9D">
        <w:rPr>
          <w:noProof/>
          <w:lang w:eastAsia="en-AU"/>
        </w:rPr>
        <w:t xml:space="preserve">Appeals to the </w:t>
      </w:r>
      <w:r w:rsidR="00891750">
        <w:rPr>
          <w:noProof/>
          <w:lang w:eastAsia="en-AU"/>
        </w:rPr>
        <w:t>t</w:t>
      </w:r>
      <w:r w:rsidRPr="00375B9D">
        <w:rPr>
          <w:noProof/>
          <w:lang w:eastAsia="en-AU"/>
        </w:rPr>
        <w:t xml:space="preserve">ribunal or </w:t>
      </w:r>
      <w:r w:rsidR="00891750">
        <w:rPr>
          <w:noProof/>
          <w:lang w:eastAsia="en-AU"/>
        </w:rPr>
        <w:t>c</w:t>
      </w:r>
      <w:r w:rsidRPr="00375B9D">
        <w:rPr>
          <w:noProof/>
          <w:lang w:eastAsia="en-AU"/>
        </w:rPr>
        <w:t>ourt</w:t>
      </w:r>
    </w:p>
    <w:p w14:paraId="161AE58B" w14:textId="77777777" w:rsidR="00375B9D" w:rsidRPr="00375B9D" w:rsidRDefault="00375B9D" w:rsidP="00375B9D">
      <w:pPr>
        <w:rPr>
          <w:noProof/>
          <w:lang w:eastAsia="en-AU"/>
        </w:rPr>
      </w:pPr>
      <w:r w:rsidRPr="00375B9D">
        <w:rPr>
          <w:noProof/>
          <w:lang w:eastAsia="en-AU"/>
        </w:rPr>
        <w:t>If a taxpayer disagrees with the outcome of the objection, appeal proceedings may be commenced in either the Taxation and Royalty Appeals Tribunal or the NT Supreme Court. A 60-day limit applies for commencing action.</w:t>
      </w:r>
    </w:p>
    <w:p w14:paraId="20E4B826" w14:textId="77777777" w:rsidR="00375B9D" w:rsidRPr="00375B9D" w:rsidRDefault="00375B9D" w:rsidP="00375B9D">
      <w:pPr>
        <w:rPr>
          <w:noProof/>
          <w:lang w:eastAsia="en-AU"/>
        </w:rPr>
      </w:pPr>
      <w:r w:rsidRPr="00375B9D">
        <w:rPr>
          <w:noProof/>
          <w:lang w:eastAsia="en-AU"/>
        </w:rPr>
        <w:t>If the taxpayer appeals firstly to the Tribunal, and this is not successful, they retain a further right of appeal to the NT Supreme Court.</w:t>
      </w:r>
    </w:p>
    <w:tbl>
      <w:tblPr>
        <w:tblStyle w:val="DTFpayrolltaxguidestyle1"/>
        <w:tblW w:w="10343" w:type="dxa"/>
        <w:tblLook w:val="04A0" w:firstRow="1" w:lastRow="0" w:firstColumn="1" w:lastColumn="0" w:noHBand="0" w:noVBand="1"/>
        <w:tblDescription w:val="For further information on objections and appeals, refer to Commissioner’s Guideline CG GEN-003 Objections and appeals."/>
      </w:tblPr>
      <w:tblGrid>
        <w:gridCol w:w="10343"/>
      </w:tblGrid>
      <w:tr w:rsidR="00375B9D" w:rsidRPr="00375B9D" w14:paraId="27BA1095" w14:textId="77777777" w:rsidTr="00937629">
        <w:trPr>
          <w:tblHeader/>
        </w:trPr>
        <w:tc>
          <w:tcPr>
            <w:tcW w:w="10343" w:type="dxa"/>
          </w:tcPr>
          <w:p w14:paraId="01795B8E" w14:textId="77777777" w:rsidR="00375B9D" w:rsidRPr="00375B9D" w:rsidRDefault="00375B9D" w:rsidP="00375B9D">
            <w:pPr>
              <w:spacing w:after="200"/>
              <w:rPr>
                <w:noProof/>
                <w:lang w:eastAsia="en-AU"/>
              </w:rPr>
            </w:pPr>
            <w:r w:rsidRPr="00375B9D">
              <w:rPr>
                <w:noProof/>
                <w:lang w:eastAsia="en-AU"/>
              </w:rPr>
              <w:lastRenderedPageBreak/>
              <w:t xml:space="preserve">For further information on objections and appeals, refer to </w:t>
            </w:r>
            <w:hyperlink r:id="rId62" w:history="1">
              <w:r w:rsidRPr="00375B9D">
                <w:rPr>
                  <w:rStyle w:val="Hyperlink"/>
                  <w:noProof/>
                  <w:lang w:eastAsia="en-AU"/>
                </w:rPr>
                <w:t xml:space="preserve"> CG</w:t>
              </w:r>
              <w:r w:rsidRPr="00375B9D">
                <w:rPr>
                  <w:rStyle w:val="Hyperlink"/>
                  <w:noProof/>
                  <w:lang w:eastAsia="en-AU"/>
                </w:rPr>
                <w:noBreakHyphen/>
                <w:t xml:space="preserve">GEN-003 Objections and </w:t>
              </w:r>
              <w:r w:rsidR="007E1D6B" w:rsidRPr="00375B9D">
                <w:rPr>
                  <w:rStyle w:val="Hyperlink"/>
                  <w:noProof/>
                  <w:lang w:eastAsia="en-AU"/>
                </w:rPr>
                <w:t>appeals</w:t>
              </w:r>
              <w:r w:rsidRPr="00375B9D">
                <w:rPr>
                  <w:rStyle w:val="Hyperlink"/>
                  <w:noProof/>
                  <w:lang w:eastAsia="en-AU"/>
                </w:rPr>
                <w:t>.</w:t>
              </w:r>
            </w:hyperlink>
          </w:p>
        </w:tc>
      </w:tr>
    </w:tbl>
    <w:p w14:paraId="281AEE3C" w14:textId="77777777" w:rsidR="00375B9D" w:rsidRPr="00375B9D" w:rsidRDefault="00375B9D" w:rsidP="00A7303B">
      <w:pPr>
        <w:pStyle w:val="Heading2"/>
      </w:pPr>
      <w:bookmarkStart w:id="111" w:name="_Toc467842765"/>
      <w:bookmarkStart w:id="112" w:name="_Toc108789603"/>
      <w:r w:rsidRPr="00375B9D">
        <w:t xml:space="preserve">Instalment </w:t>
      </w:r>
      <w:r w:rsidR="00783E0B">
        <w:t>a</w:t>
      </w:r>
      <w:r w:rsidRPr="00375B9D">
        <w:t>rrangements</w:t>
      </w:r>
      <w:bookmarkEnd w:id="111"/>
      <w:bookmarkEnd w:id="112"/>
    </w:p>
    <w:p w14:paraId="2C324B6D" w14:textId="77777777" w:rsidR="00375B9D" w:rsidRPr="00375B9D" w:rsidRDefault="00375B9D" w:rsidP="00375B9D">
      <w:pPr>
        <w:rPr>
          <w:noProof/>
          <w:lang w:eastAsia="en-AU"/>
        </w:rPr>
      </w:pPr>
      <w:r w:rsidRPr="00375B9D">
        <w:rPr>
          <w:noProof/>
          <w:lang w:eastAsia="en-AU"/>
        </w:rPr>
        <w:t>Where a taxpayer is genuinely unable to pay the whole of a payroll tax assessment by its due date, the taxpayer may apply to TRO to pay the debt by instalments.</w:t>
      </w:r>
    </w:p>
    <w:p w14:paraId="20846BB4" w14:textId="77777777" w:rsidR="00375B9D" w:rsidRPr="00375B9D" w:rsidRDefault="00375B9D" w:rsidP="00375B9D">
      <w:pPr>
        <w:rPr>
          <w:noProof/>
          <w:lang w:eastAsia="en-AU"/>
        </w:rPr>
      </w:pPr>
      <w:r w:rsidRPr="00375B9D">
        <w:rPr>
          <w:noProof/>
          <w:lang w:eastAsia="en-AU"/>
        </w:rPr>
        <w:t>All such applications will be considered but TRO is under no obligation to agree to such a request.</w:t>
      </w:r>
    </w:p>
    <w:p w14:paraId="1324A515" w14:textId="77777777" w:rsidR="00375B9D" w:rsidRPr="00375B9D" w:rsidRDefault="00375B9D" w:rsidP="00375B9D">
      <w:pPr>
        <w:rPr>
          <w:noProof/>
          <w:lang w:eastAsia="en-AU"/>
        </w:rPr>
      </w:pPr>
      <w:r w:rsidRPr="00375B9D">
        <w:rPr>
          <w:noProof/>
          <w:lang w:eastAsia="en-AU"/>
        </w:rPr>
        <w:t>For periods in excess of three months, TRO will generally need to be satisfied that the taxpayer has exhausted all other forms of liquidity, including external loans, and the sale of non-essential business assets, before giving consideration to any such request.</w:t>
      </w:r>
    </w:p>
    <w:tbl>
      <w:tblPr>
        <w:tblStyle w:val="DTFpayrolltaxguidestyle1"/>
        <w:tblW w:w="10343" w:type="dxa"/>
        <w:tblLook w:val="04A0" w:firstRow="1" w:lastRow="0" w:firstColumn="1" w:lastColumn="0" w:noHBand="0" w:noVBand="1"/>
        <w:tblDescription w:val="Important: If your business anticipates any difficulty in meeting its payroll tax payment, please keep TRO informed of your circumstances so that any appropriate arrangements can be put in place."/>
      </w:tblPr>
      <w:tblGrid>
        <w:gridCol w:w="10343"/>
      </w:tblGrid>
      <w:tr w:rsidR="00375B9D" w:rsidRPr="00375B9D" w14:paraId="7CF97462" w14:textId="77777777" w:rsidTr="00937629">
        <w:trPr>
          <w:trHeight w:val="738"/>
          <w:tblHeader/>
        </w:trPr>
        <w:tc>
          <w:tcPr>
            <w:tcW w:w="10343" w:type="dxa"/>
          </w:tcPr>
          <w:p w14:paraId="7FDDD9CC" w14:textId="77777777" w:rsidR="00375B9D" w:rsidRPr="00F12A40" w:rsidRDefault="00375B9D" w:rsidP="00375B9D">
            <w:pPr>
              <w:spacing w:after="200"/>
              <w:rPr>
                <w:noProof/>
                <w:spacing w:val="-2"/>
                <w:lang w:eastAsia="en-AU"/>
              </w:rPr>
            </w:pPr>
            <w:r w:rsidRPr="00F12A40">
              <w:rPr>
                <w:b/>
                <w:noProof/>
                <w:spacing w:val="-2"/>
                <w:lang w:eastAsia="en-AU"/>
              </w:rPr>
              <w:t>Important</w:t>
            </w:r>
            <w:r w:rsidRPr="00F12A40">
              <w:rPr>
                <w:noProof/>
                <w:spacing w:val="-2"/>
                <w:lang w:eastAsia="en-AU"/>
              </w:rPr>
              <w:t>: If your business anticipates any difficulty in meeting its payroll tax payment, please keep TRO informed of your circumstances so we can assist in ensuring appropriate arrangements can be put in place.</w:t>
            </w:r>
          </w:p>
        </w:tc>
      </w:tr>
    </w:tbl>
    <w:p w14:paraId="08F2D335" w14:textId="77777777" w:rsidR="00375B9D" w:rsidRPr="00375B9D" w:rsidRDefault="00375B9D" w:rsidP="00375B9D">
      <w:pPr>
        <w:rPr>
          <w:noProof/>
          <w:lang w:eastAsia="en-AU"/>
        </w:rPr>
      </w:pPr>
    </w:p>
    <w:tbl>
      <w:tblPr>
        <w:tblStyle w:val="DTFpayrolltaxguidestyle1"/>
        <w:tblW w:w="10343" w:type="dxa"/>
        <w:tblLook w:val="04A0" w:firstRow="1" w:lastRow="0" w:firstColumn="1" w:lastColumn="0" w:noHBand="0" w:noVBand="1"/>
        <w:tblDescription w:val="For further information on repaying a payroll tax liability under an instalment arrangement, refer to Commissioner’s Guideline CG-GEN-004 Instalment arrangements."/>
      </w:tblPr>
      <w:tblGrid>
        <w:gridCol w:w="10343"/>
      </w:tblGrid>
      <w:tr w:rsidR="00375B9D" w:rsidRPr="00375B9D" w14:paraId="3D5D805D" w14:textId="77777777" w:rsidTr="00937629">
        <w:trPr>
          <w:tblHeader/>
        </w:trPr>
        <w:tc>
          <w:tcPr>
            <w:tcW w:w="10343" w:type="dxa"/>
          </w:tcPr>
          <w:p w14:paraId="669D589E" w14:textId="77777777" w:rsidR="00375B9D" w:rsidRPr="00375B9D" w:rsidRDefault="00375B9D" w:rsidP="00AA5FCB">
            <w:pPr>
              <w:spacing w:after="200"/>
              <w:rPr>
                <w:noProof/>
                <w:lang w:eastAsia="en-AU"/>
              </w:rPr>
            </w:pPr>
            <w:r w:rsidRPr="00375B9D">
              <w:rPr>
                <w:noProof/>
                <w:lang w:eastAsia="en-AU"/>
              </w:rPr>
              <w:t xml:space="preserve">For further information on repaying a payroll tax liability under an instalment arrangement, refer to </w:t>
            </w:r>
            <w:hyperlink r:id="rId63" w:history="1">
              <w:r w:rsidR="007E1D6B" w:rsidRPr="00375B9D">
                <w:rPr>
                  <w:rStyle w:val="Hyperlink"/>
                  <w:noProof/>
                  <w:lang w:eastAsia="en-AU"/>
                </w:rPr>
                <w:t xml:space="preserve"> </w:t>
              </w:r>
              <w:r w:rsidR="001F3B18">
                <w:rPr>
                  <w:rStyle w:val="Hyperlink"/>
                  <w:noProof/>
                  <w:lang w:eastAsia="en-AU"/>
                </w:rPr>
                <w:t>CG</w:t>
              </w:r>
              <w:r w:rsidR="001F3B18">
                <w:rPr>
                  <w:rStyle w:val="Hyperlink"/>
                  <w:noProof/>
                  <w:lang w:eastAsia="en-AU"/>
                </w:rPr>
                <w:noBreakHyphen/>
                <w:t>G</w:t>
              </w:r>
              <w:r w:rsidR="00AA5FCB">
                <w:rPr>
                  <w:rStyle w:val="Hyperlink"/>
                  <w:noProof/>
                  <w:lang w:eastAsia="en-AU"/>
                </w:rPr>
                <w:t>EN</w:t>
              </w:r>
              <w:r w:rsidR="007E1D6B" w:rsidRPr="00375B9D">
                <w:rPr>
                  <w:rStyle w:val="Hyperlink"/>
                  <w:noProof/>
                  <w:lang w:eastAsia="en-AU"/>
                </w:rPr>
                <w:t xml:space="preserve">-004 </w:t>
              </w:r>
              <w:r w:rsidR="001F3B18">
                <w:rPr>
                  <w:rStyle w:val="Hyperlink"/>
                  <w:noProof/>
                  <w:lang w:eastAsia="en-AU"/>
                </w:rPr>
                <w:t>I</w:t>
              </w:r>
              <w:r w:rsidR="007E1D6B" w:rsidRPr="00375B9D">
                <w:rPr>
                  <w:rStyle w:val="Hyperlink"/>
                  <w:noProof/>
                  <w:lang w:eastAsia="en-AU"/>
                </w:rPr>
                <w:t>nstalment arrangements</w:t>
              </w:r>
            </w:hyperlink>
            <w:r w:rsidRPr="00375B9D">
              <w:rPr>
                <w:noProof/>
                <w:lang w:eastAsia="en-AU"/>
              </w:rPr>
              <w:t>.</w:t>
            </w:r>
          </w:p>
        </w:tc>
      </w:tr>
    </w:tbl>
    <w:p w14:paraId="471236E4" w14:textId="77777777" w:rsidR="00823AEC" w:rsidRDefault="00823AEC" w:rsidP="00823AEC">
      <w:pPr>
        <w:pStyle w:val="Heading1"/>
        <w:rPr>
          <w:noProof/>
        </w:rPr>
      </w:pPr>
      <w:bookmarkStart w:id="113" w:name="AlphabeticalChecklistofWageTypes"/>
    </w:p>
    <w:p w14:paraId="20D0B121" w14:textId="77777777" w:rsidR="00823AEC" w:rsidRDefault="00823AEC" w:rsidP="00823AEC">
      <w:pPr>
        <w:rPr>
          <w:rFonts w:asciiTheme="majorHAnsi" w:eastAsiaTheme="majorEastAsia" w:hAnsiTheme="majorHAnsi" w:cstheme="majorBidi"/>
          <w:noProof/>
          <w:color w:val="1F1F5F" w:themeColor="text1"/>
          <w:kern w:val="32"/>
          <w:sz w:val="36"/>
          <w:szCs w:val="32"/>
        </w:rPr>
      </w:pPr>
      <w:r>
        <w:rPr>
          <w:noProof/>
        </w:rPr>
        <w:br w:type="page"/>
      </w:r>
    </w:p>
    <w:p w14:paraId="012812D6" w14:textId="77777777" w:rsidR="00375B9D" w:rsidRPr="00375B9D" w:rsidRDefault="00375B9D" w:rsidP="00823AEC">
      <w:pPr>
        <w:pStyle w:val="Heading1"/>
        <w:rPr>
          <w:noProof/>
        </w:rPr>
      </w:pPr>
      <w:bookmarkStart w:id="114" w:name="_Toc108789604"/>
      <w:r w:rsidRPr="00375B9D">
        <w:rPr>
          <w:noProof/>
        </w:rPr>
        <w:lastRenderedPageBreak/>
        <w:t xml:space="preserve">Alphabetical list of </w:t>
      </w:r>
      <w:r w:rsidR="00B233DB">
        <w:rPr>
          <w:noProof/>
        </w:rPr>
        <w:t>w</w:t>
      </w:r>
      <w:r w:rsidRPr="00375B9D">
        <w:rPr>
          <w:noProof/>
        </w:rPr>
        <w:t xml:space="preserve">age </w:t>
      </w:r>
      <w:r w:rsidR="00B233DB">
        <w:rPr>
          <w:noProof/>
        </w:rPr>
        <w:t>t</w:t>
      </w:r>
      <w:r w:rsidRPr="00375B9D">
        <w:rPr>
          <w:noProof/>
        </w:rPr>
        <w:t xml:space="preserve">ypes </w:t>
      </w:r>
      <w:bookmarkEnd w:id="113"/>
      <w:r w:rsidRPr="00375B9D">
        <w:rPr>
          <w:noProof/>
        </w:rPr>
        <w:t xml:space="preserve">– </w:t>
      </w:r>
      <w:r w:rsidR="00612FA4">
        <w:rPr>
          <w:noProof/>
        </w:rPr>
        <w:t>w</w:t>
      </w:r>
      <w:r w:rsidRPr="00375B9D">
        <w:rPr>
          <w:noProof/>
        </w:rPr>
        <w:t xml:space="preserve">hen are </w:t>
      </w:r>
      <w:r w:rsidRPr="004556BC">
        <w:t>they</w:t>
      </w:r>
      <w:r w:rsidRPr="00375B9D">
        <w:rPr>
          <w:noProof/>
        </w:rPr>
        <w:t xml:space="preserve"> </w:t>
      </w:r>
      <w:r w:rsidR="00B233DB">
        <w:rPr>
          <w:noProof/>
        </w:rPr>
        <w:t>t</w:t>
      </w:r>
      <w:r w:rsidRPr="00375B9D">
        <w:rPr>
          <w:noProof/>
        </w:rPr>
        <w:t>axable?</w:t>
      </w:r>
      <w:bookmarkEnd w:id="114"/>
    </w:p>
    <w:tbl>
      <w:tblPr>
        <w:tblStyle w:val="NTGtable1"/>
        <w:tblW w:w="10343" w:type="dxa"/>
        <w:tblLook w:val="04A0" w:firstRow="1" w:lastRow="0" w:firstColumn="1" w:lastColumn="0" w:noHBand="0" w:noVBand="1"/>
        <w:tblDescription w:val="Alphabetical Checklist of Wage Types – When are they Taxable?"/>
      </w:tblPr>
      <w:tblGrid>
        <w:gridCol w:w="3681"/>
        <w:gridCol w:w="6662"/>
      </w:tblGrid>
      <w:tr w:rsidR="00375B9D" w:rsidRPr="00375B9D" w14:paraId="0E3E5323" w14:textId="77777777" w:rsidTr="00AC225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681" w:type="dxa"/>
          </w:tcPr>
          <w:p w14:paraId="79675908" w14:textId="77777777" w:rsidR="00375B9D" w:rsidRPr="00375B9D" w:rsidRDefault="00375B9D" w:rsidP="006E4AAA">
            <w:pPr>
              <w:spacing w:after="120"/>
              <w:rPr>
                <w:noProof/>
                <w:lang w:eastAsia="en-AU"/>
              </w:rPr>
            </w:pPr>
            <w:r w:rsidRPr="00375B9D">
              <w:rPr>
                <w:noProof/>
                <w:lang w:eastAsia="en-AU"/>
              </w:rPr>
              <w:t xml:space="preserve">Type of </w:t>
            </w:r>
            <w:r w:rsidR="006E4AAA">
              <w:rPr>
                <w:noProof/>
                <w:lang w:eastAsia="en-AU"/>
              </w:rPr>
              <w:t>p</w:t>
            </w:r>
            <w:r w:rsidRPr="00375B9D">
              <w:rPr>
                <w:noProof/>
                <w:lang w:eastAsia="en-AU"/>
              </w:rPr>
              <w:t xml:space="preserve">ayment or </w:t>
            </w:r>
            <w:r w:rsidR="006E4AAA">
              <w:rPr>
                <w:noProof/>
                <w:lang w:eastAsia="en-AU"/>
              </w:rPr>
              <w:t>b</w:t>
            </w:r>
            <w:r w:rsidRPr="00375B9D">
              <w:rPr>
                <w:noProof/>
                <w:lang w:eastAsia="en-AU"/>
              </w:rPr>
              <w:t>enefit</w:t>
            </w:r>
          </w:p>
        </w:tc>
        <w:tc>
          <w:tcPr>
            <w:tcW w:w="6662" w:type="dxa"/>
          </w:tcPr>
          <w:p w14:paraId="0CCF7814" w14:textId="77777777" w:rsidR="00375B9D" w:rsidRPr="00375B9D" w:rsidRDefault="00375B9D" w:rsidP="006E4AAA">
            <w:pPr>
              <w:spacing w:after="120"/>
              <w:cnfStyle w:val="100000000000" w:firstRow="1" w:lastRow="0" w:firstColumn="0" w:lastColumn="0" w:oddVBand="0" w:evenVBand="0" w:oddHBand="0" w:evenHBand="0" w:firstRowFirstColumn="0" w:firstRowLastColumn="0" w:lastRowFirstColumn="0" w:lastRowLastColumn="0"/>
              <w:rPr>
                <w:noProof/>
                <w:lang w:eastAsia="en-AU"/>
              </w:rPr>
            </w:pPr>
            <w:r w:rsidRPr="00375B9D">
              <w:rPr>
                <w:noProof/>
                <w:lang w:eastAsia="en-AU"/>
              </w:rPr>
              <w:t xml:space="preserve">Payroll </w:t>
            </w:r>
            <w:r w:rsidR="006E4AAA">
              <w:rPr>
                <w:noProof/>
                <w:lang w:eastAsia="en-AU"/>
              </w:rPr>
              <w:t>t</w:t>
            </w:r>
            <w:r w:rsidRPr="00375B9D">
              <w:rPr>
                <w:noProof/>
                <w:lang w:eastAsia="en-AU"/>
              </w:rPr>
              <w:t xml:space="preserve">ax </w:t>
            </w:r>
            <w:r w:rsidR="006E4AAA">
              <w:rPr>
                <w:noProof/>
                <w:lang w:eastAsia="en-AU"/>
              </w:rPr>
              <w:t>s</w:t>
            </w:r>
            <w:r w:rsidRPr="00375B9D">
              <w:rPr>
                <w:noProof/>
                <w:lang w:eastAsia="en-AU"/>
              </w:rPr>
              <w:t>tatus</w:t>
            </w:r>
          </w:p>
        </w:tc>
      </w:tr>
      <w:tr w:rsidR="00375B9D" w:rsidRPr="00375B9D" w14:paraId="3BC63806"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08081E37" w14:textId="77777777" w:rsidR="00375B9D" w:rsidRPr="00375B9D" w:rsidRDefault="00375B9D" w:rsidP="007E1D6B">
            <w:pPr>
              <w:spacing w:after="120"/>
              <w:rPr>
                <w:noProof/>
                <w:lang w:eastAsia="en-AU"/>
              </w:rPr>
            </w:pPr>
            <w:r w:rsidRPr="00375B9D">
              <w:rPr>
                <w:noProof/>
                <w:lang w:eastAsia="en-AU"/>
              </w:rPr>
              <w:t xml:space="preserve">Accommodation allowance </w:t>
            </w:r>
          </w:p>
        </w:tc>
        <w:tc>
          <w:tcPr>
            <w:tcW w:w="6662" w:type="dxa"/>
            <w:vAlign w:val="top"/>
          </w:tcPr>
          <w:p w14:paraId="3A7BD5CF"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 xml:space="preserve">Exempt if daily rate does not exceed the amount prescribed at </w:t>
            </w:r>
            <w:hyperlink w:anchor="Appendix2" w:history="1">
              <w:r w:rsidRPr="00375B9D">
                <w:rPr>
                  <w:rStyle w:val="Hyperlink"/>
                  <w:noProof/>
                  <w:lang w:eastAsia="en-AU"/>
                </w:rPr>
                <w:t>Appendix 2</w:t>
              </w:r>
            </w:hyperlink>
            <w:r w:rsidRPr="00375B9D">
              <w:rPr>
                <w:noProof/>
                <w:lang w:eastAsia="en-AU"/>
              </w:rPr>
              <w:t>.</w:t>
            </w:r>
          </w:p>
        </w:tc>
      </w:tr>
      <w:tr w:rsidR="00375B9D" w:rsidRPr="00375B9D" w14:paraId="426CC61A"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3E5FFF25" w14:textId="77777777" w:rsidR="00375B9D" w:rsidRPr="00375B9D" w:rsidRDefault="00375B9D" w:rsidP="007E1D6B">
            <w:pPr>
              <w:spacing w:after="120"/>
              <w:rPr>
                <w:noProof/>
                <w:lang w:eastAsia="en-AU"/>
              </w:rPr>
            </w:pPr>
            <w:r w:rsidRPr="00375B9D">
              <w:rPr>
                <w:noProof/>
                <w:lang w:eastAsia="en-AU"/>
              </w:rPr>
              <w:t>Adoption leave pay (where paid by employer)</w:t>
            </w:r>
          </w:p>
        </w:tc>
        <w:tc>
          <w:tcPr>
            <w:tcW w:w="6662" w:type="dxa"/>
            <w:vAlign w:val="top"/>
          </w:tcPr>
          <w:p w14:paraId="03CBF46E"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Exempt (14 weeks maximum). Any other leave taken in conjunction (such as annual or long service) is not exempt.</w:t>
            </w:r>
          </w:p>
        </w:tc>
      </w:tr>
      <w:tr w:rsidR="00375B9D" w:rsidRPr="00375B9D" w14:paraId="61BD18B2"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61F89861" w14:textId="77777777" w:rsidR="00375B9D" w:rsidRPr="00375B9D" w:rsidRDefault="00375B9D" w:rsidP="007E1D6B">
            <w:pPr>
              <w:spacing w:after="120"/>
              <w:rPr>
                <w:noProof/>
                <w:lang w:eastAsia="en-AU"/>
              </w:rPr>
            </w:pPr>
            <w:r w:rsidRPr="00375B9D">
              <w:rPr>
                <w:noProof/>
                <w:lang w:eastAsia="en-AU"/>
              </w:rPr>
              <w:t>Allowances</w:t>
            </w:r>
          </w:p>
        </w:tc>
        <w:tc>
          <w:tcPr>
            <w:tcW w:w="6662" w:type="dxa"/>
            <w:vAlign w:val="top"/>
          </w:tcPr>
          <w:p w14:paraId="18FA9F47"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 xml:space="preserve">Taxable, subject to some exempt thresholds for car, travel and accommodation allowances (refer to ATO-prescribed free thresholds). Also see </w:t>
            </w:r>
            <w:hyperlink w:anchor="Appendix2" w:history="1">
              <w:r w:rsidRPr="00375B9D">
                <w:rPr>
                  <w:rStyle w:val="Hyperlink"/>
                  <w:noProof/>
                  <w:lang w:eastAsia="en-AU"/>
                </w:rPr>
                <w:t>Appendix 2</w:t>
              </w:r>
            </w:hyperlink>
            <w:r w:rsidRPr="00375B9D">
              <w:rPr>
                <w:noProof/>
                <w:lang w:eastAsia="en-AU"/>
              </w:rPr>
              <w:t>.</w:t>
            </w:r>
          </w:p>
        </w:tc>
      </w:tr>
      <w:tr w:rsidR="00375B9D" w:rsidRPr="00375B9D" w14:paraId="190112B1"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2E693D75" w14:textId="77777777" w:rsidR="00375B9D" w:rsidRPr="00375B9D" w:rsidRDefault="00375B9D" w:rsidP="007E1D6B">
            <w:pPr>
              <w:spacing w:after="120"/>
              <w:rPr>
                <w:noProof/>
                <w:lang w:eastAsia="en-AU"/>
              </w:rPr>
            </w:pPr>
            <w:r w:rsidRPr="00375B9D">
              <w:rPr>
                <w:noProof/>
                <w:lang w:eastAsia="en-AU"/>
              </w:rPr>
              <w:t>Apprentice, graduate and trainee wages, superannuation and other payments</w:t>
            </w:r>
          </w:p>
        </w:tc>
        <w:tc>
          <w:tcPr>
            <w:tcW w:w="6662" w:type="dxa"/>
            <w:vAlign w:val="top"/>
          </w:tcPr>
          <w:p w14:paraId="16676E59"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Exempt up to 30 June 2015 only. From 1 July 2015, payments made to apprentices, graduates and trainees are treated the same as payments made to all other employees.</w:t>
            </w:r>
          </w:p>
        </w:tc>
      </w:tr>
      <w:tr w:rsidR="00375B9D" w:rsidRPr="00375B9D" w14:paraId="65C7E5BD"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5936D948" w14:textId="77777777" w:rsidR="00375B9D" w:rsidRPr="00375B9D" w:rsidRDefault="00375B9D" w:rsidP="007E1D6B">
            <w:pPr>
              <w:spacing w:after="120"/>
              <w:rPr>
                <w:noProof/>
                <w:lang w:eastAsia="en-AU"/>
              </w:rPr>
            </w:pPr>
            <w:r w:rsidRPr="00375B9D">
              <w:rPr>
                <w:noProof/>
                <w:lang w:eastAsia="en-AU"/>
              </w:rPr>
              <w:t>Backpay</w:t>
            </w:r>
          </w:p>
        </w:tc>
        <w:tc>
          <w:tcPr>
            <w:tcW w:w="6662" w:type="dxa"/>
            <w:vAlign w:val="top"/>
          </w:tcPr>
          <w:p w14:paraId="283A75DA"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w:t>
            </w:r>
          </w:p>
        </w:tc>
      </w:tr>
      <w:tr w:rsidR="00375B9D" w:rsidRPr="00375B9D" w14:paraId="6FBC5A62"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40C570AE" w14:textId="77777777" w:rsidR="00375B9D" w:rsidRPr="00375B9D" w:rsidRDefault="00375B9D" w:rsidP="007E1D6B">
            <w:pPr>
              <w:spacing w:after="120"/>
              <w:rPr>
                <w:noProof/>
                <w:lang w:eastAsia="en-AU"/>
              </w:rPr>
            </w:pPr>
            <w:r w:rsidRPr="00375B9D">
              <w:rPr>
                <w:noProof/>
                <w:lang w:eastAsia="en-AU"/>
              </w:rPr>
              <w:t>Board and quarters</w:t>
            </w:r>
          </w:p>
        </w:tc>
        <w:tc>
          <w:tcPr>
            <w:tcW w:w="6662" w:type="dxa"/>
            <w:vAlign w:val="top"/>
          </w:tcPr>
          <w:p w14:paraId="7180A810"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 to the extent taxable as a fringe benefit (grossed up by the Type 2 rate).</w:t>
            </w:r>
          </w:p>
        </w:tc>
      </w:tr>
      <w:tr w:rsidR="00375B9D" w:rsidRPr="00375B9D" w14:paraId="2649B651"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27E44316" w14:textId="77777777" w:rsidR="00375B9D" w:rsidRPr="00375B9D" w:rsidRDefault="00375B9D" w:rsidP="007E1D6B">
            <w:pPr>
              <w:spacing w:after="120"/>
              <w:rPr>
                <w:noProof/>
                <w:lang w:eastAsia="en-AU"/>
              </w:rPr>
            </w:pPr>
            <w:r w:rsidRPr="00375B9D">
              <w:rPr>
                <w:noProof/>
                <w:lang w:eastAsia="en-AU"/>
              </w:rPr>
              <w:t>Bona fide redundancy payment</w:t>
            </w:r>
          </w:p>
        </w:tc>
        <w:tc>
          <w:tcPr>
            <w:tcW w:w="6662" w:type="dxa"/>
            <w:vAlign w:val="top"/>
          </w:tcPr>
          <w:p w14:paraId="7AEE629A"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Exempt if does not exceed the ATO-prescribed tax-free limit, amount in excess is taxable.</w:t>
            </w:r>
          </w:p>
        </w:tc>
      </w:tr>
      <w:tr w:rsidR="00375B9D" w:rsidRPr="00375B9D" w14:paraId="5E7B7898"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74E40B61" w14:textId="77777777" w:rsidR="00375B9D" w:rsidRPr="00375B9D" w:rsidRDefault="00375B9D" w:rsidP="007E1D6B">
            <w:pPr>
              <w:spacing w:after="120"/>
              <w:rPr>
                <w:noProof/>
                <w:lang w:eastAsia="en-AU"/>
              </w:rPr>
            </w:pPr>
            <w:r w:rsidRPr="00375B9D">
              <w:rPr>
                <w:noProof/>
                <w:lang w:eastAsia="en-AU"/>
              </w:rPr>
              <w:t>Bonuses</w:t>
            </w:r>
          </w:p>
        </w:tc>
        <w:tc>
          <w:tcPr>
            <w:tcW w:w="6662" w:type="dxa"/>
            <w:vAlign w:val="top"/>
          </w:tcPr>
          <w:p w14:paraId="6B956CCA"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w:t>
            </w:r>
          </w:p>
        </w:tc>
      </w:tr>
      <w:tr w:rsidR="00375B9D" w:rsidRPr="00375B9D" w14:paraId="64F6C516"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41CE38C2" w14:textId="77777777" w:rsidR="00375B9D" w:rsidRPr="00375B9D" w:rsidRDefault="00375B9D" w:rsidP="007E1D6B">
            <w:pPr>
              <w:spacing w:after="120"/>
              <w:rPr>
                <w:noProof/>
                <w:lang w:eastAsia="en-AU"/>
              </w:rPr>
            </w:pPr>
            <w:r w:rsidRPr="00375B9D">
              <w:rPr>
                <w:noProof/>
                <w:lang w:eastAsia="en-AU"/>
              </w:rPr>
              <w:t>Car allowance</w:t>
            </w:r>
          </w:p>
        </w:tc>
        <w:tc>
          <w:tcPr>
            <w:tcW w:w="6662" w:type="dxa"/>
            <w:vAlign w:val="top"/>
          </w:tcPr>
          <w:p w14:paraId="1F6446A4"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 xml:space="preserve">Exempt if per-kilometre rate does not exceed the rate prescribed at </w:t>
            </w:r>
            <w:hyperlink w:anchor="Appendix2" w:history="1">
              <w:r w:rsidRPr="00375B9D">
                <w:rPr>
                  <w:rStyle w:val="Hyperlink"/>
                  <w:noProof/>
                  <w:lang w:eastAsia="en-AU"/>
                </w:rPr>
                <w:t>Appendix 2</w:t>
              </w:r>
            </w:hyperlink>
            <w:r w:rsidRPr="00375B9D">
              <w:rPr>
                <w:noProof/>
                <w:lang w:eastAsia="en-AU"/>
              </w:rPr>
              <w:t>.</w:t>
            </w:r>
          </w:p>
        </w:tc>
      </w:tr>
      <w:tr w:rsidR="00375B9D" w:rsidRPr="00375B9D" w14:paraId="30C6C044"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69F3D014" w14:textId="77777777" w:rsidR="00375B9D" w:rsidRPr="00375B9D" w:rsidRDefault="00375B9D" w:rsidP="007E1D6B">
            <w:pPr>
              <w:spacing w:after="120"/>
              <w:rPr>
                <w:noProof/>
                <w:lang w:eastAsia="en-AU"/>
              </w:rPr>
            </w:pPr>
            <w:r w:rsidRPr="00375B9D">
              <w:rPr>
                <w:noProof/>
                <w:lang w:eastAsia="en-AU"/>
              </w:rPr>
              <w:t>Car parking</w:t>
            </w:r>
          </w:p>
        </w:tc>
        <w:tc>
          <w:tcPr>
            <w:tcW w:w="6662" w:type="dxa"/>
            <w:vAlign w:val="top"/>
          </w:tcPr>
          <w:p w14:paraId="49828F78"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 as a fringe benefit (grossed up by the Type 2 rate).</w:t>
            </w:r>
          </w:p>
        </w:tc>
      </w:tr>
      <w:tr w:rsidR="00375B9D" w:rsidRPr="00375B9D" w14:paraId="16A4B7AB"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53CACA17" w14:textId="77777777" w:rsidR="00375B9D" w:rsidRPr="00375B9D" w:rsidRDefault="00375B9D" w:rsidP="007E1D6B">
            <w:pPr>
              <w:spacing w:after="120"/>
              <w:rPr>
                <w:noProof/>
                <w:lang w:eastAsia="en-AU"/>
              </w:rPr>
            </w:pPr>
            <w:r w:rsidRPr="00375B9D">
              <w:rPr>
                <w:noProof/>
                <w:lang w:eastAsia="en-AU"/>
              </w:rPr>
              <w:t>Clothing allowance</w:t>
            </w:r>
          </w:p>
        </w:tc>
        <w:tc>
          <w:tcPr>
            <w:tcW w:w="6662" w:type="dxa"/>
            <w:vAlign w:val="top"/>
          </w:tcPr>
          <w:p w14:paraId="25B7C8F2"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w:t>
            </w:r>
          </w:p>
        </w:tc>
      </w:tr>
      <w:tr w:rsidR="00375B9D" w:rsidRPr="00375B9D" w14:paraId="1FEBFA40"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4826E719" w14:textId="77777777" w:rsidR="00375B9D" w:rsidRPr="00375B9D" w:rsidRDefault="00375B9D" w:rsidP="007E1D6B">
            <w:pPr>
              <w:spacing w:after="120"/>
              <w:rPr>
                <w:noProof/>
                <w:lang w:eastAsia="en-AU"/>
              </w:rPr>
            </w:pPr>
            <w:r w:rsidRPr="00375B9D">
              <w:rPr>
                <w:noProof/>
                <w:lang w:eastAsia="en-AU"/>
              </w:rPr>
              <w:t>Club membership paid by employer</w:t>
            </w:r>
          </w:p>
        </w:tc>
        <w:tc>
          <w:tcPr>
            <w:tcW w:w="6662" w:type="dxa"/>
            <w:vAlign w:val="top"/>
          </w:tcPr>
          <w:p w14:paraId="177C8AF8"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 as a fringe benefit (grossed up by the Type 2 rate).</w:t>
            </w:r>
          </w:p>
        </w:tc>
      </w:tr>
      <w:tr w:rsidR="00375B9D" w:rsidRPr="00375B9D" w14:paraId="689F0B0E"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3AEC3EE5" w14:textId="77777777" w:rsidR="00375B9D" w:rsidRPr="00375B9D" w:rsidRDefault="00375B9D" w:rsidP="007E1D6B">
            <w:pPr>
              <w:spacing w:after="120"/>
              <w:rPr>
                <w:noProof/>
                <w:lang w:eastAsia="en-AU"/>
              </w:rPr>
            </w:pPr>
            <w:r w:rsidRPr="00375B9D">
              <w:rPr>
                <w:noProof/>
                <w:lang w:eastAsia="en-AU"/>
              </w:rPr>
              <w:t>Commission</w:t>
            </w:r>
          </w:p>
        </w:tc>
        <w:tc>
          <w:tcPr>
            <w:tcW w:w="6662" w:type="dxa"/>
            <w:vAlign w:val="top"/>
          </w:tcPr>
          <w:p w14:paraId="1435A246"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w:t>
            </w:r>
          </w:p>
        </w:tc>
      </w:tr>
      <w:tr w:rsidR="00375B9D" w:rsidRPr="00375B9D" w14:paraId="059E528A"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3877F7B2" w14:textId="77777777" w:rsidR="00375B9D" w:rsidRPr="00375B9D" w:rsidRDefault="00375B9D" w:rsidP="007E1D6B">
            <w:pPr>
              <w:spacing w:after="120"/>
              <w:rPr>
                <w:noProof/>
                <w:lang w:eastAsia="en-AU"/>
              </w:rPr>
            </w:pPr>
            <w:r w:rsidRPr="00375B9D">
              <w:rPr>
                <w:noProof/>
                <w:lang w:eastAsia="en-AU"/>
              </w:rPr>
              <w:t>Common law wages</w:t>
            </w:r>
          </w:p>
        </w:tc>
        <w:tc>
          <w:tcPr>
            <w:tcW w:w="6662" w:type="dxa"/>
            <w:vAlign w:val="top"/>
          </w:tcPr>
          <w:p w14:paraId="6D6638CF"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w:t>
            </w:r>
          </w:p>
        </w:tc>
      </w:tr>
      <w:tr w:rsidR="00375B9D" w:rsidRPr="00375B9D" w14:paraId="7975ECFD"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25D13CFE" w14:textId="77777777" w:rsidR="00375B9D" w:rsidRPr="00375B9D" w:rsidRDefault="00375B9D" w:rsidP="007E1D6B">
            <w:pPr>
              <w:spacing w:after="120"/>
              <w:rPr>
                <w:noProof/>
                <w:lang w:eastAsia="en-AU"/>
              </w:rPr>
            </w:pPr>
            <w:r w:rsidRPr="00375B9D">
              <w:rPr>
                <w:noProof/>
                <w:lang w:eastAsia="en-AU"/>
              </w:rPr>
              <w:t>Company car – home garaging</w:t>
            </w:r>
          </w:p>
        </w:tc>
        <w:tc>
          <w:tcPr>
            <w:tcW w:w="6662" w:type="dxa"/>
            <w:vAlign w:val="top"/>
          </w:tcPr>
          <w:p w14:paraId="671DB357"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 as a fringe benefit (grossed up by the Type 2 rate).</w:t>
            </w:r>
          </w:p>
        </w:tc>
      </w:tr>
      <w:tr w:rsidR="00375B9D" w:rsidRPr="00375B9D" w14:paraId="58BC86B8"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3C11A4B0" w14:textId="77777777" w:rsidR="00375B9D" w:rsidRPr="00375B9D" w:rsidRDefault="00375B9D" w:rsidP="007E1D6B">
            <w:pPr>
              <w:spacing w:after="120"/>
              <w:rPr>
                <w:noProof/>
                <w:lang w:eastAsia="en-AU"/>
              </w:rPr>
            </w:pPr>
            <w:r w:rsidRPr="00375B9D">
              <w:rPr>
                <w:noProof/>
                <w:lang w:eastAsia="en-AU"/>
              </w:rPr>
              <w:t>Company car – private use by employee or director</w:t>
            </w:r>
          </w:p>
        </w:tc>
        <w:tc>
          <w:tcPr>
            <w:tcW w:w="6662" w:type="dxa"/>
            <w:vAlign w:val="top"/>
          </w:tcPr>
          <w:p w14:paraId="0BE7DAAB"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 as a fringe benefit (grossed up by the Type 2 rate).</w:t>
            </w:r>
          </w:p>
        </w:tc>
      </w:tr>
      <w:tr w:rsidR="00375B9D" w:rsidRPr="00375B9D" w14:paraId="54CF12A1"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53892E50" w14:textId="77777777" w:rsidR="00375B9D" w:rsidRPr="00375B9D" w:rsidRDefault="00375B9D" w:rsidP="007E1D6B">
            <w:pPr>
              <w:spacing w:after="120"/>
              <w:rPr>
                <w:noProof/>
                <w:lang w:eastAsia="en-AU"/>
              </w:rPr>
            </w:pPr>
            <w:r w:rsidRPr="00375B9D">
              <w:rPr>
                <w:noProof/>
                <w:lang w:eastAsia="en-AU"/>
              </w:rPr>
              <w:t>Company car – use by family of employee or director</w:t>
            </w:r>
          </w:p>
        </w:tc>
        <w:tc>
          <w:tcPr>
            <w:tcW w:w="6662" w:type="dxa"/>
            <w:vAlign w:val="top"/>
          </w:tcPr>
          <w:p w14:paraId="50C29B5D"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 as a fringe benefit (grossed up by the Type 2 rate).</w:t>
            </w:r>
          </w:p>
        </w:tc>
      </w:tr>
      <w:tr w:rsidR="00375B9D" w:rsidRPr="00375B9D" w14:paraId="0D7CA682"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270A8E25" w14:textId="77777777" w:rsidR="00375B9D" w:rsidRPr="00375B9D" w:rsidRDefault="00375B9D" w:rsidP="007E1D6B">
            <w:pPr>
              <w:spacing w:after="120"/>
              <w:rPr>
                <w:noProof/>
                <w:lang w:eastAsia="en-AU"/>
              </w:rPr>
            </w:pPr>
            <w:r w:rsidRPr="00375B9D">
              <w:rPr>
                <w:noProof/>
                <w:lang w:eastAsia="en-AU"/>
              </w:rPr>
              <w:t>Consultant’s fees</w:t>
            </w:r>
          </w:p>
        </w:tc>
        <w:tc>
          <w:tcPr>
            <w:tcW w:w="6662" w:type="dxa"/>
            <w:vAlign w:val="top"/>
          </w:tcPr>
          <w:p w14:paraId="5AFBEB3F"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Will be taxable if the payment is classified as a taxable relevant contract</w:t>
            </w:r>
            <w:r w:rsidR="00A73CE7">
              <w:rPr>
                <w:noProof/>
                <w:lang w:eastAsia="en-AU"/>
              </w:rPr>
              <w:t>,</w:t>
            </w:r>
            <w:r w:rsidRPr="00375B9D">
              <w:rPr>
                <w:noProof/>
                <w:lang w:eastAsia="en-AU"/>
              </w:rPr>
              <w:t xml:space="preserve"> otherwise exempt.</w:t>
            </w:r>
          </w:p>
        </w:tc>
      </w:tr>
      <w:tr w:rsidR="00375B9D" w:rsidRPr="00375B9D" w14:paraId="0CB26385"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020C7BCF" w14:textId="77777777" w:rsidR="00375B9D" w:rsidRPr="00375B9D" w:rsidRDefault="00375B9D" w:rsidP="007E1D6B">
            <w:pPr>
              <w:spacing w:after="120"/>
              <w:rPr>
                <w:noProof/>
                <w:lang w:eastAsia="en-AU"/>
              </w:rPr>
            </w:pPr>
            <w:r w:rsidRPr="00375B9D">
              <w:rPr>
                <w:noProof/>
                <w:lang w:eastAsia="en-AU"/>
              </w:rPr>
              <w:t>Contractor payments</w:t>
            </w:r>
          </w:p>
        </w:tc>
        <w:tc>
          <w:tcPr>
            <w:tcW w:w="6662" w:type="dxa"/>
            <w:vAlign w:val="top"/>
          </w:tcPr>
          <w:p w14:paraId="33F6589E"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 if a ‘taxable relevant contract’, less GST and contractor deduction.</w:t>
            </w:r>
          </w:p>
        </w:tc>
      </w:tr>
      <w:tr w:rsidR="00375B9D" w:rsidRPr="00375B9D" w14:paraId="3E7D7134"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32A09FB0" w14:textId="77777777" w:rsidR="00375B9D" w:rsidRPr="00375B9D" w:rsidRDefault="00375B9D" w:rsidP="007E1D6B">
            <w:pPr>
              <w:spacing w:after="120"/>
              <w:rPr>
                <w:noProof/>
                <w:lang w:eastAsia="en-AU"/>
              </w:rPr>
            </w:pPr>
            <w:r w:rsidRPr="00375B9D">
              <w:rPr>
                <w:noProof/>
                <w:lang w:eastAsia="en-AU"/>
              </w:rPr>
              <w:t>Credit cards provided to employees and directors</w:t>
            </w:r>
          </w:p>
        </w:tc>
        <w:tc>
          <w:tcPr>
            <w:tcW w:w="6662" w:type="dxa"/>
            <w:vAlign w:val="top"/>
          </w:tcPr>
          <w:p w14:paraId="571AE985"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 to the extent that it is taxable as a fringe benefit (grossed up by the Type 2 rate).</w:t>
            </w:r>
          </w:p>
        </w:tc>
      </w:tr>
      <w:tr w:rsidR="00375B9D" w:rsidRPr="00375B9D" w14:paraId="15F88869"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6D6CA238" w14:textId="77777777" w:rsidR="00375B9D" w:rsidRPr="00375B9D" w:rsidRDefault="00375B9D" w:rsidP="007E1D6B">
            <w:pPr>
              <w:spacing w:after="120"/>
              <w:rPr>
                <w:noProof/>
                <w:lang w:eastAsia="en-AU"/>
              </w:rPr>
            </w:pPr>
            <w:r w:rsidRPr="00375B9D">
              <w:rPr>
                <w:noProof/>
                <w:lang w:eastAsia="en-AU"/>
              </w:rPr>
              <w:lastRenderedPageBreak/>
              <w:t>Debt waiver</w:t>
            </w:r>
          </w:p>
        </w:tc>
        <w:tc>
          <w:tcPr>
            <w:tcW w:w="6662" w:type="dxa"/>
            <w:vAlign w:val="top"/>
          </w:tcPr>
          <w:p w14:paraId="7B981F5F"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 as a fringe benefit (grossed up by the Type 2 rate).</w:t>
            </w:r>
          </w:p>
        </w:tc>
      </w:tr>
      <w:tr w:rsidR="00375B9D" w:rsidRPr="00375B9D" w14:paraId="2C7E73BD"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7A95D239" w14:textId="77777777" w:rsidR="00375B9D" w:rsidRPr="00375B9D" w:rsidRDefault="00375B9D" w:rsidP="007E1D6B">
            <w:pPr>
              <w:spacing w:after="120"/>
              <w:rPr>
                <w:noProof/>
                <w:lang w:eastAsia="en-AU"/>
              </w:rPr>
            </w:pPr>
            <w:r w:rsidRPr="00375B9D">
              <w:rPr>
                <w:noProof/>
                <w:lang w:eastAsia="en-AU"/>
              </w:rPr>
              <w:t>Defence force leave paid by employer</w:t>
            </w:r>
          </w:p>
        </w:tc>
        <w:tc>
          <w:tcPr>
            <w:tcW w:w="6662" w:type="dxa"/>
            <w:vAlign w:val="top"/>
          </w:tcPr>
          <w:p w14:paraId="60AEC9BE"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Leave paid by the employer for members of the defence force reserves to participate in official reserves training is exempt from payroll tax.</w:t>
            </w:r>
          </w:p>
        </w:tc>
      </w:tr>
      <w:tr w:rsidR="00375B9D" w:rsidRPr="00375B9D" w14:paraId="7B552658"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0A2ADADA" w14:textId="77777777" w:rsidR="00375B9D" w:rsidRPr="00375B9D" w:rsidRDefault="00375B9D" w:rsidP="007E1D6B">
            <w:pPr>
              <w:spacing w:after="120"/>
              <w:rPr>
                <w:noProof/>
                <w:lang w:eastAsia="en-AU"/>
              </w:rPr>
            </w:pPr>
            <w:r w:rsidRPr="00375B9D">
              <w:rPr>
                <w:noProof/>
                <w:lang w:eastAsia="en-AU"/>
              </w:rPr>
              <w:t>Director’s benefits (such as a company car for use by the director and or family members)</w:t>
            </w:r>
          </w:p>
        </w:tc>
        <w:tc>
          <w:tcPr>
            <w:tcW w:w="6662" w:type="dxa"/>
            <w:vAlign w:val="top"/>
          </w:tcPr>
          <w:p w14:paraId="291A91B9"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 as a fringe benefit (grossed up by the Type 2 rate).</w:t>
            </w:r>
          </w:p>
        </w:tc>
      </w:tr>
      <w:tr w:rsidR="00375B9D" w:rsidRPr="00375B9D" w14:paraId="47884628"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0CACEA65" w14:textId="77777777" w:rsidR="00375B9D" w:rsidRPr="00375B9D" w:rsidRDefault="00375B9D" w:rsidP="007E1D6B">
            <w:pPr>
              <w:spacing w:after="120"/>
              <w:rPr>
                <w:noProof/>
                <w:lang w:eastAsia="en-AU"/>
              </w:rPr>
            </w:pPr>
            <w:r w:rsidRPr="00375B9D">
              <w:rPr>
                <w:noProof/>
                <w:lang w:eastAsia="en-AU"/>
              </w:rPr>
              <w:t>Director’s fees</w:t>
            </w:r>
          </w:p>
        </w:tc>
        <w:tc>
          <w:tcPr>
            <w:tcW w:w="6662" w:type="dxa"/>
            <w:vAlign w:val="top"/>
          </w:tcPr>
          <w:p w14:paraId="60A8D1DF"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 (whether or not working in the business).</w:t>
            </w:r>
          </w:p>
        </w:tc>
      </w:tr>
      <w:tr w:rsidR="00375B9D" w:rsidRPr="00375B9D" w14:paraId="6F3F6BCE"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51F846D2" w14:textId="77777777" w:rsidR="00375B9D" w:rsidRPr="00375B9D" w:rsidRDefault="00375B9D" w:rsidP="007E1D6B">
            <w:pPr>
              <w:spacing w:after="120"/>
              <w:rPr>
                <w:noProof/>
                <w:lang w:eastAsia="en-AU"/>
              </w:rPr>
            </w:pPr>
            <w:r w:rsidRPr="00375B9D">
              <w:rPr>
                <w:noProof/>
                <w:lang w:eastAsia="en-AU"/>
              </w:rPr>
              <w:t xml:space="preserve">Director’s wages, superannuation, etc. </w:t>
            </w:r>
          </w:p>
        </w:tc>
        <w:tc>
          <w:tcPr>
            <w:tcW w:w="6662" w:type="dxa"/>
            <w:vAlign w:val="top"/>
          </w:tcPr>
          <w:p w14:paraId="3CC1BB68"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w:t>
            </w:r>
          </w:p>
        </w:tc>
      </w:tr>
      <w:tr w:rsidR="00375B9D" w:rsidRPr="00375B9D" w14:paraId="39E03036"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6F17B4AB" w14:textId="77777777" w:rsidR="00375B9D" w:rsidRPr="00375B9D" w:rsidRDefault="00375B9D" w:rsidP="007E1D6B">
            <w:pPr>
              <w:spacing w:after="120"/>
              <w:rPr>
                <w:noProof/>
                <w:lang w:eastAsia="en-AU"/>
              </w:rPr>
            </w:pPr>
            <w:r w:rsidRPr="00375B9D">
              <w:rPr>
                <w:noProof/>
                <w:lang w:eastAsia="en-AU"/>
              </w:rPr>
              <w:t>Dirt allowance</w:t>
            </w:r>
          </w:p>
        </w:tc>
        <w:tc>
          <w:tcPr>
            <w:tcW w:w="6662" w:type="dxa"/>
            <w:vAlign w:val="top"/>
          </w:tcPr>
          <w:p w14:paraId="7B7B079E"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w:t>
            </w:r>
          </w:p>
        </w:tc>
      </w:tr>
      <w:tr w:rsidR="00375B9D" w:rsidRPr="00375B9D" w14:paraId="7F97F9C9"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68A64C2D" w14:textId="77777777" w:rsidR="00375B9D" w:rsidRPr="00375B9D" w:rsidRDefault="00375B9D" w:rsidP="007E1D6B">
            <w:pPr>
              <w:spacing w:after="120"/>
              <w:rPr>
                <w:noProof/>
                <w:lang w:eastAsia="en-AU"/>
              </w:rPr>
            </w:pPr>
            <w:r w:rsidRPr="00375B9D">
              <w:rPr>
                <w:noProof/>
                <w:lang w:eastAsia="en-AU"/>
              </w:rPr>
              <w:t>Discounted sale of real estate to employees and directors (or to their family members, family partnerships, family trusts or family companies)</w:t>
            </w:r>
          </w:p>
        </w:tc>
        <w:tc>
          <w:tcPr>
            <w:tcW w:w="6662" w:type="dxa"/>
            <w:vAlign w:val="top"/>
          </w:tcPr>
          <w:p w14:paraId="4EC53BE7"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 as a fringe benefit (grossed up by the Type 2 rate).</w:t>
            </w:r>
          </w:p>
        </w:tc>
      </w:tr>
      <w:tr w:rsidR="00375B9D" w:rsidRPr="00375B9D" w14:paraId="1009E0E5"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0456914E" w14:textId="77777777" w:rsidR="00375B9D" w:rsidRPr="00375B9D" w:rsidRDefault="00375B9D" w:rsidP="007E1D6B">
            <w:pPr>
              <w:spacing w:after="120"/>
              <w:rPr>
                <w:noProof/>
                <w:lang w:eastAsia="en-AU"/>
              </w:rPr>
            </w:pPr>
            <w:r w:rsidRPr="00375B9D">
              <w:rPr>
                <w:noProof/>
                <w:lang w:eastAsia="en-AU"/>
              </w:rPr>
              <w:t>Discounted staff and director purchases (includes family members, family partnerships, family trusts or family companies)</w:t>
            </w:r>
          </w:p>
        </w:tc>
        <w:tc>
          <w:tcPr>
            <w:tcW w:w="6662" w:type="dxa"/>
            <w:vAlign w:val="top"/>
          </w:tcPr>
          <w:p w14:paraId="0811056D"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 as a fringe benefit (grossed up by the Type 2 rate).</w:t>
            </w:r>
          </w:p>
        </w:tc>
      </w:tr>
      <w:tr w:rsidR="00375B9D" w:rsidRPr="00375B9D" w14:paraId="2686D86D"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660570CE" w14:textId="77777777" w:rsidR="00375B9D" w:rsidRPr="00375B9D" w:rsidRDefault="00375B9D" w:rsidP="007E1D6B">
            <w:pPr>
              <w:spacing w:after="120"/>
              <w:rPr>
                <w:noProof/>
                <w:lang w:eastAsia="en-AU"/>
              </w:rPr>
            </w:pPr>
            <w:r w:rsidRPr="00375B9D">
              <w:rPr>
                <w:noProof/>
                <w:lang w:eastAsia="en-AU"/>
              </w:rPr>
              <w:t xml:space="preserve">Emergency and volunteer worker wages (working under the </w:t>
            </w:r>
            <w:r w:rsidRPr="00375B9D">
              <w:rPr>
                <w:i/>
                <w:noProof/>
                <w:lang w:eastAsia="en-AU"/>
              </w:rPr>
              <w:t xml:space="preserve">Disasters Act </w:t>
            </w:r>
            <w:r w:rsidRPr="00375B9D">
              <w:rPr>
                <w:noProof/>
                <w:lang w:eastAsia="en-AU"/>
              </w:rPr>
              <w:t xml:space="preserve">or </w:t>
            </w:r>
            <w:r w:rsidRPr="00375B9D">
              <w:rPr>
                <w:i/>
                <w:noProof/>
                <w:lang w:eastAsia="en-AU"/>
              </w:rPr>
              <w:t>Fire and Emergency Act</w:t>
            </w:r>
            <w:r w:rsidRPr="00375B9D">
              <w:rPr>
                <w:noProof/>
                <w:lang w:eastAsia="en-AU"/>
              </w:rPr>
              <w:t>)</w:t>
            </w:r>
          </w:p>
        </w:tc>
        <w:tc>
          <w:tcPr>
            <w:tcW w:w="6662" w:type="dxa"/>
            <w:vAlign w:val="top"/>
          </w:tcPr>
          <w:p w14:paraId="79C570D7"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Exempt (provided that the leave is funded by the employer as paid volunteer leave – if the worker uses their own annual/recreational/long service leave/flex time/RDOs the payments are not exempt).</w:t>
            </w:r>
          </w:p>
        </w:tc>
      </w:tr>
      <w:tr w:rsidR="00375B9D" w:rsidRPr="00375B9D" w14:paraId="5C7E7C0C"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1E298BDE" w14:textId="77777777" w:rsidR="00375B9D" w:rsidRPr="00375B9D" w:rsidRDefault="00375B9D" w:rsidP="007E1D6B">
            <w:pPr>
              <w:spacing w:after="120"/>
              <w:rPr>
                <w:noProof/>
                <w:lang w:eastAsia="en-AU"/>
              </w:rPr>
            </w:pPr>
            <w:r w:rsidRPr="00375B9D">
              <w:rPr>
                <w:noProof/>
                <w:lang w:eastAsia="en-AU"/>
              </w:rPr>
              <w:t>Entertainment allowance</w:t>
            </w:r>
          </w:p>
        </w:tc>
        <w:tc>
          <w:tcPr>
            <w:tcW w:w="6662" w:type="dxa"/>
            <w:vAlign w:val="top"/>
          </w:tcPr>
          <w:p w14:paraId="3AE774F4"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w:t>
            </w:r>
          </w:p>
        </w:tc>
      </w:tr>
      <w:tr w:rsidR="00375B9D" w:rsidRPr="00375B9D" w14:paraId="0C020A33"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7B69B62B" w14:textId="77777777" w:rsidR="00375B9D" w:rsidRPr="00375B9D" w:rsidRDefault="00375B9D" w:rsidP="007E1D6B">
            <w:pPr>
              <w:spacing w:after="120"/>
              <w:rPr>
                <w:noProof/>
                <w:lang w:eastAsia="en-AU"/>
              </w:rPr>
            </w:pPr>
            <w:r w:rsidRPr="00375B9D">
              <w:rPr>
                <w:noProof/>
                <w:lang w:eastAsia="en-AU"/>
              </w:rPr>
              <w:t>Fixed price contract (for services provided by a contractor)</w:t>
            </w:r>
          </w:p>
        </w:tc>
        <w:tc>
          <w:tcPr>
            <w:tcW w:w="6662" w:type="dxa"/>
            <w:vAlign w:val="top"/>
          </w:tcPr>
          <w:p w14:paraId="217E7959"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May be taxable as a relevant contract in specific circumstances.</w:t>
            </w:r>
          </w:p>
        </w:tc>
      </w:tr>
      <w:tr w:rsidR="00375B9D" w:rsidRPr="00375B9D" w14:paraId="4F358C77"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454E0937" w14:textId="77777777" w:rsidR="00375B9D" w:rsidRPr="00375B9D" w:rsidRDefault="00375B9D" w:rsidP="007E1D6B">
            <w:pPr>
              <w:spacing w:after="120"/>
              <w:rPr>
                <w:noProof/>
                <w:lang w:eastAsia="en-AU"/>
              </w:rPr>
            </w:pPr>
            <w:r w:rsidRPr="00375B9D">
              <w:rPr>
                <w:noProof/>
                <w:lang w:eastAsia="en-AU"/>
              </w:rPr>
              <w:t>Footwear allowance</w:t>
            </w:r>
          </w:p>
        </w:tc>
        <w:tc>
          <w:tcPr>
            <w:tcW w:w="6662" w:type="dxa"/>
            <w:vAlign w:val="top"/>
          </w:tcPr>
          <w:p w14:paraId="5DC44FC8"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w:t>
            </w:r>
          </w:p>
        </w:tc>
      </w:tr>
      <w:tr w:rsidR="00375B9D" w:rsidRPr="00375B9D" w14:paraId="60EA31F0"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545A7EC8" w14:textId="77777777" w:rsidR="00375B9D" w:rsidRPr="00375B9D" w:rsidRDefault="00375B9D" w:rsidP="007E1D6B">
            <w:pPr>
              <w:spacing w:after="120"/>
              <w:rPr>
                <w:noProof/>
                <w:lang w:eastAsia="en-AU"/>
              </w:rPr>
            </w:pPr>
            <w:r w:rsidRPr="00375B9D">
              <w:rPr>
                <w:noProof/>
                <w:lang w:eastAsia="en-AU"/>
              </w:rPr>
              <w:t>Golden goodbye/golden handshake at termination, retirement or resignation</w:t>
            </w:r>
          </w:p>
        </w:tc>
        <w:tc>
          <w:tcPr>
            <w:tcW w:w="6662" w:type="dxa"/>
            <w:vAlign w:val="top"/>
          </w:tcPr>
          <w:p w14:paraId="2EBE986C"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 at face value if paid in cash, taxable as a fringe benefit if paid otherwise, grossed up by the Type 2 rate.</w:t>
            </w:r>
          </w:p>
        </w:tc>
      </w:tr>
      <w:tr w:rsidR="00375B9D" w:rsidRPr="00375B9D" w14:paraId="2A091004"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138AA1B3" w14:textId="77777777" w:rsidR="00375B9D" w:rsidRPr="00375B9D" w:rsidRDefault="00375B9D" w:rsidP="007E1D6B">
            <w:pPr>
              <w:spacing w:after="120"/>
              <w:rPr>
                <w:noProof/>
                <w:lang w:eastAsia="en-AU"/>
              </w:rPr>
            </w:pPr>
            <w:r w:rsidRPr="00375B9D">
              <w:rPr>
                <w:noProof/>
                <w:lang w:eastAsia="en-AU"/>
              </w:rPr>
              <w:t>Golden hello (pre-employment incentive such as paid family holiday)</w:t>
            </w:r>
          </w:p>
        </w:tc>
        <w:tc>
          <w:tcPr>
            <w:tcW w:w="6662" w:type="dxa"/>
            <w:vAlign w:val="top"/>
          </w:tcPr>
          <w:p w14:paraId="486A1DE1"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 as a fringe benefit (grossed up by the Type 2 rate).</w:t>
            </w:r>
          </w:p>
        </w:tc>
      </w:tr>
      <w:tr w:rsidR="00375B9D" w:rsidRPr="00375B9D" w14:paraId="4C1233E6"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38B823AC" w14:textId="77777777" w:rsidR="00375B9D" w:rsidRPr="00375B9D" w:rsidRDefault="00375B9D" w:rsidP="007E1D6B">
            <w:pPr>
              <w:spacing w:after="120"/>
              <w:rPr>
                <w:noProof/>
                <w:lang w:eastAsia="en-AU"/>
              </w:rPr>
            </w:pPr>
            <w:r w:rsidRPr="00375B9D">
              <w:rPr>
                <w:noProof/>
                <w:lang w:eastAsia="en-AU"/>
              </w:rPr>
              <w:t>GST</w:t>
            </w:r>
          </w:p>
        </w:tc>
        <w:tc>
          <w:tcPr>
            <w:tcW w:w="6662" w:type="dxa"/>
            <w:vAlign w:val="top"/>
          </w:tcPr>
          <w:p w14:paraId="0B3D5C7F"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The GST component of a payment under a taxable relevant contract is not taxable, unless the worker claimed GST when not registered, in which case the GST is treated as taxable wages.</w:t>
            </w:r>
          </w:p>
        </w:tc>
      </w:tr>
      <w:tr w:rsidR="00375B9D" w:rsidRPr="00375B9D" w14:paraId="20C50AFF"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715DEE7F" w14:textId="77777777" w:rsidR="00375B9D" w:rsidRPr="00375B9D" w:rsidRDefault="00375B9D" w:rsidP="007E1D6B">
            <w:pPr>
              <w:spacing w:after="120"/>
              <w:rPr>
                <w:noProof/>
                <w:lang w:eastAsia="en-AU"/>
              </w:rPr>
            </w:pPr>
            <w:r w:rsidRPr="00375B9D">
              <w:rPr>
                <w:noProof/>
                <w:lang w:eastAsia="en-AU"/>
              </w:rPr>
              <w:t>Gym membership paid by employer</w:t>
            </w:r>
          </w:p>
        </w:tc>
        <w:tc>
          <w:tcPr>
            <w:tcW w:w="6662" w:type="dxa"/>
            <w:vAlign w:val="top"/>
          </w:tcPr>
          <w:p w14:paraId="3B936636"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 as a fringe benefit (grossed up by the Type 2 rate).</w:t>
            </w:r>
          </w:p>
        </w:tc>
      </w:tr>
      <w:tr w:rsidR="00375B9D" w:rsidRPr="00375B9D" w14:paraId="66F0E01C"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4243A942" w14:textId="77777777" w:rsidR="00375B9D" w:rsidRPr="00375B9D" w:rsidRDefault="00375B9D" w:rsidP="007E1D6B">
            <w:pPr>
              <w:spacing w:after="120"/>
              <w:rPr>
                <w:noProof/>
                <w:lang w:eastAsia="en-AU"/>
              </w:rPr>
            </w:pPr>
            <w:r w:rsidRPr="00375B9D">
              <w:rPr>
                <w:noProof/>
                <w:lang w:eastAsia="en-AU"/>
              </w:rPr>
              <w:lastRenderedPageBreak/>
              <w:t>Higher duties allowance</w:t>
            </w:r>
          </w:p>
        </w:tc>
        <w:tc>
          <w:tcPr>
            <w:tcW w:w="6662" w:type="dxa"/>
            <w:vAlign w:val="top"/>
          </w:tcPr>
          <w:p w14:paraId="38C133E6"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w:t>
            </w:r>
          </w:p>
        </w:tc>
      </w:tr>
      <w:tr w:rsidR="00375B9D" w:rsidRPr="00375B9D" w14:paraId="6CE3A275"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41D27F0B" w14:textId="77777777" w:rsidR="00375B9D" w:rsidRPr="00375B9D" w:rsidRDefault="00375B9D" w:rsidP="007E1D6B">
            <w:pPr>
              <w:spacing w:after="120"/>
              <w:rPr>
                <w:noProof/>
                <w:lang w:eastAsia="en-AU"/>
              </w:rPr>
            </w:pPr>
            <w:r w:rsidRPr="00375B9D">
              <w:rPr>
                <w:noProof/>
                <w:lang w:eastAsia="en-AU"/>
              </w:rPr>
              <w:t>Holiday pay (including that paid at termination)</w:t>
            </w:r>
          </w:p>
        </w:tc>
        <w:tc>
          <w:tcPr>
            <w:tcW w:w="6662" w:type="dxa"/>
            <w:vAlign w:val="top"/>
          </w:tcPr>
          <w:p w14:paraId="43609FEA"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w:t>
            </w:r>
          </w:p>
        </w:tc>
      </w:tr>
      <w:tr w:rsidR="00375B9D" w:rsidRPr="00375B9D" w14:paraId="570249D5"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73DC4329" w14:textId="77777777" w:rsidR="00375B9D" w:rsidRPr="00375B9D" w:rsidRDefault="00375B9D" w:rsidP="007E1D6B">
            <w:pPr>
              <w:spacing w:after="120"/>
              <w:rPr>
                <w:noProof/>
                <w:lang w:eastAsia="en-AU"/>
              </w:rPr>
            </w:pPr>
            <w:r w:rsidRPr="00375B9D">
              <w:rPr>
                <w:noProof/>
                <w:lang w:eastAsia="en-AU"/>
              </w:rPr>
              <w:t>Home garaging (of work car)</w:t>
            </w:r>
          </w:p>
        </w:tc>
        <w:tc>
          <w:tcPr>
            <w:tcW w:w="6662" w:type="dxa"/>
            <w:vAlign w:val="top"/>
          </w:tcPr>
          <w:p w14:paraId="64096205"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 as a fringe benefit (grossed up by the Type 2 rate).</w:t>
            </w:r>
          </w:p>
        </w:tc>
      </w:tr>
      <w:tr w:rsidR="00375B9D" w:rsidRPr="00375B9D" w14:paraId="054839E7"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0DD75F6D" w14:textId="77777777" w:rsidR="00375B9D" w:rsidRPr="00375B9D" w:rsidRDefault="00375B9D" w:rsidP="007E1D6B">
            <w:pPr>
              <w:spacing w:after="120"/>
              <w:rPr>
                <w:noProof/>
                <w:lang w:eastAsia="en-AU"/>
              </w:rPr>
            </w:pPr>
            <w:r w:rsidRPr="00375B9D">
              <w:rPr>
                <w:noProof/>
                <w:lang w:eastAsia="en-AU"/>
              </w:rPr>
              <w:t>Home loan subsidy (for example, employer pays all or part of home loan interest)</w:t>
            </w:r>
          </w:p>
        </w:tc>
        <w:tc>
          <w:tcPr>
            <w:tcW w:w="6662" w:type="dxa"/>
            <w:vAlign w:val="top"/>
          </w:tcPr>
          <w:p w14:paraId="1A74936B"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 as a fringe benefit (grossed up by the Type 2 rate).</w:t>
            </w:r>
          </w:p>
        </w:tc>
      </w:tr>
      <w:tr w:rsidR="00375B9D" w:rsidRPr="00375B9D" w14:paraId="7B48C15E"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3EE21814" w14:textId="77777777" w:rsidR="00375B9D" w:rsidRPr="00375B9D" w:rsidRDefault="00375B9D" w:rsidP="007E1D6B">
            <w:pPr>
              <w:spacing w:after="120"/>
              <w:rPr>
                <w:noProof/>
                <w:lang w:eastAsia="en-AU"/>
              </w:rPr>
            </w:pPr>
            <w:r w:rsidRPr="00375B9D">
              <w:rPr>
                <w:noProof/>
                <w:lang w:eastAsia="en-AU"/>
              </w:rPr>
              <w:t>Housing provided by (or subsidised by) employer</w:t>
            </w:r>
          </w:p>
        </w:tc>
        <w:tc>
          <w:tcPr>
            <w:tcW w:w="6662" w:type="dxa"/>
            <w:vAlign w:val="top"/>
          </w:tcPr>
          <w:p w14:paraId="02C283D9"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 to the extent taxable as a fringe benefit (grossed up by the Type 2 rate).</w:t>
            </w:r>
          </w:p>
        </w:tc>
      </w:tr>
      <w:tr w:rsidR="00375B9D" w:rsidRPr="00375B9D" w14:paraId="50AF1298"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312F336E" w14:textId="77777777" w:rsidR="00375B9D" w:rsidRPr="00375B9D" w:rsidRDefault="00375B9D" w:rsidP="007E1D6B">
            <w:pPr>
              <w:spacing w:after="120"/>
              <w:rPr>
                <w:noProof/>
                <w:lang w:eastAsia="en-AU"/>
              </w:rPr>
            </w:pPr>
            <w:r w:rsidRPr="00375B9D">
              <w:rPr>
                <w:noProof/>
                <w:lang w:eastAsia="en-AU"/>
              </w:rPr>
              <w:t>In-house meals for employees</w:t>
            </w:r>
          </w:p>
        </w:tc>
        <w:tc>
          <w:tcPr>
            <w:tcW w:w="6662" w:type="dxa"/>
            <w:vAlign w:val="top"/>
          </w:tcPr>
          <w:p w14:paraId="7AD4CC50"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 only to the extent taxable as a fringe benefit (grossed up by the Type 2 rate).</w:t>
            </w:r>
          </w:p>
        </w:tc>
      </w:tr>
      <w:tr w:rsidR="00375B9D" w:rsidRPr="00375B9D" w14:paraId="6F66CBA9"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67694308" w14:textId="77777777" w:rsidR="00375B9D" w:rsidRPr="00375B9D" w:rsidRDefault="00375B9D" w:rsidP="007E1D6B">
            <w:pPr>
              <w:spacing w:after="120"/>
              <w:rPr>
                <w:noProof/>
                <w:lang w:eastAsia="en-AU"/>
              </w:rPr>
            </w:pPr>
            <w:r w:rsidRPr="00375B9D">
              <w:rPr>
                <w:noProof/>
                <w:lang w:eastAsia="en-AU"/>
              </w:rPr>
              <w:t>Labour hire – inwards (i.e. your business hires an employee from a labour hire firm)</w:t>
            </w:r>
          </w:p>
        </w:tc>
        <w:tc>
          <w:tcPr>
            <w:tcW w:w="6662" w:type="dxa"/>
            <w:vAlign w:val="top"/>
          </w:tcPr>
          <w:p w14:paraId="4C3D86BD"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Payroll tax is generally payable by the labour hire firm.</w:t>
            </w:r>
          </w:p>
        </w:tc>
      </w:tr>
      <w:tr w:rsidR="00375B9D" w:rsidRPr="00375B9D" w14:paraId="685D77F3"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55A00BC7" w14:textId="77777777" w:rsidR="00375B9D" w:rsidRPr="00375B9D" w:rsidRDefault="00375B9D" w:rsidP="007E1D6B">
            <w:pPr>
              <w:spacing w:after="120"/>
              <w:rPr>
                <w:noProof/>
                <w:lang w:eastAsia="en-AU"/>
              </w:rPr>
            </w:pPr>
            <w:r w:rsidRPr="00375B9D">
              <w:rPr>
                <w:noProof/>
                <w:lang w:eastAsia="en-AU"/>
              </w:rPr>
              <w:t xml:space="preserve">Labour hire </w:t>
            </w:r>
            <w:r w:rsidR="00D26C82" w:rsidRPr="00375B9D">
              <w:rPr>
                <w:noProof/>
                <w:lang w:eastAsia="en-AU"/>
              </w:rPr>
              <w:t>–</w:t>
            </w:r>
            <w:r w:rsidR="00D26C82">
              <w:rPr>
                <w:noProof/>
                <w:lang w:eastAsia="en-AU"/>
              </w:rPr>
              <w:t xml:space="preserve"> </w:t>
            </w:r>
            <w:r w:rsidRPr="00375B9D">
              <w:rPr>
                <w:noProof/>
                <w:lang w:eastAsia="en-AU"/>
              </w:rPr>
              <w:t>outwards (i.e. your business hires a worker to another business but continues to pay the worker)</w:t>
            </w:r>
          </w:p>
        </w:tc>
        <w:tc>
          <w:tcPr>
            <w:tcW w:w="6662" w:type="dxa"/>
            <w:vAlign w:val="top"/>
          </w:tcPr>
          <w:p w14:paraId="77F0B505"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Your business pays the payroll tax.</w:t>
            </w:r>
          </w:p>
        </w:tc>
      </w:tr>
      <w:tr w:rsidR="00375B9D" w:rsidRPr="00375B9D" w14:paraId="4D6693F2"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64CF9E49" w14:textId="77777777" w:rsidR="00375B9D" w:rsidRPr="00375B9D" w:rsidRDefault="00375B9D" w:rsidP="007E1D6B">
            <w:pPr>
              <w:spacing w:after="120"/>
              <w:rPr>
                <w:noProof/>
                <w:lang w:eastAsia="en-AU"/>
              </w:rPr>
            </w:pPr>
            <w:r w:rsidRPr="00375B9D">
              <w:rPr>
                <w:noProof/>
                <w:lang w:eastAsia="en-AU"/>
              </w:rPr>
              <w:t>Leave loading</w:t>
            </w:r>
          </w:p>
        </w:tc>
        <w:tc>
          <w:tcPr>
            <w:tcW w:w="6662" w:type="dxa"/>
            <w:vAlign w:val="top"/>
          </w:tcPr>
          <w:p w14:paraId="0BF83DC6"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w:t>
            </w:r>
          </w:p>
        </w:tc>
      </w:tr>
      <w:tr w:rsidR="00375B9D" w:rsidRPr="00375B9D" w14:paraId="3D5F64EF"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73467B89" w14:textId="77777777" w:rsidR="00375B9D" w:rsidRPr="00375B9D" w:rsidRDefault="00375B9D" w:rsidP="007E1D6B">
            <w:pPr>
              <w:spacing w:after="120"/>
              <w:rPr>
                <w:noProof/>
                <w:lang w:eastAsia="en-AU"/>
              </w:rPr>
            </w:pPr>
            <w:r w:rsidRPr="00375B9D">
              <w:rPr>
                <w:noProof/>
                <w:lang w:eastAsia="en-AU"/>
              </w:rPr>
              <w:t xml:space="preserve">Living </w:t>
            </w:r>
            <w:r w:rsidR="00D26C82" w:rsidRPr="00375B9D">
              <w:rPr>
                <w:noProof/>
                <w:lang w:eastAsia="en-AU"/>
              </w:rPr>
              <w:t>away from home allowance</w:t>
            </w:r>
          </w:p>
        </w:tc>
        <w:tc>
          <w:tcPr>
            <w:tcW w:w="6662" w:type="dxa"/>
            <w:vAlign w:val="top"/>
          </w:tcPr>
          <w:p w14:paraId="71FE21B1"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 as a fringe benefit (grossed up by the Type 2 rate).</w:t>
            </w:r>
          </w:p>
        </w:tc>
      </w:tr>
      <w:tr w:rsidR="00375B9D" w:rsidRPr="00375B9D" w14:paraId="43C12C48"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0FAFF261" w14:textId="77777777" w:rsidR="00375B9D" w:rsidRPr="00375B9D" w:rsidRDefault="00375B9D" w:rsidP="007E1D6B">
            <w:pPr>
              <w:spacing w:after="120"/>
              <w:rPr>
                <w:noProof/>
                <w:lang w:eastAsia="en-AU"/>
              </w:rPr>
            </w:pPr>
            <w:r w:rsidRPr="00375B9D">
              <w:rPr>
                <w:noProof/>
                <w:lang w:eastAsia="en-AU"/>
              </w:rPr>
              <w:t>Loan – discounted interest rate</w:t>
            </w:r>
          </w:p>
        </w:tc>
        <w:tc>
          <w:tcPr>
            <w:tcW w:w="6662" w:type="dxa"/>
            <w:vAlign w:val="top"/>
          </w:tcPr>
          <w:p w14:paraId="6BF226A3"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The value of interest foregone may be a fringe benefit, grossed up by the Type 2 rate (compare actual interest with the benchmark rate set annually by the ATO).</w:t>
            </w:r>
          </w:p>
        </w:tc>
      </w:tr>
      <w:tr w:rsidR="00375B9D" w:rsidRPr="00375B9D" w14:paraId="709F1D9F"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64CCA3BD" w14:textId="77777777" w:rsidR="00375B9D" w:rsidRPr="00375B9D" w:rsidRDefault="00375B9D" w:rsidP="007E1D6B">
            <w:pPr>
              <w:spacing w:after="120"/>
              <w:rPr>
                <w:noProof/>
                <w:lang w:eastAsia="en-AU"/>
              </w:rPr>
            </w:pPr>
            <w:r w:rsidRPr="00375B9D">
              <w:rPr>
                <w:noProof/>
                <w:lang w:eastAsia="en-AU"/>
              </w:rPr>
              <w:t>Loan – interest free</w:t>
            </w:r>
          </w:p>
        </w:tc>
        <w:tc>
          <w:tcPr>
            <w:tcW w:w="6662" w:type="dxa"/>
            <w:vAlign w:val="top"/>
          </w:tcPr>
          <w:p w14:paraId="19B284D8"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The value of interest foregone may be a fringe benefit, grossed up by the Type 2 rate (compare actual interest with the benchmark rate set annually by the ATO).</w:t>
            </w:r>
          </w:p>
        </w:tc>
      </w:tr>
      <w:tr w:rsidR="00375B9D" w:rsidRPr="00375B9D" w14:paraId="169C2925"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23403DB9" w14:textId="77777777" w:rsidR="00375B9D" w:rsidRPr="00375B9D" w:rsidRDefault="00375B9D" w:rsidP="007E1D6B">
            <w:pPr>
              <w:spacing w:after="120"/>
              <w:rPr>
                <w:noProof/>
                <w:lang w:eastAsia="en-AU"/>
              </w:rPr>
            </w:pPr>
            <w:r w:rsidRPr="00375B9D">
              <w:rPr>
                <w:noProof/>
                <w:lang w:eastAsia="en-AU"/>
              </w:rPr>
              <w:t>Long service leave pay (including that paid at termination)</w:t>
            </w:r>
          </w:p>
        </w:tc>
        <w:tc>
          <w:tcPr>
            <w:tcW w:w="6662" w:type="dxa"/>
            <w:vAlign w:val="top"/>
          </w:tcPr>
          <w:p w14:paraId="728C977A"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w:t>
            </w:r>
          </w:p>
        </w:tc>
      </w:tr>
      <w:tr w:rsidR="00375B9D" w:rsidRPr="00375B9D" w14:paraId="2654F05C"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7FE333CC" w14:textId="77777777" w:rsidR="00375B9D" w:rsidRPr="00375B9D" w:rsidRDefault="00375B9D" w:rsidP="007E1D6B">
            <w:pPr>
              <w:spacing w:after="120"/>
              <w:rPr>
                <w:noProof/>
                <w:lang w:eastAsia="en-AU"/>
              </w:rPr>
            </w:pPr>
            <w:r w:rsidRPr="00375B9D">
              <w:rPr>
                <w:noProof/>
                <w:lang w:eastAsia="en-AU"/>
              </w:rPr>
              <w:t>Make-up pay (workers’ compensation)</w:t>
            </w:r>
          </w:p>
        </w:tc>
        <w:tc>
          <w:tcPr>
            <w:tcW w:w="6662" w:type="dxa"/>
            <w:vAlign w:val="top"/>
          </w:tcPr>
          <w:p w14:paraId="4A4724A0"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w:t>
            </w:r>
          </w:p>
        </w:tc>
      </w:tr>
      <w:tr w:rsidR="00375B9D" w:rsidRPr="00375B9D" w14:paraId="2106D223"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2395B1EB" w14:textId="77777777" w:rsidR="00375B9D" w:rsidRPr="00375B9D" w:rsidRDefault="00375B9D" w:rsidP="007E1D6B">
            <w:pPr>
              <w:spacing w:after="120"/>
              <w:rPr>
                <w:noProof/>
                <w:lang w:eastAsia="en-AU"/>
              </w:rPr>
            </w:pPr>
            <w:r w:rsidRPr="00375B9D">
              <w:rPr>
                <w:noProof/>
                <w:lang w:eastAsia="en-AU"/>
              </w:rPr>
              <w:t>Management fees</w:t>
            </w:r>
          </w:p>
        </w:tc>
        <w:tc>
          <w:tcPr>
            <w:tcW w:w="6662" w:type="dxa"/>
            <w:vAlign w:val="top"/>
          </w:tcPr>
          <w:p w14:paraId="40D75C90"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 in some circumstances – if the work was performed by a director or employee and payment was made to that individual or a business associated with that individual, the payment may be taxable.</w:t>
            </w:r>
          </w:p>
        </w:tc>
      </w:tr>
      <w:tr w:rsidR="00375B9D" w:rsidRPr="00375B9D" w14:paraId="16FD70AB"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1DB849AE" w14:textId="77777777" w:rsidR="00375B9D" w:rsidRPr="00375B9D" w:rsidRDefault="00375B9D" w:rsidP="007E1D6B">
            <w:pPr>
              <w:spacing w:after="120"/>
              <w:rPr>
                <w:noProof/>
                <w:lang w:eastAsia="en-AU"/>
              </w:rPr>
            </w:pPr>
            <w:r w:rsidRPr="00375B9D">
              <w:rPr>
                <w:noProof/>
                <w:lang w:eastAsia="en-AU"/>
              </w:rPr>
              <w:t>Maternity leave pay (where paid by employer)</w:t>
            </w:r>
          </w:p>
        </w:tc>
        <w:tc>
          <w:tcPr>
            <w:tcW w:w="6662" w:type="dxa"/>
            <w:vAlign w:val="top"/>
          </w:tcPr>
          <w:p w14:paraId="41EF5E32"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Exempt (14 weeks maximum). Any other leave taken in conjunction (such as annual or long service) is not exempt.</w:t>
            </w:r>
          </w:p>
        </w:tc>
      </w:tr>
      <w:tr w:rsidR="00375B9D" w:rsidRPr="00375B9D" w14:paraId="6F54B586"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13D8150F" w14:textId="77777777" w:rsidR="00375B9D" w:rsidRPr="00375B9D" w:rsidRDefault="00375B9D" w:rsidP="007E1D6B">
            <w:pPr>
              <w:spacing w:after="120"/>
              <w:rPr>
                <w:noProof/>
                <w:lang w:eastAsia="en-AU"/>
              </w:rPr>
            </w:pPr>
            <w:r w:rsidRPr="00375B9D">
              <w:rPr>
                <w:noProof/>
                <w:lang w:eastAsia="en-AU"/>
              </w:rPr>
              <w:t>Meal allowance</w:t>
            </w:r>
          </w:p>
        </w:tc>
        <w:tc>
          <w:tcPr>
            <w:tcW w:w="6662" w:type="dxa"/>
            <w:vAlign w:val="top"/>
          </w:tcPr>
          <w:p w14:paraId="63AC981E"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w:t>
            </w:r>
          </w:p>
        </w:tc>
      </w:tr>
      <w:tr w:rsidR="00375B9D" w:rsidRPr="00375B9D" w14:paraId="0F0F6AB9"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1FC4D4D6" w14:textId="77777777" w:rsidR="00375B9D" w:rsidRPr="00375B9D" w:rsidRDefault="00375B9D" w:rsidP="007E1D6B">
            <w:pPr>
              <w:spacing w:after="120"/>
              <w:rPr>
                <w:noProof/>
                <w:lang w:eastAsia="en-AU"/>
              </w:rPr>
            </w:pPr>
            <w:r w:rsidRPr="00375B9D">
              <w:rPr>
                <w:noProof/>
                <w:lang w:eastAsia="en-AU"/>
              </w:rPr>
              <w:lastRenderedPageBreak/>
              <w:t>Meals – in house for employees</w:t>
            </w:r>
          </w:p>
        </w:tc>
        <w:tc>
          <w:tcPr>
            <w:tcW w:w="6662" w:type="dxa"/>
            <w:vAlign w:val="top"/>
          </w:tcPr>
          <w:p w14:paraId="5D25D2A8"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 only to the extent taxable as a fringe benefit (grossed up by the Type 2 rate).</w:t>
            </w:r>
          </w:p>
        </w:tc>
      </w:tr>
      <w:tr w:rsidR="00375B9D" w:rsidRPr="00375B9D" w14:paraId="264D1DE9"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5D7E0011" w14:textId="77777777" w:rsidR="00375B9D" w:rsidRPr="00375B9D" w:rsidRDefault="00375B9D" w:rsidP="007E1D6B">
            <w:pPr>
              <w:spacing w:after="120"/>
              <w:rPr>
                <w:noProof/>
                <w:lang w:eastAsia="en-AU"/>
              </w:rPr>
            </w:pPr>
            <w:r w:rsidRPr="00375B9D">
              <w:rPr>
                <w:noProof/>
                <w:lang w:eastAsia="en-AU"/>
              </w:rPr>
              <w:t>Options to acquire shares</w:t>
            </w:r>
          </w:p>
        </w:tc>
        <w:tc>
          <w:tcPr>
            <w:tcW w:w="6662" w:type="dxa"/>
            <w:vAlign w:val="top"/>
          </w:tcPr>
          <w:p w14:paraId="45D5633E"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 at face value or taxable as a fringe benefit, depending upon legal status of share scheme under the ITAA.</w:t>
            </w:r>
          </w:p>
        </w:tc>
      </w:tr>
      <w:tr w:rsidR="00375B9D" w:rsidRPr="00375B9D" w14:paraId="2CD91363"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77814C0F" w14:textId="77777777" w:rsidR="00375B9D" w:rsidRPr="00375B9D" w:rsidRDefault="00375B9D" w:rsidP="003C6B52">
            <w:pPr>
              <w:spacing w:after="120"/>
              <w:rPr>
                <w:noProof/>
                <w:lang w:eastAsia="en-AU"/>
              </w:rPr>
            </w:pPr>
            <w:r w:rsidRPr="00375B9D">
              <w:rPr>
                <w:noProof/>
                <w:lang w:eastAsia="en-AU"/>
              </w:rPr>
              <w:t>Overseas employee wages –</w:t>
            </w:r>
            <w:r w:rsidR="003C6B52">
              <w:rPr>
                <w:noProof/>
                <w:lang w:eastAsia="en-AU"/>
              </w:rPr>
              <w:t xml:space="preserve"> </w:t>
            </w:r>
            <w:r w:rsidR="007E1D6B" w:rsidRPr="00375B9D">
              <w:rPr>
                <w:noProof/>
                <w:lang w:eastAsia="en-AU"/>
              </w:rPr>
              <w:t>visa holders</w:t>
            </w:r>
          </w:p>
        </w:tc>
        <w:tc>
          <w:tcPr>
            <w:tcW w:w="6662" w:type="dxa"/>
            <w:vAlign w:val="top"/>
          </w:tcPr>
          <w:p w14:paraId="364FC22D"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 in same manner as any other Australian resident worker.</w:t>
            </w:r>
          </w:p>
        </w:tc>
      </w:tr>
      <w:tr w:rsidR="00375B9D" w:rsidRPr="00375B9D" w14:paraId="3EF519C8"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1EC98B0B" w14:textId="77777777" w:rsidR="00375B9D" w:rsidRPr="00375B9D" w:rsidRDefault="00375B9D" w:rsidP="007E1D6B">
            <w:pPr>
              <w:spacing w:after="120"/>
              <w:rPr>
                <w:noProof/>
                <w:lang w:eastAsia="en-AU"/>
              </w:rPr>
            </w:pPr>
            <w:r w:rsidRPr="00375B9D">
              <w:rPr>
                <w:noProof/>
                <w:lang w:eastAsia="en-AU"/>
              </w:rPr>
              <w:t>Overseas worker wages – Australian resident working temporarily overseas for your business</w:t>
            </w:r>
          </w:p>
        </w:tc>
        <w:tc>
          <w:tcPr>
            <w:tcW w:w="6662" w:type="dxa"/>
            <w:vAlign w:val="top"/>
          </w:tcPr>
          <w:p w14:paraId="34E7E2D0"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Wages are subject to NT payroll tax until six months of continuous overseas work</w:t>
            </w:r>
            <w:r w:rsidR="00A73CE7">
              <w:rPr>
                <w:noProof/>
                <w:lang w:eastAsia="en-AU"/>
              </w:rPr>
              <w:t>,</w:t>
            </w:r>
            <w:r w:rsidRPr="00375B9D">
              <w:rPr>
                <w:noProof/>
                <w:lang w:eastAsia="en-AU"/>
              </w:rPr>
              <w:t xml:space="preserve"> thereafter exempt (including retrospective exemption of the first six months).</w:t>
            </w:r>
          </w:p>
        </w:tc>
      </w:tr>
      <w:tr w:rsidR="00375B9D" w:rsidRPr="00375B9D" w14:paraId="5008D167"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5BEAEDCA" w14:textId="77777777" w:rsidR="00375B9D" w:rsidRPr="00375B9D" w:rsidRDefault="00375B9D" w:rsidP="007E1D6B">
            <w:pPr>
              <w:spacing w:after="120"/>
              <w:rPr>
                <w:noProof/>
                <w:lang w:eastAsia="en-AU"/>
              </w:rPr>
            </w:pPr>
            <w:r w:rsidRPr="00375B9D">
              <w:rPr>
                <w:noProof/>
                <w:lang w:eastAsia="en-AU"/>
              </w:rPr>
              <w:t>Overseas workers (overseas residents doing short-term work in Australia)</w:t>
            </w:r>
          </w:p>
        </w:tc>
        <w:tc>
          <w:tcPr>
            <w:tcW w:w="6662" w:type="dxa"/>
            <w:vAlign w:val="top"/>
          </w:tcPr>
          <w:p w14:paraId="5EB139F2"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 xml:space="preserve">Wages earned for work in Australia are taxable wages in the state where most (more than half) of the work is done while in Australia (even if wages are paid into an overseas bank account), see </w:t>
            </w:r>
            <w:hyperlink w:anchor="Example6NexusRule" w:history="1">
              <w:r w:rsidR="007E1D6B">
                <w:rPr>
                  <w:rStyle w:val="Hyperlink"/>
                  <w:noProof/>
                  <w:lang w:eastAsia="en-AU"/>
                </w:rPr>
                <w:t>E</w:t>
              </w:r>
              <w:r w:rsidRPr="00375B9D">
                <w:rPr>
                  <w:rStyle w:val="Hyperlink"/>
                  <w:noProof/>
                  <w:lang w:eastAsia="en-AU"/>
                </w:rPr>
                <w:t xml:space="preserve">xample 6 </w:t>
              </w:r>
              <w:r w:rsidRPr="00375B9D">
                <w:rPr>
                  <w:rStyle w:val="Hyperlink"/>
                  <w:noProof/>
                  <w:lang w:eastAsia="en-AU"/>
                </w:rPr>
                <w:fldChar w:fldCharType="begin"/>
              </w:r>
              <w:r w:rsidRPr="00375B9D">
                <w:rPr>
                  <w:rStyle w:val="Hyperlink"/>
                  <w:noProof/>
                  <w:lang w:eastAsia="en-AU"/>
                </w:rPr>
                <w:instrText xml:space="preserve"> PAGEREF Example6NexusRule \p \h </w:instrText>
              </w:r>
              <w:r w:rsidRPr="00375B9D">
                <w:rPr>
                  <w:rStyle w:val="Hyperlink"/>
                  <w:noProof/>
                  <w:lang w:eastAsia="en-AU"/>
                </w:rPr>
              </w:r>
              <w:r w:rsidRPr="00375B9D">
                <w:rPr>
                  <w:rStyle w:val="Hyperlink"/>
                  <w:noProof/>
                  <w:lang w:eastAsia="en-AU"/>
                </w:rPr>
                <w:fldChar w:fldCharType="separate"/>
              </w:r>
              <w:r w:rsidR="002A4C93">
                <w:rPr>
                  <w:rStyle w:val="Hyperlink"/>
                  <w:noProof/>
                  <w:lang w:eastAsia="en-AU"/>
                </w:rPr>
                <w:t>on page 21</w:t>
              </w:r>
              <w:r w:rsidRPr="00375B9D">
                <w:rPr>
                  <w:rStyle w:val="Hyperlink"/>
                  <w:noProof/>
                  <w:lang w:eastAsia="en-AU"/>
                </w:rPr>
                <w:fldChar w:fldCharType="end"/>
              </w:r>
            </w:hyperlink>
            <w:r w:rsidRPr="00375B9D">
              <w:rPr>
                <w:noProof/>
                <w:lang w:eastAsia="en-AU"/>
              </w:rPr>
              <w:t>.</w:t>
            </w:r>
          </w:p>
        </w:tc>
      </w:tr>
      <w:tr w:rsidR="00375B9D" w:rsidRPr="00375B9D" w14:paraId="50B57DCB"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7D564A1C" w14:textId="77777777" w:rsidR="00375B9D" w:rsidRPr="00375B9D" w:rsidRDefault="00375B9D" w:rsidP="007E1D6B">
            <w:pPr>
              <w:spacing w:after="120"/>
              <w:rPr>
                <w:noProof/>
                <w:lang w:eastAsia="en-AU"/>
              </w:rPr>
            </w:pPr>
            <w:r w:rsidRPr="00375B9D">
              <w:rPr>
                <w:noProof/>
                <w:lang w:eastAsia="en-AU"/>
              </w:rPr>
              <w:t>Overtime</w:t>
            </w:r>
          </w:p>
        </w:tc>
        <w:tc>
          <w:tcPr>
            <w:tcW w:w="6662" w:type="dxa"/>
            <w:vAlign w:val="top"/>
          </w:tcPr>
          <w:p w14:paraId="72661160"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w:t>
            </w:r>
          </w:p>
        </w:tc>
      </w:tr>
      <w:tr w:rsidR="00375B9D" w:rsidRPr="00375B9D" w14:paraId="3C4EA468"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5DA7C091" w14:textId="77777777" w:rsidR="00375B9D" w:rsidRPr="00375B9D" w:rsidRDefault="00375B9D" w:rsidP="007E1D6B">
            <w:pPr>
              <w:spacing w:after="120"/>
              <w:rPr>
                <w:noProof/>
                <w:lang w:eastAsia="en-AU"/>
              </w:rPr>
            </w:pPr>
            <w:r w:rsidRPr="00375B9D">
              <w:rPr>
                <w:noProof/>
                <w:lang w:eastAsia="en-AU"/>
              </w:rPr>
              <w:t>Overtime meal allowance</w:t>
            </w:r>
          </w:p>
        </w:tc>
        <w:tc>
          <w:tcPr>
            <w:tcW w:w="6662" w:type="dxa"/>
            <w:vAlign w:val="top"/>
          </w:tcPr>
          <w:p w14:paraId="07936321"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w:t>
            </w:r>
          </w:p>
        </w:tc>
      </w:tr>
      <w:tr w:rsidR="00375B9D" w:rsidRPr="00375B9D" w14:paraId="55A1776B"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30060532" w14:textId="77777777" w:rsidR="00375B9D" w:rsidRPr="00375B9D" w:rsidRDefault="00375B9D" w:rsidP="007E1D6B">
            <w:pPr>
              <w:spacing w:after="120"/>
              <w:rPr>
                <w:noProof/>
                <w:lang w:eastAsia="en-AU"/>
              </w:rPr>
            </w:pPr>
            <w:r w:rsidRPr="00375B9D">
              <w:rPr>
                <w:noProof/>
                <w:lang w:eastAsia="en-AU"/>
              </w:rPr>
              <w:t>Parental, adoption, paternity or maternity leave paid by a government scheme (the ‘Paid Parental Leave’ scheme or equivalent)</w:t>
            </w:r>
          </w:p>
        </w:tc>
        <w:tc>
          <w:tcPr>
            <w:tcW w:w="6662" w:type="dxa"/>
            <w:vAlign w:val="top"/>
          </w:tcPr>
          <w:p w14:paraId="720219B7"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Not treated as wages (not paid by employer), therefore not subject to payroll tax.</w:t>
            </w:r>
          </w:p>
        </w:tc>
      </w:tr>
      <w:tr w:rsidR="00D26C82" w:rsidRPr="00375B9D" w14:paraId="5F986405" w14:textId="77777777" w:rsidTr="0093762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2E6F1A1D" w14:textId="77777777" w:rsidR="00D26C82" w:rsidRPr="00375B9D" w:rsidRDefault="00D26C82" w:rsidP="00937629">
            <w:pPr>
              <w:spacing w:after="120"/>
              <w:rPr>
                <w:noProof/>
                <w:lang w:eastAsia="en-AU"/>
              </w:rPr>
            </w:pPr>
            <w:r w:rsidRPr="00375B9D">
              <w:rPr>
                <w:noProof/>
                <w:lang w:eastAsia="en-AU"/>
              </w:rPr>
              <w:t>Parental leave pay (where paid by employer)</w:t>
            </w:r>
          </w:p>
        </w:tc>
        <w:tc>
          <w:tcPr>
            <w:tcW w:w="6662" w:type="dxa"/>
            <w:vAlign w:val="top"/>
          </w:tcPr>
          <w:p w14:paraId="7749A6FE" w14:textId="77777777" w:rsidR="00D26C82" w:rsidRPr="00375B9D" w:rsidRDefault="00D26C82" w:rsidP="00937629">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Exempt (14 weeks maximum). Any other leave taken in conjunction (such as annual or long service) is not exempt.</w:t>
            </w:r>
          </w:p>
        </w:tc>
      </w:tr>
      <w:tr w:rsidR="00375B9D" w:rsidRPr="00375B9D" w14:paraId="36D9FCE1"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7441F67E" w14:textId="77777777" w:rsidR="00375B9D" w:rsidRPr="00375B9D" w:rsidRDefault="00375B9D" w:rsidP="007E1D6B">
            <w:pPr>
              <w:spacing w:after="120"/>
              <w:rPr>
                <w:noProof/>
                <w:lang w:eastAsia="en-AU"/>
              </w:rPr>
            </w:pPr>
            <w:r w:rsidRPr="00375B9D">
              <w:rPr>
                <w:noProof/>
                <w:lang w:eastAsia="en-AU"/>
              </w:rPr>
              <w:t>Pay in lieu of notice of termination</w:t>
            </w:r>
          </w:p>
        </w:tc>
        <w:tc>
          <w:tcPr>
            <w:tcW w:w="6662" w:type="dxa"/>
            <w:vAlign w:val="top"/>
          </w:tcPr>
          <w:p w14:paraId="219A4872"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w:t>
            </w:r>
          </w:p>
        </w:tc>
      </w:tr>
      <w:tr w:rsidR="00375B9D" w:rsidRPr="00375B9D" w14:paraId="783F307E"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63C717CE" w14:textId="77777777" w:rsidR="00375B9D" w:rsidRPr="00375B9D" w:rsidRDefault="00375B9D" w:rsidP="007E1D6B">
            <w:pPr>
              <w:spacing w:after="120"/>
              <w:rPr>
                <w:noProof/>
                <w:lang w:eastAsia="en-AU"/>
              </w:rPr>
            </w:pPr>
            <w:r w:rsidRPr="00375B9D">
              <w:rPr>
                <w:noProof/>
                <w:lang w:eastAsia="en-AU"/>
              </w:rPr>
              <w:t>Phone bills paid for employees’ personal phone costs</w:t>
            </w:r>
          </w:p>
        </w:tc>
        <w:tc>
          <w:tcPr>
            <w:tcW w:w="6662" w:type="dxa"/>
            <w:vAlign w:val="top"/>
          </w:tcPr>
          <w:p w14:paraId="67E93265"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 as a fringe benefit (grossed up by the Type 2 rate).</w:t>
            </w:r>
          </w:p>
        </w:tc>
      </w:tr>
      <w:tr w:rsidR="00375B9D" w:rsidRPr="00375B9D" w14:paraId="5E43C718"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2B344FE1" w14:textId="77777777" w:rsidR="00375B9D" w:rsidRPr="00375B9D" w:rsidRDefault="00375B9D" w:rsidP="007E1D6B">
            <w:pPr>
              <w:spacing w:after="120"/>
              <w:rPr>
                <w:noProof/>
                <w:lang w:eastAsia="en-AU"/>
              </w:rPr>
            </w:pPr>
            <w:r w:rsidRPr="00375B9D">
              <w:rPr>
                <w:noProof/>
                <w:lang w:eastAsia="en-AU"/>
              </w:rPr>
              <w:t>Piece work payments to a contractor (for example, $ per square metre)</w:t>
            </w:r>
          </w:p>
        </w:tc>
        <w:tc>
          <w:tcPr>
            <w:tcW w:w="6662" w:type="dxa"/>
            <w:vAlign w:val="top"/>
          </w:tcPr>
          <w:p w14:paraId="10E93931"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 as a relevant contract in specific circumstances.</w:t>
            </w:r>
          </w:p>
        </w:tc>
      </w:tr>
      <w:tr w:rsidR="00375B9D" w:rsidRPr="00375B9D" w14:paraId="165CF771"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6939C9B2" w14:textId="77777777" w:rsidR="00375B9D" w:rsidRPr="00375B9D" w:rsidRDefault="00375B9D" w:rsidP="007E1D6B">
            <w:pPr>
              <w:spacing w:after="120"/>
              <w:rPr>
                <w:noProof/>
                <w:lang w:eastAsia="en-AU"/>
              </w:rPr>
            </w:pPr>
            <w:r w:rsidRPr="00375B9D">
              <w:rPr>
                <w:noProof/>
                <w:lang w:eastAsia="en-AU"/>
              </w:rPr>
              <w:t>Prizes (for goods or services) provided to employees</w:t>
            </w:r>
          </w:p>
        </w:tc>
        <w:tc>
          <w:tcPr>
            <w:tcW w:w="6662" w:type="dxa"/>
            <w:vAlign w:val="top"/>
          </w:tcPr>
          <w:p w14:paraId="68FB93AB"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 as a fringe benefit (grossed up by the Type 2 rate).</w:t>
            </w:r>
          </w:p>
        </w:tc>
      </w:tr>
      <w:tr w:rsidR="00375B9D" w:rsidRPr="00375B9D" w14:paraId="25EDCD3D"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078D683F" w14:textId="77777777" w:rsidR="00375B9D" w:rsidRPr="00375B9D" w:rsidRDefault="00375B9D" w:rsidP="007E1D6B">
            <w:pPr>
              <w:spacing w:after="120"/>
              <w:rPr>
                <w:noProof/>
                <w:lang w:eastAsia="en-AU"/>
              </w:rPr>
            </w:pPr>
            <w:r w:rsidRPr="00375B9D">
              <w:rPr>
                <w:noProof/>
                <w:lang w:eastAsia="en-AU"/>
              </w:rPr>
              <w:t>Professional advice funded for employees (for example, taxation, legal, retirement)</w:t>
            </w:r>
          </w:p>
        </w:tc>
        <w:tc>
          <w:tcPr>
            <w:tcW w:w="6662" w:type="dxa"/>
            <w:vAlign w:val="top"/>
          </w:tcPr>
          <w:p w14:paraId="56E4E338"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 as a fringe benefit (grossed up by the Type 2 rate).</w:t>
            </w:r>
          </w:p>
        </w:tc>
      </w:tr>
      <w:tr w:rsidR="00375B9D" w:rsidRPr="00375B9D" w14:paraId="75CC0E9A"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2EE7543C" w14:textId="77777777" w:rsidR="00375B9D" w:rsidRPr="00375B9D" w:rsidRDefault="00375B9D" w:rsidP="007E1D6B">
            <w:pPr>
              <w:spacing w:after="120"/>
              <w:rPr>
                <w:noProof/>
                <w:lang w:eastAsia="en-AU"/>
              </w:rPr>
            </w:pPr>
            <w:r w:rsidRPr="00375B9D">
              <w:rPr>
                <w:noProof/>
                <w:lang w:eastAsia="en-AU"/>
              </w:rPr>
              <w:t xml:space="preserve">Redundancy payments </w:t>
            </w:r>
          </w:p>
        </w:tc>
        <w:tc>
          <w:tcPr>
            <w:tcW w:w="6662" w:type="dxa"/>
            <w:vAlign w:val="top"/>
          </w:tcPr>
          <w:p w14:paraId="7B9748AD"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Exempt if does not exceed the ATO-prescribed income tax</w:t>
            </w:r>
            <w:r w:rsidRPr="00375B9D">
              <w:rPr>
                <w:noProof/>
                <w:lang w:eastAsia="en-AU"/>
              </w:rPr>
              <w:noBreakHyphen/>
              <w:t>free limit, amount in excess is taxable.</w:t>
            </w:r>
          </w:p>
        </w:tc>
      </w:tr>
      <w:tr w:rsidR="00375B9D" w:rsidRPr="00375B9D" w14:paraId="5BF9252D"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30593098" w14:textId="77777777" w:rsidR="00375B9D" w:rsidRPr="00375B9D" w:rsidRDefault="00375B9D" w:rsidP="007E1D6B">
            <w:pPr>
              <w:spacing w:after="120"/>
              <w:rPr>
                <w:noProof/>
                <w:lang w:eastAsia="en-AU"/>
              </w:rPr>
            </w:pPr>
            <w:r w:rsidRPr="00375B9D">
              <w:rPr>
                <w:noProof/>
                <w:lang w:eastAsia="en-AU"/>
              </w:rPr>
              <w:t>Rental assistance by employer</w:t>
            </w:r>
          </w:p>
        </w:tc>
        <w:tc>
          <w:tcPr>
            <w:tcW w:w="6662" w:type="dxa"/>
            <w:vAlign w:val="top"/>
          </w:tcPr>
          <w:p w14:paraId="68A9FA6D"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 to the extent taxable as a fringe benefit (grossed up by the Type 2 rate).</w:t>
            </w:r>
          </w:p>
        </w:tc>
      </w:tr>
      <w:tr w:rsidR="00375B9D" w:rsidRPr="00375B9D" w14:paraId="3FAB3382"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001419AD" w14:textId="77777777" w:rsidR="00375B9D" w:rsidRPr="00375B9D" w:rsidRDefault="00375B9D" w:rsidP="007E1D6B">
            <w:pPr>
              <w:spacing w:after="120"/>
              <w:rPr>
                <w:noProof/>
                <w:lang w:eastAsia="en-AU"/>
              </w:rPr>
            </w:pPr>
            <w:r w:rsidRPr="00375B9D">
              <w:rPr>
                <w:noProof/>
                <w:lang w:eastAsia="en-AU"/>
              </w:rPr>
              <w:lastRenderedPageBreak/>
              <w:t>School fees</w:t>
            </w:r>
          </w:p>
        </w:tc>
        <w:tc>
          <w:tcPr>
            <w:tcW w:w="6662" w:type="dxa"/>
            <w:vAlign w:val="top"/>
          </w:tcPr>
          <w:p w14:paraId="1E29ABA9"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 as a fringe benefit (grossed up by the Type 2 rate).</w:t>
            </w:r>
          </w:p>
        </w:tc>
      </w:tr>
      <w:tr w:rsidR="00375B9D" w:rsidRPr="00375B9D" w14:paraId="33387DF6"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25E3E3C9" w14:textId="77777777" w:rsidR="00375B9D" w:rsidRPr="00375B9D" w:rsidRDefault="00375B9D" w:rsidP="007E1D6B">
            <w:pPr>
              <w:spacing w:after="120"/>
              <w:rPr>
                <w:noProof/>
                <w:lang w:eastAsia="en-AU"/>
              </w:rPr>
            </w:pPr>
            <w:r w:rsidRPr="00375B9D">
              <w:rPr>
                <w:noProof/>
                <w:lang w:eastAsia="en-AU"/>
              </w:rPr>
              <w:t>Shares and options</w:t>
            </w:r>
          </w:p>
        </w:tc>
        <w:tc>
          <w:tcPr>
            <w:tcW w:w="6662" w:type="dxa"/>
            <w:vAlign w:val="top"/>
          </w:tcPr>
          <w:p w14:paraId="32A65C87"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 at face value or taxable as a fringe benefit, depending upon legal status of share scheme under the ITAA.</w:t>
            </w:r>
          </w:p>
        </w:tc>
      </w:tr>
      <w:tr w:rsidR="00375B9D" w:rsidRPr="00375B9D" w14:paraId="4C9E181B"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194514D2" w14:textId="77777777" w:rsidR="00375B9D" w:rsidRPr="00375B9D" w:rsidRDefault="00375B9D" w:rsidP="007E1D6B">
            <w:pPr>
              <w:spacing w:after="120"/>
              <w:rPr>
                <w:noProof/>
                <w:lang w:eastAsia="en-AU"/>
              </w:rPr>
            </w:pPr>
            <w:r w:rsidRPr="00375B9D">
              <w:rPr>
                <w:noProof/>
                <w:lang w:eastAsia="en-AU"/>
              </w:rPr>
              <w:t>Shift allowance</w:t>
            </w:r>
          </w:p>
        </w:tc>
        <w:tc>
          <w:tcPr>
            <w:tcW w:w="6662" w:type="dxa"/>
            <w:vAlign w:val="top"/>
          </w:tcPr>
          <w:p w14:paraId="0A3C7696"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w:t>
            </w:r>
          </w:p>
        </w:tc>
      </w:tr>
      <w:tr w:rsidR="00375B9D" w:rsidRPr="00375B9D" w14:paraId="624FF84A"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680FA5D0" w14:textId="77777777" w:rsidR="00375B9D" w:rsidRPr="00375B9D" w:rsidRDefault="00375B9D" w:rsidP="007E1D6B">
            <w:pPr>
              <w:spacing w:after="120"/>
              <w:rPr>
                <w:noProof/>
                <w:lang w:eastAsia="en-AU"/>
              </w:rPr>
            </w:pPr>
            <w:r w:rsidRPr="00375B9D">
              <w:rPr>
                <w:noProof/>
                <w:lang w:eastAsia="en-AU"/>
              </w:rPr>
              <w:t>Sick leave pay (including that paid at termination)</w:t>
            </w:r>
          </w:p>
        </w:tc>
        <w:tc>
          <w:tcPr>
            <w:tcW w:w="6662" w:type="dxa"/>
            <w:vAlign w:val="top"/>
          </w:tcPr>
          <w:p w14:paraId="3B590CE1"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w:t>
            </w:r>
          </w:p>
        </w:tc>
      </w:tr>
      <w:tr w:rsidR="00375B9D" w:rsidRPr="00375B9D" w14:paraId="4BF54C7C"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30F525F2" w14:textId="77777777" w:rsidR="00375B9D" w:rsidRPr="00375B9D" w:rsidRDefault="00375B9D" w:rsidP="007E1D6B">
            <w:pPr>
              <w:spacing w:after="120"/>
              <w:rPr>
                <w:noProof/>
                <w:lang w:eastAsia="en-AU"/>
              </w:rPr>
            </w:pPr>
            <w:r w:rsidRPr="00375B9D">
              <w:rPr>
                <w:noProof/>
                <w:lang w:eastAsia="en-AU"/>
              </w:rPr>
              <w:t>Sick pay</w:t>
            </w:r>
          </w:p>
        </w:tc>
        <w:tc>
          <w:tcPr>
            <w:tcW w:w="6662" w:type="dxa"/>
            <w:vAlign w:val="top"/>
          </w:tcPr>
          <w:p w14:paraId="47BD8071"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w:t>
            </w:r>
          </w:p>
        </w:tc>
      </w:tr>
      <w:tr w:rsidR="00375B9D" w:rsidRPr="00375B9D" w14:paraId="5524D1C9"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1C841E4B" w14:textId="77777777" w:rsidR="00375B9D" w:rsidRPr="00375B9D" w:rsidRDefault="00375B9D" w:rsidP="007E1D6B">
            <w:pPr>
              <w:spacing w:after="120"/>
              <w:rPr>
                <w:noProof/>
                <w:lang w:eastAsia="en-AU"/>
              </w:rPr>
            </w:pPr>
            <w:r w:rsidRPr="00375B9D">
              <w:rPr>
                <w:noProof/>
                <w:lang w:eastAsia="en-AU"/>
              </w:rPr>
              <w:t>Site allowance</w:t>
            </w:r>
          </w:p>
        </w:tc>
        <w:tc>
          <w:tcPr>
            <w:tcW w:w="6662" w:type="dxa"/>
            <w:vAlign w:val="top"/>
          </w:tcPr>
          <w:p w14:paraId="138AF6A5"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w:t>
            </w:r>
          </w:p>
        </w:tc>
      </w:tr>
      <w:tr w:rsidR="00375B9D" w:rsidRPr="00375B9D" w14:paraId="04586DEE"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0090EE8E" w14:textId="77777777" w:rsidR="00375B9D" w:rsidRPr="00375B9D" w:rsidRDefault="00375B9D" w:rsidP="007E1D6B">
            <w:pPr>
              <w:spacing w:after="120"/>
              <w:rPr>
                <w:noProof/>
                <w:lang w:eastAsia="en-AU"/>
              </w:rPr>
            </w:pPr>
            <w:r w:rsidRPr="00375B9D">
              <w:rPr>
                <w:noProof/>
                <w:lang w:eastAsia="en-AU"/>
              </w:rPr>
              <w:t>Staff discounts</w:t>
            </w:r>
          </w:p>
        </w:tc>
        <w:tc>
          <w:tcPr>
            <w:tcW w:w="6662" w:type="dxa"/>
            <w:vAlign w:val="top"/>
          </w:tcPr>
          <w:p w14:paraId="531C6B97"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Generally taxable as a fringe benefit (grossed up by the Type 2 rate)(exceptions may apply to ‘in-house’ benefits).</w:t>
            </w:r>
          </w:p>
        </w:tc>
      </w:tr>
      <w:tr w:rsidR="00375B9D" w:rsidRPr="00375B9D" w14:paraId="1A41EC19"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4F7DFBE2" w14:textId="77777777" w:rsidR="00375B9D" w:rsidRPr="00375B9D" w:rsidRDefault="00375B9D" w:rsidP="007E1D6B">
            <w:pPr>
              <w:spacing w:after="120"/>
              <w:rPr>
                <w:noProof/>
                <w:lang w:eastAsia="en-AU"/>
              </w:rPr>
            </w:pPr>
            <w:r w:rsidRPr="00375B9D">
              <w:rPr>
                <w:noProof/>
                <w:lang w:eastAsia="en-AU"/>
              </w:rPr>
              <w:t>Subcontractor payments</w:t>
            </w:r>
          </w:p>
        </w:tc>
        <w:tc>
          <w:tcPr>
            <w:tcW w:w="6662" w:type="dxa"/>
            <w:vAlign w:val="top"/>
          </w:tcPr>
          <w:p w14:paraId="2F34DE53"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 if designated as a ‘taxable relevant contract’</w:t>
            </w:r>
            <w:r w:rsidR="00A73CE7">
              <w:rPr>
                <w:noProof/>
                <w:lang w:eastAsia="en-AU"/>
              </w:rPr>
              <w:t>,</w:t>
            </w:r>
            <w:r w:rsidRPr="00375B9D">
              <w:rPr>
                <w:noProof/>
                <w:lang w:eastAsia="en-AU"/>
              </w:rPr>
              <w:t xml:space="preserve"> less GST and percentage contractor deduction.</w:t>
            </w:r>
          </w:p>
        </w:tc>
      </w:tr>
      <w:tr w:rsidR="00375B9D" w:rsidRPr="00375B9D" w14:paraId="67CF1117"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6E0B3BAB" w14:textId="77777777" w:rsidR="00375B9D" w:rsidRPr="00375B9D" w:rsidRDefault="00375B9D" w:rsidP="007E1D6B">
            <w:pPr>
              <w:spacing w:after="120"/>
              <w:rPr>
                <w:noProof/>
                <w:lang w:eastAsia="en-AU"/>
              </w:rPr>
            </w:pPr>
            <w:r w:rsidRPr="00375B9D">
              <w:rPr>
                <w:noProof/>
                <w:lang w:eastAsia="en-AU"/>
              </w:rPr>
              <w:t>Subscriptions paid for employees</w:t>
            </w:r>
          </w:p>
        </w:tc>
        <w:tc>
          <w:tcPr>
            <w:tcW w:w="6662" w:type="dxa"/>
            <w:vAlign w:val="top"/>
          </w:tcPr>
          <w:p w14:paraId="3FFCFEFD"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 as a fringe benefit (grossed up by the Type 2 rate).</w:t>
            </w:r>
          </w:p>
        </w:tc>
      </w:tr>
      <w:tr w:rsidR="00D26C82" w:rsidRPr="00375B9D" w14:paraId="694D2038" w14:textId="77777777" w:rsidTr="009376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0DCF8FC0" w14:textId="77777777" w:rsidR="00D26C82" w:rsidRPr="00375B9D" w:rsidRDefault="00D26C82" w:rsidP="00937629">
            <w:pPr>
              <w:spacing w:after="120"/>
              <w:rPr>
                <w:noProof/>
                <w:lang w:eastAsia="en-AU"/>
              </w:rPr>
            </w:pPr>
            <w:r w:rsidRPr="00375B9D">
              <w:rPr>
                <w:noProof/>
                <w:lang w:eastAsia="en-AU"/>
              </w:rPr>
              <w:t>Superannuation contribution – ‘in kind’ (for example, transferring company shares or company real property into an employee’s or director’s personal superannuation fund)</w:t>
            </w:r>
          </w:p>
        </w:tc>
        <w:tc>
          <w:tcPr>
            <w:tcW w:w="6662" w:type="dxa"/>
            <w:vAlign w:val="top"/>
          </w:tcPr>
          <w:p w14:paraId="6ECA7DE8" w14:textId="77777777" w:rsidR="00D26C82" w:rsidRPr="00375B9D" w:rsidRDefault="00D26C82" w:rsidP="00937629">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w:t>
            </w:r>
          </w:p>
        </w:tc>
      </w:tr>
      <w:tr w:rsidR="00375B9D" w:rsidRPr="00375B9D" w14:paraId="12355EEB"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4ED9F6C2" w14:textId="77777777" w:rsidR="00375B9D" w:rsidRPr="00375B9D" w:rsidRDefault="00375B9D" w:rsidP="007E1D6B">
            <w:pPr>
              <w:spacing w:after="120"/>
              <w:rPr>
                <w:noProof/>
                <w:lang w:eastAsia="en-AU"/>
              </w:rPr>
            </w:pPr>
            <w:r w:rsidRPr="00375B9D">
              <w:rPr>
                <w:noProof/>
                <w:lang w:eastAsia="en-AU"/>
              </w:rPr>
              <w:t>Superannuation – employer’s contribution in excess of statutory minimum</w:t>
            </w:r>
          </w:p>
        </w:tc>
        <w:tc>
          <w:tcPr>
            <w:tcW w:w="6662" w:type="dxa"/>
            <w:vAlign w:val="top"/>
          </w:tcPr>
          <w:p w14:paraId="1ADC5854"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w:t>
            </w:r>
          </w:p>
        </w:tc>
      </w:tr>
      <w:tr w:rsidR="00D26C82" w:rsidRPr="00375B9D" w14:paraId="1230E3D5" w14:textId="77777777" w:rsidTr="009376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24870D07" w14:textId="77777777" w:rsidR="00D26C82" w:rsidRPr="00375B9D" w:rsidRDefault="00D26C82" w:rsidP="00937629">
            <w:pPr>
              <w:spacing w:after="120"/>
              <w:rPr>
                <w:noProof/>
                <w:lang w:eastAsia="en-AU"/>
              </w:rPr>
            </w:pPr>
            <w:r w:rsidRPr="00375B9D">
              <w:rPr>
                <w:noProof/>
                <w:lang w:eastAsia="en-AU"/>
              </w:rPr>
              <w:t>Superannuation – employer’s statutory contribution</w:t>
            </w:r>
          </w:p>
        </w:tc>
        <w:tc>
          <w:tcPr>
            <w:tcW w:w="6662" w:type="dxa"/>
            <w:vAlign w:val="top"/>
          </w:tcPr>
          <w:p w14:paraId="6C0B8D19" w14:textId="77777777" w:rsidR="00D26C82" w:rsidRPr="00375B9D" w:rsidRDefault="00D26C82" w:rsidP="00937629">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w:t>
            </w:r>
          </w:p>
        </w:tc>
      </w:tr>
      <w:tr w:rsidR="00375B9D" w:rsidRPr="00375B9D" w14:paraId="5B71699A"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78A11DA5" w14:textId="77777777" w:rsidR="00375B9D" w:rsidRPr="00375B9D" w:rsidRDefault="00375B9D" w:rsidP="007E1D6B">
            <w:pPr>
              <w:spacing w:after="120"/>
              <w:rPr>
                <w:noProof/>
                <w:lang w:eastAsia="en-AU"/>
              </w:rPr>
            </w:pPr>
            <w:r w:rsidRPr="00375B9D">
              <w:rPr>
                <w:noProof/>
                <w:lang w:eastAsia="en-AU"/>
              </w:rPr>
              <w:t>Superannuation – personal contribution made by employee from after-tax income</w:t>
            </w:r>
          </w:p>
        </w:tc>
        <w:tc>
          <w:tcPr>
            <w:tcW w:w="6662" w:type="dxa"/>
            <w:vAlign w:val="top"/>
          </w:tcPr>
          <w:p w14:paraId="57FB36C8"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Not taxable.</w:t>
            </w:r>
          </w:p>
        </w:tc>
      </w:tr>
      <w:tr w:rsidR="00375B9D" w:rsidRPr="00375B9D" w14:paraId="3C87D36D"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28ED15B5" w14:textId="77777777" w:rsidR="00375B9D" w:rsidRPr="00375B9D" w:rsidRDefault="00375B9D" w:rsidP="007E1D6B">
            <w:pPr>
              <w:spacing w:after="120"/>
              <w:rPr>
                <w:noProof/>
                <w:lang w:eastAsia="en-AU"/>
              </w:rPr>
            </w:pPr>
            <w:r w:rsidRPr="00375B9D">
              <w:rPr>
                <w:noProof/>
                <w:lang w:eastAsia="en-AU"/>
              </w:rPr>
              <w:t>Superannuation – salary sacrifice by employee from pre-tax income</w:t>
            </w:r>
          </w:p>
        </w:tc>
        <w:tc>
          <w:tcPr>
            <w:tcW w:w="6662" w:type="dxa"/>
            <w:vAlign w:val="top"/>
          </w:tcPr>
          <w:p w14:paraId="2A6695A6"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w:t>
            </w:r>
          </w:p>
        </w:tc>
      </w:tr>
      <w:tr w:rsidR="00375B9D" w:rsidRPr="00375B9D" w14:paraId="2FD42670"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41C6D96F" w14:textId="77777777" w:rsidR="00375B9D" w:rsidRPr="00375B9D" w:rsidRDefault="00375B9D" w:rsidP="007E1D6B">
            <w:pPr>
              <w:spacing w:after="120"/>
              <w:rPr>
                <w:noProof/>
                <w:lang w:eastAsia="en-AU"/>
              </w:rPr>
            </w:pPr>
            <w:r w:rsidRPr="00375B9D">
              <w:rPr>
                <w:noProof/>
                <w:lang w:eastAsia="en-AU"/>
              </w:rPr>
              <w:t>Tool allowance</w:t>
            </w:r>
          </w:p>
        </w:tc>
        <w:tc>
          <w:tcPr>
            <w:tcW w:w="6662" w:type="dxa"/>
            <w:vAlign w:val="top"/>
          </w:tcPr>
          <w:p w14:paraId="04905331"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w:t>
            </w:r>
          </w:p>
        </w:tc>
      </w:tr>
      <w:tr w:rsidR="00375B9D" w:rsidRPr="00375B9D" w14:paraId="48052F06"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78D373E5" w14:textId="77777777" w:rsidR="00375B9D" w:rsidRPr="00375B9D" w:rsidRDefault="00375B9D" w:rsidP="007E1D6B">
            <w:pPr>
              <w:spacing w:after="120"/>
              <w:rPr>
                <w:noProof/>
                <w:lang w:eastAsia="en-AU"/>
              </w:rPr>
            </w:pPr>
            <w:r w:rsidRPr="00375B9D">
              <w:rPr>
                <w:noProof/>
                <w:lang w:eastAsia="en-AU"/>
              </w:rPr>
              <w:t>Trainees’ wages and superannuation</w:t>
            </w:r>
          </w:p>
        </w:tc>
        <w:tc>
          <w:tcPr>
            <w:tcW w:w="6662" w:type="dxa"/>
            <w:vAlign w:val="top"/>
          </w:tcPr>
          <w:p w14:paraId="631216E5"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Exempt up to 30 June 2015 only, taxable in full thereafter.</w:t>
            </w:r>
          </w:p>
        </w:tc>
      </w:tr>
      <w:tr w:rsidR="00375B9D" w:rsidRPr="00375B9D" w14:paraId="7FC658F9"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09E9DF3C" w14:textId="77777777" w:rsidR="00375B9D" w:rsidRPr="00375B9D" w:rsidRDefault="00375B9D" w:rsidP="007E1D6B">
            <w:pPr>
              <w:spacing w:after="120"/>
              <w:rPr>
                <w:noProof/>
                <w:lang w:eastAsia="en-AU"/>
              </w:rPr>
            </w:pPr>
            <w:r w:rsidRPr="00375B9D">
              <w:rPr>
                <w:noProof/>
                <w:lang w:eastAsia="en-AU"/>
              </w:rPr>
              <w:t>Travel (private purposes, including family members accompanying employees to business conferences)</w:t>
            </w:r>
          </w:p>
        </w:tc>
        <w:tc>
          <w:tcPr>
            <w:tcW w:w="6662" w:type="dxa"/>
            <w:vAlign w:val="top"/>
          </w:tcPr>
          <w:p w14:paraId="6C25C368"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 as a fringe benefit (grossed up by the Type 2 rate).</w:t>
            </w:r>
          </w:p>
        </w:tc>
      </w:tr>
      <w:tr w:rsidR="00375B9D" w:rsidRPr="00375B9D" w14:paraId="0D517655"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775053BF" w14:textId="77777777" w:rsidR="00375B9D" w:rsidRPr="00375B9D" w:rsidRDefault="00375B9D" w:rsidP="007E1D6B">
            <w:pPr>
              <w:spacing w:after="120"/>
              <w:rPr>
                <w:noProof/>
                <w:lang w:eastAsia="en-AU"/>
              </w:rPr>
            </w:pPr>
            <w:r w:rsidRPr="00375B9D">
              <w:rPr>
                <w:noProof/>
                <w:lang w:eastAsia="en-AU"/>
              </w:rPr>
              <w:t>Uniform allowance</w:t>
            </w:r>
          </w:p>
        </w:tc>
        <w:tc>
          <w:tcPr>
            <w:tcW w:w="6662" w:type="dxa"/>
            <w:vAlign w:val="top"/>
          </w:tcPr>
          <w:p w14:paraId="5FA9BA00"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w:t>
            </w:r>
          </w:p>
        </w:tc>
      </w:tr>
      <w:tr w:rsidR="001E4C5D" w:rsidRPr="00375B9D" w14:paraId="78F52B2F" w14:textId="77777777" w:rsidTr="0093762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093556AD" w14:textId="77777777" w:rsidR="001E4C5D" w:rsidRPr="00375B9D" w:rsidRDefault="001E4C5D" w:rsidP="00937629">
            <w:pPr>
              <w:spacing w:after="120"/>
              <w:rPr>
                <w:noProof/>
                <w:lang w:eastAsia="en-AU"/>
              </w:rPr>
            </w:pPr>
            <w:r w:rsidRPr="00375B9D">
              <w:rPr>
                <w:noProof/>
                <w:lang w:eastAsia="en-AU"/>
              </w:rPr>
              <w:lastRenderedPageBreak/>
              <w:t>Visa holders – wages, superannuation, etc.</w:t>
            </w:r>
          </w:p>
        </w:tc>
        <w:tc>
          <w:tcPr>
            <w:tcW w:w="6662" w:type="dxa"/>
            <w:vAlign w:val="top"/>
          </w:tcPr>
          <w:p w14:paraId="5E4ADC60" w14:textId="77777777" w:rsidR="001E4C5D" w:rsidRPr="00375B9D" w:rsidRDefault="001E4C5D" w:rsidP="00937629">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 in same manner as any other Australian resident worker.</w:t>
            </w:r>
          </w:p>
        </w:tc>
      </w:tr>
      <w:tr w:rsidR="00375B9D" w:rsidRPr="00375B9D" w14:paraId="4A7435D0"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7086A1E2" w14:textId="77777777" w:rsidR="00375B9D" w:rsidRPr="00375B9D" w:rsidRDefault="00375B9D" w:rsidP="007E1D6B">
            <w:pPr>
              <w:spacing w:after="120"/>
              <w:rPr>
                <w:noProof/>
                <w:lang w:eastAsia="en-AU"/>
              </w:rPr>
            </w:pPr>
            <w:r w:rsidRPr="00375B9D">
              <w:rPr>
                <w:noProof/>
                <w:lang w:eastAsia="en-AU"/>
              </w:rPr>
              <w:t>Vouchers (provided to employees to purchase goods or services, such as a free round of golf)</w:t>
            </w:r>
          </w:p>
        </w:tc>
        <w:tc>
          <w:tcPr>
            <w:tcW w:w="6662" w:type="dxa"/>
            <w:vAlign w:val="top"/>
          </w:tcPr>
          <w:p w14:paraId="77FD4605"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 as a fringe benefit (grossed up by the Type 2 rate).</w:t>
            </w:r>
          </w:p>
        </w:tc>
      </w:tr>
      <w:tr w:rsidR="00D26C82" w:rsidRPr="00375B9D" w14:paraId="7DCC08AC" w14:textId="77777777" w:rsidTr="0093762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67413A1C" w14:textId="77777777" w:rsidR="00D26C82" w:rsidRPr="00375B9D" w:rsidRDefault="00D26C82" w:rsidP="00937629">
            <w:pPr>
              <w:spacing w:after="120"/>
              <w:rPr>
                <w:noProof/>
                <w:lang w:eastAsia="en-AU"/>
              </w:rPr>
            </w:pPr>
            <w:r w:rsidRPr="00375B9D">
              <w:rPr>
                <w:noProof/>
                <w:lang w:eastAsia="en-AU"/>
              </w:rPr>
              <w:t>Wages and salaries (gross before income tax)</w:t>
            </w:r>
          </w:p>
        </w:tc>
        <w:tc>
          <w:tcPr>
            <w:tcW w:w="6662" w:type="dxa"/>
            <w:vAlign w:val="top"/>
          </w:tcPr>
          <w:p w14:paraId="4C5F444C" w14:textId="77777777" w:rsidR="00D26C82" w:rsidRPr="00375B9D" w:rsidRDefault="00D26C82" w:rsidP="00937629">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w:t>
            </w:r>
          </w:p>
        </w:tc>
      </w:tr>
      <w:tr w:rsidR="00D26C82" w:rsidRPr="00375B9D" w14:paraId="03FCE9B5" w14:textId="77777777" w:rsidTr="009376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1775B25C" w14:textId="77777777" w:rsidR="00D26C82" w:rsidRPr="00375B9D" w:rsidRDefault="00D26C82" w:rsidP="00937629">
            <w:pPr>
              <w:spacing w:after="120"/>
              <w:rPr>
                <w:noProof/>
                <w:lang w:eastAsia="en-AU"/>
              </w:rPr>
            </w:pPr>
            <w:r w:rsidRPr="00375B9D">
              <w:rPr>
                <w:noProof/>
                <w:lang w:eastAsia="en-AU"/>
              </w:rPr>
              <w:t>Wages and salaries in respect of flex time or a rostered day off</w:t>
            </w:r>
          </w:p>
        </w:tc>
        <w:tc>
          <w:tcPr>
            <w:tcW w:w="6662" w:type="dxa"/>
            <w:vAlign w:val="top"/>
          </w:tcPr>
          <w:p w14:paraId="19484146" w14:textId="77777777" w:rsidR="00D26C82" w:rsidRPr="00375B9D" w:rsidRDefault="00D26C82" w:rsidP="00937629">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 in same manner as other wages and salaries.</w:t>
            </w:r>
          </w:p>
        </w:tc>
      </w:tr>
      <w:tr w:rsidR="00D26C82" w:rsidRPr="00375B9D" w14:paraId="48CABC5C" w14:textId="77777777" w:rsidTr="0093762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189E7EFA" w14:textId="77777777" w:rsidR="00D26C82" w:rsidRPr="00375B9D" w:rsidRDefault="00D26C82" w:rsidP="00937629">
            <w:pPr>
              <w:spacing w:after="120"/>
              <w:rPr>
                <w:noProof/>
                <w:lang w:eastAsia="en-AU"/>
              </w:rPr>
            </w:pPr>
            <w:r w:rsidRPr="00375B9D">
              <w:rPr>
                <w:noProof/>
                <w:lang w:eastAsia="en-AU"/>
              </w:rPr>
              <w:t>Wages etc. in relation to a worker recruited (as a permanent employee, not a labour hire arrangement) through an employment agent</w:t>
            </w:r>
          </w:p>
        </w:tc>
        <w:tc>
          <w:tcPr>
            <w:tcW w:w="6662" w:type="dxa"/>
            <w:vAlign w:val="top"/>
          </w:tcPr>
          <w:p w14:paraId="1379F578" w14:textId="77777777" w:rsidR="00D26C82" w:rsidRPr="00375B9D" w:rsidRDefault="00D26C82" w:rsidP="00937629">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As soon as your business commences paying the worker as an employee or taxable contractor, your business will be liable for payroll tax.</w:t>
            </w:r>
          </w:p>
        </w:tc>
      </w:tr>
      <w:tr w:rsidR="00D26C82" w:rsidRPr="00375B9D" w14:paraId="2F6A1D35" w14:textId="77777777" w:rsidTr="009376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24A8DF01" w14:textId="77777777" w:rsidR="00D26C82" w:rsidRPr="00375B9D" w:rsidRDefault="00D26C82" w:rsidP="00937629">
            <w:pPr>
              <w:spacing w:after="120"/>
              <w:rPr>
                <w:noProof/>
                <w:lang w:eastAsia="en-AU"/>
              </w:rPr>
            </w:pPr>
            <w:r w:rsidRPr="00375B9D">
              <w:rPr>
                <w:noProof/>
                <w:lang w:eastAsia="en-AU"/>
              </w:rPr>
              <w:t xml:space="preserve">Wages paid to emergency and volunteer workers (working under the </w:t>
            </w:r>
            <w:r w:rsidRPr="00375B9D">
              <w:rPr>
                <w:i/>
                <w:noProof/>
                <w:lang w:eastAsia="en-AU"/>
              </w:rPr>
              <w:t xml:space="preserve">Disasters Act </w:t>
            </w:r>
            <w:r w:rsidRPr="00375B9D">
              <w:rPr>
                <w:noProof/>
                <w:lang w:eastAsia="en-AU"/>
              </w:rPr>
              <w:t xml:space="preserve">or </w:t>
            </w:r>
            <w:r w:rsidRPr="00375B9D">
              <w:rPr>
                <w:i/>
                <w:noProof/>
                <w:lang w:eastAsia="en-AU"/>
              </w:rPr>
              <w:t>Fire and Emergency Act</w:t>
            </w:r>
            <w:r w:rsidRPr="00375B9D">
              <w:rPr>
                <w:noProof/>
                <w:lang w:eastAsia="en-AU"/>
              </w:rPr>
              <w:t>)</w:t>
            </w:r>
          </w:p>
        </w:tc>
        <w:tc>
          <w:tcPr>
            <w:tcW w:w="6662" w:type="dxa"/>
            <w:vAlign w:val="top"/>
          </w:tcPr>
          <w:p w14:paraId="7D7FEB12" w14:textId="77777777" w:rsidR="00D26C82" w:rsidRPr="00375B9D" w:rsidRDefault="00D26C82" w:rsidP="00937629">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Exempt (provided that the leave is funded by the employer – if the worker uses their own annual/recreational/long service leave/flex time/RDOs the payments are not exempt).</w:t>
            </w:r>
          </w:p>
        </w:tc>
      </w:tr>
      <w:tr w:rsidR="00375B9D" w:rsidRPr="00375B9D" w14:paraId="2151F356"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14EF43E9" w14:textId="77777777" w:rsidR="00375B9D" w:rsidRPr="00375B9D" w:rsidRDefault="00375B9D" w:rsidP="007E1D6B">
            <w:pPr>
              <w:spacing w:after="120"/>
              <w:rPr>
                <w:noProof/>
                <w:lang w:eastAsia="en-AU"/>
              </w:rPr>
            </w:pPr>
            <w:r w:rsidRPr="00375B9D">
              <w:rPr>
                <w:noProof/>
                <w:lang w:eastAsia="en-AU"/>
              </w:rPr>
              <w:t>Waiver of debt (a debt from the employee to the employer)</w:t>
            </w:r>
          </w:p>
        </w:tc>
        <w:tc>
          <w:tcPr>
            <w:tcW w:w="6662" w:type="dxa"/>
            <w:vAlign w:val="top"/>
          </w:tcPr>
          <w:p w14:paraId="3A0D0A53"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Taxable as a fringe benefit (grossed up by the Type 2 rate).</w:t>
            </w:r>
          </w:p>
        </w:tc>
      </w:tr>
      <w:tr w:rsidR="00375B9D" w:rsidRPr="00375B9D" w14:paraId="2AB5FB6F"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5FF0F445" w14:textId="77777777" w:rsidR="00375B9D" w:rsidRPr="00375B9D" w:rsidRDefault="00375B9D" w:rsidP="007E1D6B">
            <w:pPr>
              <w:spacing w:after="120"/>
              <w:rPr>
                <w:noProof/>
                <w:lang w:eastAsia="en-AU"/>
              </w:rPr>
            </w:pPr>
            <w:r w:rsidRPr="00375B9D">
              <w:rPr>
                <w:noProof/>
                <w:lang w:eastAsia="en-AU"/>
              </w:rPr>
              <w:t>Workers’ compensation insurance premiums paid by employer</w:t>
            </w:r>
          </w:p>
        </w:tc>
        <w:tc>
          <w:tcPr>
            <w:tcW w:w="6662" w:type="dxa"/>
            <w:vAlign w:val="top"/>
          </w:tcPr>
          <w:p w14:paraId="39D7E697"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Not part of wages, outside the scope of payroll tax – exempt.</w:t>
            </w:r>
          </w:p>
        </w:tc>
      </w:tr>
      <w:tr w:rsidR="00375B9D" w:rsidRPr="00375B9D" w14:paraId="1D790331" w14:textId="77777777" w:rsidTr="007E1D6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227B9D3B" w14:textId="77777777" w:rsidR="00375B9D" w:rsidRPr="00375B9D" w:rsidRDefault="00375B9D" w:rsidP="007E1D6B">
            <w:pPr>
              <w:spacing w:after="120"/>
              <w:rPr>
                <w:noProof/>
                <w:lang w:eastAsia="en-AU"/>
              </w:rPr>
            </w:pPr>
            <w:r w:rsidRPr="00375B9D">
              <w:rPr>
                <w:noProof/>
                <w:lang w:eastAsia="en-AU"/>
              </w:rPr>
              <w:t>Workers’ compensation payments made by insurer</w:t>
            </w:r>
          </w:p>
        </w:tc>
        <w:tc>
          <w:tcPr>
            <w:tcW w:w="6662" w:type="dxa"/>
            <w:vAlign w:val="top"/>
          </w:tcPr>
          <w:p w14:paraId="7B4B93FB" w14:textId="77777777" w:rsidR="00375B9D" w:rsidRPr="00375B9D" w:rsidRDefault="00375B9D" w:rsidP="007E1D6B">
            <w:pPr>
              <w:spacing w:after="120"/>
              <w:cnfStyle w:val="000000010000" w:firstRow="0" w:lastRow="0" w:firstColumn="0" w:lastColumn="0" w:oddVBand="0" w:evenVBand="0" w:oddHBand="0" w:evenHBand="1" w:firstRowFirstColumn="0" w:firstRowLastColumn="0" w:lastRowFirstColumn="0" w:lastRowLastColumn="0"/>
              <w:rPr>
                <w:noProof/>
                <w:lang w:eastAsia="en-AU"/>
              </w:rPr>
            </w:pPr>
            <w:r w:rsidRPr="00375B9D">
              <w:rPr>
                <w:noProof/>
                <w:lang w:eastAsia="en-AU"/>
              </w:rPr>
              <w:t>Exempt.</w:t>
            </w:r>
          </w:p>
        </w:tc>
      </w:tr>
      <w:tr w:rsidR="00375B9D" w:rsidRPr="00375B9D" w14:paraId="7012102D" w14:textId="77777777" w:rsidTr="007E1D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vAlign w:val="top"/>
          </w:tcPr>
          <w:p w14:paraId="467C1DC8" w14:textId="77777777" w:rsidR="00375B9D" w:rsidRPr="00375B9D" w:rsidRDefault="00375B9D" w:rsidP="007E1D6B">
            <w:pPr>
              <w:spacing w:after="120"/>
              <w:rPr>
                <w:noProof/>
                <w:lang w:eastAsia="en-AU"/>
              </w:rPr>
            </w:pPr>
            <w:r w:rsidRPr="00375B9D">
              <w:rPr>
                <w:noProof/>
                <w:lang w:eastAsia="en-AU"/>
              </w:rPr>
              <w:t>Workers’ compensation payments (make-up pay paid by employer)</w:t>
            </w:r>
          </w:p>
        </w:tc>
        <w:tc>
          <w:tcPr>
            <w:tcW w:w="6662" w:type="dxa"/>
            <w:vAlign w:val="top"/>
          </w:tcPr>
          <w:p w14:paraId="228F573A" w14:textId="77777777" w:rsidR="00375B9D" w:rsidRPr="00375B9D" w:rsidRDefault="00375B9D" w:rsidP="007E1D6B">
            <w:pPr>
              <w:spacing w:after="120"/>
              <w:cnfStyle w:val="000000100000" w:firstRow="0" w:lastRow="0" w:firstColumn="0" w:lastColumn="0" w:oddVBand="0" w:evenVBand="0" w:oddHBand="1" w:evenHBand="0" w:firstRowFirstColumn="0" w:firstRowLastColumn="0" w:lastRowFirstColumn="0" w:lastRowLastColumn="0"/>
              <w:rPr>
                <w:noProof/>
                <w:lang w:eastAsia="en-AU"/>
              </w:rPr>
            </w:pPr>
            <w:r w:rsidRPr="00375B9D">
              <w:rPr>
                <w:noProof/>
                <w:lang w:eastAsia="en-AU"/>
              </w:rPr>
              <w:t>Taxable.</w:t>
            </w:r>
          </w:p>
        </w:tc>
      </w:tr>
    </w:tbl>
    <w:p w14:paraId="000392D3" w14:textId="77777777" w:rsidR="00375B9D" w:rsidRPr="00375B9D" w:rsidRDefault="00375B9D" w:rsidP="00375B9D">
      <w:pPr>
        <w:rPr>
          <w:noProof/>
          <w:lang w:eastAsia="en-AU"/>
        </w:rPr>
      </w:pPr>
    </w:p>
    <w:p w14:paraId="24246186" w14:textId="77777777" w:rsidR="00375B9D" w:rsidRPr="00375B9D" w:rsidRDefault="00375B9D" w:rsidP="003A1792">
      <w:pPr>
        <w:pStyle w:val="Heading1"/>
        <w:rPr>
          <w:noProof/>
          <w:lang w:eastAsia="en-AU"/>
        </w:rPr>
      </w:pPr>
      <w:r w:rsidRPr="00375B9D">
        <w:rPr>
          <w:noProof/>
          <w:lang w:eastAsia="en-AU"/>
        </w:rPr>
        <w:br w:type="page"/>
      </w:r>
      <w:bookmarkStart w:id="115" w:name="Appendix1"/>
      <w:bookmarkStart w:id="116" w:name="_Toc467842766"/>
      <w:bookmarkStart w:id="117" w:name="_Toc108789605"/>
      <w:r w:rsidRPr="00375B9D">
        <w:rPr>
          <w:noProof/>
          <w:lang w:eastAsia="en-AU"/>
        </w:rPr>
        <w:lastRenderedPageBreak/>
        <w:t>Appendix 1</w:t>
      </w:r>
      <w:bookmarkEnd w:id="115"/>
      <w:r w:rsidRPr="00375B9D">
        <w:rPr>
          <w:noProof/>
          <w:lang w:eastAsia="en-AU"/>
        </w:rPr>
        <w:t xml:space="preserve">: Payroll </w:t>
      </w:r>
      <w:r w:rsidR="006E4AAA">
        <w:rPr>
          <w:noProof/>
          <w:lang w:eastAsia="en-AU"/>
        </w:rPr>
        <w:t>t</w:t>
      </w:r>
      <w:r w:rsidRPr="00375B9D">
        <w:rPr>
          <w:noProof/>
          <w:lang w:eastAsia="en-AU"/>
        </w:rPr>
        <w:t xml:space="preserve">ax </w:t>
      </w:r>
      <w:r w:rsidR="0025602F">
        <w:rPr>
          <w:noProof/>
          <w:lang w:eastAsia="en-AU"/>
        </w:rPr>
        <w:t>nexus rules</w:t>
      </w:r>
      <w:bookmarkEnd w:id="116"/>
      <w:bookmarkEnd w:id="117"/>
    </w:p>
    <w:p w14:paraId="22BE265A" w14:textId="77777777" w:rsidR="00375B9D" w:rsidRPr="00375B9D" w:rsidRDefault="00375B9D" w:rsidP="00375B9D">
      <w:pPr>
        <w:rPr>
          <w:noProof/>
          <w:lang w:eastAsia="en-AU"/>
        </w:rPr>
      </w:pPr>
      <w:r w:rsidRPr="00375B9D">
        <w:rPr>
          <w:noProof/>
          <w:lang w:eastAsia="en-AU"/>
        </w:rPr>
        <w:drawing>
          <wp:inline distT="0" distB="0" distL="0" distR="0" wp14:anchorId="0E49BB15" wp14:editId="33EBDB16">
            <wp:extent cx="6491851" cy="3409950"/>
            <wp:effectExtent l="0" t="0" r="4445" b="0"/>
            <wp:docPr id="4" name="Picture 4" descr="Appendix 1 flow chart of payroll tax Nexus 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owchart for nexus.png"/>
                    <pic:cNvPicPr/>
                  </pic:nvPicPr>
                  <pic:blipFill rotWithShape="1">
                    <a:blip r:embed="rId64" cstate="print">
                      <a:extLst>
                        <a:ext uri="{28A0092B-C50C-407E-A947-70E740481C1C}">
                          <a14:useLocalDpi xmlns:a14="http://schemas.microsoft.com/office/drawing/2010/main" val="0"/>
                        </a:ext>
                      </a:extLst>
                    </a:blip>
                    <a:srcRect l="4463" t="17560" r="3176" b="13840"/>
                    <a:stretch/>
                  </pic:blipFill>
                  <pic:spPr bwMode="auto">
                    <a:xfrm>
                      <a:off x="0" y="0"/>
                      <a:ext cx="6497936" cy="3413146"/>
                    </a:xfrm>
                    <a:prstGeom prst="rect">
                      <a:avLst/>
                    </a:prstGeom>
                    <a:ln>
                      <a:noFill/>
                    </a:ln>
                    <a:extLst>
                      <a:ext uri="{53640926-AAD7-44D8-BBD7-CCE9431645EC}">
                        <a14:shadowObscured xmlns:a14="http://schemas.microsoft.com/office/drawing/2010/main"/>
                      </a:ext>
                    </a:extLst>
                  </pic:spPr>
                </pic:pic>
              </a:graphicData>
            </a:graphic>
          </wp:inline>
        </w:drawing>
      </w:r>
    </w:p>
    <w:p w14:paraId="73D215BC" w14:textId="77777777" w:rsidR="00375B9D" w:rsidRPr="00375B9D" w:rsidRDefault="00375B9D" w:rsidP="00375B9D">
      <w:pPr>
        <w:rPr>
          <w:noProof/>
          <w:lang w:eastAsia="en-AU"/>
        </w:rPr>
      </w:pPr>
      <w:r w:rsidRPr="00375B9D">
        <w:rPr>
          <w:noProof/>
          <w:lang w:eastAsia="en-AU"/>
        </w:rPr>
        <w:t xml:space="preserve"> </w:t>
      </w:r>
    </w:p>
    <w:p w14:paraId="5D98B6FB" w14:textId="77777777" w:rsidR="00375B9D" w:rsidRPr="00375B9D" w:rsidRDefault="00375B9D" w:rsidP="00375B9D">
      <w:pPr>
        <w:rPr>
          <w:noProof/>
          <w:lang w:eastAsia="en-AU"/>
        </w:rPr>
      </w:pPr>
    </w:p>
    <w:p w14:paraId="46B0B026" w14:textId="77777777" w:rsidR="00375B9D" w:rsidRPr="00375B9D" w:rsidRDefault="00375B9D" w:rsidP="00375B9D">
      <w:pPr>
        <w:rPr>
          <w:noProof/>
          <w:lang w:eastAsia="en-AU"/>
        </w:rPr>
      </w:pPr>
      <w:r w:rsidRPr="00375B9D">
        <w:rPr>
          <w:noProof/>
          <w:lang w:eastAsia="en-AU"/>
        </w:rPr>
        <w:t xml:space="preserve"> </w:t>
      </w:r>
    </w:p>
    <w:p w14:paraId="03626A0A" w14:textId="77777777" w:rsidR="00375B9D" w:rsidRPr="00375B9D" w:rsidRDefault="00375B9D" w:rsidP="00375B9D">
      <w:pPr>
        <w:rPr>
          <w:noProof/>
          <w:lang w:eastAsia="en-AU"/>
        </w:rPr>
      </w:pPr>
      <w:r w:rsidRPr="00375B9D">
        <w:rPr>
          <w:noProof/>
          <w:lang w:eastAsia="en-AU"/>
        </w:rPr>
        <w:br w:type="page"/>
      </w:r>
    </w:p>
    <w:p w14:paraId="718AB901" w14:textId="77777777" w:rsidR="00375B9D" w:rsidRPr="00375B9D" w:rsidRDefault="00375B9D" w:rsidP="00390881">
      <w:pPr>
        <w:pStyle w:val="Heading1"/>
        <w:rPr>
          <w:noProof/>
          <w:lang w:eastAsia="en-AU"/>
        </w:rPr>
      </w:pPr>
      <w:bookmarkStart w:id="118" w:name="Appendix2"/>
      <w:bookmarkStart w:id="119" w:name="_Toc467842767"/>
      <w:bookmarkStart w:id="120" w:name="_Toc108789606"/>
      <w:r w:rsidRPr="00375B9D">
        <w:rPr>
          <w:noProof/>
          <w:lang w:eastAsia="en-AU"/>
        </w:rPr>
        <w:lastRenderedPageBreak/>
        <w:t>Appendix 2</w:t>
      </w:r>
      <w:bookmarkEnd w:id="118"/>
      <w:r w:rsidRPr="00375B9D">
        <w:rPr>
          <w:noProof/>
          <w:lang w:eastAsia="en-AU"/>
        </w:rPr>
        <w:t xml:space="preserve">: Exempt </w:t>
      </w:r>
      <w:r w:rsidR="00FF2DD3">
        <w:rPr>
          <w:noProof/>
          <w:lang w:eastAsia="en-AU"/>
        </w:rPr>
        <w:t>r</w:t>
      </w:r>
      <w:r w:rsidRPr="00375B9D">
        <w:rPr>
          <w:noProof/>
          <w:lang w:eastAsia="en-AU"/>
        </w:rPr>
        <w:t xml:space="preserve">ates – </w:t>
      </w:r>
      <w:r w:rsidR="00D410C9">
        <w:rPr>
          <w:noProof/>
          <w:lang w:eastAsia="en-AU"/>
        </w:rPr>
        <w:t>m</w:t>
      </w:r>
      <w:r w:rsidRPr="00375B9D">
        <w:rPr>
          <w:noProof/>
          <w:lang w:eastAsia="en-AU"/>
        </w:rPr>
        <w:t xml:space="preserve">otor </w:t>
      </w:r>
      <w:r w:rsidR="00FF2DD3">
        <w:rPr>
          <w:noProof/>
          <w:lang w:eastAsia="en-AU"/>
        </w:rPr>
        <w:t>v</w:t>
      </w:r>
      <w:r w:rsidRPr="00375B9D">
        <w:rPr>
          <w:noProof/>
          <w:lang w:eastAsia="en-AU"/>
        </w:rPr>
        <w:t xml:space="preserve">ehicle and </w:t>
      </w:r>
      <w:r w:rsidR="00FF2DD3">
        <w:rPr>
          <w:noProof/>
          <w:lang w:eastAsia="en-AU"/>
        </w:rPr>
        <w:t>a</w:t>
      </w:r>
      <w:r w:rsidRPr="00375B9D">
        <w:rPr>
          <w:noProof/>
          <w:lang w:eastAsia="en-AU"/>
        </w:rPr>
        <w:t xml:space="preserve">ccommodation </w:t>
      </w:r>
      <w:r w:rsidR="00FF2DD3">
        <w:rPr>
          <w:noProof/>
          <w:lang w:eastAsia="en-AU"/>
        </w:rPr>
        <w:t>a</w:t>
      </w:r>
      <w:r w:rsidRPr="00375B9D">
        <w:rPr>
          <w:noProof/>
          <w:lang w:eastAsia="en-AU"/>
        </w:rPr>
        <w:t>llowance</w:t>
      </w:r>
      <w:bookmarkEnd w:id="119"/>
      <w:bookmarkEnd w:id="120"/>
    </w:p>
    <w:tbl>
      <w:tblPr>
        <w:tblStyle w:val="TableGridLight"/>
        <w:tblW w:w="10343" w:type="dxa"/>
        <w:tblLayout w:type="fixed"/>
        <w:tblLook w:val="04A0" w:firstRow="1" w:lastRow="0" w:firstColumn="1" w:lastColumn="0" w:noHBand="0" w:noVBand="1"/>
        <w:tblDescription w:val="Exempt Rates – Motor Vehicle and Accommodation Allowance"/>
      </w:tblPr>
      <w:tblGrid>
        <w:gridCol w:w="1696"/>
        <w:gridCol w:w="3544"/>
        <w:gridCol w:w="3119"/>
        <w:gridCol w:w="1984"/>
      </w:tblGrid>
      <w:tr w:rsidR="00864EDC" w:rsidRPr="00375B9D" w14:paraId="71E1931A" w14:textId="77777777" w:rsidTr="00937629">
        <w:trPr>
          <w:tblHeader/>
        </w:trPr>
        <w:tc>
          <w:tcPr>
            <w:tcW w:w="1696" w:type="dxa"/>
          </w:tcPr>
          <w:p w14:paraId="71E83E1E" w14:textId="77777777" w:rsidR="00864EDC" w:rsidRPr="00375B9D" w:rsidRDefault="00864EDC" w:rsidP="00864EDC">
            <w:pPr>
              <w:spacing w:after="200"/>
              <w:rPr>
                <w:noProof/>
                <w:lang w:val="en-GB" w:eastAsia="en-AU"/>
              </w:rPr>
            </w:pPr>
          </w:p>
        </w:tc>
        <w:tc>
          <w:tcPr>
            <w:tcW w:w="3544" w:type="dxa"/>
          </w:tcPr>
          <w:p w14:paraId="75A3EE52" w14:textId="77777777" w:rsidR="00864EDC" w:rsidRPr="00375B9D" w:rsidRDefault="00864EDC" w:rsidP="00864EDC">
            <w:pPr>
              <w:jc w:val="center"/>
              <w:rPr>
                <w:noProof/>
                <w:lang w:eastAsia="en-AU"/>
              </w:rPr>
            </w:pPr>
            <w:r w:rsidRPr="00375B9D">
              <w:rPr>
                <w:noProof/>
                <w:lang w:eastAsia="en-AU"/>
              </w:rPr>
              <w:t xml:space="preserve">Motor </w:t>
            </w:r>
            <w:r w:rsidR="007E1D6B">
              <w:rPr>
                <w:noProof/>
                <w:lang w:eastAsia="en-AU"/>
              </w:rPr>
              <w:t>v</w:t>
            </w:r>
            <w:r w:rsidRPr="00375B9D">
              <w:rPr>
                <w:noProof/>
                <w:lang w:eastAsia="en-AU"/>
              </w:rPr>
              <w:t>ehicles</w:t>
            </w:r>
          </w:p>
          <w:p w14:paraId="2CFAAF82" w14:textId="77777777" w:rsidR="00864EDC" w:rsidRPr="00375B9D" w:rsidRDefault="00864EDC" w:rsidP="00864EDC">
            <w:pPr>
              <w:jc w:val="center"/>
              <w:rPr>
                <w:noProof/>
                <w:lang w:eastAsia="en-AU"/>
              </w:rPr>
            </w:pPr>
            <w:r w:rsidRPr="00375B9D">
              <w:rPr>
                <w:noProof/>
                <w:lang w:eastAsia="en-AU"/>
              </w:rPr>
              <w:t>(per kilometre)</w:t>
            </w:r>
            <w:r>
              <w:rPr>
                <w:noProof/>
                <w:lang w:eastAsia="en-AU"/>
              </w:rPr>
              <w:t xml:space="preserve"> as set by the ATO</w:t>
            </w:r>
          </w:p>
        </w:tc>
        <w:tc>
          <w:tcPr>
            <w:tcW w:w="3119" w:type="dxa"/>
          </w:tcPr>
          <w:p w14:paraId="282BE179" w14:textId="77777777" w:rsidR="00864EDC" w:rsidRPr="00375B9D" w:rsidRDefault="00864EDC" w:rsidP="00864EDC">
            <w:pPr>
              <w:jc w:val="center"/>
              <w:rPr>
                <w:noProof/>
                <w:lang w:eastAsia="en-AU"/>
              </w:rPr>
            </w:pPr>
            <w:r w:rsidRPr="00375B9D">
              <w:rPr>
                <w:noProof/>
                <w:lang w:eastAsia="en-AU"/>
              </w:rPr>
              <w:t xml:space="preserve">Motor </w:t>
            </w:r>
            <w:r w:rsidR="007E1D6B">
              <w:rPr>
                <w:noProof/>
                <w:lang w:eastAsia="en-AU"/>
              </w:rPr>
              <w:t>v</w:t>
            </w:r>
            <w:r w:rsidRPr="00375B9D">
              <w:rPr>
                <w:noProof/>
                <w:lang w:eastAsia="en-AU"/>
              </w:rPr>
              <w:t>ehicles</w:t>
            </w:r>
          </w:p>
          <w:p w14:paraId="3675B13B" w14:textId="77777777" w:rsidR="00864EDC" w:rsidRPr="00375B9D" w:rsidRDefault="00864EDC" w:rsidP="00864EDC">
            <w:pPr>
              <w:spacing w:after="200"/>
              <w:jc w:val="center"/>
              <w:rPr>
                <w:noProof/>
                <w:lang w:val="en-GB" w:eastAsia="en-AU"/>
              </w:rPr>
            </w:pPr>
            <w:r w:rsidRPr="00375B9D">
              <w:rPr>
                <w:noProof/>
                <w:lang w:eastAsia="en-AU"/>
              </w:rPr>
              <w:t>(per kilometre)</w:t>
            </w:r>
            <w:r>
              <w:rPr>
                <w:noProof/>
                <w:lang w:eastAsia="en-AU"/>
              </w:rPr>
              <w:t xml:space="preserve"> for payroll tax</w:t>
            </w:r>
          </w:p>
        </w:tc>
        <w:tc>
          <w:tcPr>
            <w:tcW w:w="1984" w:type="dxa"/>
          </w:tcPr>
          <w:p w14:paraId="5C1CE8D7" w14:textId="77777777" w:rsidR="00864EDC" w:rsidRPr="00375B9D" w:rsidRDefault="00864EDC" w:rsidP="00864EDC">
            <w:pPr>
              <w:jc w:val="center"/>
              <w:rPr>
                <w:noProof/>
                <w:lang w:eastAsia="en-AU"/>
              </w:rPr>
            </w:pPr>
            <w:r w:rsidRPr="00375B9D">
              <w:rPr>
                <w:noProof/>
                <w:lang w:eastAsia="en-AU"/>
              </w:rPr>
              <w:t>Accommodation</w:t>
            </w:r>
          </w:p>
          <w:p w14:paraId="5C1D7A16" w14:textId="77777777" w:rsidR="00864EDC" w:rsidRPr="00375B9D" w:rsidRDefault="00864EDC" w:rsidP="00864EDC">
            <w:pPr>
              <w:spacing w:after="200"/>
              <w:jc w:val="center"/>
              <w:rPr>
                <w:noProof/>
                <w:lang w:val="en-GB" w:eastAsia="en-AU"/>
              </w:rPr>
            </w:pPr>
            <w:r w:rsidRPr="00375B9D">
              <w:rPr>
                <w:noProof/>
                <w:lang w:eastAsia="en-AU"/>
              </w:rPr>
              <w:t>(per night)</w:t>
            </w:r>
          </w:p>
        </w:tc>
      </w:tr>
      <w:tr w:rsidR="00EE32A2" w:rsidRPr="00375B9D" w14:paraId="4D247D70" w14:textId="77777777" w:rsidTr="00EE32A2">
        <w:trPr>
          <w:trHeight w:val="465"/>
        </w:trPr>
        <w:tc>
          <w:tcPr>
            <w:tcW w:w="1696" w:type="dxa"/>
          </w:tcPr>
          <w:p w14:paraId="75D548F9" w14:textId="77777777" w:rsidR="00EE32A2" w:rsidRDefault="00EE32A2" w:rsidP="0058415F">
            <w:pPr>
              <w:rPr>
                <w:noProof/>
                <w:lang w:eastAsia="en-AU"/>
              </w:rPr>
            </w:pPr>
            <w:r>
              <w:rPr>
                <w:noProof/>
                <w:lang w:eastAsia="en-AU"/>
              </w:rPr>
              <w:t>2023 to 2024</w:t>
            </w:r>
          </w:p>
        </w:tc>
        <w:tc>
          <w:tcPr>
            <w:tcW w:w="3544" w:type="dxa"/>
          </w:tcPr>
          <w:p w14:paraId="125D7477" w14:textId="77777777" w:rsidR="00EE32A2" w:rsidRDefault="00EE32A2" w:rsidP="0058415F">
            <w:pPr>
              <w:jc w:val="center"/>
              <w:rPr>
                <w:noProof/>
                <w:lang w:eastAsia="en-AU"/>
              </w:rPr>
            </w:pPr>
            <w:r>
              <w:rPr>
                <w:noProof/>
                <w:lang w:eastAsia="en-AU"/>
              </w:rPr>
              <w:t>85 cents</w:t>
            </w:r>
          </w:p>
        </w:tc>
        <w:tc>
          <w:tcPr>
            <w:tcW w:w="3119" w:type="dxa"/>
          </w:tcPr>
          <w:p w14:paraId="2649C463" w14:textId="77777777" w:rsidR="00EE32A2" w:rsidRDefault="00EE32A2" w:rsidP="0058415F">
            <w:pPr>
              <w:jc w:val="center"/>
              <w:rPr>
                <w:noProof/>
                <w:lang w:eastAsia="en-AU"/>
              </w:rPr>
            </w:pPr>
            <w:r>
              <w:rPr>
                <w:noProof/>
                <w:lang w:eastAsia="en-AU"/>
              </w:rPr>
              <w:t>78 cents</w:t>
            </w:r>
          </w:p>
        </w:tc>
        <w:tc>
          <w:tcPr>
            <w:tcW w:w="1984" w:type="dxa"/>
          </w:tcPr>
          <w:p w14:paraId="76FFC48E" w14:textId="77777777" w:rsidR="00EE32A2" w:rsidRDefault="00EE32A2" w:rsidP="0058415F">
            <w:pPr>
              <w:jc w:val="center"/>
              <w:rPr>
                <w:noProof/>
                <w:lang w:eastAsia="en-AU"/>
              </w:rPr>
            </w:pPr>
            <w:r>
              <w:rPr>
                <w:noProof/>
                <w:lang w:eastAsia="en-AU"/>
              </w:rPr>
              <w:t>$310.70</w:t>
            </w:r>
          </w:p>
        </w:tc>
      </w:tr>
      <w:tr w:rsidR="0058415F" w:rsidRPr="00375B9D" w14:paraId="3FC17E53" w14:textId="77777777" w:rsidTr="00864EDC">
        <w:tc>
          <w:tcPr>
            <w:tcW w:w="1696" w:type="dxa"/>
          </w:tcPr>
          <w:p w14:paraId="0BED034A" w14:textId="77777777" w:rsidR="0058415F" w:rsidRPr="0058415F" w:rsidRDefault="0058415F" w:rsidP="0058415F">
            <w:pPr>
              <w:spacing w:after="200"/>
              <w:rPr>
                <w:noProof/>
                <w:lang w:eastAsia="en-AU"/>
              </w:rPr>
            </w:pPr>
            <w:r>
              <w:rPr>
                <w:noProof/>
                <w:lang w:eastAsia="en-AU"/>
              </w:rPr>
              <w:t>2022 to 2023</w:t>
            </w:r>
          </w:p>
        </w:tc>
        <w:tc>
          <w:tcPr>
            <w:tcW w:w="3544" w:type="dxa"/>
          </w:tcPr>
          <w:p w14:paraId="1EA3D9F1" w14:textId="77777777" w:rsidR="0058415F" w:rsidRPr="00375B9D" w:rsidRDefault="0058415F" w:rsidP="0058415F">
            <w:pPr>
              <w:spacing w:after="200"/>
              <w:jc w:val="center"/>
              <w:rPr>
                <w:noProof/>
                <w:lang w:eastAsia="en-AU"/>
              </w:rPr>
            </w:pPr>
            <w:r>
              <w:rPr>
                <w:noProof/>
                <w:lang w:eastAsia="en-AU"/>
              </w:rPr>
              <w:t>78 cents</w:t>
            </w:r>
          </w:p>
        </w:tc>
        <w:tc>
          <w:tcPr>
            <w:tcW w:w="3119" w:type="dxa"/>
          </w:tcPr>
          <w:p w14:paraId="0EECC4E6" w14:textId="77777777" w:rsidR="0058415F" w:rsidRPr="00375B9D" w:rsidRDefault="0058415F" w:rsidP="0058415F">
            <w:pPr>
              <w:spacing w:after="200"/>
              <w:jc w:val="center"/>
              <w:rPr>
                <w:noProof/>
                <w:lang w:eastAsia="en-AU"/>
              </w:rPr>
            </w:pPr>
            <w:r>
              <w:rPr>
                <w:noProof/>
                <w:lang w:eastAsia="en-AU"/>
              </w:rPr>
              <w:t>72 cents</w:t>
            </w:r>
          </w:p>
        </w:tc>
        <w:tc>
          <w:tcPr>
            <w:tcW w:w="1984" w:type="dxa"/>
          </w:tcPr>
          <w:p w14:paraId="2C4A76EF" w14:textId="77777777" w:rsidR="0058415F" w:rsidRPr="00375B9D" w:rsidRDefault="0058415F" w:rsidP="0058415F">
            <w:pPr>
              <w:spacing w:after="200"/>
              <w:jc w:val="center"/>
              <w:rPr>
                <w:noProof/>
                <w:lang w:eastAsia="en-AU"/>
              </w:rPr>
            </w:pPr>
            <w:r>
              <w:rPr>
                <w:noProof/>
                <w:lang w:eastAsia="en-AU"/>
              </w:rPr>
              <w:t>$289.15</w:t>
            </w:r>
          </w:p>
        </w:tc>
      </w:tr>
      <w:tr w:rsidR="0058415F" w:rsidRPr="00375B9D" w14:paraId="7896AB30" w14:textId="77777777" w:rsidTr="00864EDC">
        <w:tc>
          <w:tcPr>
            <w:tcW w:w="1696" w:type="dxa"/>
          </w:tcPr>
          <w:p w14:paraId="7D180546" w14:textId="77777777" w:rsidR="0058415F" w:rsidRPr="0058415F" w:rsidRDefault="0058415F" w:rsidP="0058415F">
            <w:pPr>
              <w:spacing w:after="200"/>
              <w:rPr>
                <w:noProof/>
                <w:lang w:eastAsia="en-AU"/>
              </w:rPr>
            </w:pPr>
            <w:r w:rsidRPr="0058415F">
              <w:rPr>
                <w:noProof/>
                <w:lang w:eastAsia="en-AU"/>
              </w:rPr>
              <w:t>2021 to 2022</w:t>
            </w:r>
          </w:p>
        </w:tc>
        <w:tc>
          <w:tcPr>
            <w:tcW w:w="3544" w:type="dxa"/>
          </w:tcPr>
          <w:p w14:paraId="1D8F4771" w14:textId="77777777" w:rsidR="0058415F" w:rsidRPr="00375B9D" w:rsidRDefault="0058415F" w:rsidP="0058415F">
            <w:pPr>
              <w:spacing w:after="200"/>
              <w:jc w:val="center"/>
              <w:rPr>
                <w:noProof/>
                <w:lang w:eastAsia="en-AU"/>
              </w:rPr>
            </w:pPr>
            <w:r>
              <w:rPr>
                <w:noProof/>
                <w:lang w:eastAsia="en-AU"/>
              </w:rPr>
              <w:t>72 cents</w:t>
            </w:r>
          </w:p>
        </w:tc>
        <w:tc>
          <w:tcPr>
            <w:tcW w:w="3119" w:type="dxa"/>
          </w:tcPr>
          <w:p w14:paraId="1CB47B04" w14:textId="77777777" w:rsidR="0058415F" w:rsidRPr="00375B9D" w:rsidRDefault="0058415F" w:rsidP="0058415F">
            <w:pPr>
              <w:spacing w:after="200"/>
              <w:jc w:val="center"/>
              <w:rPr>
                <w:noProof/>
                <w:lang w:eastAsia="en-AU"/>
              </w:rPr>
            </w:pPr>
            <w:r>
              <w:rPr>
                <w:noProof/>
                <w:lang w:eastAsia="en-AU"/>
              </w:rPr>
              <w:t>72 cents</w:t>
            </w:r>
          </w:p>
        </w:tc>
        <w:tc>
          <w:tcPr>
            <w:tcW w:w="1984" w:type="dxa"/>
          </w:tcPr>
          <w:p w14:paraId="52E00E6F" w14:textId="77777777" w:rsidR="0058415F" w:rsidRPr="00375B9D" w:rsidRDefault="0058415F" w:rsidP="0058415F">
            <w:pPr>
              <w:spacing w:after="200"/>
              <w:jc w:val="center"/>
              <w:rPr>
                <w:noProof/>
                <w:lang w:eastAsia="en-AU"/>
              </w:rPr>
            </w:pPr>
            <w:r>
              <w:rPr>
                <w:noProof/>
                <w:lang w:eastAsia="en-AU"/>
              </w:rPr>
              <w:t>$285.65</w:t>
            </w:r>
          </w:p>
        </w:tc>
      </w:tr>
      <w:tr w:rsidR="0058415F" w:rsidRPr="00375B9D" w14:paraId="0C152862" w14:textId="77777777" w:rsidTr="00864EDC">
        <w:tc>
          <w:tcPr>
            <w:tcW w:w="1696" w:type="dxa"/>
          </w:tcPr>
          <w:p w14:paraId="47323BBC" w14:textId="77777777" w:rsidR="0058415F" w:rsidRPr="00375B9D" w:rsidRDefault="0058415F" w:rsidP="0058415F">
            <w:pPr>
              <w:spacing w:after="200"/>
              <w:rPr>
                <w:noProof/>
                <w:lang w:eastAsia="en-AU"/>
              </w:rPr>
            </w:pPr>
            <w:r>
              <w:rPr>
                <w:noProof/>
                <w:lang w:eastAsia="en-AU"/>
              </w:rPr>
              <w:t>2020 to 2021</w:t>
            </w:r>
          </w:p>
        </w:tc>
        <w:tc>
          <w:tcPr>
            <w:tcW w:w="3544" w:type="dxa"/>
          </w:tcPr>
          <w:p w14:paraId="6D2A7954" w14:textId="77777777" w:rsidR="0058415F" w:rsidRDefault="0058415F" w:rsidP="0058415F">
            <w:pPr>
              <w:jc w:val="center"/>
              <w:rPr>
                <w:noProof/>
                <w:lang w:eastAsia="en-AU"/>
              </w:rPr>
            </w:pPr>
            <w:r>
              <w:rPr>
                <w:noProof/>
                <w:lang w:eastAsia="en-AU"/>
              </w:rPr>
              <w:t>72 cents</w:t>
            </w:r>
          </w:p>
        </w:tc>
        <w:tc>
          <w:tcPr>
            <w:tcW w:w="3119" w:type="dxa"/>
          </w:tcPr>
          <w:p w14:paraId="117D8A26" w14:textId="77777777" w:rsidR="0058415F" w:rsidRPr="00375B9D" w:rsidRDefault="0058415F" w:rsidP="0058415F">
            <w:pPr>
              <w:spacing w:after="200"/>
              <w:jc w:val="center"/>
              <w:rPr>
                <w:noProof/>
                <w:lang w:eastAsia="en-AU"/>
              </w:rPr>
            </w:pPr>
            <w:r w:rsidRPr="00375B9D">
              <w:rPr>
                <w:noProof/>
                <w:lang w:eastAsia="en-AU"/>
              </w:rPr>
              <w:t>68 cents</w:t>
            </w:r>
          </w:p>
        </w:tc>
        <w:tc>
          <w:tcPr>
            <w:tcW w:w="1984" w:type="dxa"/>
          </w:tcPr>
          <w:p w14:paraId="18298662" w14:textId="77777777" w:rsidR="0058415F" w:rsidRPr="00375B9D" w:rsidRDefault="0058415F" w:rsidP="0058415F">
            <w:pPr>
              <w:spacing w:after="200"/>
              <w:jc w:val="center"/>
              <w:rPr>
                <w:noProof/>
                <w:lang w:eastAsia="en-AU"/>
              </w:rPr>
            </w:pPr>
            <w:r>
              <w:rPr>
                <w:noProof/>
                <w:lang w:eastAsia="en-AU"/>
              </w:rPr>
              <w:t>$283.45</w:t>
            </w:r>
          </w:p>
        </w:tc>
      </w:tr>
      <w:tr w:rsidR="0058415F" w:rsidRPr="00375B9D" w14:paraId="293D9C4C" w14:textId="77777777" w:rsidTr="00864EDC">
        <w:tc>
          <w:tcPr>
            <w:tcW w:w="1696" w:type="dxa"/>
          </w:tcPr>
          <w:p w14:paraId="22BAF5B8" w14:textId="77777777" w:rsidR="0058415F" w:rsidRPr="00375B9D" w:rsidRDefault="0058415F" w:rsidP="0058415F">
            <w:pPr>
              <w:spacing w:after="200"/>
              <w:rPr>
                <w:noProof/>
                <w:lang w:eastAsia="en-AU"/>
              </w:rPr>
            </w:pPr>
            <w:r w:rsidRPr="00375B9D">
              <w:rPr>
                <w:noProof/>
                <w:lang w:eastAsia="en-AU"/>
              </w:rPr>
              <w:t>2019 to 2020</w:t>
            </w:r>
          </w:p>
        </w:tc>
        <w:tc>
          <w:tcPr>
            <w:tcW w:w="3544" w:type="dxa"/>
          </w:tcPr>
          <w:p w14:paraId="79715D92" w14:textId="77777777" w:rsidR="0058415F" w:rsidRPr="00375B9D" w:rsidRDefault="0058415F" w:rsidP="0058415F">
            <w:pPr>
              <w:jc w:val="center"/>
              <w:rPr>
                <w:noProof/>
                <w:lang w:eastAsia="en-AU"/>
              </w:rPr>
            </w:pPr>
            <w:r w:rsidRPr="00375B9D">
              <w:rPr>
                <w:noProof/>
                <w:lang w:eastAsia="en-AU"/>
              </w:rPr>
              <w:t>68 cents</w:t>
            </w:r>
          </w:p>
        </w:tc>
        <w:tc>
          <w:tcPr>
            <w:tcW w:w="3119" w:type="dxa"/>
          </w:tcPr>
          <w:p w14:paraId="0D1FA00E" w14:textId="77777777" w:rsidR="0058415F" w:rsidRPr="00375B9D" w:rsidRDefault="0058415F" w:rsidP="0058415F">
            <w:pPr>
              <w:spacing w:after="200"/>
              <w:jc w:val="center"/>
              <w:rPr>
                <w:noProof/>
                <w:lang w:eastAsia="en-AU"/>
              </w:rPr>
            </w:pPr>
            <w:r w:rsidRPr="00375B9D">
              <w:rPr>
                <w:noProof/>
                <w:lang w:eastAsia="en-AU"/>
              </w:rPr>
              <w:t>68 cents</w:t>
            </w:r>
          </w:p>
        </w:tc>
        <w:tc>
          <w:tcPr>
            <w:tcW w:w="1984" w:type="dxa"/>
          </w:tcPr>
          <w:p w14:paraId="114BEFDD" w14:textId="77777777" w:rsidR="0058415F" w:rsidRPr="00375B9D" w:rsidRDefault="0058415F" w:rsidP="0058415F">
            <w:pPr>
              <w:spacing w:after="200"/>
              <w:jc w:val="center"/>
              <w:rPr>
                <w:noProof/>
                <w:lang w:eastAsia="en-AU"/>
              </w:rPr>
            </w:pPr>
            <w:r w:rsidRPr="00375B9D">
              <w:rPr>
                <w:noProof/>
                <w:lang w:eastAsia="en-AU"/>
              </w:rPr>
              <w:t>$280.75</w:t>
            </w:r>
          </w:p>
        </w:tc>
      </w:tr>
      <w:tr w:rsidR="0058415F" w:rsidRPr="00375B9D" w14:paraId="5AD3291A" w14:textId="77777777" w:rsidTr="00864EDC">
        <w:tc>
          <w:tcPr>
            <w:tcW w:w="1696" w:type="dxa"/>
          </w:tcPr>
          <w:p w14:paraId="3BA1CD20" w14:textId="77777777" w:rsidR="0058415F" w:rsidRPr="00375B9D" w:rsidRDefault="0058415F" w:rsidP="0058415F">
            <w:pPr>
              <w:spacing w:after="200"/>
              <w:rPr>
                <w:noProof/>
                <w:lang w:eastAsia="en-AU"/>
              </w:rPr>
            </w:pPr>
            <w:r w:rsidRPr="00375B9D">
              <w:rPr>
                <w:noProof/>
                <w:lang w:eastAsia="en-AU"/>
              </w:rPr>
              <w:t>2018 to 2019</w:t>
            </w:r>
          </w:p>
        </w:tc>
        <w:tc>
          <w:tcPr>
            <w:tcW w:w="3544" w:type="dxa"/>
          </w:tcPr>
          <w:p w14:paraId="49472356" w14:textId="77777777" w:rsidR="0058415F" w:rsidRPr="00375B9D" w:rsidRDefault="0058415F" w:rsidP="0058415F">
            <w:pPr>
              <w:jc w:val="center"/>
              <w:rPr>
                <w:noProof/>
                <w:lang w:eastAsia="en-AU"/>
              </w:rPr>
            </w:pPr>
            <w:r w:rsidRPr="00375B9D">
              <w:rPr>
                <w:noProof/>
                <w:lang w:eastAsia="en-AU"/>
              </w:rPr>
              <w:t>68 cents</w:t>
            </w:r>
          </w:p>
        </w:tc>
        <w:tc>
          <w:tcPr>
            <w:tcW w:w="3119" w:type="dxa"/>
          </w:tcPr>
          <w:p w14:paraId="4923647F" w14:textId="77777777" w:rsidR="0058415F" w:rsidRPr="00375B9D" w:rsidRDefault="0058415F" w:rsidP="0058415F">
            <w:pPr>
              <w:spacing w:after="200"/>
              <w:jc w:val="center"/>
              <w:rPr>
                <w:noProof/>
                <w:lang w:eastAsia="en-AU"/>
              </w:rPr>
            </w:pPr>
            <w:r w:rsidRPr="00375B9D">
              <w:rPr>
                <w:noProof/>
                <w:lang w:eastAsia="en-AU"/>
              </w:rPr>
              <w:t>66 cents</w:t>
            </w:r>
          </w:p>
        </w:tc>
        <w:tc>
          <w:tcPr>
            <w:tcW w:w="1984" w:type="dxa"/>
          </w:tcPr>
          <w:p w14:paraId="6DD33633" w14:textId="77777777" w:rsidR="0058415F" w:rsidRPr="00375B9D" w:rsidRDefault="0058415F" w:rsidP="0058415F">
            <w:pPr>
              <w:spacing w:after="200"/>
              <w:jc w:val="center"/>
              <w:rPr>
                <w:noProof/>
                <w:lang w:eastAsia="en-AU"/>
              </w:rPr>
            </w:pPr>
            <w:r w:rsidRPr="00375B9D">
              <w:rPr>
                <w:noProof/>
                <w:lang w:eastAsia="en-AU"/>
              </w:rPr>
              <w:t>$278.05</w:t>
            </w:r>
          </w:p>
        </w:tc>
      </w:tr>
      <w:tr w:rsidR="0058415F" w:rsidRPr="00375B9D" w14:paraId="3C0F85A4" w14:textId="77777777" w:rsidTr="00864EDC">
        <w:tc>
          <w:tcPr>
            <w:tcW w:w="1696" w:type="dxa"/>
          </w:tcPr>
          <w:p w14:paraId="71DCBDE8" w14:textId="77777777" w:rsidR="0058415F" w:rsidRPr="00375B9D" w:rsidRDefault="0058415F" w:rsidP="0058415F">
            <w:pPr>
              <w:spacing w:after="200"/>
              <w:rPr>
                <w:noProof/>
                <w:lang w:eastAsia="en-AU"/>
              </w:rPr>
            </w:pPr>
            <w:r w:rsidRPr="00375B9D">
              <w:rPr>
                <w:noProof/>
                <w:lang w:eastAsia="en-AU"/>
              </w:rPr>
              <w:t>2017 to 2018</w:t>
            </w:r>
          </w:p>
        </w:tc>
        <w:tc>
          <w:tcPr>
            <w:tcW w:w="3544" w:type="dxa"/>
          </w:tcPr>
          <w:p w14:paraId="3C6E69F6" w14:textId="77777777" w:rsidR="0058415F" w:rsidRPr="00375B9D" w:rsidRDefault="0058415F" w:rsidP="0058415F">
            <w:pPr>
              <w:jc w:val="center"/>
              <w:rPr>
                <w:noProof/>
                <w:lang w:eastAsia="en-AU"/>
              </w:rPr>
            </w:pPr>
            <w:r w:rsidRPr="00375B9D">
              <w:rPr>
                <w:noProof/>
                <w:lang w:eastAsia="en-AU"/>
              </w:rPr>
              <w:t>66 cents</w:t>
            </w:r>
          </w:p>
        </w:tc>
        <w:tc>
          <w:tcPr>
            <w:tcW w:w="3119" w:type="dxa"/>
          </w:tcPr>
          <w:p w14:paraId="72E3E5CB" w14:textId="77777777" w:rsidR="0058415F" w:rsidRPr="00375B9D" w:rsidRDefault="0058415F" w:rsidP="0058415F">
            <w:pPr>
              <w:spacing w:after="200"/>
              <w:jc w:val="center"/>
              <w:rPr>
                <w:noProof/>
                <w:lang w:eastAsia="en-AU"/>
              </w:rPr>
            </w:pPr>
            <w:r w:rsidRPr="00375B9D">
              <w:rPr>
                <w:noProof/>
                <w:lang w:eastAsia="en-AU"/>
              </w:rPr>
              <w:t>66 cents</w:t>
            </w:r>
          </w:p>
        </w:tc>
        <w:tc>
          <w:tcPr>
            <w:tcW w:w="1984" w:type="dxa"/>
          </w:tcPr>
          <w:p w14:paraId="2BF39E60" w14:textId="77777777" w:rsidR="0058415F" w:rsidRPr="00375B9D" w:rsidRDefault="0058415F" w:rsidP="0058415F">
            <w:pPr>
              <w:spacing w:after="200"/>
              <w:jc w:val="center"/>
              <w:rPr>
                <w:noProof/>
                <w:lang w:eastAsia="en-AU"/>
              </w:rPr>
            </w:pPr>
            <w:r w:rsidRPr="00375B9D">
              <w:rPr>
                <w:noProof/>
                <w:lang w:eastAsia="en-AU"/>
              </w:rPr>
              <w:t>$266.70</w:t>
            </w:r>
          </w:p>
        </w:tc>
      </w:tr>
      <w:tr w:rsidR="0058415F" w:rsidRPr="00375B9D" w14:paraId="47B894CC" w14:textId="77777777" w:rsidTr="00864EDC">
        <w:tc>
          <w:tcPr>
            <w:tcW w:w="1696" w:type="dxa"/>
          </w:tcPr>
          <w:p w14:paraId="3A86CA55" w14:textId="77777777" w:rsidR="0058415F" w:rsidRPr="00375B9D" w:rsidRDefault="0058415F" w:rsidP="0058415F">
            <w:pPr>
              <w:spacing w:after="200"/>
              <w:rPr>
                <w:noProof/>
                <w:lang w:eastAsia="en-AU"/>
              </w:rPr>
            </w:pPr>
            <w:r w:rsidRPr="00375B9D">
              <w:rPr>
                <w:noProof/>
                <w:lang w:eastAsia="en-AU"/>
              </w:rPr>
              <w:t>2016 to 2017</w:t>
            </w:r>
          </w:p>
        </w:tc>
        <w:tc>
          <w:tcPr>
            <w:tcW w:w="3544" w:type="dxa"/>
          </w:tcPr>
          <w:p w14:paraId="600CEBFA" w14:textId="77777777" w:rsidR="0058415F" w:rsidRPr="00375B9D" w:rsidRDefault="0058415F" w:rsidP="0058415F">
            <w:pPr>
              <w:jc w:val="center"/>
              <w:rPr>
                <w:noProof/>
                <w:lang w:eastAsia="en-AU"/>
              </w:rPr>
            </w:pPr>
            <w:r w:rsidRPr="00375B9D">
              <w:rPr>
                <w:noProof/>
                <w:lang w:eastAsia="en-AU"/>
              </w:rPr>
              <w:t>66 cents</w:t>
            </w:r>
          </w:p>
        </w:tc>
        <w:tc>
          <w:tcPr>
            <w:tcW w:w="3119" w:type="dxa"/>
          </w:tcPr>
          <w:p w14:paraId="6AC5D280" w14:textId="77777777" w:rsidR="0058415F" w:rsidRPr="00375B9D" w:rsidRDefault="0058415F" w:rsidP="0058415F">
            <w:pPr>
              <w:spacing w:after="200"/>
              <w:jc w:val="center"/>
              <w:rPr>
                <w:noProof/>
                <w:lang w:eastAsia="en-AU"/>
              </w:rPr>
            </w:pPr>
            <w:r w:rsidRPr="00375B9D">
              <w:rPr>
                <w:noProof/>
                <w:lang w:eastAsia="en-AU"/>
              </w:rPr>
              <w:t>77 cents</w:t>
            </w:r>
          </w:p>
        </w:tc>
        <w:tc>
          <w:tcPr>
            <w:tcW w:w="1984" w:type="dxa"/>
          </w:tcPr>
          <w:p w14:paraId="42295BEE" w14:textId="77777777" w:rsidR="0058415F" w:rsidRPr="00375B9D" w:rsidRDefault="0058415F" w:rsidP="0058415F">
            <w:pPr>
              <w:spacing w:after="200"/>
              <w:jc w:val="center"/>
              <w:rPr>
                <w:noProof/>
                <w:lang w:eastAsia="en-AU"/>
              </w:rPr>
            </w:pPr>
            <w:r w:rsidRPr="00375B9D">
              <w:rPr>
                <w:noProof/>
                <w:lang w:eastAsia="en-AU"/>
              </w:rPr>
              <w:t>$257.95</w:t>
            </w:r>
          </w:p>
        </w:tc>
      </w:tr>
      <w:tr w:rsidR="0058415F" w:rsidRPr="00375B9D" w14:paraId="22BC196C" w14:textId="77777777" w:rsidTr="00864EDC">
        <w:tc>
          <w:tcPr>
            <w:tcW w:w="1696" w:type="dxa"/>
          </w:tcPr>
          <w:p w14:paraId="0F314010" w14:textId="77777777" w:rsidR="0058415F" w:rsidRPr="00375B9D" w:rsidRDefault="0058415F" w:rsidP="0058415F">
            <w:pPr>
              <w:spacing w:after="200"/>
              <w:rPr>
                <w:noProof/>
                <w:lang w:eastAsia="en-AU"/>
              </w:rPr>
            </w:pPr>
            <w:r w:rsidRPr="00375B9D">
              <w:rPr>
                <w:noProof/>
                <w:lang w:eastAsia="en-AU"/>
              </w:rPr>
              <w:t>2015 to 2016</w:t>
            </w:r>
          </w:p>
        </w:tc>
        <w:tc>
          <w:tcPr>
            <w:tcW w:w="3544" w:type="dxa"/>
          </w:tcPr>
          <w:p w14:paraId="6F735324" w14:textId="77777777" w:rsidR="0058415F" w:rsidRPr="00375B9D" w:rsidRDefault="0058415F" w:rsidP="0058415F">
            <w:pPr>
              <w:jc w:val="center"/>
              <w:rPr>
                <w:noProof/>
                <w:lang w:eastAsia="en-AU"/>
              </w:rPr>
            </w:pPr>
            <w:r w:rsidRPr="00375B9D">
              <w:rPr>
                <w:noProof/>
                <w:lang w:eastAsia="en-AU"/>
              </w:rPr>
              <w:t>77 cents</w:t>
            </w:r>
          </w:p>
        </w:tc>
        <w:tc>
          <w:tcPr>
            <w:tcW w:w="3119" w:type="dxa"/>
          </w:tcPr>
          <w:p w14:paraId="36498829" w14:textId="77777777" w:rsidR="0058415F" w:rsidRPr="00375B9D" w:rsidRDefault="0058415F" w:rsidP="0058415F">
            <w:pPr>
              <w:spacing w:after="200"/>
              <w:jc w:val="center"/>
              <w:rPr>
                <w:noProof/>
                <w:lang w:eastAsia="en-AU"/>
              </w:rPr>
            </w:pPr>
            <w:r w:rsidRPr="00375B9D">
              <w:rPr>
                <w:noProof/>
                <w:lang w:eastAsia="en-AU"/>
              </w:rPr>
              <w:t>77 cents</w:t>
            </w:r>
          </w:p>
        </w:tc>
        <w:tc>
          <w:tcPr>
            <w:tcW w:w="1984" w:type="dxa"/>
          </w:tcPr>
          <w:p w14:paraId="3DF95EF1" w14:textId="77777777" w:rsidR="0058415F" w:rsidRPr="00375B9D" w:rsidRDefault="0058415F" w:rsidP="0058415F">
            <w:pPr>
              <w:spacing w:after="200"/>
              <w:jc w:val="center"/>
              <w:rPr>
                <w:noProof/>
                <w:lang w:eastAsia="en-AU"/>
              </w:rPr>
            </w:pPr>
            <w:r w:rsidRPr="00375B9D">
              <w:rPr>
                <w:noProof/>
                <w:lang w:eastAsia="en-AU"/>
              </w:rPr>
              <w:t>$255.45</w:t>
            </w:r>
          </w:p>
        </w:tc>
      </w:tr>
      <w:tr w:rsidR="0058415F" w:rsidRPr="00375B9D" w14:paraId="0BE4C08B" w14:textId="77777777" w:rsidTr="00864EDC">
        <w:tc>
          <w:tcPr>
            <w:tcW w:w="1696" w:type="dxa"/>
          </w:tcPr>
          <w:p w14:paraId="2527FDDB" w14:textId="77777777" w:rsidR="0058415F" w:rsidRPr="00375B9D" w:rsidRDefault="0058415F" w:rsidP="0058415F">
            <w:pPr>
              <w:spacing w:after="200"/>
              <w:rPr>
                <w:noProof/>
                <w:lang w:eastAsia="en-AU"/>
              </w:rPr>
            </w:pPr>
            <w:r w:rsidRPr="00375B9D">
              <w:rPr>
                <w:noProof/>
                <w:lang w:eastAsia="en-AU"/>
              </w:rPr>
              <w:t>2014 to 2015</w:t>
            </w:r>
          </w:p>
        </w:tc>
        <w:tc>
          <w:tcPr>
            <w:tcW w:w="3544" w:type="dxa"/>
          </w:tcPr>
          <w:p w14:paraId="0A428830" w14:textId="77777777" w:rsidR="0058415F" w:rsidRPr="00375B9D" w:rsidRDefault="0058415F" w:rsidP="0058415F">
            <w:pPr>
              <w:jc w:val="center"/>
              <w:rPr>
                <w:noProof/>
                <w:lang w:eastAsia="en-AU"/>
              </w:rPr>
            </w:pPr>
            <w:r w:rsidRPr="00375B9D">
              <w:rPr>
                <w:noProof/>
                <w:lang w:eastAsia="en-AU"/>
              </w:rPr>
              <w:t>77 cents</w:t>
            </w:r>
          </w:p>
        </w:tc>
        <w:tc>
          <w:tcPr>
            <w:tcW w:w="3119" w:type="dxa"/>
          </w:tcPr>
          <w:p w14:paraId="356F53CF" w14:textId="77777777" w:rsidR="0058415F" w:rsidRPr="00375B9D" w:rsidRDefault="0058415F" w:rsidP="0058415F">
            <w:pPr>
              <w:spacing w:after="200"/>
              <w:jc w:val="center"/>
              <w:rPr>
                <w:noProof/>
                <w:lang w:eastAsia="en-AU"/>
              </w:rPr>
            </w:pPr>
            <w:r w:rsidRPr="00375B9D">
              <w:rPr>
                <w:noProof/>
                <w:lang w:eastAsia="en-AU"/>
              </w:rPr>
              <w:t>75 cents</w:t>
            </w:r>
          </w:p>
        </w:tc>
        <w:tc>
          <w:tcPr>
            <w:tcW w:w="1984" w:type="dxa"/>
          </w:tcPr>
          <w:p w14:paraId="0AEEF2C9" w14:textId="77777777" w:rsidR="0058415F" w:rsidRPr="00375B9D" w:rsidRDefault="0058415F" w:rsidP="0058415F">
            <w:pPr>
              <w:spacing w:after="200"/>
              <w:jc w:val="center"/>
              <w:rPr>
                <w:noProof/>
                <w:lang w:eastAsia="en-AU"/>
              </w:rPr>
            </w:pPr>
            <w:r w:rsidRPr="00375B9D">
              <w:rPr>
                <w:noProof/>
                <w:lang w:eastAsia="en-AU"/>
              </w:rPr>
              <w:t>$253.25</w:t>
            </w:r>
          </w:p>
        </w:tc>
      </w:tr>
      <w:tr w:rsidR="0058415F" w:rsidRPr="00375B9D" w14:paraId="7D759744" w14:textId="77777777" w:rsidTr="00864EDC">
        <w:tc>
          <w:tcPr>
            <w:tcW w:w="1696" w:type="dxa"/>
          </w:tcPr>
          <w:p w14:paraId="61BB5ED3" w14:textId="77777777" w:rsidR="0058415F" w:rsidRPr="00375B9D" w:rsidRDefault="0058415F" w:rsidP="0058415F">
            <w:pPr>
              <w:spacing w:after="200"/>
              <w:rPr>
                <w:noProof/>
                <w:lang w:eastAsia="en-AU"/>
              </w:rPr>
            </w:pPr>
            <w:r w:rsidRPr="00375B9D">
              <w:rPr>
                <w:noProof/>
                <w:lang w:eastAsia="en-AU"/>
              </w:rPr>
              <w:t>2013 to 2014</w:t>
            </w:r>
          </w:p>
        </w:tc>
        <w:tc>
          <w:tcPr>
            <w:tcW w:w="3544" w:type="dxa"/>
          </w:tcPr>
          <w:p w14:paraId="6C31A5AF" w14:textId="77777777" w:rsidR="0058415F" w:rsidRPr="00375B9D" w:rsidRDefault="0058415F" w:rsidP="0058415F">
            <w:pPr>
              <w:jc w:val="center"/>
              <w:rPr>
                <w:noProof/>
                <w:lang w:eastAsia="en-AU"/>
              </w:rPr>
            </w:pPr>
            <w:r w:rsidRPr="00375B9D">
              <w:rPr>
                <w:noProof/>
                <w:lang w:eastAsia="en-AU"/>
              </w:rPr>
              <w:t>75 cents</w:t>
            </w:r>
          </w:p>
        </w:tc>
        <w:tc>
          <w:tcPr>
            <w:tcW w:w="3119" w:type="dxa"/>
          </w:tcPr>
          <w:p w14:paraId="47AE0D08" w14:textId="77777777" w:rsidR="0058415F" w:rsidRPr="00375B9D" w:rsidRDefault="0058415F" w:rsidP="0058415F">
            <w:pPr>
              <w:spacing w:after="200"/>
              <w:jc w:val="center"/>
              <w:rPr>
                <w:noProof/>
                <w:lang w:eastAsia="en-AU"/>
              </w:rPr>
            </w:pPr>
            <w:r w:rsidRPr="00375B9D">
              <w:rPr>
                <w:noProof/>
                <w:lang w:eastAsia="en-AU"/>
              </w:rPr>
              <w:t>75 cents</w:t>
            </w:r>
          </w:p>
        </w:tc>
        <w:tc>
          <w:tcPr>
            <w:tcW w:w="1984" w:type="dxa"/>
          </w:tcPr>
          <w:p w14:paraId="7B36B974" w14:textId="77777777" w:rsidR="0058415F" w:rsidRPr="00375B9D" w:rsidRDefault="0058415F" w:rsidP="0058415F">
            <w:pPr>
              <w:spacing w:after="200"/>
              <w:jc w:val="center"/>
              <w:rPr>
                <w:noProof/>
                <w:lang w:eastAsia="en-AU"/>
              </w:rPr>
            </w:pPr>
            <w:r w:rsidRPr="00375B9D">
              <w:rPr>
                <w:noProof/>
                <w:lang w:eastAsia="en-AU"/>
              </w:rPr>
              <w:t>$250.85</w:t>
            </w:r>
          </w:p>
        </w:tc>
      </w:tr>
      <w:tr w:rsidR="0058415F" w:rsidRPr="00375B9D" w14:paraId="5C556D82" w14:textId="77777777" w:rsidTr="00864EDC">
        <w:tc>
          <w:tcPr>
            <w:tcW w:w="1696" w:type="dxa"/>
          </w:tcPr>
          <w:p w14:paraId="2338FCEC" w14:textId="77777777" w:rsidR="0058415F" w:rsidRPr="00375B9D" w:rsidRDefault="0058415F" w:rsidP="0058415F">
            <w:pPr>
              <w:spacing w:after="200"/>
              <w:rPr>
                <w:noProof/>
                <w:lang w:eastAsia="en-AU"/>
              </w:rPr>
            </w:pPr>
            <w:r w:rsidRPr="00375B9D">
              <w:rPr>
                <w:noProof/>
                <w:lang w:eastAsia="en-AU"/>
              </w:rPr>
              <w:t>2012 to 2013</w:t>
            </w:r>
          </w:p>
        </w:tc>
        <w:tc>
          <w:tcPr>
            <w:tcW w:w="3544" w:type="dxa"/>
          </w:tcPr>
          <w:p w14:paraId="5C4BAEE4" w14:textId="77777777" w:rsidR="0058415F" w:rsidRPr="00375B9D" w:rsidRDefault="0058415F" w:rsidP="0058415F">
            <w:pPr>
              <w:jc w:val="center"/>
              <w:rPr>
                <w:noProof/>
                <w:lang w:eastAsia="en-AU"/>
              </w:rPr>
            </w:pPr>
            <w:r w:rsidRPr="00375B9D">
              <w:rPr>
                <w:noProof/>
                <w:lang w:eastAsia="en-AU"/>
              </w:rPr>
              <w:t>75 cents</w:t>
            </w:r>
          </w:p>
        </w:tc>
        <w:tc>
          <w:tcPr>
            <w:tcW w:w="3119" w:type="dxa"/>
          </w:tcPr>
          <w:p w14:paraId="5E8153C4" w14:textId="77777777" w:rsidR="0058415F" w:rsidRPr="00375B9D" w:rsidRDefault="0058415F" w:rsidP="0058415F">
            <w:pPr>
              <w:spacing w:after="200"/>
              <w:jc w:val="center"/>
              <w:rPr>
                <w:noProof/>
                <w:lang w:eastAsia="en-AU"/>
              </w:rPr>
            </w:pPr>
            <w:r w:rsidRPr="00375B9D">
              <w:rPr>
                <w:noProof/>
                <w:lang w:eastAsia="en-AU"/>
              </w:rPr>
              <w:t>75 cents</w:t>
            </w:r>
          </w:p>
        </w:tc>
        <w:tc>
          <w:tcPr>
            <w:tcW w:w="1984" w:type="dxa"/>
          </w:tcPr>
          <w:p w14:paraId="22777879" w14:textId="77777777" w:rsidR="0058415F" w:rsidRPr="00375B9D" w:rsidRDefault="0058415F" w:rsidP="0058415F">
            <w:pPr>
              <w:spacing w:after="200"/>
              <w:jc w:val="center"/>
              <w:rPr>
                <w:noProof/>
                <w:lang w:eastAsia="en-AU"/>
              </w:rPr>
            </w:pPr>
            <w:r w:rsidRPr="00375B9D">
              <w:rPr>
                <w:noProof/>
                <w:lang w:eastAsia="en-AU"/>
              </w:rPr>
              <w:t>$248.25</w:t>
            </w:r>
          </w:p>
        </w:tc>
      </w:tr>
      <w:tr w:rsidR="0058415F" w:rsidRPr="00375B9D" w14:paraId="6DA80BAC" w14:textId="77777777" w:rsidTr="00864EDC">
        <w:tc>
          <w:tcPr>
            <w:tcW w:w="1696" w:type="dxa"/>
          </w:tcPr>
          <w:p w14:paraId="5456ECDE" w14:textId="77777777" w:rsidR="0058415F" w:rsidRPr="00375B9D" w:rsidRDefault="0058415F" w:rsidP="0058415F">
            <w:pPr>
              <w:spacing w:after="200"/>
              <w:rPr>
                <w:noProof/>
                <w:lang w:eastAsia="en-AU"/>
              </w:rPr>
            </w:pPr>
            <w:r w:rsidRPr="00375B9D">
              <w:rPr>
                <w:noProof/>
                <w:lang w:eastAsia="en-AU"/>
              </w:rPr>
              <w:t>2011 to 2012</w:t>
            </w:r>
          </w:p>
        </w:tc>
        <w:tc>
          <w:tcPr>
            <w:tcW w:w="3544" w:type="dxa"/>
          </w:tcPr>
          <w:p w14:paraId="25C9D5EB" w14:textId="77777777" w:rsidR="0058415F" w:rsidRPr="00375B9D" w:rsidRDefault="0058415F" w:rsidP="0058415F">
            <w:pPr>
              <w:jc w:val="center"/>
              <w:rPr>
                <w:noProof/>
                <w:lang w:eastAsia="en-AU"/>
              </w:rPr>
            </w:pPr>
            <w:r w:rsidRPr="00375B9D">
              <w:rPr>
                <w:noProof/>
                <w:lang w:eastAsia="en-AU"/>
              </w:rPr>
              <w:t>75 cents</w:t>
            </w:r>
          </w:p>
        </w:tc>
        <w:tc>
          <w:tcPr>
            <w:tcW w:w="3119" w:type="dxa"/>
          </w:tcPr>
          <w:p w14:paraId="4B2066F8" w14:textId="77777777" w:rsidR="0058415F" w:rsidRPr="00375B9D" w:rsidRDefault="0058415F" w:rsidP="0058415F">
            <w:pPr>
              <w:spacing w:after="200"/>
              <w:jc w:val="center"/>
              <w:rPr>
                <w:noProof/>
                <w:lang w:eastAsia="en-AU"/>
              </w:rPr>
            </w:pPr>
            <w:r w:rsidRPr="00375B9D">
              <w:rPr>
                <w:noProof/>
                <w:lang w:eastAsia="en-AU"/>
              </w:rPr>
              <w:t>75 cents</w:t>
            </w:r>
          </w:p>
        </w:tc>
        <w:tc>
          <w:tcPr>
            <w:tcW w:w="1984" w:type="dxa"/>
          </w:tcPr>
          <w:p w14:paraId="351B26B0" w14:textId="77777777" w:rsidR="0058415F" w:rsidRPr="00375B9D" w:rsidRDefault="0058415F" w:rsidP="0058415F">
            <w:pPr>
              <w:spacing w:after="200"/>
              <w:jc w:val="center"/>
              <w:rPr>
                <w:noProof/>
                <w:lang w:eastAsia="en-AU"/>
              </w:rPr>
            </w:pPr>
            <w:r w:rsidRPr="00375B9D">
              <w:rPr>
                <w:noProof/>
                <w:lang w:eastAsia="en-AU"/>
              </w:rPr>
              <w:t>$238.10</w:t>
            </w:r>
          </w:p>
        </w:tc>
      </w:tr>
    </w:tbl>
    <w:p w14:paraId="62D4A83D" w14:textId="77777777" w:rsidR="00375B9D" w:rsidRPr="00375B9D" w:rsidRDefault="00375B9D" w:rsidP="00375B9D">
      <w:pPr>
        <w:rPr>
          <w:rStyle w:val="Hyperlink"/>
          <w:noProof/>
          <w:lang w:eastAsia="en-AU"/>
        </w:rPr>
      </w:pPr>
      <w:r w:rsidRPr="00375B9D">
        <w:rPr>
          <w:noProof/>
          <w:lang w:eastAsia="en-AU"/>
        </w:rPr>
        <w:t xml:space="preserve">For more information on the treatment of motor vehicle and accommodation allowances, refer to </w:t>
      </w:r>
      <w:r w:rsidRPr="00375B9D">
        <w:rPr>
          <w:noProof/>
          <w:lang w:eastAsia="en-AU"/>
        </w:rPr>
        <w:fldChar w:fldCharType="begin"/>
      </w:r>
      <w:r w:rsidRPr="00375B9D">
        <w:rPr>
          <w:noProof/>
          <w:lang w:eastAsia="en-AU"/>
        </w:rPr>
        <w:instrText xml:space="preserve"> HYPERLINK "https://treasury.nt.gov.au/dtf/territory-revenue-office/publications" </w:instrText>
      </w:r>
      <w:r w:rsidRPr="00375B9D">
        <w:rPr>
          <w:noProof/>
          <w:lang w:eastAsia="en-AU"/>
        </w:rPr>
      </w:r>
      <w:r w:rsidRPr="00375B9D">
        <w:rPr>
          <w:noProof/>
          <w:lang w:eastAsia="en-AU"/>
        </w:rPr>
        <w:fldChar w:fldCharType="separate"/>
      </w:r>
      <w:r w:rsidRPr="00375B9D">
        <w:rPr>
          <w:rStyle w:val="Hyperlink"/>
          <w:noProof/>
          <w:lang w:eastAsia="en-AU"/>
        </w:rPr>
        <w:t xml:space="preserve">PTA005: Exempt </w:t>
      </w:r>
      <w:r w:rsidR="007E1D6B" w:rsidRPr="00375B9D">
        <w:rPr>
          <w:rStyle w:val="Hyperlink"/>
          <w:noProof/>
          <w:lang w:eastAsia="en-AU"/>
        </w:rPr>
        <w:t>allowances – motor vehicle and ac</w:t>
      </w:r>
      <w:r w:rsidRPr="00375B9D">
        <w:rPr>
          <w:rStyle w:val="Hyperlink"/>
          <w:noProof/>
          <w:lang w:eastAsia="en-AU"/>
        </w:rPr>
        <w:t>commodation.</w:t>
      </w:r>
    </w:p>
    <w:p w14:paraId="13471596" w14:textId="77777777" w:rsidR="00375B9D" w:rsidRPr="00375B9D" w:rsidRDefault="00375B9D" w:rsidP="00375B9D">
      <w:pPr>
        <w:rPr>
          <w:noProof/>
          <w:lang w:eastAsia="en-AU"/>
        </w:rPr>
      </w:pPr>
      <w:r w:rsidRPr="00375B9D">
        <w:rPr>
          <w:noProof/>
          <w:lang w:eastAsia="en-AU"/>
        </w:rPr>
        <w:fldChar w:fldCharType="end"/>
      </w:r>
    </w:p>
    <w:p w14:paraId="2913E4C6" w14:textId="77777777" w:rsidR="00375B9D" w:rsidRPr="00375B9D" w:rsidRDefault="00375B9D" w:rsidP="00375B9D">
      <w:pPr>
        <w:rPr>
          <w:noProof/>
          <w:lang w:eastAsia="en-AU"/>
        </w:rPr>
      </w:pPr>
      <w:r w:rsidRPr="00375B9D">
        <w:rPr>
          <w:noProof/>
          <w:lang w:eastAsia="en-AU"/>
        </w:rPr>
        <w:t> </w:t>
      </w:r>
    </w:p>
    <w:p w14:paraId="7B3C4C21" w14:textId="77777777" w:rsidR="00375B9D" w:rsidRPr="00375B9D" w:rsidRDefault="00375B9D" w:rsidP="00375B9D">
      <w:pPr>
        <w:rPr>
          <w:noProof/>
          <w:lang w:eastAsia="en-AU"/>
        </w:rPr>
      </w:pPr>
      <w:r w:rsidRPr="00375B9D">
        <w:rPr>
          <w:noProof/>
          <w:lang w:eastAsia="en-AU"/>
        </w:rPr>
        <w:br w:type="page"/>
      </w:r>
    </w:p>
    <w:p w14:paraId="534183C6" w14:textId="77777777" w:rsidR="00375B9D" w:rsidRPr="00375B9D" w:rsidRDefault="00375B9D" w:rsidP="00673C36">
      <w:pPr>
        <w:pStyle w:val="Heading1"/>
        <w:rPr>
          <w:noProof/>
          <w:lang w:eastAsia="en-AU"/>
        </w:rPr>
      </w:pPr>
      <w:bookmarkStart w:id="121" w:name="Appendix3"/>
      <w:bookmarkStart w:id="122" w:name="_Toc467842768"/>
      <w:bookmarkStart w:id="123" w:name="_Toc108789607"/>
      <w:r w:rsidRPr="00375B9D">
        <w:rPr>
          <w:noProof/>
          <w:lang w:eastAsia="en-AU"/>
        </w:rPr>
        <w:lastRenderedPageBreak/>
        <w:t>Appendix 3</w:t>
      </w:r>
      <w:bookmarkEnd w:id="121"/>
      <w:r w:rsidRPr="00375B9D">
        <w:rPr>
          <w:noProof/>
          <w:lang w:eastAsia="en-AU"/>
        </w:rPr>
        <w:t xml:space="preserve">: Fringe </w:t>
      </w:r>
      <w:r w:rsidR="005B752F">
        <w:rPr>
          <w:noProof/>
          <w:lang w:eastAsia="en-AU"/>
        </w:rPr>
        <w:t>b</w:t>
      </w:r>
      <w:r w:rsidRPr="00375B9D">
        <w:rPr>
          <w:noProof/>
          <w:lang w:eastAsia="en-AU"/>
        </w:rPr>
        <w:t>enefits</w:t>
      </w:r>
      <w:bookmarkEnd w:id="122"/>
      <w:bookmarkEnd w:id="123"/>
    </w:p>
    <w:p w14:paraId="13693174" w14:textId="77777777" w:rsidR="00375B9D" w:rsidRPr="00375B9D" w:rsidRDefault="00375B9D" w:rsidP="00673C36">
      <w:pPr>
        <w:pStyle w:val="DTFHeading5"/>
      </w:pPr>
      <w:r w:rsidRPr="00375B9D">
        <w:t xml:space="preserve">Type 2 </w:t>
      </w:r>
      <w:r w:rsidR="007E1D6B" w:rsidRPr="00375B9D">
        <w:t xml:space="preserve">gross-up rate used for </w:t>
      </w:r>
      <w:r w:rsidR="007E1D6B" w:rsidRPr="00673C36">
        <w:t>calculating</w:t>
      </w:r>
      <w:r w:rsidR="007E1D6B" w:rsidRPr="00375B9D">
        <w:t xml:space="preserve"> taxable wages for payroll tax returns</w:t>
      </w:r>
    </w:p>
    <w:tbl>
      <w:tblPr>
        <w:tblStyle w:val="TableGridLight"/>
        <w:tblW w:w="10343" w:type="dxa"/>
        <w:tblLook w:val="04A0" w:firstRow="1" w:lastRow="0" w:firstColumn="1" w:lastColumn="0" w:noHBand="0" w:noVBand="1"/>
        <w:tblDescription w:val="Type 2 Gross-Up Rate Used for Calculating Taxable Wages for Payroll Tax Returns"/>
      </w:tblPr>
      <w:tblGrid>
        <w:gridCol w:w="3256"/>
        <w:gridCol w:w="7087"/>
      </w:tblGrid>
      <w:tr w:rsidR="00375B9D" w:rsidRPr="00375B9D" w14:paraId="565A2B69" w14:textId="77777777" w:rsidTr="00937629">
        <w:trPr>
          <w:tblHeader/>
        </w:trPr>
        <w:tc>
          <w:tcPr>
            <w:tcW w:w="3256" w:type="dxa"/>
          </w:tcPr>
          <w:p w14:paraId="459ADF8B" w14:textId="77777777" w:rsidR="00375B9D" w:rsidRPr="00375B9D" w:rsidRDefault="00375B9D" w:rsidP="00375B9D">
            <w:pPr>
              <w:spacing w:after="200"/>
              <w:rPr>
                <w:noProof/>
                <w:lang w:eastAsia="en-AU"/>
              </w:rPr>
            </w:pPr>
          </w:p>
        </w:tc>
        <w:tc>
          <w:tcPr>
            <w:tcW w:w="7087" w:type="dxa"/>
          </w:tcPr>
          <w:p w14:paraId="617EBE5F" w14:textId="77777777" w:rsidR="00375B9D" w:rsidRPr="00375B9D" w:rsidRDefault="00375B9D" w:rsidP="00673C36">
            <w:pPr>
              <w:spacing w:after="200"/>
              <w:jc w:val="center"/>
              <w:rPr>
                <w:noProof/>
                <w:lang w:eastAsia="en-AU"/>
              </w:rPr>
            </w:pPr>
            <w:r w:rsidRPr="00375B9D">
              <w:rPr>
                <w:noProof/>
                <w:lang w:eastAsia="en-AU"/>
              </w:rPr>
              <w:t xml:space="preserve">Type 2 </w:t>
            </w:r>
            <w:r w:rsidR="007E1D6B" w:rsidRPr="00375B9D">
              <w:rPr>
                <w:noProof/>
                <w:lang w:eastAsia="en-AU"/>
              </w:rPr>
              <w:t>gross-up rate</w:t>
            </w:r>
          </w:p>
        </w:tc>
      </w:tr>
      <w:tr w:rsidR="00375B9D" w:rsidRPr="00375B9D" w14:paraId="192F121E" w14:textId="77777777" w:rsidTr="00673C36">
        <w:tc>
          <w:tcPr>
            <w:tcW w:w="3256" w:type="dxa"/>
          </w:tcPr>
          <w:p w14:paraId="5C40405F" w14:textId="77777777" w:rsidR="00375B9D" w:rsidRPr="00375B9D" w:rsidRDefault="00375B9D" w:rsidP="00375B9D">
            <w:pPr>
              <w:spacing w:after="200"/>
              <w:rPr>
                <w:noProof/>
                <w:lang w:eastAsia="en-AU"/>
              </w:rPr>
            </w:pPr>
            <w:r w:rsidRPr="00375B9D">
              <w:rPr>
                <w:noProof/>
                <w:lang w:eastAsia="en-AU"/>
              </w:rPr>
              <w:t>April 2009 to March 2014</w:t>
            </w:r>
          </w:p>
        </w:tc>
        <w:tc>
          <w:tcPr>
            <w:tcW w:w="7087" w:type="dxa"/>
          </w:tcPr>
          <w:p w14:paraId="27F26590" w14:textId="77777777" w:rsidR="00375B9D" w:rsidRPr="00375B9D" w:rsidRDefault="00375B9D" w:rsidP="00673C36">
            <w:pPr>
              <w:spacing w:after="200"/>
              <w:jc w:val="center"/>
              <w:rPr>
                <w:noProof/>
                <w:lang w:eastAsia="en-AU"/>
              </w:rPr>
            </w:pPr>
            <w:r w:rsidRPr="00375B9D">
              <w:rPr>
                <w:noProof/>
                <w:lang w:eastAsia="en-AU"/>
              </w:rPr>
              <w:t>1.8692</w:t>
            </w:r>
          </w:p>
        </w:tc>
      </w:tr>
      <w:tr w:rsidR="00375B9D" w:rsidRPr="00375B9D" w14:paraId="67B5CC14" w14:textId="77777777" w:rsidTr="00673C36">
        <w:tc>
          <w:tcPr>
            <w:tcW w:w="3256" w:type="dxa"/>
          </w:tcPr>
          <w:p w14:paraId="3DD6C358" w14:textId="77777777" w:rsidR="00375B9D" w:rsidRPr="00375B9D" w:rsidRDefault="00375B9D" w:rsidP="00375B9D">
            <w:pPr>
              <w:spacing w:after="200"/>
              <w:rPr>
                <w:noProof/>
                <w:lang w:eastAsia="en-AU"/>
              </w:rPr>
            </w:pPr>
            <w:r w:rsidRPr="00375B9D">
              <w:rPr>
                <w:noProof/>
                <w:lang w:eastAsia="en-AU"/>
              </w:rPr>
              <w:t>April 2014 to March 2015</w:t>
            </w:r>
          </w:p>
        </w:tc>
        <w:tc>
          <w:tcPr>
            <w:tcW w:w="7087" w:type="dxa"/>
          </w:tcPr>
          <w:p w14:paraId="7310D484" w14:textId="77777777" w:rsidR="00375B9D" w:rsidRPr="00375B9D" w:rsidRDefault="00375B9D" w:rsidP="00673C36">
            <w:pPr>
              <w:spacing w:after="200"/>
              <w:jc w:val="center"/>
              <w:rPr>
                <w:noProof/>
                <w:lang w:eastAsia="en-AU"/>
              </w:rPr>
            </w:pPr>
            <w:r w:rsidRPr="00375B9D">
              <w:rPr>
                <w:noProof/>
                <w:lang w:eastAsia="en-AU"/>
              </w:rPr>
              <w:t>1.8868</w:t>
            </w:r>
          </w:p>
        </w:tc>
      </w:tr>
      <w:tr w:rsidR="00375B9D" w:rsidRPr="00375B9D" w14:paraId="6271FBF5" w14:textId="77777777" w:rsidTr="00673C36">
        <w:trPr>
          <w:trHeight w:val="18"/>
        </w:trPr>
        <w:tc>
          <w:tcPr>
            <w:tcW w:w="3256" w:type="dxa"/>
          </w:tcPr>
          <w:p w14:paraId="44630C7B" w14:textId="77777777" w:rsidR="00375B9D" w:rsidRPr="00375B9D" w:rsidRDefault="00375B9D" w:rsidP="00375B9D">
            <w:pPr>
              <w:spacing w:after="200"/>
              <w:rPr>
                <w:noProof/>
                <w:lang w:eastAsia="en-AU"/>
              </w:rPr>
            </w:pPr>
            <w:r w:rsidRPr="00375B9D">
              <w:rPr>
                <w:noProof/>
                <w:lang w:eastAsia="en-AU"/>
              </w:rPr>
              <w:t>April 2015 to March 2017</w:t>
            </w:r>
          </w:p>
        </w:tc>
        <w:tc>
          <w:tcPr>
            <w:tcW w:w="7087" w:type="dxa"/>
          </w:tcPr>
          <w:p w14:paraId="26E2B622" w14:textId="77777777" w:rsidR="00375B9D" w:rsidRPr="00375B9D" w:rsidRDefault="00375B9D" w:rsidP="00673C36">
            <w:pPr>
              <w:spacing w:after="200"/>
              <w:jc w:val="center"/>
              <w:rPr>
                <w:noProof/>
                <w:lang w:eastAsia="en-AU"/>
              </w:rPr>
            </w:pPr>
            <w:r w:rsidRPr="00375B9D">
              <w:rPr>
                <w:noProof/>
                <w:lang w:eastAsia="en-AU"/>
              </w:rPr>
              <w:t>1.9608</w:t>
            </w:r>
          </w:p>
        </w:tc>
      </w:tr>
      <w:tr w:rsidR="00375B9D" w:rsidRPr="00375B9D" w14:paraId="08F43DD0" w14:textId="77777777" w:rsidTr="00673C36">
        <w:trPr>
          <w:trHeight w:val="18"/>
        </w:trPr>
        <w:tc>
          <w:tcPr>
            <w:tcW w:w="3256" w:type="dxa"/>
          </w:tcPr>
          <w:p w14:paraId="49DBDC64" w14:textId="77777777" w:rsidR="00375B9D" w:rsidRPr="00375B9D" w:rsidRDefault="00375B9D" w:rsidP="00375B9D">
            <w:pPr>
              <w:spacing w:after="200"/>
              <w:rPr>
                <w:noProof/>
                <w:lang w:eastAsia="en-AU"/>
              </w:rPr>
            </w:pPr>
            <w:r w:rsidRPr="00375B9D">
              <w:rPr>
                <w:noProof/>
                <w:lang w:eastAsia="en-AU"/>
              </w:rPr>
              <w:t>April 2017 onwards</w:t>
            </w:r>
          </w:p>
        </w:tc>
        <w:tc>
          <w:tcPr>
            <w:tcW w:w="7087" w:type="dxa"/>
          </w:tcPr>
          <w:p w14:paraId="12A2C1DF" w14:textId="77777777" w:rsidR="00375B9D" w:rsidRPr="00375B9D" w:rsidRDefault="00375B9D" w:rsidP="00673C36">
            <w:pPr>
              <w:spacing w:after="200"/>
              <w:jc w:val="center"/>
              <w:rPr>
                <w:noProof/>
                <w:lang w:eastAsia="en-AU"/>
              </w:rPr>
            </w:pPr>
            <w:r w:rsidRPr="00375B9D">
              <w:rPr>
                <w:noProof/>
                <w:lang w:eastAsia="en-AU"/>
              </w:rPr>
              <w:t>1.8868</w:t>
            </w:r>
          </w:p>
        </w:tc>
      </w:tr>
    </w:tbl>
    <w:p w14:paraId="1CF41813" w14:textId="77777777" w:rsidR="00375B9D" w:rsidRPr="00375B9D" w:rsidRDefault="00375B9D" w:rsidP="00375B9D">
      <w:pPr>
        <w:rPr>
          <w:noProof/>
          <w:lang w:eastAsia="en-AU"/>
        </w:rPr>
      </w:pPr>
    </w:p>
    <w:bookmarkStart w:id="124" w:name="_Toc467842769"/>
    <w:p w14:paraId="5B4C5DA1" w14:textId="77777777" w:rsidR="00375B9D" w:rsidRPr="00937629" w:rsidRDefault="00375B9D" w:rsidP="00937629">
      <w:pPr>
        <w:pStyle w:val="Heading1"/>
      </w:pPr>
      <w:r w:rsidRPr="00F4053C">
        <w:fldChar w:fldCharType="begin"/>
      </w:r>
      <w:r w:rsidRPr="00F4053C">
        <w:instrText xml:space="preserve"> HYPERLINK "https://treasury.nt.gov.au/dtf/territory-revenue-office/payroll-tax" </w:instrText>
      </w:r>
      <w:r w:rsidRPr="00F4053C">
        <w:fldChar w:fldCharType="separate"/>
      </w:r>
      <w:bookmarkStart w:id="125" w:name="_Toc108789608"/>
      <w:r w:rsidRPr="00F4053C">
        <w:rPr>
          <w:rStyle w:val="Hyperlink"/>
          <w:color w:val="1F1F5F" w:themeColor="text1"/>
          <w:u w:val="none"/>
        </w:rPr>
        <w:t xml:space="preserve">Appendix 4: </w:t>
      </w:r>
      <w:r w:rsidRPr="00937629">
        <w:rPr>
          <w:rStyle w:val="Hyperlink"/>
          <w:color w:val="1F1F5F" w:themeColor="text1"/>
          <w:u w:val="none"/>
        </w:rPr>
        <w:t>Relevant</w:t>
      </w:r>
      <w:r w:rsidRPr="00F4053C">
        <w:rPr>
          <w:rStyle w:val="Hyperlink"/>
          <w:color w:val="1F1F5F" w:themeColor="text1"/>
          <w:u w:val="none"/>
        </w:rPr>
        <w:t xml:space="preserve"> </w:t>
      </w:r>
      <w:r w:rsidR="002F03DD">
        <w:rPr>
          <w:rStyle w:val="Hyperlink"/>
          <w:color w:val="1F1F5F" w:themeColor="text1"/>
          <w:u w:val="none"/>
        </w:rPr>
        <w:t>c</w:t>
      </w:r>
      <w:r w:rsidRPr="00F4053C">
        <w:rPr>
          <w:rStyle w:val="Hyperlink"/>
          <w:color w:val="1F1F5F" w:themeColor="text1"/>
          <w:u w:val="none"/>
        </w:rPr>
        <w:t xml:space="preserve">ontract </w:t>
      </w:r>
      <w:r w:rsidR="002F03DD">
        <w:rPr>
          <w:rStyle w:val="Hyperlink"/>
          <w:color w:val="1F1F5F" w:themeColor="text1"/>
          <w:u w:val="none"/>
        </w:rPr>
        <w:t>a</w:t>
      </w:r>
      <w:r w:rsidRPr="00F4053C">
        <w:rPr>
          <w:rStyle w:val="Hyperlink"/>
          <w:color w:val="1F1F5F" w:themeColor="text1"/>
          <w:u w:val="none"/>
        </w:rPr>
        <w:t xml:space="preserve">nalysis </w:t>
      </w:r>
      <w:r w:rsidR="002F03DD">
        <w:rPr>
          <w:rStyle w:val="Hyperlink"/>
          <w:color w:val="1F1F5F" w:themeColor="text1"/>
          <w:u w:val="none"/>
        </w:rPr>
        <w:t>s</w:t>
      </w:r>
      <w:r w:rsidRPr="00F4053C">
        <w:rPr>
          <w:rStyle w:val="Hyperlink"/>
          <w:color w:val="1F1F5F" w:themeColor="text1"/>
          <w:u w:val="none"/>
        </w:rPr>
        <w:t>chedule</w:t>
      </w:r>
      <w:bookmarkEnd w:id="125"/>
      <w:r w:rsidRPr="00F4053C">
        <w:fldChar w:fldCharType="end"/>
      </w:r>
      <w:r w:rsidRPr="00F4053C">
        <w:t xml:space="preserve"> </w:t>
      </w:r>
      <w:bookmarkEnd w:id="124"/>
    </w:p>
    <w:p w14:paraId="1BB0C354" w14:textId="77777777" w:rsidR="00375B9D" w:rsidRPr="00375B9D" w:rsidRDefault="00375B9D" w:rsidP="00375B9D">
      <w:pPr>
        <w:rPr>
          <w:noProof/>
          <w:lang w:eastAsia="en-AU"/>
        </w:rPr>
      </w:pPr>
      <w:r w:rsidRPr="00375B9D">
        <w:rPr>
          <w:noProof/>
          <w:lang w:eastAsia="en-AU"/>
        </w:rPr>
        <w:t xml:space="preserve">Available on </w:t>
      </w:r>
      <w:hyperlink r:id="rId65" w:history="1">
        <w:r w:rsidRPr="00375B9D">
          <w:rPr>
            <w:rStyle w:val="Hyperlink"/>
            <w:noProof/>
            <w:lang w:eastAsia="en-AU"/>
          </w:rPr>
          <w:t>TRO’s website</w:t>
        </w:r>
      </w:hyperlink>
      <w:r w:rsidRPr="00375B9D">
        <w:rPr>
          <w:noProof/>
          <w:lang w:eastAsia="en-AU"/>
        </w:rPr>
        <w:br w:type="page"/>
      </w:r>
    </w:p>
    <w:p w14:paraId="67423F2F" w14:textId="77777777" w:rsidR="00375B9D" w:rsidRPr="00375B9D" w:rsidRDefault="00375B9D" w:rsidP="006E7156">
      <w:pPr>
        <w:pStyle w:val="Heading1"/>
        <w:rPr>
          <w:noProof/>
          <w:lang w:eastAsia="en-AU"/>
        </w:rPr>
      </w:pPr>
      <w:bookmarkStart w:id="126" w:name="Appendix5"/>
      <w:bookmarkStart w:id="127" w:name="_Toc467842770"/>
      <w:bookmarkStart w:id="128" w:name="_Toc108789609"/>
      <w:r w:rsidRPr="00375B9D">
        <w:rPr>
          <w:noProof/>
          <w:lang w:eastAsia="en-AU"/>
        </w:rPr>
        <w:lastRenderedPageBreak/>
        <w:t>Appendix 5</w:t>
      </w:r>
      <w:bookmarkEnd w:id="126"/>
      <w:r w:rsidRPr="00375B9D">
        <w:rPr>
          <w:noProof/>
          <w:lang w:eastAsia="en-AU"/>
        </w:rPr>
        <w:t>: Tax-</w:t>
      </w:r>
      <w:r w:rsidR="000950E2">
        <w:rPr>
          <w:noProof/>
          <w:lang w:eastAsia="en-AU"/>
        </w:rPr>
        <w:t>f</w:t>
      </w:r>
      <w:r w:rsidRPr="00375B9D">
        <w:rPr>
          <w:noProof/>
          <w:lang w:eastAsia="en-AU"/>
        </w:rPr>
        <w:t xml:space="preserve">ree </w:t>
      </w:r>
      <w:r w:rsidR="000950E2">
        <w:rPr>
          <w:noProof/>
          <w:lang w:eastAsia="en-AU"/>
        </w:rPr>
        <w:t>e</w:t>
      </w:r>
      <w:r w:rsidRPr="00375B9D">
        <w:rPr>
          <w:noProof/>
          <w:lang w:eastAsia="en-AU"/>
        </w:rPr>
        <w:t>ntitlements (</w:t>
      </w:r>
      <w:r w:rsidR="000950E2">
        <w:rPr>
          <w:noProof/>
          <w:lang w:eastAsia="en-AU"/>
        </w:rPr>
        <w:t>a</w:t>
      </w:r>
      <w:r w:rsidRPr="00375B9D">
        <w:rPr>
          <w:noProof/>
          <w:lang w:eastAsia="en-AU"/>
        </w:rPr>
        <w:t xml:space="preserve">nnual </w:t>
      </w:r>
      <w:r w:rsidR="000950E2">
        <w:rPr>
          <w:noProof/>
          <w:lang w:eastAsia="en-AU"/>
        </w:rPr>
        <w:t>d</w:t>
      </w:r>
      <w:r w:rsidRPr="00375B9D">
        <w:rPr>
          <w:noProof/>
          <w:lang w:eastAsia="en-AU"/>
        </w:rPr>
        <w:t xml:space="preserve">eductions), </w:t>
      </w:r>
      <w:r w:rsidR="000950E2">
        <w:rPr>
          <w:noProof/>
          <w:lang w:eastAsia="en-AU"/>
        </w:rPr>
        <w:t>p</w:t>
      </w:r>
      <w:r w:rsidRPr="00375B9D">
        <w:rPr>
          <w:noProof/>
          <w:lang w:eastAsia="en-AU"/>
        </w:rPr>
        <w:t xml:space="preserve">ayroll </w:t>
      </w:r>
      <w:r w:rsidR="000950E2">
        <w:rPr>
          <w:noProof/>
          <w:lang w:eastAsia="en-AU"/>
        </w:rPr>
        <w:t>t</w:t>
      </w:r>
      <w:r w:rsidRPr="00375B9D">
        <w:rPr>
          <w:noProof/>
          <w:lang w:eastAsia="en-AU"/>
        </w:rPr>
        <w:t xml:space="preserve">ax </w:t>
      </w:r>
      <w:r w:rsidR="000950E2">
        <w:rPr>
          <w:noProof/>
          <w:lang w:eastAsia="en-AU"/>
        </w:rPr>
        <w:t>r</w:t>
      </w:r>
      <w:r w:rsidRPr="00375B9D">
        <w:rPr>
          <w:noProof/>
          <w:lang w:eastAsia="en-AU"/>
        </w:rPr>
        <w:t xml:space="preserve">ates and </w:t>
      </w:r>
      <w:r w:rsidR="000950E2">
        <w:rPr>
          <w:noProof/>
          <w:lang w:eastAsia="en-AU"/>
        </w:rPr>
        <w:t>i</w:t>
      </w:r>
      <w:r w:rsidRPr="00375B9D">
        <w:rPr>
          <w:noProof/>
          <w:lang w:eastAsia="en-AU"/>
        </w:rPr>
        <w:t xml:space="preserve">nterest </w:t>
      </w:r>
      <w:r w:rsidR="000950E2">
        <w:rPr>
          <w:noProof/>
          <w:lang w:eastAsia="en-AU"/>
        </w:rPr>
        <w:t>r</w:t>
      </w:r>
      <w:r w:rsidRPr="00375B9D">
        <w:rPr>
          <w:noProof/>
          <w:lang w:eastAsia="en-AU"/>
        </w:rPr>
        <w:t>ates</w:t>
      </w:r>
      <w:bookmarkEnd w:id="127"/>
      <w:bookmarkEnd w:id="128"/>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8"/>
        <w:gridCol w:w="1581"/>
        <w:gridCol w:w="1579"/>
        <w:gridCol w:w="1236"/>
        <w:gridCol w:w="1241"/>
        <w:gridCol w:w="1227"/>
        <w:gridCol w:w="886"/>
      </w:tblGrid>
      <w:tr w:rsidR="00EE32A2" w:rsidRPr="00EE32A2" w14:paraId="3F0394B1" w14:textId="77777777" w:rsidTr="00EE32A2">
        <w:trPr>
          <w:trHeight w:val="457"/>
        </w:trPr>
        <w:tc>
          <w:tcPr>
            <w:tcW w:w="2558" w:type="dxa"/>
            <w:vMerge w:val="restart"/>
          </w:tcPr>
          <w:p w14:paraId="737EEDD3" w14:textId="77777777" w:rsidR="00EE32A2" w:rsidRPr="00EE32A2" w:rsidRDefault="00EE32A2" w:rsidP="00937629">
            <w:pPr>
              <w:pStyle w:val="TableParagraph"/>
              <w:spacing w:before="0"/>
              <w:ind w:left="0"/>
              <w:rPr>
                <w:rFonts w:asciiTheme="minorHAnsi" w:hAnsiTheme="minorHAnsi"/>
              </w:rPr>
            </w:pPr>
          </w:p>
        </w:tc>
        <w:tc>
          <w:tcPr>
            <w:tcW w:w="1581" w:type="dxa"/>
            <w:vMerge w:val="restart"/>
          </w:tcPr>
          <w:p w14:paraId="6776AC3D" w14:textId="77777777" w:rsidR="00EE32A2" w:rsidRPr="00EE32A2" w:rsidRDefault="00EE32A2" w:rsidP="00937629">
            <w:pPr>
              <w:pStyle w:val="TableParagraph"/>
              <w:spacing w:before="97"/>
              <w:ind w:left="304" w:right="291" w:hanging="7"/>
              <w:jc w:val="center"/>
              <w:rPr>
                <w:rFonts w:asciiTheme="minorHAnsi" w:hAnsiTheme="minorHAnsi"/>
              </w:rPr>
            </w:pPr>
            <w:r w:rsidRPr="00EE32A2">
              <w:rPr>
                <w:rFonts w:asciiTheme="minorHAnsi" w:hAnsiTheme="minorHAnsi"/>
                <w:spacing w:val="-2"/>
              </w:rPr>
              <w:t>Maximum annual deduction</w:t>
            </w:r>
          </w:p>
        </w:tc>
        <w:tc>
          <w:tcPr>
            <w:tcW w:w="1579" w:type="dxa"/>
            <w:vMerge w:val="restart"/>
          </w:tcPr>
          <w:p w14:paraId="4EBA9246" w14:textId="77777777" w:rsidR="00EE32A2" w:rsidRPr="00EE32A2" w:rsidRDefault="00EE32A2" w:rsidP="00937629">
            <w:pPr>
              <w:pStyle w:val="TableParagraph"/>
              <w:spacing w:before="97"/>
              <w:ind w:left="303" w:right="291" w:hanging="7"/>
              <w:jc w:val="center"/>
              <w:rPr>
                <w:rFonts w:asciiTheme="minorHAnsi" w:hAnsiTheme="minorHAnsi"/>
              </w:rPr>
            </w:pPr>
            <w:r w:rsidRPr="00EE32A2">
              <w:rPr>
                <w:rFonts w:asciiTheme="minorHAnsi" w:hAnsiTheme="minorHAnsi"/>
                <w:spacing w:val="-2"/>
              </w:rPr>
              <w:t>Maximum monthly deduction</w:t>
            </w:r>
          </w:p>
        </w:tc>
        <w:tc>
          <w:tcPr>
            <w:tcW w:w="1236" w:type="dxa"/>
            <w:vMerge w:val="restart"/>
          </w:tcPr>
          <w:p w14:paraId="668A79C5" w14:textId="77777777" w:rsidR="00EE32A2" w:rsidRPr="00EE32A2" w:rsidRDefault="00EE32A2" w:rsidP="00937629">
            <w:pPr>
              <w:pStyle w:val="TableParagraph"/>
              <w:spacing w:before="0"/>
              <w:ind w:left="0"/>
              <w:rPr>
                <w:rFonts w:asciiTheme="minorHAnsi" w:hAnsiTheme="minorHAnsi"/>
                <w:b/>
              </w:rPr>
            </w:pPr>
          </w:p>
          <w:p w14:paraId="696E5B72" w14:textId="77777777" w:rsidR="00EE32A2" w:rsidRPr="00EE32A2" w:rsidRDefault="00EE32A2" w:rsidP="00937629">
            <w:pPr>
              <w:pStyle w:val="TableParagraph"/>
              <w:spacing w:before="1"/>
              <w:ind w:left="0"/>
              <w:rPr>
                <w:rFonts w:asciiTheme="minorHAnsi" w:hAnsiTheme="minorHAnsi"/>
                <w:b/>
              </w:rPr>
            </w:pPr>
          </w:p>
          <w:p w14:paraId="49B71F4C" w14:textId="77777777" w:rsidR="00EE32A2" w:rsidRPr="00EE32A2" w:rsidRDefault="00EE32A2" w:rsidP="00937629">
            <w:pPr>
              <w:pStyle w:val="TableParagraph"/>
              <w:spacing w:before="0"/>
              <w:ind w:left="425" w:right="412" w:firstLine="3"/>
              <w:jc w:val="center"/>
              <w:rPr>
                <w:rFonts w:asciiTheme="minorHAnsi" w:hAnsiTheme="minorHAnsi"/>
              </w:rPr>
            </w:pPr>
            <w:r w:rsidRPr="00EE32A2">
              <w:rPr>
                <w:rFonts w:asciiTheme="minorHAnsi" w:hAnsiTheme="minorHAnsi"/>
                <w:spacing w:val="-4"/>
              </w:rPr>
              <w:t>Tax rate</w:t>
            </w:r>
          </w:p>
        </w:tc>
        <w:tc>
          <w:tcPr>
            <w:tcW w:w="3354" w:type="dxa"/>
            <w:gridSpan w:val="3"/>
          </w:tcPr>
          <w:p w14:paraId="11387C41" w14:textId="77777777" w:rsidR="00EE32A2" w:rsidRPr="00EE32A2" w:rsidRDefault="00EE32A2" w:rsidP="00937629">
            <w:pPr>
              <w:pStyle w:val="TableParagraph"/>
              <w:spacing w:before="95"/>
              <w:ind w:left="1288" w:right="1282"/>
              <w:jc w:val="center"/>
              <w:rPr>
                <w:rFonts w:asciiTheme="minorHAnsi" w:hAnsiTheme="minorHAnsi"/>
              </w:rPr>
            </w:pPr>
            <w:r w:rsidRPr="00EE32A2">
              <w:rPr>
                <w:rFonts w:asciiTheme="minorHAnsi" w:hAnsiTheme="minorHAnsi"/>
                <w:spacing w:val="-2"/>
              </w:rPr>
              <w:t>Interest</w:t>
            </w:r>
          </w:p>
        </w:tc>
      </w:tr>
      <w:tr w:rsidR="00EE32A2" w:rsidRPr="00EE32A2" w14:paraId="2F5C0419" w14:textId="77777777" w:rsidTr="00EE32A2">
        <w:trPr>
          <w:trHeight w:val="722"/>
        </w:trPr>
        <w:tc>
          <w:tcPr>
            <w:tcW w:w="2558" w:type="dxa"/>
            <w:vMerge/>
            <w:tcBorders>
              <w:top w:val="nil"/>
            </w:tcBorders>
          </w:tcPr>
          <w:p w14:paraId="076C244B" w14:textId="77777777" w:rsidR="00EE32A2" w:rsidRPr="00EE32A2" w:rsidRDefault="00EE32A2" w:rsidP="00937629">
            <w:pPr>
              <w:rPr>
                <w:rFonts w:asciiTheme="minorHAnsi" w:hAnsiTheme="minorHAnsi"/>
              </w:rPr>
            </w:pPr>
          </w:p>
        </w:tc>
        <w:tc>
          <w:tcPr>
            <w:tcW w:w="1581" w:type="dxa"/>
            <w:vMerge/>
            <w:tcBorders>
              <w:top w:val="nil"/>
            </w:tcBorders>
          </w:tcPr>
          <w:p w14:paraId="5AB90A7D" w14:textId="77777777" w:rsidR="00EE32A2" w:rsidRPr="00EE32A2" w:rsidRDefault="00EE32A2" w:rsidP="00937629">
            <w:pPr>
              <w:rPr>
                <w:rFonts w:asciiTheme="minorHAnsi" w:hAnsiTheme="minorHAnsi"/>
              </w:rPr>
            </w:pPr>
          </w:p>
        </w:tc>
        <w:tc>
          <w:tcPr>
            <w:tcW w:w="1579" w:type="dxa"/>
            <w:vMerge/>
            <w:tcBorders>
              <w:top w:val="nil"/>
            </w:tcBorders>
          </w:tcPr>
          <w:p w14:paraId="07D454ED" w14:textId="77777777" w:rsidR="00EE32A2" w:rsidRPr="00EE32A2" w:rsidRDefault="00EE32A2" w:rsidP="00937629">
            <w:pPr>
              <w:rPr>
                <w:rFonts w:asciiTheme="minorHAnsi" w:hAnsiTheme="minorHAnsi"/>
              </w:rPr>
            </w:pPr>
          </w:p>
        </w:tc>
        <w:tc>
          <w:tcPr>
            <w:tcW w:w="1236" w:type="dxa"/>
            <w:vMerge/>
            <w:tcBorders>
              <w:top w:val="nil"/>
            </w:tcBorders>
          </w:tcPr>
          <w:p w14:paraId="77CAB0B5" w14:textId="77777777" w:rsidR="00EE32A2" w:rsidRPr="00EE32A2" w:rsidRDefault="00EE32A2" w:rsidP="00937629">
            <w:pPr>
              <w:rPr>
                <w:rFonts w:asciiTheme="minorHAnsi" w:hAnsiTheme="minorHAnsi"/>
              </w:rPr>
            </w:pPr>
          </w:p>
        </w:tc>
        <w:tc>
          <w:tcPr>
            <w:tcW w:w="1241" w:type="dxa"/>
          </w:tcPr>
          <w:p w14:paraId="35E9FAD4" w14:textId="77777777" w:rsidR="00EE32A2" w:rsidRPr="00EE32A2" w:rsidRDefault="00EE32A2" w:rsidP="00937629">
            <w:pPr>
              <w:pStyle w:val="TableParagraph"/>
              <w:spacing w:before="97"/>
              <w:ind w:left="425" w:right="174" w:hanging="240"/>
              <w:rPr>
                <w:rFonts w:asciiTheme="minorHAnsi" w:hAnsiTheme="minorHAnsi"/>
              </w:rPr>
            </w:pPr>
            <w:r w:rsidRPr="00EE32A2">
              <w:rPr>
                <w:rFonts w:asciiTheme="minorHAnsi" w:hAnsiTheme="minorHAnsi"/>
                <w:spacing w:val="-2"/>
              </w:rPr>
              <w:t xml:space="preserve">Premium </w:t>
            </w:r>
            <w:r w:rsidRPr="00EE32A2">
              <w:rPr>
                <w:rFonts w:asciiTheme="minorHAnsi" w:hAnsiTheme="minorHAnsi"/>
                <w:spacing w:val="-4"/>
              </w:rPr>
              <w:t>rate</w:t>
            </w:r>
          </w:p>
        </w:tc>
        <w:tc>
          <w:tcPr>
            <w:tcW w:w="1227" w:type="dxa"/>
          </w:tcPr>
          <w:p w14:paraId="6C486038" w14:textId="77777777" w:rsidR="00EE32A2" w:rsidRPr="00EE32A2" w:rsidRDefault="00EE32A2" w:rsidP="00937629">
            <w:pPr>
              <w:pStyle w:val="TableParagraph"/>
              <w:spacing w:before="97"/>
              <w:ind w:left="418" w:right="249" w:hanging="159"/>
              <w:rPr>
                <w:rFonts w:asciiTheme="minorHAnsi" w:hAnsiTheme="minorHAnsi"/>
              </w:rPr>
            </w:pPr>
            <w:r w:rsidRPr="00EE32A2">
              <w:rPr>
                <w:rFonts w:asciiTheme="minorHAnsi" w:hAnsiTheme="minorHAnsi"/>
                <w:spacing w:val="-2"/>
              </w:rPr>
              <w:t xml:space="preserve">Market </w:t>
            </w:r>
            <w:r w:rsidRPr="00EE32A2">
              <w:rPr>
                <w:rFonts w:asciiTheme="minorHAnsi" w:hAnsiTheme="minorHAnsi"/>
                <w:spacing w:val="-4"/>
              </w:rPr>
              <w:t>rate</w:t>
            </w:r>
          </w:p>
        </w:tc>
        <w:tc>
          <w:tcPr>
            <w:tcW w:w="886" w:type="dxa"/>
          </w:tcPr>
          <w:p w14:paraId="2FA02FF1" w14:textId="77777777" w:rsidR="00EE32A2" w:rsidRPr="00EE32A2" w:rsidRDefault="00EE32A2" w:rsidP="00937629">
            <w:pPr>
              <w:pStyle w:val="TableParagraph"/>
              <w:spacing w:before="94"/>
              <w:ind w:left="194"/>
              <w:rPr>
                <w:rFonts w:asciiTheme="minorHAnsi" w:hAnsiTheme="minorHAnsi"/>
              </w:rPr>
            </w:pPr>
            <w:r w:rsidRPr="00EE32A2">
              <w:rPr>
                <w:rFonts w:asciiTheme="minorHAnsi" w:hAnsiTheme="minorHAnsi"/>
                <w:spacing w:val="-2"/>
              </w:rPr>
              <w:t>Total</w:t>
            </w:r>
          </w:p>
        </w:tc>
      </w:tr>
      <w:tr w:rsidR="00EE32A2" w:rsidRPr="00EE32A2" w14:paraId="69044071" w14:textId="77777777" w:rsidTr="00EE32A2">
        <w:trPr>
          <w:trHeight w:val="457"/>
        </w:trPr>
        <w:tc>
          <w:tcPr>
            <w:tcW w:w="2558" w:type="dxa"/>
          </w:tcPr>
          <w:p w14:paraId="7815FADC" w14:textId="77777777" w:rsidR="00EE32A2" w:rsidRPr="00EE32A2" w:rsidRDefault="00EE32A2" w:rsidP="00937629">
            <w:pPr>
              <w:pStyle w:val="TableParagraph"/>
              <w:spacing w:before="94"/>
              <w:rPr>
                <w:rFonts w:asciiTheme="minorHAnsi" w:hAnsiTheme="minorHAnsi"/>
              </w:rPr>
            </w:pPr>
            <w:r w:rsidRPr="00EE32A2">
              <w:rPr>
                <w:rFonts w:asciiTheme="minorHAnsi" w:hAnsiTheme="minorHAnsi"/>
                <w:spacing w:val="-2"/>
              </w:rPr>
              <w:t>Period</w:t>
            </w:r>
          </w:p>
        </w:tc>
        <w:tc>
          <w:tcPr>
            <w:tcW w:w="1581" w:type="dxa"/>
          </w:tcPr>
          <w:p w14:paraId="7E45CA92" w14:textId="77777777" w:rsidR="00EE32A2" w:rsidRPr="00EE32A2" w:rsidRDefault="00EE32A2" w:rsidP="00937629">
            <w:pPr>
              <w:pStyle w:val="TableParagraph"/>
              <w:spacing w:before="94"/>
              <w:ind w:left="7"/>
              <w:jc w:val="center"/>
              <w:rPr>
                <w:rFonts w:asciiTheme="minorHAnsi" w:hAnsiTheme="minorHAnsi"/>
              </w:rPr>
            </w:pPr>
            <w:r w:rsidRPr="00EE32A2">
              <w:rPr>
                <w:rFonts w:asciiTheme="minorHAnsi" w:hAnsiTheme="minorHAnsi"/>
              </w:rPr>
              <w:t>$</w:t>
            </w:r>
          </w:p>
        </w:tc>
        <w:tc>
          <w:tcPr>
            <w:tcW w:w="1579" w:type="dxa"/>
          </w:tcPr>
          <w:p w14:paraId="56793E98" w14:textId="77777777" w:rsidR="00EE32A2" w:rsidRPr="00EE32A2" w:rsidRDefault="00EE32A2" w:rsidP="00937629">
            <w:pPr>
              <w:pStyle w:val="TableParagraph"/>
              <w:spacing w:before="94"/>
              <w:ind w:left="5"/>
              <w:jc w:val="center"/>
              <w:rPr>
                <w:rFonts w:asciiTheme="minorHAnsi" w:hAnsiTheme="minorHAnsi"/>
              </w:rPr>
            </w:pPr>
            <w:r w:rsidRPr="00EE32A2">
              <w:rPr>
                <w:rFonts w:asciiTheme="minorHAnsi" w:hAnsiTheme="minorHAnsi"/>
              </w:rPr>
              <w:t>$</w:t>
            </w:r>
          </w:p>
        </w:tc>
        <w:tc>
          <w:tcPr>
            <w:tcW w:w="1236" w:type="dxa"/>
          </w:tcPr>
          <w:p w14:paraId="04633B4B" w14:textId="77777777" w:rsidR="00EE32A2" w:rsidRPr="00EE32A2" w:rsidRDefault="00EE32A2" w:rsidP="00937629">
            <w:pPr>
              <w:pStyle w:val="TableParagraph"/>
              <w:spacing w:before="94"/>
              <w:ind w:left="14"/>
              <w:jc w:val="center"/>
              <w:rPr>
                <w:rFonts w:asciiTheme="minorHAnsi" w:hAnsiTheme="minorHAnsi"/>
              </w:rPr>
            </w:pPr>
            <w:r w:rsidRPr="00EE32A2">
              <w:rPr>
                <w:rFonts w:asciiTheme="minorHAnsi" w:hAnsiTheme="minorHAnsi"/>
              </w:rPr>
              <w:t>%</w:t>
            </w:r>
          </w:p>
        </w:tc>
        <w:tc>
          <w:tcPr>
            <w:tcW w:w="1241" w:type="dxa"/>
          </w:tcPr>
          <w:p w14:paraId="6DE65933" w14:textId="77777777" w:rsidR="00EE32A2" w:rsidRPr="00EE32A2" w:rsidRDefault="00EE32A2" w:rsidP="00937629">
            <w:pPr>
              <w:pStyle w:val="TableParagraph"/>
              <w:spacing w:before="94"/>
              <w:ind w:left="8"/>
              <w:jc w:val="center"/>
              <w:rPr>
                <w:rFonts w:asciiTheme="minorHAnsi" w:hAnsiTheme="minorHAnsi"/>
              </w:rPr>
            </w:pPr>
            <w:r w:rsidRPr="00EE32A2">
              <w:rPr>
                <w:rFonts w:asciiTheme="minorHAnsi" w:hAnsiTheme="minorHAnsi"/>
              </w:rPr>
              <w:t>%</w:t>
            </w:r>
          </w:p>
        </w:tc>
        <w:tc>
          <w:tcPr>
            <w:tcW w:w="1227" w:type="dxa"/>
          </w:tcPr>
          <w:p w14:paraId="38F8F922" w14:textId="77777777" w:rsidR="00EE32A2" w:rsidRPr="00EE32A2" w:rsidRDefault="00EE32A2" w:rsidP="00937629">
            <w:pPr>
              <w:pStyle w:val="TableParagraph"/>
              <w:spacing w:before="94"/>
              <w:ind w:left="7"/>
              <w:jc w:val="center"/>
              <w:rPr>
                <w:rFonts w:asciiTheme="minorHAnsi" w:hAnsiTheme="minorHAnsi"/>
              </w:rPr>
            </w:pPr>
            <w:r w:rsidRPr="00EE32A2">
              <w:rPr>
                <w:rFonts w:asciiTheme="minorHAnsi" w:hAnsiTheme="minorHAnsi"/>
              </w:rPr>
              <w:t>%</w:t>
            </w:r>
          </w:p>
        </w:tc>
        <w:tc>
          <w:tcPr>
            <w:tcW w:w="886" w:type="dxa"/>
          </w:tcPr>
          <w:p w14:paraId="427A4DB7" w14:textId="77777777" w:rsidR="00EE32A2" w:rsidRPr="00EE32A2" w:rsidRDefault="00EE32A2" w:rsidP="00937629">
            <w:pPr>
              <w:pStyle w:val="TableParagraph"/>
              <w:spacing w:before="94"/>
              <w:ind w:left="11"/>
              <w:jc w:val="center"/>
              <w:rPr>
                <w:rFonts w:asciiTheme="minorHAnsi" w:hAnsiTheme="minorHAnsi"/>
              </w:rPr>
            </w:pPr>
            <w:r w:rsidRPr="00EE32A2">
              <w:rPr>
                <w:rFonts w:asciiTheme="minorHAnsi" w:hAnsiTheme="minorHAnsi"/>
              </w:rPr>
              <w:t>%</w:t>
            </w:r>
          </w:p>
        </w:tc>
      </w:tr>
      <w:tr w:rsidR="00A35D88" w:rsidRPr="00EE32A2" w14:paraId="266759D7" w14:textId="77777777" w:rsidTr="00EE32A2">
        <w:trPr>
          <w:trHeight w:val="458"/>
        </w:trPr>
        <w:tc>
          <w:tcPr>
            <w:tcW w:w="2558" w:type="dxa"/>
          </w:tcPr>
          <w:p w14:paraId="2715D9EA" w14:textId="1063BE95" w:rsidR="00A35D88" w:rsidRPr="00EE32A2" w:rsidRDefault="00A35D88" w:rsidP="00937629">
            <w:pPr>
              <w:pStyle w:val="TableParagraph"/>
              <w:spacing w:before="94"/>
              <w:rPr>
                <w:rFonts w:asciiTheme="minorHAnsi" w:hAnsiTheme="minorHAnsi"/>
              </w:rPr>
            </w:pPr>
            <w:r w:rsidRPr="00EE32A2">
              <w:rPr>
                <w:rFonts w:asciiTheme="minorHAnsi" w:hAnsiTheme="minorHAnsi"/>
              </w:rPr>
              <w:t>July</w:t>
            </w:r>
            <w:r w:rsidRPr="00EE32A2">
              <w:rPr>
                <w:rFonts w:asciiTheme="minorHAnsi" w:hAnsiTheme="minorHAnsi"/>
                <w:spacing w:val="-2"/>
              </w:rPr>
              <w:t xml:space="preserve"> </w:t>
            </w:r>
            <w:r w:rsidRPr="00EE32A2">
              <w:rPr>
                <w:rFonts w:asciiTheme="minorHAnsi" w:hAnsiTheme="minorHAnsi"/>
              </w:rPr>
              <w:t>202</w:t>
            </w:r>
            <w:r>
              <w:rPr>
                <w:rFonts w:asciiTheme="minorHAnsi" w:hAnsiTheme="minorHAnsi"/>
              </w:rPr>
              <w:t>4</w:t>
            </w:r>
            <w:r w:rsidRPr="00EE32A2">
              <w:rPr>
                <w:rFonts w:asciiTheme="minorHAnsi" w:hAnsiTheme="minorHAnsi"/>
                <w:spacing w:val="-1"/>
              </w:rPr>
              <w:t xml:space="preserve"> </w:t>
            </w:r>
            <w:r w:rsidRPr="00EE32A2">
              <w:rPr>
                <w:rFonts w:asciiTheme="minorHAnsi" w:hAnsiTheme="minorHAnsi"/>
              </w:rPr>
              <w:t>to</w:t>
            </w:r>
            <w:r w:rsidRPr="00EE32A2">
              <w:rPr>
                <w:rFonts w:asciiTheme="minorHAnsi" w:hAnsiTheme="minorHAnsi"/>
                <w:spacing w:val="-4"/>
              </w:rPr>
              <w:t xml:space="preserve"> </w:t>
            </w:r>
            <w:r w:rsidRPr="00EE32A2">
              <w:rPr>
                <w:rFonts w:asciiTheme="minorHAnsi" w:hAnsiTheme="minorHAnsi"/>
              </w:rPr>
              <w:t>June</w:t>
            </w:r>
            <w:r w:rsidRPr="00EE32A2">
              <w:rPr>
                <w:rFonts w:asciiTheme="minorHAnsi" w:hAnsiTheme="minorHAnsi"/>
                <w:spacing w:val="1"/>
              </w:rPr>
              <w:t xml:space="preserve"> </w:t>
            </w:r>
            <w:r w:rsidRPr="00EE32A2">
              <w:rPr>
                <w:rFonts w:asciiTheme="minorHAnsi" w:hAnsiTheme="minorHAnsi"/>
                <w:spacing w:val="-4"/>
              </w:rPr>
              <w:t>202</w:t>
            </w:r>
            <w:r>
              <w:rPr>
                <w:rFonts w:asciiTheme="minorHAnsi" w:hAnsiTheme="minorHAnsi"/>
                <w:spacing w:val="-4"/>
              </w:rPr>
              <w:t>5</w:t>
            </w:r>
          </w:p>
        </w:tc>
        <w:tc>
          <w:tcPr>
            <w:tcW w:w="1581" w:type="dxa"/>
          </w:tcPr>
          <w:p w14:paraId="0C55BAAF" w14:textId="3292F512" w:rsidR="00A35D88" w:rsidRPr="00EE32A2" w:rsidRDefault="00A35D88" w:rsidP="00937629">
            <w:pPr>
              <w:pStyle w:val="TableParagraph"/>
              <w:spacing w:before="94"/>
              <w:ind w:left="0" w:right="98"/>
              <w:jc w:val="right"/>
              <w:rPr>
                <w:rFonts w:asciiTheme="minorHAnsi" w:hAnsiTheme="minorHAnsi"/>
              </w:rPr>
            </w:pPr>
            <w:r w:rsidRPr="00EE32A2">
              <w:rPr>
                <w:rFonts w:asciiTheme="minorHAnsi" w:hAnsiTheme="minorHAnsi"/>
              </w:rPr>
              <w:t>1</w:t>
            </w:r>
            <w:r w:rsidRPr="00EE32A2">
              <w:rPr>
                <w:rFonts w:asciiTheme="minorHAnsi" w:hAnsiTheme="minorHAnsi"/>
                <w:spacing w:val="-1"/>
              </w:rPr>
              <w:t xml:space="preserve"> </w:t>
            </w:r>
            <w:r w:rsidRPr="00EE32A2">
              <w:rPr>
                <w:rFonts w:asciiTheme="minorHAnsi" w:hAnsiTheme="minorHAnsi"/>
              </w:rPr>
              <w:t>500</w:t>
            </w:r>
            <w:r w:rsidRPr="00EE32A2">
              <w:rPr>
                <w:rFonts w:asciiTheme="minorHAnsi" w:hAnsiTheme="minorHAnsi"/>
                <w:spacing w:val="-1"/>
              </w:rPr>
              <w:t xml:space="preserve"> </w:t>
            </w:r>
            <w:r w:rsidRPr="00EE32A2">
              <w:rPr>
                <w:rFonts w:asciiTheme="minorHAnsi" w:hAnsiTheme="minorHAnsi"/>
                <w:spacing w:val="-4"/>
              </w:rPr>
              <w:t>000*</w:t>
            </w:r>
          </w:p>
        </w:tc>
        <w:tc>
          <w:tcPr>
            <w:tcW w:w="1579" w:type="dxa"/>
          </w:tcPr>
          <w:p w14:paraId="4FE7796E" w14:textId="5EC4B45F" w:rsidR="00A35D88" w:rsidRPr="00EE32A2" w:rsidRDefault="00A35D88" w:rsidP="00937629">
            <w:pPr>
              <w:pStyle w:val="TableParagraph"/>
              <w:spacing w:before="94"/>
              <w:ind w:left="0" w:right="98"/>
              <w:jc w:val="right"/>
              <w:rPr>
                <w:rFonts w:asciiTheme="minorHAnsi" w:hAnsiTheme="minorHAnsi"/>
              </w:rPr>
            </w:pPr>
            <w:r w:rsidRPr="00EE32A2">
              <w:rPr>
                <w:rFonts w:asciiTheme="minorHAnsi" w:hAnsiTheme="minorHAnsi"/>
              </w:rPr>
              <w:t>125</w:t>
            </w:r>
            <w:r w:rsidRPr="00EE32A2">
              <w:rPr>
                <w:rFonts w:asciiTheme="minorHAnsi" w:hAnsiTheme="minorHAnsi"/>
                <w:spacing w:val="-4"/>
              </w:rPr>
              <w:t xml:space="preserve"> 000*</w:t>
            </w:r>
          </w:p>
        </w:tc>
        <w:tc>
          <w:tcPr>
            <w:tcW w:w="1236" w:type="dxa"/>
          </w:tcPr>
          <w:p w14:paraId="7E2A5117" w14:textId="00743139" w:rsidR="00A35D88" w:rsidRPr="00EE32A2" w:rsidRDefault="00A35D88" w:rsidP="00937629">
            <w:pPr>
              <w:pStyle w:val="TableParagraph"/>
              <w:spacing w:before="94"/>
              <w:ind w:left="0" w:right="94"/>
              <w:jc w:val="right"/>
              <w:rPr>
                <w:rFonts w:asciiTheme="minorHAnsi" w:hAnsiTheme="minorHAnsi"/>
                <w:spacing w:val="-5"/>
              </w:rPr>
            </w:pPr>
            <w:r w:rsidRPr="00EE32A2">
              <w:rPr>
                <w:rFonts w:asciiTheme="minorHAnsi" w:hAnsiTheme="minorHAnsi"/>
                <w:spacing w:val="-5"/>
              </w:rPr>
              <w:t>5.5</w:t>
            </w:r>
          </w:p>
        </w:tc>
        <w:tc>
          <w:tcPr>
            <w:tcW w:w="1241" w:type="dxa"/>
          </w:tcPr>
          <w:p w14:paraId="3875E148" w14:textId="3BF10E97" w:rsidR="00A35D88" w:rsidRPr="00EE32A2" w:rsidRDefault="00A35D88" w:rsidP="00937629">
            <w:pPr>
              <w:pStyle w:val="TableParagraph"/>
              <w:spacing w:before="94"/>
              <w:ind w:left="0" w:right="96"/>
              <w:jc w:val="right"/>
              <w:rPr>
                <w:rFonts w:asciiTheme="minorHAnsi" w:hAnsiTheme="minorHAnsi"/>
              </w:rPr>
            </w:pPr>
            <w:r w:rsidRPr="00EE32A2">
              <w:rPr>
                <w:rFonts w:asciiTheme="minorHAnsi" w:hAnsiTheme="minorHAnsi"/>
              </w:rPr>
              <w:t>8</w:t>
            </w:r>
          </w:p>
        </w:tc>
        <w:tc>
          <w:tcPr>
            <w:tcW w:w="1227" w:type="dxa"/>
          </w:tcPr>
          <w:p w14:paraId="1D505FCD" w14:textId="51F4507F" w:rsidR="00A35D88" w:rsidRPr="00EE32A2" w:rsidRDefault="00A35D88" w:rsidP="00937629">
            <w:pPr>
              <w:pStyle w:val="TableParagraph"/>
              <w:spacing w:before="94"/>
              <w:ind w:left="0" w:right="97"/>
              <w:jc w:val="right"/>
              <w:rPr>
                <w:rFonts w:asciiTheme="minorHAnsi" w:hAnsiTheme="minorHAnsi"/>
                <w:spacing w:val="-5"/>
              </w:rPr>
            </w:pPr>
            <w:r>
              <w:rPr>
                <w:rFonts w:asciiTheme="minorHAnsi" w:hAnsiTheme="minorHAnsi"/>
                <w:spacing w:val="-5"/>
              </w:rPr>
              <w:t>4.36</w:t>
            </w:r>
          </w:p>
        </w:tc>
        <w:tc>
          <w:tcPr>
            <w:tcW w:w="886" w:type="dxa"/>
          </w:tcPr>
          <w:p w14:paraId="2F77EA61" w14:textId="4E513CF4" w:rsidR="00A35D88" w:rsidRPr="00EE32A2" w:rsidRDefault="00A35D88" w:rsidP="00937629">
            <w:pPr>
              <w:pStyle w:val="TableParagraph"/>
              <w:spacing w:before="94"/>
              <w:ind w:left="216"/>
              <w:rPr>
                <w:rFonts w:asciiTheme="minorHAnsi" w:hAnsiTheme="minorHAnsi"/>
                <w:spacing w:val="-2"/>
              </w:rPr>
            </w:pPr>
            <w:r>
              <w:rPr>
                <w:rFonts w:asciiTheme="minorHAnsi" w:hAnsiTheme="minorHAnsi"/>
                <w:spacing w:val="-2"/>
              </w:rPr>
              <w:t>12.36</w:t>
            </w:r>
          </w:p>
        </w:tc>
      </w:tr>
      <w:tr w:rsidR="00EE32A2" w:rsidRPr="00EE32A2" w14:paraId="74AFDE5D" w14:textId="77777777" w:rsidTr="00EE32A2">
        <w:trPr>
          <w:trHeight w:val="458"/>
        </w:trPr>
        <w:tc>
          <w:tcPr>
            <w:tcW w:w="2558" w:type="dxa"/>
          </w:tcPr>
          <w:p w14:paraId="63291C85" w14:textId="77777777" w:rsidR="00EE32A2" w:rsidRPr="00EE32A2" w:rsidRDefault="00EE32A2" w:rsidP="00937629">
            <w:pPr>
              <w:pStyle w:val="TableParagraph"/>
              <w:spacing w:before="94"/>
              <w:rPr>
                <w:rFonts w:asciiTheme="minorHAnsi" w:hAnsiTheme="minorHAnsi"/>
              </w:rPr>
            </w:pPr>
            <w:r w:rsidRPr="00EE32A2">
              <w:rPr>
                <w:rFonts w:asciiTheme="minorHAnsi" w:hAnsiTheme="minorHAnsi"/>
              </w:rPr>
              <w:t>July</w:t>
            </w:r>
            <w:r w:rsidRPr="00EE32A2">
              <w:rPr>
                <w:rFonts w:asciiTheme="minorHAnsi" w:hAnsiTheme="minorHAnsi"/>
                <w:spacing w:val="-2"/>
              </w:rPr>
              <w:t xml:space="preserve"> </w:t>
            </w:r>
            <w:r w:rsidRPr="00EE32A2">
              <w:rPr>
                <w:rFonts w:asciiTheme="minorHAnsi" w:hAnsiTheme="minorHAnsi"/>
              </w:rPr>
              <w:t>2023</w:t>
            </w:r>
            <w:r w:rsidRPr="00EE32A2">
              <w:rPr>
                <w:rFonts w:asciiTheme="minorHAnsi" w:hAnsiTheme="minorHAnsi"/>
                <w:spacing w:val="-1"/>
              </w:rPr>
              <w:t xml:space="preserve"> </w:t>
            </w:r>
            <w:r w:rsidRPr="00EE32A2">
              <w:rPr>
                <w:rFonts w:asciiTheme="minorHAnsi" w:hAnsiTheme="minorHAnsi"/>
              </w:rPr>
              <w:t>to</w:t>
            </w:r>
            <w:r w:rsidRPr="00EE32A2">
              <w:rPr>
                <w:rFonts w:asciiTheme="minorHAnsi" w:hAnsiTheme="minorHAnsi"/>
                <w:spacing w:val="-4"/>
              </w:rPr>
              <w:t xml:space="preserve"> </w:t>
            </w:r>
            <w:r w:rsidRPr="00EE32A2">
              <w:rPr>
                <w:rFonts w:asciiTheme="minorHAnsi" w:hAnsiTheme="minorHAnsi"/>
              </w:rPr>
              <w:t>June</w:t>
            </w:r>
            <w:r w:rsidRPr="00EE32A2">
              <w:rPr>
                <w:rFonts w:asciiTheme="minorHAnsi" w:hAnsiTheme="minorHAnsi"/>
                <w:spacing w:val="1"/>
              </w:rPr>
              <w:t xml:space="preserve"> </w:t>
            </w:r>
            <w:r w:rsidRPr="00EE32A2">
              <w:rPr>
                <w:rFonts w:asciiTheme="minorHAnsi" w:hAnsiTheme="minorHAnsi"/>
                <w:spacing w:val="-4"/>
              </w:rPr>
              <w:t>2024</w:t>
            </w:r>
          </w:p>
        </w:tc>
        <w:tc>
          <w:tcPr>
            <w:tcW w:w="1581" w:type="dxa"/>
          </w:tcPr>
          <w:p w14:paraId="3B38029E"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w:t>
            </w:r>
            <w:r w:rsidRPr="00EE32A2">
              <w:rPr>
                <w:rFonts w:asciiTheme="minorHAnsi" w:hAnsiTheme="minorHAnsi"/>
                <w:spacing w:val="-1"/>
              </w:rPr>
              <w:t xml:space="preserve"> </w:t>
            </w:r>
            <w:r w:rsidRPr="00EE32A2">
              <w:rPr>
                <w:rFonts w:asciiTheme="minorHAnsi" w:hAnsiTheme="minorHAnsi"/>
              </w:rPr>
              <w:t>500</w:t>
            </w:r>
            <w:r w:rsidRPr="00EE32A2">
              <w:rPr>
                <w:rFonts w:asciiTheme="minorHAnsi" w:hAnsiTheme="minorHAnsi"/>
                <w:spacing w:val="-1"/>
              </w:rPr>
              <w:t xml:space="preserve"> </w:t>
            </w:r>
            <w:r w:rsidRPr="00EE32A2">
              <w:rPr>
                <w:rFonts w:asciiTheme="minorHAnsi" w:hAnsiTheme="minorHAnsi"/>
                <w:spacing w:val="-4"/>
              </w:rPr>
              <w:t>000*</w:t>
            </w:r>
          </w:p>
        </w:tc>
        <w:tc>
          <w:tcPr>
            <w:tcW w:w="1579" w:type="dxa"/>
          </w:tcPr>
          <w:p w14:paraId="6EC93B3E"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125</w:t>
            </w:r>
            <w:r w:rsidRPr="00EE32A2">
              <w:rPr>
                <w:rFonts w:asciiTheme="minorHAnsi" w:hAnsiTheme="minorHAnsi"/>
                <w:spacing w:val="-4"/>
              </w:rPr>
              <w:t xml:space="preserve"> 000*</w:t>
            </w:r>
          </w:p>
        </w:tc>
        <w:tc>
          <w:tcPr>
            <w:tcW w:w="1236" w:type="dxa"/>
          </w:tcPr>
          <w:p w14:paraId="38F29D2E" w14:textId="77777777" w:rsidR="00EE32A2" w:rsidRPr="00EE32A2" w:rsidRDefault="00EE32A2" w:rsidP="00937629">
            <w:pPr>
              <w:pStyle w:val="TableParagraph"/>
              <w:spacing w:before="94"/>
              <w:ind w:left="0" w:right="94"/>
              <w:jc w:val="right"/>
              <w:rPr>
                <w:rFonts w:asciiTheme="minorHAnsi" w:hAnsiTheme="minorHAnsi"/>
              </w:rPr>
            </w:pPr>
            <w:r w:rsidRPr="00EE32A2">
              <w:rPr>
                <w:rFonts w:asciiTheme="minorHAnsi" w:hAnsiTheme="minorHAnsi"/>
                <w:spacing w:val="-5"/>
              </w:rPr>
              <w:t>5.5</w:t>
            </w:r>
          </w:p>
        </w:tc>
        <w:tc>
          <w:tcPr>
            <w:tcW w:w="1241" w:type="dxa"/>
          </w:tcPr>
          <w:p w14:paraId="4E84B7AA"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rPr>
              <w:t>8</w:t>
            </w:r>
          </w:p>
        </w:tc>
        <w:tc>
          <w:tcPr>
            <w:tcW w:w="1227" w:type="dxa"/>
          </w:tcPr>
          <w:p w14:paraId="5486D950" w14:textId="77777777" w:rsidR="00EE32A2" w:rsidRPr="00EE32A2" w:rsidRDefault="00EE32A2" w:rsidP="00937629">
            <w:pPr>
              <w:pStyle w:val="TableParagraph"/>
              <w:spacing w:before="94"/>
              <w:ind w:left="0" w:right="97"/>
              <w:jc w:val="right"/>
              <w:rPr>
                <w:rFonts w:asciiTheme="minorHAnsi" w:hAnsiTheme="minorHAnsi"/>
              </w:rPr>
            </w:pPr>
            <w:r w:rsidRPr="00EE32A2">
              <w:rPr>
                <w:rFonts w:asciiTheme="minorHAnsi" w:hAnsiTheme="minorHAnsi"/>
                <w:spacing w:val="-5"/>
              </w:rPr>
              <w:t>3.9</w:t>
            </w:r>
          </w:p>
        </w:tc>
        <w:tc>
          <w:tcPr>
            <w:tcW w:w="886" w:type="dxa"/>
          </w:tcPr>
          <w:p w14:paraId="544BA2C2" w14:textId="77777777" w:rsidR="00EE32A2" w:rsidRPr="00EE32A2" w:rsidRDefault="00EE32A2" w:rsidP="00937629">
            <w:pPr>
              <w:pStyle w:val="TableParagraph"/>
              <w:spacing w:before="94"/>
              <w:ind w:left="216"/>
              <w:rPr>
                <w:rFonts w:asciiTheme="minorHAnsi" w:hAnsiTheme="minorHAnsi"/>
              </w:rPr>
            </w:pPr>
            <w:r w:rsidRPr="00EE32A2">
              <w:rPr>
                <w:rFonts w:asciiTheme="minorHAnsi" w:hAnsiTheme="minorHAnsi"/>
                <w:spacing w:val="-2"/>
              </w:rPr>
              <w:t>11.90</w:t>
            </w:r>
          </w:p>
        </w:tc>
      </w:tr>
      <w:tr w:rsidR="00EE32A2" w:rsidRPr="00EE32A2" w14:paraId="68A4BA9F" w14:textId="77777777" w:rsidTr="00EE32A2">
        <w:trPr>
          <w:trHeight w:val="457"/>
        </w:trPr>
        <w:tc>
          <w:tcPr>
            <w:tcW w:w="2558" w:type="dxa"/>
          </w:tcPr>
          <w:p w14:paraId="19F29996" w14:textId="77777777" w:rsidR="00EE32A2" w:rsidRPr="00EE32A2" w:rsidRDefault="00EE32A2" w:rsidP="00937629">
            <w:pPr>
              <w:pStyle w:val="TableParagraph"/>
              <w:spacing w:before="94"/>
              <w:rPr>
                <w:rFonts w:asciiTheme="minorHAnsi" w:hAnsiTheme="minorHAnsi"/>
              </w:rPr>
            </w:pPr>
            <w:r w:rsidRPr="00EE32A2">
              <w:rPr>
                <w:rFonts w:asciiTheme="minorHAnsi" w:hAnsiTheme="minorHAnsi"/>
              </w:rPr>
              <w:t>July</w:t>
            </w:r>
            <w:r w:rsidRPr="00EE32A2">
              <w:rPr>
                <w:rFonts w:asciiTheme="minorHAnsi" w:hAnsiTheme="minorHAnsi"/>
                <w:spacing w:val="-2"/>
              </w:rPr>
              <w:t xml:space="preserve"> </w:t>
            </w:r>
            <w:r w:rsidRPr="00EE32A2">
              <w:rPr>
                <w:rFonts w:asciiTheme="minorHAnsi" w:hAnsiTheme="minorHAnsi"/>
              </w:rPr>
              <w:t>2022</w:t>
            </w:r>
            <w:r w:rsidRPr="00EE32A2">
              <w:rPr>
                <w:rFonts w:asciiTheme="minorHAnsi" w:hAnsiTheme="minorHAnsi"/>
                <w:spacing w:val="-1"/>
              </w:rPr>
              <w:t xml:space="preserve"> </w:t>
            </w:r>
            <w:r w:rsidRPr="00EE32A2">
              <w:rPr>
                <w:rFonts w:asciiTheme="minorHAnsi" w:hAnsiTheme="minorHAnsi"/>
              </w:rPr>
              <w:t>to</w:t>
            </w:r>
            <w:r w:rsidRPr="00EE32A2">
              <w:rPr>
                <w:rFonts w:asciiTheme="minorHAnsi" w:hAnsiTheme="minorHAnsi"/>
                <w:spacing w:val="-4"/>
              </w:rPr>
              <w:t xml:space="preserve"> </w:t>
            </w:r>
            <w:r w:rsidRPr="00EE32A2">
              <w:rPr>
                <w:rFonts w:asciiTheme="minorHAnsi" w:hAnsiTheme="minorHAnsi"/>
              </w:rPr>
              <w:t>June</w:t>
            </w:r>
            <w:r w:rsidRPr="00EE32A2">
              <w:rPr>
                <w:rFonts w:asciiTheme="minorHAnsi" w:hAnsiTheme="minorHAnsi"/>
                <w:spacing w:val="1"/>
              </w:rPr>
              <w:t xml:space="preserve"> </w:t>
            </w:r>
            <w:r w:rsidRPr="00EE32A2">
              <w:rPr>
                <w:rFonts w:asciiTheme="minorHAnsi" w:hAnsiTheme="minorHAnsi"/>
                <w:spacing w:val="-4"/>
              </w:rPr>
              <w:t>2023</w:t>
            </w:r>
          </w:p>
        </w:tc>
        <w:tc>
          <w:tcPr>
            <w:tcW w:w="1581" w:type="dxa"/>
          </w:tcPr>
          <w:p w14:paraId="0AFAD674"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w:t>
            </w:r>
            <w:r w:rsidRPr="00EE32A2">
              <w:rPr>
                <w:rFonts w:asciiTheme="minorHAnsi" w:hAnsiTheme="minorHAnsi"/>
                <w:spacing w:val="-1"/>
              </w:rPr>
              <w:t xml:space="preserve"> </w:t>
            </w:r>
            <w:r w:rsidRPr="00EE32A2">
              <w:rPr>
                <w:rFonts w:asciiTheme="minorHAnsi" w:hAnsiTheme="minorHAnsi"/>
              </w:rPr>
              <w:t>500</w:t>
            </w:r>
            <w:r w:rsidRPr="00EE32A2">
              <w:rPr>
                <w:rFonts w:asciiTheme="minorHAnsi" w:hAnsiTheme="minorHAnsi"/>
                <w:spacing w:val="-1"/>
              </w:rPr>
              <w:t xml:space="preserve"> </w:t>
            </w:r>
            <w:r w:rsidRPr="00EE32A2">
              <w:rPr>
                <w:rFonts w:asciiTheme="minorHAnsi" w:hAnsiTheme="minorHAnsi"/>
                <w:spacing w:val="-4"/>
              </w:rPr>
              <w:t>000*</w:t>
            </w:r>
          </w:p>
        </w:tc>
        <w:tc>
          <w:tcPr>
            <w:tcW w:w="1579" w:type="dxa"/>
          </w:tcPr>
          <w:p w14:paraId="5401D424"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125</w:t>
            </w:r>
            <w:r w:rsidRPr="00EE32A2">
              <w:rPr>
                <w:rFonts w:asciiTheme="minorHAnsi" w:hAnsiTheme="minorHAnsi"/>
                <w:spacing w:val="-4"/>
              </w:rPr>
              <w:t xml:space="preserve"> 000*</w:t>
            </w:r>
          </w:p>
        </w:tc>
        <w:tc>
          <w:tcPr>
            <w:tcW w:w="1236" w:type="dxa"/>
          </w:tcPr>
          <w:p w14:paraId="6534452A" w14:textId="77777777" w:rsidR="00EE32A2" w:rsidRPr="00EE32A2" w:rsidRDefault="00EE32A2" w:rsidP="00937629">
            <w:pPr>
              <w:pStyle w:val="TableParagraph"/>
              <w:spacing w:before="94"/>
              <w:ind w:left="0" w:right="94"/>
              <w:jc w:val="right"/>
              <w:rPr>
                <w:rFonts w:asciiTheme="minorHAnsi" w:hAnsiTheme="minorHAnsi"/>
              </w:rPr>
            </w:pPr>
            <w:r w:rsidRPr="00EE32A2">
              <w:rPr>
                <w:rFonts w:asciiTheme="minorHAnsi" w:hAnsiTheme="minorHAnsi"/>
                <w:spacing w:val="-5"/>
              </w:rPr>
              <w:t>5.5</w:t>
            </w:r>
          </w:p>
        </w:tc>
        <w:tc>
          <w:tcPr>
            <w:tcW w:w="1241" w:type="dxa"/>
          </w:tcPr>
          <w:p w14:paraId="214E3F2A"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rPr>
              <w:t>8</w:t>
            </w:r>
          </w:p>
        </w:tc>
        <w:tc>
          <w:tcPr>
            <w:tcW w:w="1227" w:type="dxa"/>
          </w:tcPr>
          <w:p w14:paraId="51D9FF1B"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spacing w:val="-4"/>
              </w:rPr>
              <w:t>1.00</w:t>
            </w:r>
          </w:p>
        </w:tc>
        <w:tc>
          <w:tcPr>
            <w:tcW w:w="886" w:type="dxa"/>
          </w:tcPr>
          <w:p w14:paraId="331C8846"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spacing w:val="-4"/>
              </w:rPr>
              <w:t>9.00</w:t>
            </w:r>
          </w:p>
        </w:tc>
      </w:tr>
      <w:tr w:rsidR="00EE32A2" w:rsidRPr="00EE32A2" w14:paraId="3FC84E17" w14:textId="77777777" w:rsidTr="00EE32A2">
        <w:trPr>
          <w:trHeight w:val="457"/>
        </w:trPr>
        <w:tc>
          <w:tcPr>
            <w:tcW w:w="2558" w:type="dxa"/>
          </w:tcPr>
          <w:p w14:paraId="129853C2" w14:textId="77777777" w:rsidR="00EE32A2" w:rsidRPr="00EE32A2" w:rsidRDefault="00EE32A2" w:rsidP="00937629">
            <w:pPr>
              <w:pStyle w:val="TableParagraph"/>
              <w:spacing w:before="94"/>
              <w:rPr>
                <w:rFonts w:asciiTheme="minorHAnsi" w:hAnsiTheme="minorHAnsi"/>
              </w:rPr>
            </w:pPr>
            <w:r w:rsidRPr="00EE32A2">
              <w:rPr>
                <w:rFonts w:asciiTheme="minorHAnsi" w:hAnsiTheme="minorHAnsi"/>
              </w:rPr>
              <w:t>July</w:t>
            </w:r>
            <w:r w:rsidRPr="00EE32A2">
              <w:rPr>
                <w:rFonts w:asciiTheme="minorHAnsi" w:hAnsiTheme="minorHAnsi"/>
                <w:spacing w:val="-2"/>
              </w:rPr>
              <w:t xml:space="preserve"> </w:t>
            </w:r>
            <w:r w:rsidRPr="00EE32A2">
              <w:rPr>
                <w:rFonts w:asciiTheme="minorHAnsi" w:hAnsiTheme="minorHAnsi"/>
              </w:rPr>
              <w:t>2021</w:t>
            </w:r>
            <w:r w:rsidRPr="00EE32A2">
              <w:rPr>
                <w:rFonts w:asciiTheme="minorHAnsi" w:hAnsiTheme="minorHAnsi"/>
                <w:spacing w:val="-1"/>
              </w:rPr>
              <w:t xml:space="preserve"> </w:t>
            </w:r>
            <w:r w:rsidRPr="00EE32A2">
              <w:rPr>
                <w:rFonts w:asciiTheme="minorHAnsi" w:hAnsiTheme="minorHAnsi"/>
              </w:rPr>
              <w:t>to</w:t>
            </w:r>
            <w:r w:rsidRPr="00EE32A2">
              <w:rPr>
                <w:rFonts w:asciiTheme="minorHAnsi" w:hAnsiTheme="minorHAnsi"/>
                <w:spacing w:val="-4"/>
              </w:rPr>
              <w:t xml:space="preserve"> </w:t>
            </w:r>
            <w:r w:rsidRPr="00EE32A2">
              <w:rPr>
                <w:rFonts w:asciiTheme="minorHAnsi" w:hAnsiTheme="minorHAnsi"/>
              </w:rPr>
              <w:t>June</w:t>
            </w:r>
            <w:r w:rsidRPr="00EE32A2">
              <w:rPr>
                <w:rFonts w:asciiTheme="minorHAnsi" w:hAnsiTheme="minorHAnsi"/>
                <w:spacing w:val="1"/>
              </w:rPr>
              <w:t xml:space="preserve"> </w:t>
            </w:r>
            <w:r w:rsidRPr="00EE32A2">
              <w:rPr>
                <w:rFonts w:asciiTheme="minorHAnsi" w:hAnsiTheme="minorHAnsi"/>
                <w:spacing w:val="-4"/>
              </w:rPr>
              <w:t>2022</w:t>
            </w:r>
          </w:p>
        </w:tc>
        <w:tc>
          <w:tcPr>
            <w:tcW w:w="1581" w:type="dxa"/>
          </w:tcPr>
          <w:p w14:paraId="78D205D3"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w:t>
            </w:r>
            <w:r w:rsidRPr="00EE32A2">
              <w:rPr>
                <w:rFonts w:asciiTheme="minorHAnsi" w:hAnsiTheme="minorHAnsi"/>
                <w:spacing w:val="-1"/>
              </w:rPr>
              <w:t xml:space="preserve"> </w:t>
            </w:r>
            <w:r w:rsidRPr="00EE32A2">
              <w:rPr>
                <w:rFonts w:asciiTheme="minorHAnsi" w:hAnsiTheme="minorHAnsi"/>
              </w:rPr>
              <w:t>500</w:t>
            </w:r>
            <w:r w:rsidRPr="00EE32A2">
              <w:rPr>
                <w:rFonts w:asciiTheme="minorHAnsi" w:hAnsiTheme="minorHAnsi"/>
                <w:spacing w:val="-1"/>
              </w:rPr>
              <w:t xml:space="preserve"> </w:t>
            </w:r>
            <w:r w:rsidRPr="00EE32A2">
              <w:rPr>
                <w:rFonts w:asciiTheme="minorHAnsi" w:hAnsiTheme="minorHAnsi"/>
                <w:spacing w:val="-4"/>
              </w:rPr>
              <w:t>000*</w:t>
            </w:r>
          </w:p>
        </w:tc>
        <w:tc>
          <w:tcPr>
            <w:tcW w:w="1579" w:type="dxa"/>
          </w:tcPr>
          <w:p w14:paraId="2C367361"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125</w:t>
            </w:r>
            <w:r w:rsidRPr="00EE32A2">
              <w:rPr>
                <w:rFonts w:asciiTheme="minorHAnsi" w:hAnsiTheme="minorHAnsi"/>
                <w:spacing w:val="-4"/>
              </w:rPr>
              <w:t xml:space="preserve"> 000*</w:t>
            </w:r>
          </w:p>
        </w:tc>
        <w:tc>
          <w:tcPr>
            <w:tcW w:w="1236" w:type="dxa"/>
          </w:tcPr>
          <w:p w14:paraId="3FF5104D" w14:textId="77777777" w:rsidR="00EE32A2" w:rsidRPr="00EE32A2" w:rsidRDefault="00EE32A2" w:rsidP="00937629">
            <w:pPr>
              <w:pStyle w:val="TableParagraph"/>
              <w:spacing w:before="94"/>
              <w:ind w:left="0" w:right="94"/>
              <w:jc w:val="right"/>
              <w:rPr>
                <w:rFonts w:asciiTheme="minorHAnsi" w:hAnsiTheme="minorHAnsi"/>
              </w:rPr>
            </w:pPr>
            <w:r w:rsidRPr="00EE32A2">
              <w:rPr>
                <w:rFonts w:asciiTheme="minorHAnsi" w:hAnsiTheme="minorHAnsi"/>
                <w:spacing w:val="-5"/>
              </w:rPr>
              <w:t>5.5</w:t>
            </w:r>
          </w:p>
        </w:tc>
        <w:tc>
          <w:tcPr>
            <w:tcW w:w="1241" w:type="dxa"/>
          </w:tcPr>
          <w:p w14:paraId="377F3F6D"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rPr>
              <w:t>8</w:t>
            </w:r>
          </w:p>
        </w:tc>
        <w:tc>
          <w:tcPr>
            <w:tcW w:w="1227" w:type="dxa"/>
          </w:tcPr>
          <w:p w14:paraId="27B11031"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spacing w:val="-4"/>
              </w:rPr>
              <w:t>0.04</w:t>
            </w:r>
          </w:p>
        </w:tc>
        <w:tc>
          <w:tcPr>
            <w:tcW w:w="886" w:type="dxa"/>
          </w:tcPr>
          <w:p w14:paraId="4EC6E83D"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spacing w:val="-4"/>
              </w:rPr>
              <w:t>8.04</w:t>
            </w:r>
          </w:p>
        </w:tc>
      </w:tr>
      <w:tr w:rsidR="00EE32A2" w:rsidRPr="00EE32A2" w14:paraId="4E943D08" w14:textId="77777777" w:rsidTr="00EE32A2">
        <w:trPr>
          <w:trHeight w:val="457"/>
        </w:trPr>
        <w:tc>
          <w:tcPr>
            <w:tcW w:w="2558" w:type="dxa"/>
          </w:tcPr>
          <w:p w14:paraId="0268B1B5" w14:textId="77777777" w:rsidR="00EE32A2" w:rsidRPr="00EE32A2" w:rsidRDefault="00EE32A2" w:rsidP="00937629">
            <w:pPr>
              <w:pStyle w:val="TableParagraph"/>
              <w:spacing w:before="94"/>
              <w:rPr>
                <w:rFonts w:asciiTheme="minorHAnsi" w:hAnsiTheme="minorHAnsi"/>
              </w:rPr>
            </w:pPr>
            <w:r w:rsidRPr="00EE32A2">
              <w:rPr>
                <w:rFonts w:asciiTheme="minorHAnsi" w:hAnsiTheme="minorHAnsi"/>
              </w:rPr>
              <w:t>July</w:t>
            </w:r>
            <w:r w:rsidRPr="00EE32A2">
              <w:rPr>
                <w:rFonts w:asciiTheme="minorHAnsi" w:hAnsiTheme="minorHAnsi"/>
                <w:spacing w:val="-2"/>
              </w:rPr>
              <w:t xml:space="preserve"> </w:t>
            </w:r>
            <w:r w:rsidRPr="00EE32A2">
              <w:rPr>
                <w:rFonts w:asciiTheme="minorHAnsi" w:hAnsiTheme="minorHAnsi"/>
              </w:rPr>
              <w:t>2020</w:t>
            </w:r>
            <w:r w:rsidRPr="00EE32A2">
              <w:rPr>
                <w:rFonts w:asciiTheme="minorHAnsi" w:hAnsiTheme="minorHAnsi"/>
                <w:spacing w:val="-1"/>
              </w:rPr>
              <w:t xml:space="preserve"> </w:t>
            </w:r>
            <w:r w:rsidRPr="00EE32A2">
              <w:rPr>
                <w:rFonts w:asciiTheme="minorHAnsi" w:hAnsiTheme="minorHAnsi"/>
              </w:rPr>
              <w:t>to</w:t>
            </w:r>
            <w:r w:rsidRPr="00EE32A2">
              <w:rPr>
                <w:rFonts w:asciiTheme="minorHAnsi" w:hAnsiTheme="minorHAnsi"/>
                <w:spacing w:val="-4"/>
              </w:rPr>
              <w:t xml:space="preserve"> </w:t>
            </w:r>
            <w:r w:rsidRPr="00EE32A2">
              <w:rPr>
                <w:rFonts w:asciiTheme="minorHAnsi" w:hAnsiTheme="minorHAnsi"/>
              </w:rPr>
              <w:t>June</w:t>
            </w:r>
            <w:r w:rsidRPr="00EE32A2">
              <w:rPr>
                <w:rFonts w:asciiTheme="minorHAnsi" w:hAnsiTheme="minorHAnsi"/>
                <w:spacing w:val="1"/>
              </w:rPr>
              <w:t xml:space="preserve"> </w:t>
            </w:r>
            <w:r w:rsidRPr="00EE32A2">
              <w:rPr>
                <w:rFonts w:asciiTheme="minorHAnsi" w:hAnsiTheme="minorHAnsi"/>
                <w:spacing w:val="-4"/>
              </w:rPr>
              <w:t>2021</w:t>
            </w:r>
          </w:p>
        </w:tc>
        <w:tc>
          <w:tcPr>
            <w:tcW w:w="1581" w:type="dxa"/>
          </w:tcPr>
          <w:p w14:paraId="05762F12"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w:t>
            </w:r>
            <w:r w:rsidRPr="00EE32A2">
              <w:rPr>
                <w:rFonts w:asciiTheme="minorHAnsi" w:hAnsiTheme="minorHAnsi"/>
                <w:spacing w:val="-1"/>
              </w:rPr>
              <w:t xml:space="preserve"> </w:t>
            </w:r>
            <w:r w:rsidRPr="00EE32A2">
              <w:rPr>
                <w:rFonts w:asciiTheme="minorHAnsi" w:hAnsiTheme="minorHAnsi"/>
              </w:rPr>
              <w:t>500</w:t>
            </w:r>
            <w:r w:rsidRPr="00EE32A2">
              <w:rPr>
                <w:rFonts w:asciiTheme="minorHAnsi" w:hAnsiTheme="minorHAnsi"/>
                <w:spacing w:val="-1"/>
              </w:rPr>
              <w:t xml:space="preserve"> </w:t>
            </w:r>
            <w:r w:rsidRPr="00EE32A2">
              <w:rPr>
                <w:rFonts w:asciiTheme="minorHAnsi" w:hAnsiTheme="minorHAnsi"/>
                <w:spacing w:val="-4"/>
              </w:rPr>
              <w:t>000*</w:t>
            </w:r>
          </w:p>
        </w:tc>
        <w:tc>
          <w:tcPr>
            <w:tcW w:w="1579" w:type="dxa"/>
          </w:tcPr>
          <w:p w14:paraId="21F86F81"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125</w:t>
            </w:r>
            <w:r w:rsidRPr="00EE32A2">
              <w:rPr>
                <w:rFonts w:asciiTheme="minorHAnsi" w:hAnsiTheme="minorHAnsi"/>
                <w:spacing w:val="-4"/>
              </w:rPr>
              <w:t xml:space="preserve"> 000*</w:t>
            </w:r>
          </w:p>
        </w:tc>
        <w:tc>
          <w:tcPr>
            <w:tcW w:w="1236" w:type="dxa"/>
          </w:tcPr>
          <w:p w14:paraId="52DA678B" w14:textId="77777777" w:rsidR="00EE32A2" w:rsidRPr="00EE32A2" w:rsidRDefault="00EE32A2" w:rsidP="00937629">
            <w:pPr>
              <w:pStyle w:val="TableParagraph"/>
              <w:spacing w:before="94"/>
              <w:ind w:left="0" w:right="94"/>
              <w:jc w:val="right"/>
              <w:rPr>
                <w:rFonts w:asciiTheme="minorHAnsi" w:hAnsiTheme="minorHAnsi"/>
              </w:rPr>
            </w:pPr>
            <w:r w:rsidRPr="00EE32A2">
              <w:rPr>
                <w:rFonts w:asciiTheme="minorHAnsi" w:hAnsiTheme="minorHAnsi"/>
                <w:spacing w:val="-5"/>
              </w:rPr>
              <w:t>5.5</w:t>
            </w:r>
          </w:p>
        </w:tc>
        <w:tc>
          <w:tcPr>
            <w:tcW w:w="1241" w:type="dxa"/>
          </w:tcPr>
          <w:p w14:paraId="1FC3193A"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rPr>
              <w:t>8</w:t>
            </w:r>
          </w:p>
        </w:tc>
        <w:tc>
          <w:tcPr>
            <w:tcW w:w="1227" w:type="dxa"/>
          </w:tcPr>
          <w:p w14:paraId="1AAB7A13"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spacing w:val="-4"/>
              </w:rPr>
              <w:t>0.10</w:t>
            </w:r>
          </w:p>
        </w:tc>
        <w:tc>
          <w:tcPr>
            <w:tcW w:w="886" w:type="dxa"/>
          </w:tcPr>
          <w:p w14:paraId="3F76E0A0"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spacing w:val="-4"/>
              </w:rPr>
              <w:t>8.10</w:t>
            </w:r>
          </w:p>
        </w:tc>
      </w:tr>
      <w:tr w:rsidR="00EE32A2" w:rsidRPr="00EE32A2" w14:paraId="62DF784D" w14:textId="77777777" w:rsidTr="00EE32A2">
        <w:trPr>
          <w:trHeight w:val="457"/>
        </w:trPr>
        <w:tc>
          <w:tcPr>
            <w:tcW w:w="2558" w:type="dxa"/>
          </w:tcPr>
          <w:p w14:paraId="27F62CC1" w14:textId="77777777" w:rsidR="00EE32A2" w:rsidRPr="00EE32A2" w:rsidRDefault="00EE32A2" w:rsidP="00937629">
            <w:pPr>
              <w:pStyle w:val="TableParagraph"/>
              <w:spacing w:before="94"/>
              <w:rPr>
                <w:rFonts w:asciiTheme="minorHAnsi" w:hAnsiTheme="minorHAnsi"/>
              </w:rPr>
            </w:pPr>
            <w:r w:rsidRPr="00EE32A2">
              <w:rPr>
                <w:rFonts w:asciiTheme="minorHAnsi" w:hAnsiTheme="minorHAnsi"/>
              </w:rPr>
              <w:t>July</w:t>
            </w:r>
            <w:r w:rsidRPr="00EE32A2">
              <w:rPr>
                <w:rFonts w:asciiTheme="minorHAnsi" w:hAnsiTheme="minorHAnsi"/>
                <w:spacing w:val="-2"/>
              </w:rPr>
              <w:t xml:space="preserve"> </w:t>
            </w:r>
            <w:r w:rsidRPr="00EE32A2">
              <w:rPr>
                <w:rFonts w:asciiTheme="minorHAnsi" w:hAnsiTheme="minorHAnsi"/>
              </w:rPr>
              <w:t>2019</w:t>
            </w:r>
            <w:r w:rsidRPr="00EE32A2">
              <w:rPr>
                <w:rFonts w:asciiTheme="minorHAnsi" w:hAnsiTheme="minorHAnsi"/>
                <w:spacing w:val="-1"/>
              </w:rPr>
              <w:t xml:space="preserve"> </w:t>
            </w:r>
            <w:r w:rsidRPr="00EE32A2">
              <w:rPr>
                <w:rFonts w:asciiTheme="minorHAnsi" w:hAnsiTheme="minorHAnsi"/>
              </w:rPr>
              <w:t>to</w:t>
            </w:r>
            <w:r w:rsidRPr="00EE32A2">
              <w:rPr>
                <w:rFonts w:asciiTheme="minorHAnsi" w:hAnsiTheme="minorHAnsi"/>
                <w:spacing w:val="-4"/>
              </w:rPr>
              <w:t xml:space="preserve"> </w:t>
            </w:r>
            <w:r w:rsidRPr="00EE32A2">
              <w:rPr>
                <w:rFonts w:asciiTheme="minorHAnsi" w:hAnsiTheme="minorHAnsi"/>
              </w:rPr>
              <w:t>June</w:t>
            </w:r>
            <w:r w:rsidRPr="00EE32A2">
              <w:rPr>
                <w:rFonts w:asciiTheme="minorHAnsi" w:hAnsiTheme="minorHAnsi"/>
                <w:spacing w:val="1"/>
              </w:rPr>
              <w:t xml:space="preserve"> </w:t>
            </w:r>
            <w:r w:rsidRPr="00EE32A2">
              <w:rPr>
                <w:rFonts w:asciiTheme="minorHAnsi" w:hAnsiTheme="minorHAnsi"/>
                <w:spacing w:val="-4"/>
              </w:rPr>
              <w:t>2020</w:t>
            </w:r>
          </w:p>
        </w:tc>
        <w:tc>
          <w:tcPr>
            <w:tcW w:w="1581" w:type="dxa"/>
          </w:tcPr>
          <w:p w14:paraId="2A1FC194"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w:t>
            </w:r>
            <w:r w:rsidRPr="00EE32A2">
              <w:rPr>
                <w:rFonts w:asciiTheme="minorHAnsi" w:hAnsiTheme="minorHAnsi"/>
                <w:spacing w:val="-1"/>
              </w:rPr>
              <w:t xml:space="preserve"> </w:t>
            </w:r>
            <w:r w:rsidRPr="00EE32A2">
              <w:rPr>
                <w:rFonts w:asciiTheme="minorHAnsi" w:hAnsiTheme="minorHAnsi"/>
              </w:rPr>
              <w:t>500</w:t>
            </w:r>
            <w:r w:rsidRPr="00EE32A2">
              <w:rPr>
                <w:rFonts w:asciiTheme="minorHAnsi" w:hAnsiTheme="minorHAnsi"/>
                <w:spacing w:val="-1"/>
              </w:rPr>
              <w:t xml:space="preserve"> </w:t>
            </w:r>
            <w:r w:rsidRPr="00EE32A2">
              <w:rPr>
                <w:rFonts w:asciiTheme="minorHAnsi" w:hAnsiTheme="minorHAnsi"/>
                <w:spacing w:val="-4"/>
              </w:rPr>
              <w:t>000*</w:t>
            </w:r>
          </w:p>
        </w:tc>
        <w:tc>
          <w:tcPr>
            <w:tcW w:w="1579" w:type="dxa"/>
          </w:tcPr>
          <w:p w14:paraId="1F521FF6"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125</w:t>
            </w:r>
            <w:r w:rsidRPr="00EE32A2">
              <w:rPr>
                <w:rFonts w:asciiTheme="minorHAnsi" w:hAnsiTheme="minorHAnsi"/>
                <w:spacing w:val="-4"/>
              </w:rPr>
              <w:t xml:space="preserve"> 000*</w:t>
            </w:r>
          </w:p>
        </w:tc>
        <w:tc>
          <w:tcPr>
            <w:tcW w:w="1236" w:type="dxa"/>
          </w:tcPr>
          <w:p w14:paraId="2CA0E800" w14:textId="77777777" w:rsidR="00EE32A2" w:rsidRPr="00EE32A2" w:rsidRDefault="00EE32A2" w:rsidP="00937629">
            <w:pPr>
              <w:pStyle w:val="TableParagraph"/>
              <w:spacing w:before="94"/>
              <w:ind w:left="0" w:right="94"/>
              <w:jc w:val="right"/>
              <w:rPr>
                <w:rFonts w:asciiTheme="minorHAnsi" w:hAnsiTheme="minorHAnsi"/>
              </w:rPr>
            </w:pPr>
            <w:r w:rsidRPr="00EE32A2">
              <w:rPr>
                <w:rFonts w:asciiTheme="minorHAnsi" w:hAnsiTheme="minorHAnsi"/>
                <w:spacing w:val="-5"/>
              </w:rPr>
              <w:t>5.5</w:t>
            </w:r>
          </w:p>
        </w:tc>
        <w:tc>
          <w:tcPr>
            <w:tcW w:w="1241" w:type="dxa"/>
          </w:tcPr>
          <w:p w14:paraId="33F1145A"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rPr>
              <w:t>8</w:t>
            </w:r>
          </w:p>
        </w:tc>
        <w:tc>
          <w:tcPr>
            <w:tcW w:w="1227" w:type="dxa"/>
          </w:tcPr>
          <w:p w14:paraId="42A69E0E"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spacing w:val="-4"/>
              </w:rPr>
              <w:t>1.54</w:t>
            </w:r>
          </w:p>
        </w:tc>
        <w:tc>
          <w:tcPr>
            <w:tcW w:w="886" w:type="dxa"/>
          </w:tcPr>
          <w:p w14:paraId="0D0A655E"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spacing w:val="-4"/>
              </w:rPr>
              <w:t>9.54</w:t>
            </w:r>
          </w:p>
        </w:tc>
      </w:tr>
      <w:tr w:rsidR="00EE32A2" w:rsidRPr="00EE32A2" w14:paraId="3A6E0F51" w14:textId="77777777" w:rsidTr="00EE32A2">
        <w:trPr>
          <w:trHeight w:val="458"/>
        </w:trPr>
        <w:tc>
          <w:tcPr>
            <w:tcW w:w="2558" w:type="dxa"/>
          </w:tcPr>
          <w:p w14:paraId="321701CF" w14:textId="77777777" w:rsidR="00EE32A2" w:rsidRPr="00EE32A2" w:rsidRDefault="00EE32A2" w:rsidP="00937629">
            <w:pPr>
              <w:pStyle w:val="TableParagraph"/>
              <w:spacing w:before="94"/>
              <w:rPr>
                <w:rFonts w:asciiTheme="minorHAnsi" w:hAnsiTheme="minorHAnsi"/>
              </w:rPr>
            </w:pPr>
            <w:r w:rsidRPr="00EE32A2">
              <w:rPr>
                <w:rFonts w:asciiTheme="minorHAnsi" w:hAnsiTheme="minorHAnsi"/>
              </w:rPr>
              <w:t>July</w:t>
            </w:r>
            <w:r w:rsidRPr="00EE32A2">
              <w:rPr>
                <w:rFonts w:asciiTheme="minorHAnsi" w:hAnsiTheme="minorHAnsi"/>
                <w:spacing w:val="-2"/>
              </w:rPr>
              <w:t xml:space="preserve"> </w:t>
            </w:r>
            <w:r w:rsidRPr="00EE32A2">
              <w:rPr>
                <w:rFonts w:asciiTheme="minorHAnsi" w:hAnsiTheme="minorHAnsi"/>
              </w:rPr>
              <w:t>2018</w:t>
            </w:r>
            <w:r w:rsidRPr="00EE32A2">
              <w:rPr>
                <w:rFonts w:asciiTheme="minorHAnsi" w:hAnsiTheme="minorHAnsi"/>
                <w:spacing w:val="-1"/>
              </w:rPr>
              <w:t xml:space="preserve"> </w:t>
            </w:r>
            <w:r w:rsidRPr="00EE32A2">
              <w:rPr>
                <w:rFonts w:asciiTheme="minorHAnsi" w:hAnsiTheme="minorHAnsi"/>
              </w:rPr>
              <w:t>to</w:t>
            </w:r>
            <w:r w:rsidRPr="00EE32A2">
              <w:rPr>
                <w:rFonts w:asciiTheme="minorHAnsi" w:hAnsiTheme="minorHAnsi"/>
                <w:spacing w:val="-4"/>
              </w:rPr>
              <w:t xml:space="preserve"> </w:t>
            </w:r>
            <w:r w:rsidRPr="00EE32A2">
              <w:rPr>
                <w:rFonts w:asciiTheme="minorHAnsi" w:hAnsiTheme="minorHAnsi"/>
              </w:rPr>
              <w:t>June</w:t>
            </w:r>
            <w:r w:rsidRPr="00EE32A2">
              <w:rPr>
                <w:rFonts w:asciiTheme="minorHAnsi" w:hAnsiTheme="minorHAnsi"/>
                <w:spacing w:val="1"/>
              </w:rPr>
              <w:t xml:space="preserve"> </w:t>
            </w:r>
            <w:r w:rsidRPr="00EE32A2">
              <w:rPr>
                <w:rFonts w:asciiTheme="minorHAnsi" w:hAnsiTheme="minorHAnsi"/>
                <w:spacing w:val="-4"/>
              </w:rPr>
              <w:t>2019</w:t>
            </w:r>
          </w:p>
        </w:tc>
        <w:tc>
          <w:tcPr>
            <w:tcW w:w="1581" w:type="dxa"/>
          </w:tcPr>
          <w:p w14:paraId="37AD21E4"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w:t>
            </w:r>
            <w:r w:rsidRPr="00EE32A2">
              <w:rPr>
                <w:rFonts w:asciiTheme="minorHAnsi" w:hAnsiTheme="minorHAnsi"/>
                <w:spacing w:val="-1"/>
              </w:rPr>
              <w:t xml:space="preserve"> </w:t>
            </w:r>
            <w:r w:rsidRPr="00EE32A2">
              <w:rPr>
                <w:rFonts w:asciiTheme="minorHAnsi" w:hAnsiTheme="minorHAnsi"/>
              </w:rPr>
              <w:t>500</w:t>
            </w:r>
            <w:r w:rsidRPr="00EE32A2">
              <w:rPr>
                <w:rFonts w:asciiTheme="minorHAnsi" w:hAnsiTheme="minorHAnsi"/>
                <w:spacing w:val="-1"/>
              </w:rPr>
              <w:t xml:space="preserve"> </w:t>
            </w:r>
            <w:r w:rsidRPr="00EE32A2">
              <w:rPr>
                <w:rFonts w:asciiTheme="minorHAnsi" w:hAnsiTheme="minorHAnsi"/>
                <w:spacing w:val="-4"/>
              </w:rPr>
              <w:t>000*</w:t>
            </w:r>
          </w:p>
        </w:tc>
        <w:tc>
          <w:tcPr>
            <w:tcW w:w="1579" w:type="dxa"/>
          </w:tcPr>
          <w:p w14:paraId="07F9EA71"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125</w:t>
            </w:r>
            <w:r w:rsidRPr="00EE32A2">
              <w:rPr>
                <w:rFonts w:asciiTheme="minorHAnsi" w:hAnsiTheme="minorHAnsi"/>
                <w:spacing w:val="-4"/>
              </w:rPr>
              <w:t xml:space="preserve"> 000*</w:t>
            </w:r>
          </w:p>
        </w:tc>
        <w:tc>
          <w:tcPr>
            <w:tcW w:w="1236" w:type="dxa"/>
          </w:tcPr>
          <w:p w14:paraId="19A3B6E3" w14:textId="77777777" w:rsidR="00EE32A2" w:rsidRPr="00EE32A2" w:rsidRDefault="00EE32A2" w:rsidP="00937629">
            <w:pPr>
              <w:pStyle w:val="TableParagraph"/>
              <w:spacing w:before="94"/>
              <w:ind w:left="0" w:right="94"/>
              <w:jc w:val="right"/>
              <w:rPr>
                <w:rFonts w:asciiTheme="minorHAnsi" w:hAnsiTheme="minorHAnsi"/>
              </w:rPr>
            </w:pPr>
            <w:r w:rsidRPr="00EE32A2">
              <w:rPr>
                <w:rFonts w:asciiTheme="minorHAnsi" w:hAnsiTheme="minorHAnsi"/>
                <w:spacing w:val="-5"/>
              </w:rPr>
              <w:t>5.5</w:t>
            </w:r>
          </w:p>
        </w:tc>
        <w:tc>
          <w:tcPr>
            <w:tcW w:w="1241" w:type="dxa"/>
          </w:tcPr>
          <w:p w14:paraId="38ABE108"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rPr>
              <w:t>8</w:t>
            </w:r>
          </w:p>
        </w:tc>
        <w:tc>
          <w:tcPr>
            <w:tcW w:w="1227" w:type="dxa"/>
          </w:tcPr>
          <w:p w14:paraId="34E4BD15"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spacing w:val="-4"/>
              </w:rPr>
              <w:t>1.96</w:t>
            </w:r>
          </w:p>
        </w:tc>
        <w:tc>
          <w:tcPr>
            <w:tcW w:w="886" w:type="dxa"/>
          </w:tcPr>
          <w:p w14:paraId="4636ABEA"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spacing w:val="-4"/>
              </w:rPr>
              <w:t>9.96</w:t>
            </w:r>
          </w:p>
        </w:tc>
      </w:tr>
      <w:tr w:rsidR="00EE32A2" w:rsidRPr="00EE32A2" w14:paraId="321D6C82" w14:textId="77777777" w:rsidTr="00EE32A2">
        <w:trPr>
          <w:trHeight w:val="457"/>
        </w:trPr>
        <w:tc>
          <w:tcPr>
            <w:tcW w:w="2558" w:type="dxa"/>
          </w:tcPr>
          <w:p w14:paraId="2B4E7211" w14:textId="77777777" w:rsidR="00EE32A2" w:rsidRPr="00EE32A2" w:rsidRDefault="00EE32A2" w:rsidP="00937629">
            <w:pPr>
              <w:pStyle w:val="TableParagraph"/>
              <w:spacing w:before="94"/>
              <w:rPr>
                <w:rFonts w:asciiTheme="minorHAnsi" w:hAnsiTheme="minorHAnsi"/>
              </w:rPr>
            </w:pPr>
            <w:r w:rsidRPr="00EE32A2">
              <w:rPr>
                <w:rFonts w:asciiTheme="minorHAnsi" w:hAnsiTheme="minorHAnsi"/>
              </w:rPr>
              <w:t>July</w:t>
            </w:r>
            <w:r w:rsidRPr="00EE32A2">
              <w:rPr>
                <w:rFonts w:asciiTheme="minorHAnsi" w:hAnsiTheme="minorHAnsi"/>
                <w:spacing w:val="-2"/>
              </w:rPr>
              <w:t xml:space="preserve"> </w:t>
            </w:r>
            <w:r w:rsidRPr="00EE32A2">
              <w:rPr>
                <w:rFonts w:asciiTheme="minorHAnsi" w:hAnsiTheme="minorHAnsi"/>
              </w:rPr>
              <w:t>2017</w:t>
            </w:r>
            <w:r w:rsidRPr="00EE32A2">
              <w:rPr>
                <w:rFonts w:asciiTheme="minorHAnsi" w:hAnsiTheme="minorHAnsi"/>
                <w:spacing w:val="-1"/>
              </w:rPr>
              <w:t xml:space="preserve"> </w:t>
            </w:r>
            <w:r w:rsidRPr="00EE32A2">
              <w:rPr>
                <w:rFonts w:asciiTheme="minorHAnsi" w:hAnsiTheme="minorHAnsi"/>
              </w:rPr>
              <w:t>to</w:t>
            </w:r>
            <w:r w:rsidRPr="00EE32A2">
              <w:rPr>
                <w:rFonts w:asciiTheme="minorHAnsi" w:hAnsiTheme="minorHAnsi"/>
                <w:spacing w:val="-4"/>
              </w:rPr>
              <w:t xml:space="preserve"> </w:t>
            </w:r>
            <w:r w:rsidRPr="00EE32A2">
              <w:rPr>
                <w:rFonts w:asciiTheme="minorHAnsi" w:hAnsiTheme="minorHAnsi"/>
              </w:rPr>
              <w:t>June</w:t>
            </w:r>
            <w:r w:rsidRPr="00EE32A2">
              <w:rPr>
                <w:rFonts w:asciiTheme="minorHAnsi" w:hAnsiTheme="minorHAnsi"/>
                <w:spacing w:val="1"/>
              </w:rPr>
              <w:t xml:space="preserve"> </w:t>
            </w:r>
            <w:r w:rsidRPr="00EE32A2">
              <w:rPr>
                <w:rFonts w:asciiTheme="minorHAnsi" w:hAnsiTheme="minorHAnsi"/>
                <w:spacing w:val="-4"/>
              </w:rPr>
              <w:t>2018</w:t>
            </w:r>
          </w:p>
        </w:tc>
        <w:tc>
          <w:tcPr>
            <w:tcW w:w="1581" w:type="dxa"/>
          </w:tcPr>
          <w:p w14:paraId="7B7AAF45"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w:t>
            </w:r>
            <w:r w:rsidRPr="00EE32A2">
              <w:rPr>
                <w:rFonts w:asciiTheme="minorHAnsi" w:hAnsiTheme="minorHAnsi"/>
                <w:spacing w:val="-1"/>
              </w:rPr>
              <w:t xml:space="preserve"> </w:t>
            </w:r>
            <w:r w:rsidRPr="00EE32A2">
              <w:rPr>
                <w:rFonts w:asciiTheme="minorHAnsi" w:hAnsiTheme="minorHAnsi"/>
              </w:rPr>
              <w:t>500</w:t>
            </w:r>
            <w:r w:rsidRPr="00EE32A2">
              <w:rPr>
                <w:rFonts w:asciiTheme="minorHAnsi" w:hAnsiTheme="minorHAnsi"/>
                <w:spacing w:val="-1"/>
              </w:rPr>
              <w:t xml:space="preserve"> </w:t>
            </w:r>
            <w:r w:rsidRPr="00EE32A2">
              <w:rPr>
                <w:rFonts w:asciiTheme="minorHAnsi" w:hAnsiTheme="minorHAnsi"/>
                <w:spacing w:val="-4"/>
              </w:rPr>
              <w:t>000*</w:t>
            </w:r>
          </w:p>
        </w:tc>
        <w:tc>
          <w:tcPr>
            <w:tcW w:w="1579" w:type="dxa"/>
          </w:tcPr>
          <w:p w14:paraId="2CA2D3A4"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125</w:t>
            </w:r>
            <w:r w:rsidRPr="00EE32A2">
              <w:rPr>
                <w:rFonts w:asciiTheme="minorHAnsi" w:hAnsiTheme="minorHAnsi"/>
                <w:spacing w:val="-4"/>
              </w:rPr>
              <w:t xml:space="preserve"> 000*</w:t>
            </w:r>
          </w:p>
        </w:tc>
        <w:tc>
          <w:tcPr>
            <w:tcW w:w="1236" w:type="dxa"/>
          </w:tcPr>
          <w:p w14:paraId="7D9E11DE" w14:textId="77777777" w:rsidR="00EE32A2" w:rsidRPr="00EE32A2" w:rsidRDefault="00EE32A2" w:rsidP="00937629">
            <w:pPr>
              <w:pStyle w:val="TableParagraph"/>
              <w:spacing w:before="94"/>
              <w:ind w:left="0" w:right="94"/>
              <w:jc w:val="right"/>
              <w:rPr>
                <w:rFonts w:asciiTheme="minorHAnsi" w:hAnsiTheme="minorHAnsi"/>
              </w:rPr>
            </w:pPr>
            <w:r w:rsidRPr="00EE32A2">
              <w:rPr>
                <w:rFonts w:asciiTheme="minorHAnsi" w:hAnsiTheme="minorHAnsi"/>
                <w:spacing w:val="-5"/>
              </w:rPr>
              <w:t>5.5</w:t>
            </w:r>
          </w:p>
        </w:tc>
        <w:tc>
          <w:tcPr>
            <w:tcW w:w="1241" w:type="dxa"/>
          </w:tcPr>
          <w:p w14:paraId="342062F1"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rPr>
              <w:t>8</w:t>
            </w:r>
          </w:p>
        </w:tc>
        <w:tc>
          <w:tcPr>
            <w:tcW w:w="1227" w:type="dxa"/>
          </w:tcPr>
          <w:p w14:paraId="5980839A"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spacing w:val="-4"/>
              </w:rPr>
              <w:t>1.73</w:t>
            </w:r>
          </w:p>
        </w:tc>
        <w:tc>
          <w:tcPr>
            <w:tcW w:w="886" w:type="dxa"/>
          </w:tcPr>
          <w:p w14:paraId="324592CC"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spacing w:val="-4"/>
              </w:rPr>
              <w:t>9.73</w:t>
            </w:r>
          </w:p>
        </w:tc>
      </w:tr>
      <w:tr w:rsidR="00EE32A2" w:rsidRPr="00EE32A2" w14:paraId="3ED8DFB9" w14:textId="77777777" w:rsidTr="00EE32A2">
        <w:trPr>
          <w:trHeight w:val="458"/>
        </w:trPr>
        <w:tc>
          <w:tcPr>
            <w:tcW w:w="2558" w:type="dxa"/>
          </w:tcPr>
          <w:p w14:paraId="2DD88D3F" w14:textId="77777777" w:rsidR="00EE32A2" w:rsidRPr="00EE32A2" w:rsidRDefault="00EE32A2" w:rsidP="00937629">
            <w:pPr>
              <w:pStyle w:val="TableParagraph"/>
              <w:spacing w:before="94"/>
              <w:rPr>
                <w:rFonts w:asciiTheme="minorHAnsi" w:hAnsiTheme="minorHAnsi"/>
              </w:rPr>
            </w:pPr>
            <w:r w:rsidRPr="00EE32A2">
              <w:rPr>
                <w:rFonts w:asciiTheme="minorHAnsi" w:hAnsiTheme="minorHAnsi"/>
              </w:rPr>
              <w:t>July</w:t>
            </w:r>
            <w:r w:rsidRPr="00EE32A2">
              <w:rPr>
                <w:rFonts w:asciiTheme="minorHAnsi" w:hAnsiTheme="minorHAnsi"/>
                <w:spacing w:val="-2"/>
              </w:rPr>
              <w:t xml:space="preserve"> </w:t>
            </w:r>
            <w:r w:rsidRPr="00EE32A2">
              <w:rPr>
                <w:rFonts w:asciiTheme="minorHAnsi" w:hAnsiTheme="minorHAnsi"/>
              </w:rPr>
              <w:t>2016</w:t>
            </w:r>
            <w:r w:rsidRPr="00EE32A2">
              <w:rPr>
                <w:rFonts w:asciiTheme="minorHAnsi" w:hAnsiTheme="minorHAnsi"/>
                <w:spacing w:val="-1"/>
              </w:rPr>
              <w:t xml:space="preserve"> </w:t>
            </w:r>
            <w:r w:rsidRPr="00EE32A2">
              <w:rPr>
                <w:rFonts w:asciiTheme="minorHAnsi" w:hAnsiTheme="minorHAnsi"/>
              </w:rPr>
              <w:t>to</w:t>
            </w:r>
            <w:r w:rsidRPr="00EE32A2">
              <w:rPr>
                <w:rFonts w:asciiTheme="minorHAnsi" w:hAnsiTheme="minorHAnsi"/>
                <w:spacing w:val="-4"/>
              </w:rPr>
              <w:t xml:space="preserve"> </w:t>
            </w:r>
            <w:r w:rsidRPr="00EE32A2">
              <w:rPr>
                <w:rFonts w:asciiTheme="minorHAnsi" w:hAnsiTheme="minorHAnsi"/>
              </w:rPr>
              <w:t>June</w:t>
            </w:r>
            <w:r w:rsidRPr="00EE32A2">
              <w:rPr>
                <w:rFonts w:asciiTheme="minorHAnsi" w:hAnsiTheme="minorHAnsi"/>
                <w:spacing w:val="1"/>
              </w:rPr>
              <w:t xml:space="preserve"> </w:t>
            </w:r>
            <w:r w:rsidRPr="00EE32A2">
              <w:rPr>
                <w:rFonts w:asciiTheme="minorHAnsi" w:hAnsiTheme="minorHAnsi"/>
                <w:spacing w:val="-4"/>
              </w:rPr>
              <w:t>2017</w:t>
            </w:r>
          </w:p>
        </w:tc>
        <w:tc>
          <w:tcPr>
            <w:tcW w:w="1581" w:type="dxa"/>
          </w:tcPr>
          <w:p w14:paraId="67AF7171"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w:t>
            </w:r>
            <w:r w:rsidRPr="00EE32A2">
              <w:rPr>
                <w:rFonts w:asciiTheme="minorHAnsi" w:hAnsiTheme="minorHAnsi"/>
                <w:spacing w:val="-1"/>
              </w:rPr>
              <w:t xml:space="preserve"> </w:t>
            </w:r>
            <w:r w:rsidRPr="00EE32A2">
              <w:rPr>
                <w:rFonts w:asciiTheme="minorHAnsi" w:hAnsiTheme="minorHAnsi"/>
              </w:rPr>
              <w:t>500</w:t>
            </w:r>
            <w:r w:rsidRPr="00EE32A2">
              <w:rPr>
                <w:rFonts w:asciiTheme="minorHAnsi" w:hAnsiTheme="minorHAnsi"/>
                <w:spacing w:val="-1"/>
              </w:rPr>
              <w:t xml:space="preserve"> </w:t>
            </w:r>
            <w:r w:rsidRPr="00EE32A2">
              <w:rPr>
                <w:rFonts w:asciiTheme="minorHAnsi" w:hAnsiTheme="minorHAnsi"/>
                <w:spacing w:val="-4"/>
              </w:rPr>
              <w:t>000*</w:t>
            </w:r>
          </w:p>
        </w:tc>
        <w:tc>
          <w:tcPr>
            <w:tcW w:w="1579" w:type="dxa"/>
          </w:tcPr>
          <w:p w14:paraId="509FE7CC"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125</w:t>
            </w:r>
            <w:r w:rsidRPr="00EE32A2">
              <w:rPr>
                <w:rFonts w:asciiTheme="minorHAnsi" w:hAnsiTheme="minorHAnsi"/>
                <w:spacing w:val="-4"/>
              </w:rPr>
              <w:t xml:space="preserve"> 000*</w:t>
            </w:r>
          </w:p>
        </w:tc>
        <w:tc>
          <w:tcPr>
            <w:tcW w:w="1236" w:type="dxa"/>
          </w:tcPr>
          <w:p w14:paraId="218C5E98" w14:textId="77777777" w:rsidR="00EE32A2" w:rsidRPr="00EE32A2" w:rsidRDefault="00EE32A2" w:rsidP="00937629">
            <w:pPr>
              <w:pStyle w:val="TableParagraph"/>
              <w:spacing w:before="94"/>
              <w:ind w:left="0" w:right="94"/>
              <w:jc w:val="right"/>
              <w:rPr>
                <w:rFonts w:asciiTheme="minorHAnsi" w:hAnsiTheme="minorHAnsi"/>
              </w:rPr>
            </w:pPr>
            <w:r w:rsidRPr="00EE32A2">
              <w:rPr>
                <w:rFonts w:asciiTheme="minorHAnsi" w:hAnsiTheme="minorHAnsi"/>
                <w:spacing w:val="-5"/>
              </w:rPr>
              <w:t>5.5</w:t>
            </w:r>
          </w:p>
        </w:tc>
        <w:tc>
          <w:tcPr>
            <w:tcW w:w="1241" w:type="dxa"/>
          </w:tcPr>
          <w:p w14:paraId="2115ACC3"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rPr>
              <w:t>8</w:t>
            </w:r>
          </w:p>
        </w:tc>
        <w:tc>
          <w:tcPr>
            <w:tcW w:w="1227" w:type="dxa"/>
          </w:tcPr>
          <w:p w14:paraId="57916983"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spacing w:val="-4"/>
              </w:rPr>
              <w:t>2.01</w:t>
            </w:r>
          </w:p>
        </w:tc>
        <w:tc>
          <w:tcPr>
            <w:tcW w:w="886" w:type="dxa"/>
          </w:tcPr>
          <w:p w14:paraId="0089BB08" w14:textId="77777777" w:rsidR="00EE32A2" w:rsidRPr="00EE32A2" w:rsidRDefault="00EE32A2" w:rsidP="00937629">
            <w:pPr>
              <w:pStyle w:val="TableParagraph"/>
              <w:spacing w:before="94"/>
              <w:ind w:left="216"/>
              <w:rPr>
                <w:rFonts w:asciiTheme="minorHAnsi" w:hAnsiTheme="minorHAnsi"/>
              </w:rPr>
            </w:pPr>
            <w:r w:rsidRPr="00EE32A2">
              <w:rPr>
                <w:rFonts w:asciiTheme="minorHAnsi" w:hAnsiTheme="minorHAnsi"/>
                <w:spacing w:val="-2"/>
              </w:rPr>
              <w:t>10.01</w:t>
            </w:r>
          </w:p>
        </w:tc>
      </w:tr>
      <w:tr w:rsidR="00EE32A2" w:rsidRPr="00EE32A2" w14:paraId="27005ECB" w14:textId="77777777" w:rsidTr="00EE32A2">
        <w:trPr>
          <w:trHeight w:val="457"/>
        </w:trPr>
        <w:tc>
          <w:tcPr>
            <w:tcW w:w="2558" w:type="dxa"/>
          </w:tcPr>
          <w:p w14:paraId="210B906E" w14:textId="77777777" w:rsidR="00EE32A2" w:rsidRPr="00EE32A2" w:rsidRDefault="00EE32A2" w:rsidP="00937629">
            <w:pPr>
              <w:pStyle w:val="TableParagraph"/>
              <w:spacing w:before="94"/>
              <w:rPr>
                <w:rFonts w:asciiTheme="minorHAnsi" w:hAnsiTheme="minorHAnsi"/>
              </w:rPr>
            </w:pPr>
            <w:r w:rsidRPr="00EE32A2">
              <w:rPr>
                <w:rFonts w:asciiTheme="minorHAnsi" w:hAnsiTheme="minorHAnsi"/>
              </w:rPr>
              <w:t>July</w:t>
            </w:r>
            <w:r w:rsidRPr="00EE32A2">
              <w:rPr>
                <w:rFonts w:asciiTheme="minorHAnsi" w:hAnsiTheme="minorHAnsi"/>
                <w:spacing w:val="-2"/>
              </w:rPr>
              <w:t xml:space="preserve"> </w:t>
            </w:r>
            <w:r w:rsidRPr="00EE32A2">
              <w:rPr>
                <w:rFonts w:asciiTheme="minorHAnsi" w:hAnsiTheme="minorHAnsi"/>
              </w:rPr>
              <w:t>2015</w:t>
            </w:r>
            <w:r w:rsidRPr="00EE32A2">
              <w:rPr>
                <w:rFonts w:asciiTheme="minorHAnsi" w:hAnsiTheme="minorHAnsi"/>
                <w:spacing w:val="-1"/>
              </w:rPr>
              <w:t xml:space="preserve"> </w:t>
            </w:r>
            <w:r w:rsidRPr="00EE32A2">
              <w:rPr>
                <w:rFonts w:asciiTheme="minorHAnsi" w:hAnsiTheme="minorHAnsi"/>
              </w:rPr>
              <w:t>to</w:t>
            </w:r>
            <w:r w:rsidRPr="00EE32A2">
              <w:rPr>
                <w:rFonts w:asciiTheme="minorHAnsi" w:hAnsiTheme="minorHAnsi"/>
                <w:spacing w:val="-4"/>
              </w:rPr>
              <w:t xml:space="preserve"> </w:t>
            </w:r>
            <w:r w:rsidRPr="00EE32A2">
              <w:rPr>
                <w:rFonts w:asciiTheme="minorHAnsi" w:hAnsiTheme="minorHAnsi"/>
              </w:rPr>
              <w:t>June</w:t>
            </w:r>
            <w:r w:rsidRPr="00EE32A2">
              <w:rPr>
                <w:rFonts w:asciiTheme="minorHAnsi" w:hAnsiTheme="minorHAnsi"/>
                <w:spacing w:val="1"/>
              </w:rPr>
              <w:t xml:space="preserve"> </w:t>
            </w:r>
            <w:r w:rsidRPr="00EE32A2">
              <w:rPr>
                <w:rFonts w:asciiTheme="minorHAnsi" w:hAnsiTheme="minorHAnsi"/>
                <w:spacing w:val="-4"/>
              </w:rPr>
              <w:t>2016</w:t>
            </w:r>
          </w:p>
        </w:tc>
        <w:tc>
          <w:tcPr>
            <w:tcW w:w="1581" w:type="dxa"/>
          </w:tcPr>
          <w:p w14:paraId="53B09132"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w:t>
            </w:r>
            <w:r w:rsidRPr="00EE32A2">
              <w:rPr>
                <w:rFonts w:asciiTheme="minorHAnsi" w:hAnsiTheme="minorHAnsi"/>
                <w:spacing w:val="-1"/>
              </w:rPr>
              <w:t xml:space="preserve"> </w:t>
            </w:r>
            <w:r w:rsidRPr="00EE32A2">
              <w:rPr>
                <w:rFonts w:asciiTheme="minorHAnsi" w:hAnsiTheme="minorHAnsi"/>
              </w:rPr>
              <w:t>500</w:t>
            </w:r>
            <w:r w:rsidRPr="00EE32A2">
              <w:rPr>
                <w:rFonts w:asciiTheme="minorHAnsi" w:hAnsiTheme="minorHAnsi"/>
                <w:spacing w:val="-1"/>
              </w:rPr>
              <w:t xml:space="preserve"> </w:t>
            </w:r>
            <w:r w:rsidRPr="00EE32A2">
              <w:rPr>
                <w:rFonts w:asciiTheme="minorHAnsi" w:hAnsiTheme="minorHAnsi"/>
                <w:spacing w:val="-4"/>
              </w:rPr>
              <w:t>000*</w:t>
            </w:r>
          </w:p>
        </w:tc>
        <w:tc>
          <w:tcPr>
            <w:tcW w:w="1579" w:type="dxa"/>
          </w:tcPr>
          <w:p w14:paraId="37BEFEB6"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125</w:t>
            </w:r>
            <w:r w:rsidRPr="00EE32A2">
              <w:rPr>
                <w:rFonts w:asciiTheme="minorHAnsi" w:hAnsiTheme="minorHAnsi"/>
                <w:spacing w:val="-4"/>
              </w:rPr>
              <w:t xml:space="preserve"> 000*</w:t>
            </w:r>
          </w:p>
        </w:tc>
        <w:tc>
          <w:tcPr>
            <w:tcW w:w="1236" w:type="dxa"/>
          </w:tcPr>
          <w:p w14:paraId="353E53E6" w14:textId="77777777" w:rsidR="00EE32A2" w:rsidRPr="00EE32A2" w:rsidRDefault="00EE32A2" w:rsidP="00937629">
            <w:pPr>
              <w:pStyle w:val="TableParagraph"/>
              <w:spacing w:before="94"/>
              <w:ind w:left="0" w:right="94"/>
              <w:jc w:val="right"/>
              <w:rPr>
                <w:rFonts w:asciiTheme="minorHAnsi" w:hAnsiTheme="minorHAnsi"/>
              </w:rPr>
            </w:pPr>
            <w:r w:rsidRPr="00EE32A2">
              <w:rPr>
                <w:rFonts w:asciiTheme="minorHAnsi" w:hAnsiTheme="minorHAnsi"/>
                <w:spacing w:val="-5"/>
              </w:rPr>
              <w:t>5.5</w:t>
            </w:r>
          </w:p>
        </w:tc>
        <w:tc>
          <w:tcPr>
            <w:tcW w:w="1241" w:type="dxa"/>
          </w:tcPr>
          <w:p w14:paraId="332578D8"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rPr>
              <w:t>8</w:t>
            </w:r>
          </w:p>
        </w:tc>
        <w:tc>
          <w:tcPr>
            <w:tcW w:w="1227" w:type="dxa"/>
          </w:tcPr>
          <w:p w14:paraId="3F99CB96"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spacing w:val="-4"/>
              </w:rPr>
              <w:t>2.15</w:t>
            </w:r>
          </w:p>
        </w:tc>
        <w:tc>
          <w:tcPr>
            <w:tcW w:w="886" w:type="dxa"/>
          </w:tcPr>
          <w:p w14:paraId="0A242086" w14:textId="77777777" w:rsidR="00EE32A2" w:rsidRPr="00EE32A2" w:rsidRDefault="00EE32A2" w:rsidP="00937629">
            <w:pPr>
              <w:pStyle w:val="TableParagraph"/>
              <w:spacing w:before="94"/>
              <w:ind w:left="216"/>
              <w:rPr>
                <w:rFonts w:asciiTheme="minorHAnsi" w:hAnsiTheme="minorHAnsi"/>
              </w:rPr>
            </w:pPr>
            <w:r w:rsidRPr="00EE32A2">
              <w:rPr>
                <w:rFonts w:asciiTheme="minorHAnsi" w:hAnsiTheme="minorHAnsi"/>
                <w:spacing w:val="-2"/>
              </w:rPr>
              <w:t>10.15</w:t>
            </w:r>
          </w:p>
        </w:tc>
      </w:tr>
      <w:tr w:rsidR="00EE32A2" w:rsidRPr="00EE32A2" w14:paraId="75B9D0D9" w14:textId="77777777" w:rsidTr="00EE32A2">
        <w:trPr>
          <w:trHeight w:val="458"/>
        </w:trPr>
        <w:tc>
          <w:tcPr>
            <w:tcW w:w="2558" w:type="dxa"/>
          </w:tcPr>
          <w:p w14:paraId="5441485E" w14:textId="77777777" w:rsidR="00EE32A2" w:rsidRPr="00EE32A2" w:rsidRDefault="00EE32A2" w:rsidP="00937629">
            <w:pPr>
              <w:pStyle w:val="TableParagraph"/>
              <w:spacing w:before="94"/>
              <w:rPr>
                <w:rFonts w:asciiTheme="minorHAnsi" w:hAnsiTheme="minorHAnsi"/>
              </w:rPr>
            </w:pPr>
            <w:r w:rsidRPr="00EE32A2">
              <w:rPr>
                <w:rFonts w:asciiTheme="minorHAnsi" w:hAnsiTheme="minorHAnsi"/>
              </w:rPr>
              <w:t>July</w:t>
            </w:r>
            <w:r w:rsidRPr="00EE32A2">
              <w:rPr>
                <w:rFonts w:asciiTheme="minorHAnsi" w:hAnsiTheme="minorHAnsi"/>
                <w:spacing w:val="-2"/>
              </w:rPr>
              <w:t xml:space="preserve"> </w:t>
            </w:r>
            <w:r w:rsidRPr="00EE32A2">
              <w:rPr>
                <w:rFonts w:asciiTheme="minorHAnsi" w:hAnsiTheme="minorHAnsi"/>
              </w:rPr>
              <w:t>2014</w:t>
            </w:r>
            <w:r w:rsidRPr="00EE32A2">
              <w:rPr>
                <w:rFonts w:asciiTheme="minorHAnsi" w:hAnsiTheme="minorHAnsi"/>
                <w:spacing w:val="-1"/>
              </w:rPr>
              <w:t xml:space="preserve"> </w:t>
            </w:r>
            <w:r w:rsidRPr="00EE32A2">
              <w:rPr>
                <w:rFonts w:asciiTheme="minorHAnsi" w:hAnsiTheme="minorHAnsi"/>
              </w:rPr>
              <w:t>to</w:t>
            </w:r>
            <w:r w:rsidRPr="00EE32A2">
              <w:rPr>
                <w:rFonts w:asciiTheme="minorHAnsi" w:hAnsiTheme="minorHAnsi"/>
                <w:spacing w:val="-4"/>
              </w:rPr>
              <w:t xml:space="preserve"> </w:t>
            </w:r>
            <w:r w:rsidRPr="00EE32A2">
              <w:rPr>
                <w:rFonts w:asciiTheme="minorHAnsi" w:hAnsiTheme="minorHAnsi"/>
              </w:rPr>
              <w:t>June</w:t>
            </w:r>
            <w:r w:rsidRPr="00EE32A2">
              <w:rPr>
                <w:rFonts w:asciiTheme="minorHAnsi" w:hAnsiTheme="minorHAnsi"/>
                <w:spacing w:val="1"/>
              </w:rPr>
              <w:t xml:space="preserve"> </w:t>
            </w:r>
            <w:r w:rsidRPr="00EE32A2">
              <w:rPr>
                <w:rFonts w:asciiTheme="minorHAnsi" w:hAnsiTheme="minorHAnsi"/>
                <w:spacing w:val="-4"/>
              </w:rPr>
              <w:t>2015</w:t>
            </w:r>
          </w:p>
        </w:tc>
        <w:tc>
          <w:tcPr>
            <w:tcW w:w="1581" w:type="dxa"/>
          </w:tcPr>
          <w:p w14:paraId="678227F2"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w:t>
            </w:r>
            <w:r w:rsidRPr="00EE32A2">
              <w:rPr>
                <w:rFonts w:asciiTheme="minorHAnsi" w:hAnsiTheme="minorHAnsi"/>
                <w:spacing w:val="-1"/>
              </w:rPr>
              <w:t xml:space="preserve"> </w:t>
            </w:r>
            <w:r w:rsidRPr="00EE32A2">
              <w:rPr>
                <w:rFonts w:asciiTheme="minorHAnsi" w:hAnsiTheme="minorHAnsi"/>
              </w:rPr>
              <w:t>500</w:t>
            </w:r>
            <w:r w:rsidRPr="00EE32A2">
              <w:rPr>
                <w:rFonts w:asciiTheme="minorHAnsi" w:hAnsiTheme="minorHAnsi"/>
                <w:spacing w:val="-1"/>
              </w:rPr>
              <w:t xml:space="preserve"> </w:t>
            </w:r>
            <w:r w:rsidRPr="00EE32A2">
              <w:rPr>
                <w:rFonts w:asciiTheme="minorHAnsi" w:hAnsiTheme="minorHAnsi"/>
                <w:spacing w:val="-4"/>
              </w:rPr>
              <w:t>000*</w:t>
            </w:r>
          </w:p>
        </w:tc>
        <w:tc>
          <w:tcPr>
            <w:tcW w:w="1579" w:type="dxa"/>
          </w:tcPr>
          <w:p w14:paraId="07435B0A"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125</w:t>
            </w:r>
            <w:r w:rsidRPr="00EE32A2">
              <w:rPr>
                <w:rFonts w:asciiTheme="minorHAnsi" w:hAnsiTheme="minorHAnsi"/>
                <w:spacing w:val="-4"/>
              </w:rPr>
              <w:t xml:space="preserve"> 000*</w:t>
            </w:r>
          </w:p>
        </w:tc>
        <w:tc>
          <w:tcPr>
            <w:tcW w:w="1236" w:type="dxa"/>
          </w:tcPr>
          <w:p w14:paraId="3E08463B" w14:textId="77777777" w:rsidR="00EE32A2" w:rsidRPr="00EE32A2" w:rsidRDefault="00EE32A2" w:rsidP="00937629">
            <w:pPr>
              <w:pStyle w:val="TableParagraph"/>
              <w:spacing w:before="94"/>
              <w:ind w:left="0" w:right="94"/>
              <w:jc w:val="right"/>
              <w:rPr>
                <w:rFonts w:asciiTheme="minorHAnsi" w:hAnsiTheme="minorHAnsi"/>
              </w:rPr>
            </w:pPr>
            <w:r w:rsidRPr="00EE32A2">
              <w:rPr>
                <w:rFonts w:asciiTheme="minorHAnsi" w:hAnsiTheme="minorHAnsi"/>
                <w:spacing w:val="-5"/>
              </w:rPr>
              <w:t>5.5</w:t>
            </w:r>
          </w:p>
        </w:tc>
        <w:tc>
          <w:tcPr>
            <w:tcW w:w="1241" w:type="dxa"/>
          </w:tcPr>
          <w:p w14:paraId="5E7B16BB"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rPr>
              <w:t>8</w:t>
            </w:r>
          </w:p>
        </w:tc>
        <w:tc>
          <w:tcPr>
            <w:tcW w:w="1227" w:type="dxa"/>
          </w:tcPr>
          <w:p w14:paraId="3323E0D9"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spacing w:val="-4"/>
              </w:rPr>
              <w:t>2.69</w:t>
            </w:r>
          </w:p>
        </w:tc>
        <w:tc>
          <w:tcPr>
            <w:tcW w:w="886" w:type="dxa"/>
          </w:tcPr>
          <w:p w14:paraId="0275A14E" w14:textId="77777777" w:rsidR="00EE32A2" w:rsidRPr="00EE32A2" w:rsidRDefault="00EE32A2" w:rsidP="00937629">
            <w:pPr>
              <w:pStyle w:val="TableParagraph"/>
              <w:spacing w:before="94"/>
              <w:ind w:left="216"/>
              <w:rPr>
                <w:rFonts w:asciiTheme="minorHAnsi" w:hAnsiTheme="minorHAnsi"/>
              </w:rPr>
            </w:pPr>
            <w:r w:rsidRPr="00EE32A2">
              <w:rPr>
                <w:rFonts w:asciiTheme="minorHAnsi" w:hAnsiTheme="minorHAnsi"/>
                <w:spacing w:val="-2"/>
              </w:rPr>
              <w:t>10.69</w:t>
            </w:r>
          </w:p>
        </w:tc>
      </w:tr>
      <w:tr w:rsidR="00EE32A2" w:rsidRPr="00EE32A2" w14:paraId="42EE26A0" w14:textId="77777777" w:rsidTr="00EE32A2">
        <w:trPr>
          <w:trHeight w:val="457"/>
        </w:trPr>
        <w:tc>
          <w:tcPr>
            <w:tcW w:w="2558" w:type="dxa"/>
          </w:tcPr>
          <w:p w14:paraId="748E18C8" w14:textId="77777777" w:rsidR="00EE32A2" w:rsidRPr="00EE32A2" w:rsidRDefault="00EE32A2" w:rsidP="00937629">
            <w:pPr>
              <w:pStyle w:val="TableParagraph"/>
              <w:spacing w:before="94"/>
              <w:rPr>
                <w:rFonts w:asciiTheme="minorHAnsi" w:hAnsiTheme="minorHAnsi"/>
              </w:rPr>
            </w:pPr>
            <w:r w:rsidRPr="00EE32A2">
              <w:rPr>
                <w:rFonts w:asciiTheme="minorHAnsi" w:hAnsiTheme="minorHAnsi"/>
              </w:rPr>
              <w:t>July</w:t>
            </w:r>
            <w:r w:rsidRPr="00EE32A2">
              <w:rPr>
                <w:rFonts w:asciiTheme="minorHAnsi" w:hAnsiTheme="minorHAnsi"/>
                <w:spacing w:val="-2"/>
              </w:rPr>
              <w:t xml:space="preserve"> </w:t>
            </w:r>
            <w:r w:rsidRPr="00EE32A2">
              <w:rPr>
                <w:rFonts w:asciiTheme="minorHAnsi" w:hAnsiTheme="minorHAnsi"/>
              </w:rPr>
              <w:t>2013</w:t>
            </w:r>
            <w:r w:rsidRPr="00EE32A2">
              <w:rPr>
                <w:rFonts w:asciiTheme="minorHAnsi" w:hAnsiTheme="minorHAnsi"/>
                <w:spacing w:val="-1"/>
              </w:rPr>
              <w:t xml:space="preserve"> </w:t>
            </w:r>
            <w:r w:rsidRPr="00EE32A2">
              <w:rPr>
                <w:rFonts w:asciiTheme="minorHAnsi" w:hAnsiTheme="minorHAnsi"/>
              </w:rPr>
              <w:t>to</w:t>
            </w:r>
            <w:r w:rsidRPr="00EE32A2">
              <w:rPr>
                <w:rFonts w:asciiTheme="minorHAnsi" w:hAnsiTheme="minorHAnsi"/>
                <w:spacing w:val="-4"/>
              </w:rPr>
              <w:t xml:space="preserve"> </w:t>
            </w:r>
            <w:r w:rsidRPr="00EE32A2">
              <w:rPr>
                <w:rFonts w:asciiTheme="minorHAnsi" w:hAnsiTheme="minorHAnsi"/>
              </w:rPr>
              <w:t>June</w:t>
            </w:r>
            <w:r w:rsidRPr="00EE32A2">
              <w:rPr>
                <w:rFonts w:asciiTheme="minorHAnsi" w:hAnsiTheme="minorHAnsi"/>
                <w:spacing w:val="1"/>
              </w:rPr>
              <w:t xml:space="preserve"> </w:t>
            </w:r>
            <w:r w:rsidRPr="00EE32A2">
              <w:rPr>
                <w:rFonts w:asciiTheme="minorHAnsi" w:hAnsiTheme="minorHAnsi"/>
                <w:spacing w:val="-4"/>
              </w:rPr>
              <w:t>2014</w:t>
            </w:r>
          </w:p>
        </w:tc>
        <w:tc>
          <w:tcPr>
            <w:tcW w:w="1581" w:type="dxa"/>
          </w:tcPr>
          <w:p w14:paraId="0A599C7B"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w:t>
            </w:r>
            <w:r w:rsidRPr="00EE32A2">
              <w:rPr>
                <w:rFonts w:asciiTheme="minorHAnsi" w:hAnsiTheme="minorHAnsi"/>
                <w:spacing w:val="-1"/>
              </w:rPr>
              <w:t xml:space="preserve"> </w:t>
            </w:r>
            <w:r w:rsidRPr="00EE32A2">
              <w:rPr>
                <w:rFonts w:asciiTheme="minorHAnsi" w:hAnsiTheme="minorHAnsi"/>
              </w:rPr>
              <w:t>500</w:t>
            </w:r>
            <w:r w:rsidRPr="00EE32A2">
              <w:rPr>
                <w:rFonts w:asciiTheme="minorHAnsi" w:hAnsiTheme="minorHAnsi"/>
                <w:spacing w:val="-1"/>
              </w:rPr>
              <w:t xml:space="preserve"> </w:t>
            </w:r>
            <w:r w:rsidRPr="00EE32A2">
              <w:rPr>
                <w:rFonts w:asciiTheme="minorHAnsi" w:hAnsiTheme="minorHAnsi"/>
                <w:spacing w:val="-4"/>
              </w:rPr>
              <w:t>000*</w:t>
            </w:r>
          </w:p>
        </w:tc>
        <w:tc>
          <w:tcPr>
            <w:tcW w:w="1579" w:type="dxa"/>
          </w:tcPr>
          <w:p w14:paraId="2AD4DCD9"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125</w:t>
            </w:r>
            <w:r w:rsidRPr="00EE32A2">
              <w:rPr>
                <w:rFonts w:asciiTheme="minorHAnsi" w:hAnsiTheme="minorHAnsi"/>
                <w:spacing w:val="-4"/>
              </w:rPr>
              <w:t xml:space="preserve"> 000*</w:t>
            </w:r>
          </w:p>
        </w:tc>
        <w:tc>
          <w:tcPr>
            <w:tcW w:w="1236" w:type="dxa"/>
          </w:tcPr>
          <w:p w14:paraId="43293338" w14:textId="77777777" w:rsidR="00EE32A2" w:rsidRPr="00EE32A2" w:rsidRDefault="00EE32A2" w:rsidP="00937629">
            <w:pPr>
              <w:pStyle w:val="TableParagraph"/>
              <w:spacing w:before="94"/>
              <w:ind w:left="0" w:right="94"/>
              <w:jc w:val="right"/>
              <w:rPr>
                <w:rFonts w:asciiTheme="minorHAnsi" w:hAnsiTheme="minorHAnsi"/>
              </w:rPr>
            </w:pPr>
            <w:r w:rsidRPr="00EE32A2">
              <w:rPr>
                <w:rFonts w:asciiTheme="minorHAnsi" w:hAnsiTheme="minorHAnsi"/>
                <w:spacing w:val="-5"/>
              </w:rPr>
              <w:t>5.5</w:t>
            </w:r>
          </w:p>
        </w:tc>
        <w:tc>
          <w:tcPr>
            <w:tcW w:w="1241" w:type="dxa"/>
          </w:tcPr>
          <w:p w14:paraId="1E9EC2A3"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rPr>
              <w:t>8</w:t>
            </w:r>
          </w:p>
        </w:tc>
        <w:tc>
          <w:tcPr>
            <w:tcW w:w="1227" w:type="dxa"/>
          </w:tcPr>
          <w:p w14:paraId="4B9DB225"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spacing w:val="-4"/>
              </w:rPr>
              <w:t>2.82</w:t>
            </w:r>
          </w:p>
        </w:tc>
        <w:tc>
          <w:tcPr>
            <w:tcW w:w="886" w:type="dxa"/>
          </w:tcPr>
          <w:p w14:paraId="7BC8017E" w14:textId="77777777" w:rsidR="00EE32A2" w:rsidRPr="00EE32A2" w:rsidRDefault="00EE32A2" w:rsidP="00937629">
            <w:pPr>
              <w:pStyle w:val="TableParagraph"/>
              <w:spacing w:before="94"/>
              <w:ind w:left="216"/>
              <w:rPr>
                <w:rFonts w:asciiTheme="minorHAnsi" w:hAnsiTheme="minorHAnsi"/>
              </w:rPr>
            </w:pPr>
            <w:r w:rsidRPr="00EE32A2">
              <w:rPr>
                <w:rFonts w:asciiTheme="minorHAnsi" w:hAnsiTheme="minorHAnsi"/>
                <w:spacing w:val="-2"/>
              </w:rPr>
              <w:t>10.82</w:t>
            </w:r>
          </w:p>
        </w:tc>
      </w:tr>
      <w:tr w:rsidR="00EE32A2" w:rsidRPr="00EE32A2" w14:paraId="5E1CED34" w14:textId="77777777" w:rsidTr="00EE32A2">
        <w:trPr>
          <w:trHeight w:val="457"/>
        </w:trPr>
        <w:tc>
          <w:tcPr>
            <w:tcW w:w="2558" w:type="dxa"/>
          </w:tcPr>
          <w:p w14:paraId="454C98AC" w14:textId="77777777" w:rsidR="00EE32A2" w:rsidRPr="00EE32A2" w:rsidRDefault="00EE32A2" w:rsidP="00937629">
            <w:pPr>
              <w:pStyle w:val="TableParagraph"/>
              <w:spacing w:before="94"/>
              <w:rPr>
                <w:rFonts w:asciiTheme="minorHAnsi" w:hAnsiTheme="minorHAnsi"/>
              </w:rPr>
            </w:pPr>
            <w:r w:rsidRPr="00EE32A2">
              <w:rPr>
                <w:rFonts w:asciiTheme="minorHAnsi" w:hAnsiTheme="minorHAnsi"/>
              </w:rPr>
              <w:t>July</w:t>
            </w:r>
            <w:r w:rsidRPr="00EE32A2">
              <w:rPr>
                <w:rFonts w:asciiTheme="minorHAnsi" w:hAnsiTheme="minorHAnsi"/>
                <w:spacing w:val="-2"/>
              </w:rPr>
              <w:t xml:space="preserve"> </w:t>
            </w:r>
            <w:r w:rsidRPr="00EE32A2">
              <w:rPr>
                <w:rFonts w:asciiTheme="minorHAnsi" w:hAnsiTheme="minorHAnsi"/>
              </w:rPr>
              <w:t>2012</w:t>
            </w:r>
            <w:r w:rsidRPr="00EE32A2">
              <w:rPr>
                <w:rFonts w:asciiTheme="minorHAnsi" w:hAnsiTheme="minorHAnsi"/>
                <w:spacing w:val="-1"/>
              </w:rPr>
              <w:t xml:space="preserve"> </w:t>
            </w:r>
            <w:r w:rsidRPr="00EE32A2">
              <w:rPr>
                <w:rFonts w:asciiTheme="minorHAnsi" w:hAnsiTheme="minorHAnsi"/>
              </w:rPr>
              <w:t>to</w:t>
            </w:r>
            <w:r w:rsidRPr="00EE32A2">
              <w:rPr>
                <w:rFonts w:asciiTheme="minorHAnsi" w:hAnsiTheme="minorHAnsi"/>
                <w:spacing w:val="-4"/>
              </w:rPr>
              <w:t xml:space="preserve"> </w:t>
            </w:r>
            <w:r w:rsidRPr="00EE32A2">
              <w:rPr>
                <w:rFonts w:asciiTheme="minorHAnsi" w:hAnsiTheme="minorHAnsi"/>
              </w:rPr>
              <w:t>June</w:t>
            </w:r>
            <w:r w:rsidRPr="00EE32A2">
              <w:rPr>
                <w:rFonts w:asciiTheme="minorHAnsi" w:hAnsiTheme="minorHAnsi"/>
                <w:spacing w:val="1"/>
              </w:rPr>
              <w:t xml:space="preserve"> </w:t>
            </w:r>
            <w:r w:rsidRPr="00EE32A2">
              <w:rPr>
                <w:rFonts w:asciiTheme="minorHAnsi" w:hAnsiTheme="minorHAnsi"/>
                <w:spacing w:val="-4"/>
              </w:rPr>
              <w:t>2013</w:t>
            </w:r>
          </w:p>
        </w:tc>
        <w:tc>
          <w:tcPr>
            <w:tcW w:w="1581" w:type="dxa"/>
          </w:tcPr>
          <w:p w14:paraId="2689E271"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w:t>
            </w:r>
            <w:r w:rsidRPr="00EE32A2">
              <w:rPr>
                <w:rFonts w:asciiTheme="minorHAnsi" w:hAnsiTheme="minorHAnsi"/>
                <w:spacing w:val="-1"/>
              </w:rPr>
              <w:t xml:space="preserve"> </w:t>
            </w:r>
            <w:r w:rsidRPr="00EE32A2">
              <w:rPr>
                <w:rFonts w:asciiTheme="minorHAnsi" w:hAnsiTheme="minorHAnsi"/>
              </w:rPr>
              <w:t>500</w:t>
            </w:r>
            <w:r w:rsidRPr="00EE32A2">
              <w:rPr>
                <w:rFonts w:asciiTheme="minorHAnsi" w:hAnsiTheme="minorHAnsi"/>
                <w:spacing w:val="-1"/>
              </w:rPr>
              <w:t xml:space="preserve"> </w:t>
            </w:r>
            <w:r w:rsidRPr="00EE32A2">
              <w:rPr>
                <w:rFonts w:asciiTheme="minorHAnsi" w:hAnsiTheme="minorHAnsi"/>
                <w:spacing w:val="-4"/>
              </w:rPr>
              <w:t>000*</w:t>
            </w:r>
          </w:p>
        </w:tc>
        <w:tc>
          <w:tcPr>
            <w:tcW w:w="1579" w:type="dxa"/>
          </w:tcPr>
          <w:p w14:paraId="12C0C85E"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125</w:t>
            </w:r>
            <w:r w:rsidRPr="00EE32A2">
              <w:rPr>
                <w:rFonts w:asciiTheme="minorHAnsi" w:hAnsiTheme="minorHAnsi"/>
                <w:spacing w:val="-4"/>
              </w:rPr>
              <w:t xml:space="preserve"> 000*</w:t>
            </w:r>
          </w:p>
        </w:tc>
        <w:tc>
          <w:tcPr>
            <w:tcW w:w="1236" w:type="dxa"/>
          </w:tcPr>
          <w:p w14:paraId="08D38449" w14:textId="77777777" w:rsidR="00EE32A2" w:rsidRPr="00EE32A2" w:rsidRDefault="00EE32A2" w:rsidP="00937629">
            <w:pPr>
              <w:pStyle w:val="TableParagraph"/>
              <w:spacing w:before="94"/>
              <w:ind w:left="0" w:right="94"/>
              <w:jc w:val="right"/>
              <w:rPr>
                <w:rFonts w:asciiTheme="minorHAnsi" w:hAnsiTheme="minorHAnsi"/>
              </w:rPr>
            </w:pPr>
            <w:r w:rsidRPr="00EE32A2">
              <w:rPr>
                <w:rFonts w:asciiTheme="minorHAnsi" w:hAnsiTheme="minorHAnsi"/>
                <w:spacing w:val="-5"/>
              </w:rPr>
              <w:t>5.5</w:t>
            </w:r>
          </w:p>
        </w:tc>
        <w:tc>
          <w:tcPr>
            <w:tcW w:w="1241" w:type="dxa"/>
          </w:tcPr>
          <w:p w14:paraId="35869898"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rPr>
              <w:t>8</w:t>
            </w:r>
          </w:p>
        </w:tc>
        <w:tc>
          <w:tcPr>
            <w:tcW w:w="1227" w:type="dxa"/>
          </w:tcPr>
          <w:p w14:paraId="0798E247"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spacing w:val="-4"/>
              </w:rPr>
              <w:t>3.66</w:t>
            </w:r>
          </w:p>
        </w:tc>
        <w:tc>
          <w:tcPr>
            <w:tcW w:w="886" w:type="dxa"/>
          </w:tcPr>
          <w:p w14:paraId="0F2D7638" w14:textId="77777777" w:rsidR="00EE32A2" w:rsidRPr="00EE32A2" w:rsidRDefault="00EE32A2" w:rsidP="00937629">
            <w:pPr>
              <w:pStyle w:val="TableParagraph"/>
              <w:spacing w:before="94"/>
              <w:ind w:left="216"/>
              <w:rPr>
                <w:rFonts w:asciiTheme="minorHAnsi" w:hAnsiTheme="minorHAnsi"/>
              </w:rPr>
            </w:pPr>
            <w:r w:rsidRPr="00EE32A2">
              <w:rPr>
                <w:rFonts w:asciiTheme="minorHAnsi" w:hAnsiTheme="minorHAnsi"/>
                <w:spacing w:val="-2"/>
              </w:rPr>
              <w:t>11.66</w:t>
            </w:r>
          </w:p>
        </w:tc>
      </w:tr>
      <w:tr w:rsidR="00EE32A2" w:rsidRPr="00EE32A2" w14:paraId="6E37BCA2" w14:textId="77777777" w:rsidTr="00EE32A2">
        <w:trPr>
          <w:trHeight w:val="458"/>
        </w:trPr>
        <w:tc>
          <w:tcPr>
            <w:tcW w:w="2558" w:type="dxa"/>
          </w:tcPr>
          <w:p w14:paraId="16C4B9D6" w14:textId="77777777" w:rsidR="00EE32A2" w:rsidRPr="00EE32A2" w:rsidRDefault="00EE32A2" w:rsidP="00937629">
            <w:pPr>
              <w:pStyle w:val="TableParagraph"/>
              <w:spacing w:before="94"/>
              <w:rPr>
                <w:rFonts w:asciiTheme="minorHAnsi" w:hAnsiTheme="minorHAnsi"/>
              </w:rPr>
            </w:pPr>
            <w:r w:rsidRPr="00EE32A2">
              <w:rPr>
                <w:rFonts w:asciiTheme="minorHAnsi" w:hAnsiTheme="minorHAnsi"/>
              </w:rPr>
              <w:t>July</w:t>
            </w:r>
            <w:r w:rsidRPr="00EE32A2">
              <w:rPr>
                <w:rFonts w:asciiTheme="minorHAnsi" w:hAnsiTheme="minorHAnsi"/>
                <w:spacing w:val="-2"/>
              </w:rPr>
              <w:t xml:space="preserve"> </w:t>
            </w:r>
            <w:r w:rsidRPr="00EE32A2">
              <w:rPr>
                <w:rFonts w:asciiTheme="minorHAnsi" w:hAnsiTheme="minorHAnsi"/>
              </w:rPr>
              <w:t>2011</w:t>
            </w:r>
            <w:r w:rsidRPr="00EE32A2">
              <w:rPr>
                <w:rFonts w:asciiTheme="minorHAnsi" w:hAnsiTheme="minorHAnsi"/>
                <w:spacing w:val="-1"/>
              </w:rPr>
              <w:t xml:space="preserve"> </w:t>
            </w:r>
            <w:r w:rsidRPr="00EE32A2">
              <w:rPr>
                <w:rFonts w:asciiTheme="minorHAnsi" w:hAnsiTheme="minorHAnsi"/>
              </w:rPr>
              <w:t>to</w:t>
            </w:r>
            <w:r w:rsidRPr="00EE32A2">
              <w:rPr>
                <w:rFonts w:asciiTheme="minorHAnsi" w:hAnsiTheme="minorHAnsi"/>
                <w:spacing w:val="-4"/>
              </w:rPr>
              <w:t xml:space="preserve"> </w:t>
            </w:r>
            <w:r w:rsidRPr="00EE32A2">
              <w:rPr>
                <w:rFonts w:asciiTheme="minorHAnsi" w:hAnsiTheme="minorHAnsi"/>
              </w:rPr>
              <w:t>June</w:t>
            </w:r>
            <w:r w:rsidRPr="00EE32A2">
              <w:rPr>
                <w:rFonts w:asciiTheme="minorHAnsi" w:hAnsiTheme="minorHAnsi"/>
                <w:spacing w:val="1"/>
              </w:rPr>
              <w:t xml:space="preserve"> </w:t>
            </w:r>
            <w:r w:rsidRPr="00EE32A2">
              <w:rPr>
                <w:rFonts w:asciiTheme="minorHAnsi" w:hAnsiTheme="minorHAnsi"/>
                <w:spacing w:val="-4"/>
              </w:rPr>
              <w:t>2012</w:t>
            </w:r>
          </w:p>
        </w:tc>
        <w:tc>
          <w:tcPr>
            <w:tcW w:w="1581" w:type="dxa"/>
          </w:tcPr>
          <w:p w14:paraId="141A0755"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w:t>
            </w:r>
            <w:r w:rsidRPr="00EE32A2">
              <w:rPr>
                <w:rFonts w:asciiTheme="minorHAnsi" w:hAnsiTheme="minorHAnsi"/>
                <w:spacing w:val="-1"/>
              </w:rPr>
              <w:t xml:space="preserve"> </w:t>
            </w:r>
            <w:r w:rsidRPr="00EE32A2">
              <w:rPr>
                <w:rFonts w:asciiTheme="minorHAnsi" w:hAnsiTheme="minorHAnsi"/>
              </w:rPr>
              <w:t>500</w:t>
            </w:r>
            <w:r w:rsidRPr="00EE32A2">
              <w:rPr>
                <w:rFonts w:asciiTheme="minorHAnsi" w:hAnsiTheme="minorHAnsi"/>
                <w:spacing w:val="-1"/>
              </w:rPr>
              <w:t xml:space="preserve"> </w:t>
            </w:r>
            <w:r w:rsidRPr="00EE32A2">
              <w:rPr>
                <w:rFonts w:asciiTheme="minorHAnsi" w:hAnsiTheme="minorHAnsi"/>
                <w:spacing w:val="-4"/>
              </w:rPr>
              <w:t>000*</w:t>
            </w:r>
          </w:p>
        </w:tc>
        <w:tc>
          <w:tcPr>
            <w:tcW w:w="1579" w:type="dxa"/>
          </w:tcPr>
          <w:p w14:paraId="45981162"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rPr>
              <w:t>125</w:t>
            </w:r>
            <w:r w:rsidRPr="00EE32A2">
              <w:rPr>
                <w:rFonts w:asciiTheme="minorHAnsi" w:hAnsiTheme="minorHAnsi"/>
                <w:spacing w:val="-4"/>
              </w:rPr>
              <w:t xml:space="preserve"> 000*</w:t>
            </w:r>
          </w:p>
        </w:tc>
        <w:tc>
          <w:tcPr>
            <w:tcW w:w="1236" w:type="dxa"/>
          </w:tcPr>
          <w:p w14:paraId="75DFBDB5" w14:textId="77777777" w:rsidR="00EE32A2" w:rsidRPr="00EE32A2" w:rsidRDefault="00EE32A2" w:rsidP="00937629">
            <w:pPr>
              <w:pStyle w:val="TableParagraph"/>
              <w:spacing w:before="94"/>
              <w:ind w:left="0" w:right="94"/>
              <w:jc w:val="right"/>
              <w:rPr>
                <w:rFonts w:asciiTheme="minorHAnsi" w:hAnsiTheme="minorHAnsi"/>
              </w:rPr>
            </w:pPr>
            <w:r w:rsidRPr="00EE32A2">
              <w:rPr>
                <w:rFonts w:asciiTheme="minorHAnsi" w:hAnsiTheme="minorHAnsi"/>
                <w:spacing w:val="-5"/>
              </w:rPr>
              <w:t>5.5</w:t>
            </w:r>
          </w:p>
        </w:tc>
        <w:tc>
          <w:tcPr>
            <w:tcW w:w="1241" w:type="dxa"/>
          </w:tcPr>
          <w:p w14:paraId="237DB22E"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rPr>
              <w:t>8</w:t>
            </w:r>
          </w:p>
        </w:tc>
        <w:tc>
          <w:tcPr>
            <w:tcW w:w="1227" w:type="dxa"/>
          </w:tcPr>
          <w:p w14:paraId="28295811"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spacing w:val="-4"/>
              </w:rPr>
              <w:t>5.00</w:t>
            </w:r>
          </w:p>
        </w:tc>
        <w:tc>
          <w:tcPr>
            <w:tcW w:w="886" w:type="dxa"/>
          </w:tcPr>
          <w:p w14:paraId="55245758" w14:textId="77777777" w:rsidR="00EE32A2" w:rsidRPr="00EE32A2" w:rsidRDefault="00EE32A2" w:rsidP="00937629">
            <w:pPr>
              <w:pStyle w:val="TableParagraph"/>
              <w:spacing w:before="94"/>
              <w:ind w:left="216"/>
              <w:rPr>
                <w:rFonts w:asciiTheme="minorHAnsi" w:hAnsiTheme="minorHAnsi"/>
              </w:rPr>
            </w:pPr>
            <w:r w:rsidRPr="00EE32A2">
              <w:rPr>
                <w:rFonts w:asciiTheme="minorHAnsi" w:hAnsiTheme="minorHAnsi"/>
                <w:spacing w:val="-2"/>
              </w:rPr>
              <w:t>13.00</w:t>
            </w:r>
          </w:p>
        </w:tc>
      </w:tr>
      <w:tr w:rsidR="00EE32A2" w:rsidRPr="00EE32A2" w14:paraId="217BA098" w14:textId="77777777" w:rsidTr="00EE32A2">
        <w:trPr>
          <w:trHeight w:val="457"/>
        </w:trPr>
        <w:tc>
          <w:tcPr>
            <w:tcW w:w="2558" w:type="dxa"/>
          </w:tcPr>
          <w:p w14:paraId="6B4C81BE" w14:textId="77777777" w:rsidR="00EE32A2" w:rsidRPr="00EE32A2" w:rsidRDefault="00EE32A2" w:rsidP="00937629">
            <w:pPr>
              <w:pStyle w:val="TableParagraph"/>
              <w:spacing w:before="94"/>
              <w:rPr>
                <w:rFonts w:asciiTheme="minorHAnsi" w:hAnsiTheme="minorHAnsi"/>
              </w:rPr>
            </w:pPr>
            <w:r w:rsidRPr="00EE32A2">
              <w:rPr>
                <w:rFonts w:asciiTheme="minorHAnsi" w:hAnsiTheme="minorHAnsi"/>
              </w:rPr>
              <w:t>July</w:t>
            </w:r>
            <w:r w:rsidRPr="00EE32A2">
              <w:rPr>
                <w:rFonts w:asciiTheme="minorHAnsi" w:hAnsiTheme="minorHAnsi"/>
                <w:spacing w:val="-2"/>
              </w:rPr>
              <w:t xml:space="preserve"> </w:t>
            </w:r>
            <w:r w:rsidRPr="00EE32A2">
              <w:rPr>
                <w:rFonts w:asciiTheme="minorHAnsi" w:hAnsiTheme="minorHAnsi"/>
              </w:rPr>
              <w:t>2010</w:t>
            </w:r>
            <w:r w:rsidRPr="00EE32A2">
              <w:rPr>
                <w:rFonts w:asciiTheme="minorHAnsi" w:hAnsiTheme="minorHAnsi"/>
                <w:spacing w:val="-1"/>
              </w:rPr>
              <w:t xml:space="preserve"> </w:t>
            </w:r>
            <w:r w:rsidRPr="00EE32A2">
              <w:rPr>
                <w:rFonts w:asciiTheme="minorHAnsi" w:hAnsiTheme="minorHAnsi"/>
              </w:rPr>
              <w:t>to</w:t>
            </w:r>
            <w:r w:rsidRPr="00EE32A2">
              <w:rPr>
                <w:rFonts w:asciiTheme="minorHAnsi" w:hAnsiTheme="minorHAnsi"/>
                <w:spacing w:val="-4"/>
              </w:rPr>
              <w:t xml:space="preserve"> </w:t>
            </w:r>
            <w:r w:rsidRPr="00EE32A2">
              <w:rPr>
                <w:rFonts w:asciiTheme="minorHAnsi" w:hAnsiTheme="minorHAnsi"/>
              </w:rPr>
              <w:t>June</w:t>
            </w:r>
            <w:r w:rsidRPr="00EE32A2">
              <w:rPr>
                <w:rFonts w:asciiTheme="minorHAnsi" w:hAnsiTheme="minorHAnsi"/>
                <w:spacing w:val="1"/>
              </w:rPr>
              <w:t xml:space="preserve"> </w:t>
            </w:r>
            <w:r w:rsidRPr="00EE32A2">
              <w:rPr>
                <w:rFonts w:asciiTheme="minorHAnsi" w:hAnsiTheme="minorHAnsi"/>
                <w:spacing w:val="-4"/>
              </w:rPr>
              <w:t>2011</w:t>
            </w:r>
          </w:p>
        </w:tc>
        <w:tc>
          <w:tcPr>
            <w:tcW w:w="1581" w:type="dxa"/>
          </w:tcPr>
          <w:p w14:paraId="711A4FA1" w14:textId="77777777" w:rsidR="00EE32A2" w:rsidRPr="00EE32A2" w:rsidRDefault="00EE32A2" w:rsidP="00937629">
            <w:pPr>
              <w:pStyle w:val="TableParagraph"/>
              <w:spacing w:before="94"/>
              <w:ind w:left="0" w:right="97"/>
              <w:jc w:val="right"/>
              <w:rPr>
                <w:rFonts w:asciiTheme="minorHAnsi" w:hAnsiTheme="minorHAnsi"/>
              </w:rPr>
            </w:pPr>
            <w:r w:rsidRPr="00EE32A2">
              <w:rPr>
                <w:rFonts w:asciiTheme="minorHAnsi" w:hAnsiTheme="minorHAnsi"/>
              </w:rPr>
              <w:t>1</w:t>
            </w:r>
            <w:r w:rsidRPr="00EE32A2">
              <w:rPr>
                <w:rFonts w:asciiTheme="minorHAnsi" w:hAnsiTheme="minorHAnsi"/>
                <w:spacing w:val="-1"/>
              </w:rPr>
              <w:t xml:space="preserve"> </w:t>
            </w:r>
            <w:r w:rsidRPr="00EE32A2">
              <w:rPr>
                <w:rFonts w:asciiTheme="minorHAnsi" w:hAnsiTheme="minorHAnsi"/>
              </w:rPr>
              <w:t>250</w:t>
            </w:r>
            <w:r w:rsidRPr="00EE32A2">
              <w:rPr>
                <w:rFonts w:asciiTheme="minorHAnsi" w:hAnsiTheme="minorHAnsi"/>
                <w:spacing w:val="-1"/>
              </w:rPr>
              <w:t xml:space="preserve"> </w:t>
            </w:r>
            <w:r w:rsidRPr="00EE32A2">
              <w:rPr>
                <w:rFonts w:asciiTheme="minorHAnsi" w:hAnsiTheme="minorHAnsi"/>
                <w:spacing w:val="-5"/>
              </w:rPr>
              <w:t>000</w:t>
            </w:r>
          </w:p>
        </w:tc>
        <w:tc>
          <w:tcPr>
            <w:tcW w:w="1579" w:type="dxa"/>
          </w:tcPr>
          <w:p w14:paraId="196DCC33" w14:textId="77777777" w:rsidR="00EE32A2" w:rsidRPr="00EE32A2" w:rsidRDefault="00EE32A2" w:rsidP="00937629">
            <w:pPr>
              <w:pStyle w:val="TableParagraph"/>
              <w:spacing w:before="94"/>
              <w:ind w:left="0" w:right="97"/>
              <w:jc w:val="right"/>
              <w:rPr>
                <w:rFonts w:asciiTheme="minorHAnsi" w:hAnsiTheme="minorHAnsi"/>
              </w:rPr>
            </w:pPr>
            <w:r w:rsidRPr="00EE32A2">
              <w:rPr>
                <w:rFonts w:asciiTheme="minorHAnsi" w:hAnsiTheme="minorHAnsi"/>
              </w:rPr>
              <w:t>104</w:t>
            </w:r>
            <w:r w:rsidRPr="00EE32A2">
              <w:rPr>
                <w:rFonts w:asciiTheme="minorHAnsi" w:hAnsiTheme="minorHAnsi"/>
                <w:spacing w:val="-4"/>
              </w:rPr>
              <w:t xml:space="preserve"> </w:t>
            </w:r>
            <w:r w:rsidRPr="00EE32A2">
              <w:rPr>
                <w:rFonts w:asciiTheme="minorHAnsi" w:hAnsiTheme="minorHAnsi"/>
                <w:spacing w:val="-5"/>
              </w:rPr>
              <w:t>167</w:t>
            </w:r>
          </w:p>
        </w:tc>
        <w:tc>
          <w:tcPr>
            <w:tcW w:w="1236" w:type="dxa"/>
          </w:tcPr>
          <w:p w14:paraId="243F8BFB" w14:textId="77777777" w:rsidR="00EE32A2" w:rsidRPr="00EE32A2" w:rsidRDefault="00EE32A2" w:rsidP="00937629">
            <w:pPr>
              <w:pStyle w:val="TableParagraph"/>
              <w:spacing w:before="94"/>
              <w:ind w:left="0" w:right="94"/>
              <w:jc w:val="right"/>
              <w:rPr>
                <w:rFonts w:asciiTheme="minorHAnsi" w:hAnsiTheme="minorHAnsi"/>
              </w:rPr>
            </w:pPr>
            <w:r w:rsidRPr="00EE32A2">
              <w:rPr>
                <w:rFonts w:asciiTheme="minorHAnsi" w:hAnsiTheme="minorHAnsi"/>
                <w:spacing w:val="-5"/>
              </w:rPr>
              <w:t>5.9</w:t>
            </w:r>
          </w:p>
        </w:tc>
        <w:tc>
          <w:tcPr>
            <w:tcW w:w="1241" w:type="dxa"/>
          </w:tcPr>
          <w:p w14:paraId="34E9F2A7"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rPr>
              <w:t>8</w:t>
            </w:r>
          </w:p>
        </w:tc>
        <w:tc>
          <w:tcPr>
            <w:tcW w:w="1227" w:type="dxa"/>
          </w:tcPr>
          <w:p w14:paraId="0E0EBBAD"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spacing w:val="-4"/>
              </w:rPr>
              <w:t>4.80</w:t>
            </w:r>
          </w:p>
        </w:tc>
        <w:tc>
          <w:tcPr>
            <w:tcW w:w="886" w:type="dxa"/>
          </w:tcPr>
          <w:p w14:paraId="66428881" w14:textId="77777777" w:rsidR="00EE32A2" w:rsidRPr="00EE32A2" w:rsidRDefault="00EE32A2" w:rsidP="00937629">
            <w:pPr>
              <w:pStyle w:val="TableParagraph"/>
              <w:spacing w:before="94"/>
              <w:ind w:left="216"/>
              <w:rPr>
                <w:rFonts w:asciiTheme="minorHAnsi" w:hAnsiTheme="minorHAnsi"/>
              </w:rPr>
            </w:pPr>
            <w:r w:rsidRPr="00EE32A2">
              <w:rPr>
                <w:rFonts w:asciiTheme="minorHAnsi" w:hAnsiTheme="minorHAnsi"/>
                <w:spacing w:val="-2"/>
              </w:rPr>
              <w:t>12.80</w:t>
            </w:r>
          </w:p>
        </w:tc>
      </w:tr>
      <w:tr w:rsidR="00EE32A2" w:rsidRPr="00EE32A2" w14:paraId="0466E8F2" w14:textId="77777777" w:rsidTr="00EE32A2">
        <w:trPr>
          <w:trHeight w:val="458"/>
        </w:trPr>
        <w:tc>
          <w:tcPr>
            <w:tcW w:w="2558" w:type="dxa"/>
          </w:tcPr>
          <w:p w14:paraId="1ECCB7FE" w14:textId="77777777" w:rsidR="00EE32A2" w:rsidRPr="00EE32A2" w:rsidRDefault="00EE32A2" w:rsidP="00937629">
            <w:pPr>
              <w:pStyle w:val="TableParagraph"/>
              <w:spacing w:before="94"/>
              <w:rPr>
                <w:rFonts w:asciiTheme="minorHAnsi" w:hAnsiTheme="minorHAnsi"/>
              </w:rPr>
            </w:pPr>
            <w:r w:rsidRPr="00EE32A2">
              <w:rPr>
                <w:rFonts w:asciiTheme="minorHAnsi" w:hAnsiTheme="minorHAnsi"/>
              </w:rPr>
              <w:t>July</w:t>
            </w:r>
            <w:r w:rsidRPr="00EE32A2">
              <w:rPr>
                <w:rFonts w:asciiTheme="minorHAnsi" w:hAnsiTheme="minorHAnsi"/>
                <w:spacing w:val="-2"/>
              </w:rPr>
              <w:t xml:space="preserve"> </w:t>
            </w:r>
            <w:r w:rsidRPr="00EE32A2">
              <w:rPr>
                <w:rFonts w:asciiTheme="minorHAnsi" w:hAnsiTheme="minorHAnsi"/>
              </w:rPr>
              <w:t>2009</w:t>
            </w:r>
            <w:r w:rsidRPr="00EE32A2">
              <w:rPr>
                <w:rFonts w:asciiTheme="minorHAnsi" w:hAnsiTheme="minorHAnsi"/>
                <w:spacing w:val="-1"/>
              </w:rPr>
              <w:t xml:space="preserve"> </w:t>
            </w:r>
            <w:r w:rsidRPr="00EE32A2">
              <w:rPr>
                <w:rFonts w:asciiTheme="minorHAnsi" w:hAnsiTheme="minorHAnsi"/>
              </w:rPr>
              <w:t>to</w:t>
            </w:r>
            <w:r w:rsidRPr="00EE32A2">
              <w:rPr>
                <w:rFonts w:asciiTheme="minorHAnsi" w:hAnsiTheme="minorHAnsi"/>
                <w:spacing w:val="-4"/>
              </w:rPr>
              <w:t xml:space="preserve"> </w:t>
            </w:r>
            <w:r w:rsidRPr="00EE32A2">
              <w:rPr>
                <w:rFonts w:asciiTheme="minorHAnsi" w:hAnsiTheme="minorHAnsi"/>
              </w:rPr>
              <w:t>June</w:t>
            </w:r>
            <w:r w:rsidRPr="00EE32A2">
              <w:rPr>
                <w:rFonts w:asciiTheme="minorHAnsi" w:hAnsiTheme="minorHAnsi"/>
                <w:spacing w:val="1"/>
              </w:rPr>
              <w:t xml:space="preserve"> </w:t>
            </w:r>
            <w:r w:rsidRPr="00EE32A2">
              <w:rPr>
                <w:rFonts w:asciiTheme="minorHAnsi" w:hAnsiTheme="minorHAnsi"/>
                <w:spacing w:val="-4"/>
              </w:rPr>
              <w:t>2010</w:t>
            </w:r>
          </w:p>
        </w:tc>
        <w:tc>
          <w:tcPr>
            <w:tcW w:w="1581" w:type="dxa"/>
          </w:tcPr>
          <w:p w14:paraId="2EBB5DC5" w14:textId="77777777" w:rsidR="00EE32A2" w:rsidRPr="00EE32A2" w:rsidRDefault="00EE32A2" w:rsidP="00937629">
            <w:pPr>
              <w:pStyle w:val="TableParagraph"/>
              <w:spacing w:before="94"/>
              <w:ind w:left="0" w:right="97"/>
              <w:jc w:val="right"/>
              <w:rPr>
                <w:rFonts w:asciiTheme="minorHAnsi" w:hAnsiTheme="minorHAnsi"/>
              </w:rPr>
            </w:pPr>
            <w:r w:rsidRPr="00EE32A2">
              <w:rPr>
                <w:rFonts w:asciiTheme="minorHAnsi" w:hAnsiTheme="minorHAnsi"/>
              </w:rPr>
              <w:t>1</w:t>
            </w:r>
            <w:r w:rsidRPr="00EE32A2">
              <w:rPr>
                <w:rFonts w:asciiTheme="minorHAnsi" w:hAnsiTheme="minorHAnsi"/>
                <w:spacing w:val="-1"/>
              </w:rPr>
              <w:t xml:space="preserve"> </w:t>
            </w:r>
            <w:r w:rsidRPr="00EE32A2">
              <w:rPr>
                <w:rFonts w:asciiTheme="minorHAnsi" w:hAnsiTheme="minorHAnsi"/>
              </w:rPr>
              <w:t>250</w:t>
            </w:r>
            <w:r w:rsidRPr="00EE32A2">
              <w:rPr>
                <w:rFonts w:asciiTheme="minorHAnsi" w:hAnsiTheme="minorHAnsi"/>
                <w:spacing w:val="-1"/>
              </w:rPr>
              <w:t xml:space="preserve"> </w:t>
            </w:r>
            <w:r w:rsidRPr="00EE32A2">
              <w:rPr>
                <w:rFonts w:asciiTheme="minorHAnsi" w:hAnsiTheme="minorHAnsi"/>
                <w:spacing w:val="-5"/>
              </w:rPr>
              <w:t>000</w:t>
            </w:r>
          </w:p>
        </w:tc>
        <w:tc>
          <w:tcPr>
            <w:tcW w:w="1579" w:type="dxa"/>
          </w:tcPr>
          <w:p w14:paraId="650927E1" w14:textId="77777777" w:rsidR="00EE32A2" w:rsidRPr="00EE32A2" w:rsidRDefault="00EE32A2" w:rsidP="00937629">
            <w:pPr>
              <w:pStyle w:val="TableParagraph"/>
              <w:spacing w:before="94"/>
              <w:ind w:left="0" w:right="97"/>
              <w:jc w:val="right"/>
              <w:rPr>
                <w:rFonts w:asciiTheme="minorHAnsi" w:hAnsiTheme="minorHAnsi"/>
              </w:rPr>
            </w:pPr>
            <w:r w:rsidRPr="00EE32A2">
              <w:rPr>
                <w:rFonts w:asciiTheme="minorHAnsi" w:hAnsiTheme="minorHAnsi"/>
              </w:rPr>
              <w:t>104</w:t>
            </w:r>
            <w:r w:rsidRPr="00EE32A2">
              <w:rPr>
                <w:rFonts w:asciiTheme="minorHAnsi" w:hAnsiTheme="minorHAnsi"/>
                <w:spacing w:val="-4"/>
              </w:rPr>
              <w:t xml:space="preserve"> </w:t>
            </w:r>
            <w:r w:rsidRPr="00EE32A2">
              <w:rPr>
                <w:rFonts w:asciiTheme="minorHAnsi" w:hAnsiTheme="minorHAnsi"/>
                <w:spacing w:val="-5"/>
              </w:rPr>
              <w:t>167</w:t>
            </w:r>
          </w:p>
        </w:tc>
        <w:tc>
          <w:tcPr>
            <w:tcW w:w="1236" w:type="dxa"/>
          </w:tcPr>
          <w:p w14:paraId="2B4BD05C" w14:textId="77777777" w:rsidR="00EE32A2" w:rsidRPr="00EE32A2" w:rsidRDefault="00EE32A2" w:rsidP="00937629">
            <w:pPr>
              <w:pStyle w:val="TableParagraph"/>
              <w:spacing w:before="94"/>
              <w:ind w:left="0" w:right="94"/>
              <w:jc w:val="right"/>
              <w:rPr>
                <w:rFonts w:asciiTheme="minorHAnsi" w:hAnsiTheme="minorHAnsi"/>
              </w:rPr>
            </w:pPr>
            <w:r w:rsidRPr="00EE32A2">
              <w:rPr>
                <w:rFonts w:asciiTheme="minorHAnsi" w:hAnsiTheme="minorHAnsi"/>
                <w:spacing w:val="-5"/>
              </w:rPr>
              <w:t>5.9</w:t>
            </w:r>
          </w:p>
        </w:tc>
        <w:tc>
          <w:tcPr>
            <w:tcW w:w="1241" w:type="dxa"/>
          </w:tcPr>
          <w:p w14:paraId="1685294C"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rPr>
              <w:t>8</w:t>
            </w:r>
          </w:p>
        </w:tc>
        <w:tc>
          <w:tcPr>
            <w:tcW w:w="1227" w:type="dxa"/>
          </w:tcPr>
          <w:p w14:paraId="0D8E1437"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spacing w:val="-4"/>
              </w:rPr>
              <w:t>3.13</w:t>
            </w:r>
          </w:p>
        </w:tc>
        <w:tc>
          <w:tcPr>
            <w:tcW w:w="886" w:type="dxa"/>
          </w:tcPr>
          <w:p w14:paraId="1EAA4006" w14:textId="77777777" w:rsidR="00EE32A2" w:rsidRPr="00EE32A2" w:rsidRDefault="00EE32A2" w:rsidP="00937629">
            <w:pPr>
              <w:pStyle w:val="TableParagraph"/>
              <w:spacing w:before="94"/>
              <w:ind w:left="216"/>
              <w:rPr>
                <w:rFonts w:asciiTheme="minorHAnsi" w:hAnsiTheme="minorHAnsi"/>
              </w:rPr>
            </w:pPr>
            <w:r w:rsidRPr="00EE32A2">
              <w:rPr>
                <w:rFonts w:asciiTheme="minorHAnsi" w:hAnsiTheme="minorHAnsi"/>
                <w:spacing w:val="-2"/>
              </w:rPr>
              <w:t>11.13</w:t>
            </w:r>
          </w:p>
        </w:tc>
      </w:tr>
      <w:tr w:rsidR="00EE32A2" w:rsidRPr="00EE32A2" w14:paraId="3034C8BF" w14:textId="77777777" w:rsidTr="00EE32A2">
        <w:trPr>
          <w:trHeight w:val="457"/>
        </w:trPr>
        <w:tc>
          <w:tcPr>
            <w:tcW w:w="2558" w:type="dxa"/>
          </w:tcPr>
          <w:p w14:paraId="7B033951" w14:textId="77777777" w:rsidR="00EE32A2" w:rsidRPr="00EE32A2" w:rsidRDefault="00EE32A2" w:rsidP="00937629">
            <w:pPr>
              <w:pStyle w:val="TableParagraph"/>
              <w:spacing w:before="94"/>
              <w:rPr>
                <w:rFonts w:asciiTheme="minorHAnsi" w:hAnsiTheme="minorHAnsi"/>
              </w:rPr>
            </w:pPr>
            <w:r w:rsidRPr="00EE32A2">
              <w:rPr>
                <w:rFonts w:asciiTheme="minorHAnsi" w:hAnsiTheme="minorHAnsi"/>
              </w:rPr>
              <w:t>July</w:t>
            </w:r>
            <w:r w:rsidRPr="00EE32A2">
              <w:rPr>
                <w:rFonts w:asciiTheme="minorHAnsi" w:hAnsiTheme="minorHAnsi"/>
                <w:spacing w:val="-2"/>
              </w:rPr>
              <w:t xml:space="preserve"> </w:t>
            </w:r>
            <w:r w:rsidRPr="00EE32A2">
              <w:rPr>
                <w:rFonts w:asciiTheme="minorHAnsi" w:hAnsiTheme="minorHAnsi"/>
              </w:rPr>
              <w:t>2008</w:t>
            </w:r>
            <w:r w:rsidRPr="00EE32A2">
              <w:rPr>
                <w:rFonts w:asciiTheme="minorHAnsi" w:hAnsiTheme="minorHAnsi"/>
                <w:spacing w:val="-1"/>
              </w:rPr>
              <w:t xml:space="preserve"> </w:t>
            </w:r>
            <w:r w:rsidRPr="00EE32A2">
              <w:rPr>
                <w:rFonts w:asciiTheme="minorHAnsi" w:hAnsiTheme="minorHAnsi"/>
              </w:rPr>
              <w:t>to</w:t>
            </w:r>
            <w:r w:rsidRPr="00EE32A2">
              <w:rPr>
                <w:rFonts w:asciiTheme="minorHAnsi" w:hAnsiTheme="minorHAnsi"/>
                <w:spacing w:val="-4"/>
              </w:rPr>
              <w:t xml:space="preserve"> </w:t>
            </w:r>
            <w:r w:rsidRPr="00EE32A2">
              <w:rPr>
                <w:rFonts w:asciiTheme="minorHAnsi" w:hAnsiTheme="minorHAnsi"/>
              </w:rPr>
              <w:t>June</w:t>
            </w:r>
            <w:r w:rsidRPr="00EE32A2">
              <w:rPr>
                <w:rFonts w:asciiTheme="minorHAnsi" w:hAnsiTheme="minorHAnsi"/>
                <w:spacing w:val="1"/>
              </w:rPr>
              <w:t xml:space="preserve"> </w:t>
            </w:r>
            <w:r w:rsidRPr="00EE32A2">
              <w:rPr>
                <w:rFonts w:asciiTheme="minorHAnsi" w:hAnsiTheme="minorHAnsi"/>
                <w:spacing w:val="-4"/>
              </w:rPr>
              <w:t>2009</w:t>
            </w:r>
          </w:p>
        </w:tc>
        <w:tc>
          <w:tcPr>
            <w:tcW w:w="1581" w:type="dxa"/>
          </w:tcPr>
          <w:p w14:paraId="45BADB7A" w14:textId="77777777" w:rsidR="00EE32A2" w:rsidRPr="00EE32A2" w:rsidRDefault="00EE32A2" w:rsidP="00937629">
            <w:pPr>
              <w:pStyle w:val="TableParagraph"/>
              <w:spacing w:before="94"/>
              <w:ind w:left="0" w:right="97"/>
              <w:jc w:val="right"/>
              <w:rPr>
                <w:rFonts w:asciiTheme="minorHAnsi" w:hAnsiTheme="minorHAnsi"/>
              </w:rPr>
            </w:pPr>
            <w:r w:rsidRPr="00EE32A2">
              <w:rPr>
                <w:rFonts w:asciiTheme="minorHAnsi" w:hAnsiTheme="minorHAnsi"/>
              </w:rPr>
              <w:t>1</w:t>
            </w:r>
            <w:r w:rsidRPr="00EE32A2">
              <w:rPr>
                <w:rFonts w:asciiTheme="minorHAnsi" w:hAnsiTheme="minorHAnsi"/>
                <w:spacing w:val="-1"/>
              </w:rPr>
              <w:t xml:space="preserve"> </w:t>
            </w:r>
            <w:r w:rsidRPr="00EE32A2">
              <w:rPr>
                <w:rFonts w:asciiTheme="minorHAnsi" w:hAnsiTheme="minorHAnsi"/>
              </w:rPr>
              <w:t>250</w:t>
            </w:r>
            <w:r w:rsidRPr="00EE32A2">
              <w:rPr>
                <w:rFonts w:asciiTheme="minorHAnsi" w:hAnsiTheme="minorHAnsi"/>
                <w:spacing w:val="-1"/>
              </w:rPr>
              <w:t xml:space="preserve"> </w:t>
            </w:r>
            <w:r w:rsidRPr="00EE32A2">
              <w:rPr>
                <w:rFonts w:asciiTheme="minorHAnsi" w:hAnsiTheme="minorHAnsi"/>
                <w:spacing w:val="-5"/>
              </w:rPr>
              <w:t>000</w:t>
            </w:r>
          </w:p>
        </w:tc>
        <w:tc>
          <w:tcPr>
            <w:tcW w:w="1579" w:type="dxa"/>
          </w:tcPr>
          <w:p w14:paraId="2C82A552" w14:textId="77777777" w:rsidR="00EE32A2" w:rsidRPr="00EE32A2" w:rsidRDefault="00EE32A2" w:rsidP="00937629">
            <w:pPr>
              <w:pStyle w:val="TableParagraph"/>
              <w:spacing w:before="94"/>
              <w:ind w:left="0" w:right="97"/>
              <w:jc w:val="right"/>
              <w:rPr>
                <w:rFonts w:asciiTheme="minorHAnsi" w:hAnsiTheme="minorHAnsi"/>
              </w:rPr>
            </w:pPr>
            <w:r w:rsidRPr="00EE32A2">
              <w:rPr>
                <w:rFonts w:asciiTheme="minorHAnsi" w:hAnsiTheme="minorHAnsi"/>
              </w:rPr>
              <w:t>104</w:t>
            </w:r>
            <w:r w:rsidRPr="00EE32A2">
              <w:rPr>
                <w:rFonts w:asciiTheme="minorHAnsi" w:hAnsiTheme="minorHAnsi"/>
                <w:spacing w:val="-4"/>
              </w:rPr>
              <w:t xml:space="preserve"> </w:t>
            </w:r>
            <w:r w:rsidRPr="00EE32A2">
              <w:rPr>
                <w:rFonts w:asciiTheme="minorHAnsi" w:hAnsiTheme="minorHAnsi"/>
                <w:spacing w:val="-5"/>
              </w:rPr>
              <w:t>167</w:t>
            </w:r>
          </w:p>
        </w:tc>
        <w:tc>
          <w:tcPr>
            <w:tcW w:w="1236" w:type="dxa"/>
          </w:tcPr>
          <w:p w14:paraId="2B0D1800" w14:textId="77777777" w:rsidR="00EE32A2" w:rsidRPr="00EE32A2" w:rsidRDefault="00EE32A2" w:rsidP="00937629">
            <w:pPr>
              <w:pStyle w:val="TableParagraph"/>
              <w:spacing w:before="94"/>
              <w:ind w:left="0" w:right="94"/>
              <w:jc w:val="right"/>
              <w:rPr>
                <w:rFonts w:asciiTheme="minorHAnsi" w:hAnsiTheme="minorHAnsi"/>
              </w:rPr>
            </w:pPr>
            <w:r w:rsidRPr="00EE32A2">
              <w:rPr>
                <w:rFonts w:asciiTheme="minorHAnsi" w:hAnsiTheme="minorHAnsi"/>
                <w:spacing w:val="-5"/>
              </w:rPr>
              <w:t>5.9</w:t>
            </w:r>
          </w:p>
        </w:tc>
        <w:tc>
          <w:tcPr>
            <w:tcW w:w="1241" w:type="dxa"/>
          </w:tcPr>
          <w:p w14:paraId="305E9057"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rPr>
              <w:t>8</w:t>
            </w:r>
          </w:p>
        </w:tc>
        <w:tc>
          <w:tcPr>
            <w:tcW w:w="1227" w:type="dxa"/>
          </w:tcPr>
          <w:p w14:paraId="36D4395D"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spacing w:val="-4"/>
              </w:rPr>
              <w:t>7.75</w:t>
            </w:r>
          </w:p>
        </w:tc>
        <w:tc>
          <w:tcPr>
            <w:tcW w:w="886" w:type="dxa"/>
          </w:tcPr>
          <w:p w14:paraId="06A983DF" w14:textId="77777777" w:rsidR="00EE32A2" w:rsidRPr="00EE32A2" w:rsidRDefault="00EE32A2" w:rsidP="00937629">
            <w:pPr>
              <w:pStyle w:val="TableParagraph"/>
              <w:spacing w:before="94"/>
              <w:ind w:left="216"/>
              <w:rPr>
                <w:rFonts w:asciiTheme="minorHAnsi" w:hAnsiTheme="minorHAnsi"/>
              </w:rPr>
            </w:pPr>
            <w:r w:rsidRPr="00EE32A2">
              <w:rPr>
                <w:rFonts w:asciiTheme="minorHAnsi" w:hAnsiTheme="minorHAnsi"/>
                <w:spacing w:val="-2"/>
              </w:rPr>
              <w:t>15.75</w:t>
            </w:r>
          </w:p>
        </w:tc>
      </w:tr>
      <w:tr w:rsidR="00EE32A2" w:rsidRPr="00EE32A2" w14:paraId="681D01C8" w14:textId="77777777" w:rsidTr="00EE32A2">
        <w:trPr>
          <w:trHeight w:val="458"/>
        </w:trPr>
        <w:tc>
          <w:tcPr>
            <w:tcW w:w="2558" w:type="dxa"/>
          </w:tcPr>
          <w:p w14:paraId="74060CD8" w14:textId="77777777" w:rsidR="00EE32A2" w:rsidRPr="00EE32A2" w:rsidRDefault="00EE32A2" w:rsidP="00937629">
            <w:pPr>
              <w:pStyle w:val="TableParagraph"/>
              <w:spacing w:before="94"/>
              <w:rPr>
                <w:rFonts w:asciiTheme="minorHAnsi" w:hAnsiTheme="minorHAnsi"/>
              </w:rPr>
            </w:pPr>
            <w:r w:rsidRPr="00EE32A2">
              <w:rPr>
                <w:rFonts w:asciiTheme="minorHAnsi" w:hAnsiTheme="minorHAnsi"/>
              </w:rPr>
              <w:t>July</w:t>
            </w:r>
            <w:r w:rsidRPr="00EE32A2">
              <w:rPr>
                <w:rFonts w:asciiTheme="minorHAnsi" w:hAnsiTheme="minorHAnsi"/>
                <w:spacing w:val="-2"/>
              </w:rPr>
              <w:t xml:space="preserve"> </w:t>
            </w:r>
            <w:r w:rsidRPr="00EE32A2">
              <w:rPr>
                <w:rFonts w:asciiTheme="minorHAnsi" w:hAnsiTheme="minorHAnsi"/>
              </w:rPr>
              <w:t>2007</w:t>
            </w:r>
            <w:r w:rsidRPr="00EE32A2">
              <w:rPr>
                <w:rFonts w:asciiTheme="minorHAnsi" w:hAnsiTheme="minorHAnsi"/>
                <w:spacing w:val="-1"/>
              </w:rPr>
              <w:t xml:space="preserve"> </w:t>
            </w:r>
            <w:r w:rsidRPr="00EE32A2">
              <w:rPr>
                <w:rFonts w:asciiTheme="minorHAnsi" w:hAnsiTheme="minorHAnsi"/>
              </w:rPr>
              <w:t>to</w:t>
            </w:r>
            <w:r w:rsidRPr="00EE32A2">
              <w:rPr>
                <w:rFonts w:asciiTheme="minorHAnsi" w:hAnsiTheme="minorHAnsi"/>
                <w:spacing w:val="-4"/>
              </w:rPr>
              <w:t xml:space="preserve"> </w:t>
            </w:r>
            <w:r w:rsidRPr="00EE32A2">
              <w:rPr>
                <w:rFonts w:asciiTheme="minorHAnsi" w:hAnsiTheme="minorHAnsi"/>
              </w:rPr>
              <w:t>June</w:t>
            </w:r>
            <w:r w:rsidRPr="00EE32A2">
              <w:rPr>
                <w:rFonts w:asciiTheme="minorHAnsi" w:hAnsiTheme="minorHAnsi"/>
                <w:spacing w:val="1"/>
              </w:rPr>
              <w:t xml:space="preserve"> </w:t>
            </w:r>
            <w:r w:rsidRPr="00EE32A2">
              <w:rPr>
                <w:rFonts w:asciiTheme="minorHAnsi" w:hAnsiTheme="minorHAnsi"/>
                <w:spacing w:val="-4"/>
              </w:rPr>
              <w:t>2008</w:t>
            </w:r>
          </w:p>
        </w:tc>
        <w:tc>
          <w:tcPr>
            <w:tcW w:w="1581" w:type="dxa"/>
          </w:tcPr>
          <w:p w14:paraId="2727A2EC" w14:textId="77777777" w:rsidR="00EE32A2" w:rsidRPr="00EE32A2" w:rsidRDefault="00EE32A2" w:rsidP="00937629">
            <w:pPr>
              <w:pStyle w:val="TableParagraph"/>
              <w:spacing w:before="94"/>
              <w:ind w:left="0" w:right="97"/>
              <w:jc w:val="right"/>
              <w:rPr>
                <w:rFonts w:asciiTheme="minorHAnsi" w:hAnsiTheme="minorHAnsi"/>
              </w:rPr>
            </w:pPr>
            <w:r w:rsidRPr="00EE32A2">
              <w:rPr>
                <w:rFonts w:asciiTheme="minorHAnsi" w:hAnsiTheme="minorHAnsi"/>
              </w:rPr>
              <w:t>1</w:t>
            </w:r>
            <w:r w:rsidRPr="00EE32A2">
              <w:rPr>
                <w:rFonts w:asciiTheme="minorHAnsi" w:hAnsiTheme="minorHAnsi"/>
                <w:spacing w:val="-1"/>
              </w:rPr>
              <w:t xml:space="preserve"> </w:t>
            </w:r>
            <w:r w:rsidRPr="00EE32A2">
              <w:rPr>
                <w:rFonts w:asciiTheme="minorHAnsi" w:hAnsiTheme="minorHAnsi"/>
              </w:rPr>
              <w:t>250</w:t>
            </w:r>
            <w:r w:rsidRPr="00EE32A2">
              <w:rPr>
                <w:rFonts w:asciiTheme="minorHAnsi" w:hAnsiTheme="minorHAnsi"/>
                <w:spacing w:val="-1"/>
              </w:rPr>
              <w:t xml:space="preserve"> </w:t>
            </w:r>
            <w:r w:rsidRPr="00EE32A2">
              <w:rPr>
                <w:rFonts w:asciiTheme="minorHAnsi" w:hAnsiTheme="minorHAnsi"/>
                <w:spacing w:val="-5"/>
              </w:rPr>
              <w:t>000</w:t>
            </w:r>
          </w:p>
        </w:tc>
        <w:tc>
          <w:tcPr>
            <w:tcW w:w="1579" w:type="dxa"/>
          </w:tcPr>
          <w:p w14:paraId="36A1F34E" w14:textId="77777777" w:rsidR="00EE32A2" w:rsidRPr="00EE32A2" w:rsidRDefault="00EE32A2" w:rsidP="00937629">
            <w:pPr>
              <w:pStyle w:val="TableParagraph"/>
              <w:spacing w:before="94"/>
              <w:ind w:left="0" w:right="97"/>
              <w:jc w:val="right"/>
              <w:rPr>
                <w:rFonts w:asciiTheme="minorHAnsi" w:hAnsiTheme="minorHAnsi"/>
              </w:rPr>
            </w:pPr>
            <w:r w:rsidRPr="00EE32A2">
              <w:rPr>
                <w:rFonts w:asciiTheme="minorHAnsi" w:hAnsiTheme="minorHAnsi"/>
              </w:rPr>
              <w:t>104</w:t>
            </w:r>
            <w:r w:rsidRPr="00EE32A2">
              <w:rPr>
                <w:rFonts w:asciiTheme="minorHAnsi" w:hAnsiTheme="minorHAnsi"/>
                <w:spacing w:val="-4"/>
              </w:rPr>
              <w:t xml:space="preserve"> </w:t>
            </w:r>
            <w:r w:rsidRPr="00EE32A2">
              <w:rPr>
                <w:rFonts w:asciiTheme="minorHAnsi" w:hAnsiTheme="minorHAnsi"/>
                <w:spacing w:val="-5"/>
              </w:rPr>
              <w:t>167</w:t>
            </w:r>
          </w:p>
        </w:tc>
        <w:tc>
          <w:tcPr>
            <w:tcW w:w="1236" w:type="dxa"/>
          </w:tcPr>
          <w:p w14:paraId="7DFFBA52" w14:textId="77777777" w:rsidR="00EE32A2" w:rsidRPr="00EE32A2" w:rsidRDefault="00EE32A2" w:rsidP="00937629">
            <w:pPr>
              <w:pStyle w:val="TableParagraph"/>
              <w:spacing w:before="94"/>
              <w:ind w:left="0" w:right="94"/>
              <w:jc w:val="right"/>
              <w:rPr>
                <w:rFonts w:asciiTheme="minorHAnsi" w:hAnsiTheme="minorHAnsi"/>
              </w:rPr>
            </w:pPr>
            <w:r w:rsidRPr="00EE32A2">
              <w:rPr>
                <w:rFonts w:asciiTheme="minorHAnsi" w:hAnsiTheme="minorHAnsi"/>
                <w:spacing w:val="-5"/>
              </w:rPr>
              <w:t>6.2</w:t>
            </w:r>
          </w:p>
        </w:tc>
        <w:tc>
          <w:tcPr>
            <w:tcW w:w="1241" w:type="dxa"/>
          </w:tcPr>
          <w:p w14:paraId="569BC476"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rPr>
              <w:t>7</w:t>
            </w:r>
          </w:p>
        </w:tc>
        <w:tc>
          <w:tcPr>
            <w:tcW w:w="1227" w:type="dxa"/>
          </w:tcPr>
          <w:p w14:paraId="30CCD9A1"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spacing w:val="-4"/>
              </w:rPr>
              <w:t>6.37</w:t>
            </w:r>
          </w:p>
        </w:tc>
        <w:tc>
          <w:tcPr>
            <w:tcW w:w="886" w:type="dxa"/>
          </w:tcPr>
          <w:p w14:paraId="3DC5CB82" w14:textId="77777777" w:rsidR="00EE32A2" w:rsidRPr="00EE32A2" w:rsidRDefault="00EE32A2" w:rsidP="00937629">
            <w:pPr>
              <w:pStyle w:val="TableParagraph"/>
              <w:spacing w:before="94"/>
              <w:ind w:left="216"/>
              <w:rPr>
                <w:rFonts w:asciiTheme="minorHAnsi" w:hAnsiTheme="minorHAnsi"/>
              </w:rPr>
            </w:pPr>
            <w:r w:rsidRPr="00EE32A2">
              <w:rPr>
                <w:rFonts w:asciiTheme="minorHAnsi" w:hAnsiTheme="minorHAnsi"/>
                <w:spacing w:val="-2"/>
              </w:rPr>
              <w:t>13.37</w:t>
            </w:r>
          </w:p>
        </w:tc>
      </w:tr>
      <w:tr w:rsidR="00EE32A2" w:rsidRPr="00EE32A2" w14:paraId="41A0B472" w14:textId="77777777" w:rsidTr="00EE32A2">
        <w:trPr>
          <w:trHeight w:val="457"/>
        </w:trPr>
        <w:tc>
          <w:tcPr>
            <w:tcW w:w="2558" w:type="dxa"/>
          </w:tcPr>
          <w:p w14:paraId="3BDA4167" w14:textId="77777777" w:rsidR="00EE32A2" w:rsidRPr="00EE32A2" w:rsidRDefault="00EE32A2" w:rsidP="00937629">
            <w:pPr>
              <w:pStyle w:val="TableParagraph"/>
              <w:spacing w:before="94"/>
              <w:rPr>
                <w:rFonts w:asciiTheme="minorHAnsi" w:hAnsiTheme="minorHAnsi"/>
              </w:rPr>
            </w:pPr>
            <w:r w:rsidRPr="00EE32A2">
              <w:rPr>
                <w:rFonts w:asciiTheme="minorHAnsi" w:hAnsiTheme="minorHAnsi"/>
              </w:rPr>
              <w:t>July</w:t>
            </w:r>
            <w:r w:rsidRPr="00EE32A2">
              <w:rPr>
                <w:rFonts w:asciiTheme="minorHAnsi" w:hAnsiTheme="minorHAnsi"/>
                <w:spacing w:val="-2"/>
              </w:rPr>
              <w:t xml:space="preserve"> </w:t>
            </w:r>
            <w:r w:rsidRPr="00EE32A2">
              <w:rPr>
                <w:rFonts w:asciiTheme="minorHAnsi" w:hAnsiTheme="minorHAnsi"/>
              </w:rPr>
              <w:t>2006</w:t>
            </w:r>
            <w:r w:rsidRPr="00EE32A2">
              <w:rPr>
                <w:rFonts w:asciiTheme="minorHAnsi" w:hAnsiTheme="minorHAnsi"/>
                <w:spacing w:val="-1"/>
              </w:rPr>
              <w:t xml:space="preserve"> </w:t>
            </w:r>
            <w:r w:rsidRPr="00EE32A2">
              <w:rPr>
                <w:rFonts w:asciiTheme="minorHAnsi" w:hAnsiTheme="minorHAnsi"/>
              </w:rPr>
              <w:t>to</w:t>
            </w:r>
            <w:r w:rsidRPr="00EE32A2">
              <w:rPr>
                <w:rFonts w:asciiTheme="minorHAnsi" w:hAnsiTheme="minorHAnsi"/>
                <w:spacing w:val="-4"/>
              </w:rPr>
              <w:t xml:space="preserve"> </w:t>
            </w:r>
            <w:r w:rsidRPr="00EE32A2">
              <w:rPr>
                <w:rFonts w:asciiTheme="minorHAnsi" w:hAnsiTheme="minorHAnsi"/>
              </w:rPr>
              <w:t>June</w:t>
            </w:r>
            <w:r w:rsidRPr="00EE32A2">
              <w:rPr>
                <w:rFonts w:asciiTheme="minorHAnsi" w:hAnsiTheme="minorHAnsi"/>
                <w:spacing w:val="1"/>
              </w:rPr>
              <w:t xml:space="preserve"> </w:t>
            </w:r>
            <w:r w:rsidRPr="00EE32A2">
              <w:rPr>
                <w:rFonts w:asciiTheme="minorHAnsi" w:hAnsiTheme="minorHAnsi"/>
                <w:spacing w:val="-4"/>
              </w:rPr>
              <w:t>2007</w:t>
            </w:r>
          </w:p>
        </w:tc>
        <w:tc>
          <w:tcPr>
            <w:tcW w:w="1581" w:type="dxa"/>
          </w:tcPr>
          <w:p w14:paraId="3F0BEDE6" w14:textId="77777777" w:rsidR="00EE32A2" w:rsidRPr="00EE32A2" w:rsidRDefault="00EE32A2" w:rsidP="00937629">
            <w:pPr>
              <w:pStyle w:val="TableParagraph"/>
              <w:spacing w:before="94"/>
              <w:ind w:left="0" w:right="97"/>
              <w:jc w:val="right"/>
              <w:rPr>
                <w:rFonts w:asciiTheme="minorHAnsi" w:hAnsiTheme="minorHAnsi"/>
              </w:rPr>
            </w:pPr>
            <w:r w:rsidRPr="00EE32A2">
              <w:rPr>
                <w:rFonts w:asciiTheme="minorHAnsi" w:hAnsiTheme="minorHAnsi"/>
              </w:rPr>
              <w:t>1</w:t>
            </w:r>
            <w:r w:rsidRPr="00EE32A2">
              <w:rPr>
                <w:rFonts w:asciiTheme="minorHAnsi" w:hAnsiTheme="minorHAnsi"/>
                <w:spacing w:val="-1"/>
              </w:rPr>
              <w:t xml:space="preserve"> </w:t>
            </w:r>
            <w:r w:rsidRPr="00EE32A2">
              <w:rPr>
                <w:rFonts w:asciiTheme="minorHAnsi" w:hAnsiTheme="minorHAnsi"/>
              </w:rPr>
              <w:t>250</w:t>
            </w:r>
            <w:r w:rsidRPr="00EE32A2">
              <w:rPr>
                <w:rFonts w:asciiTheme="minorHAnsi" w:hAnsiTheme="minorHAnsi"/>
                <w:spacing w:val="-1"/>
              </w:rPr>
              <w:t xml:space="preserve"> </w:t>
            </w:r>
            <w:r w:rsidRPr="00EE32A2">
              <w:rPr>
                <w:rFonts w:asciiTheme="minorHAnsi" w:hAnsiTheme="minorHAnsi"/>
                <w:spacing w:val="-5"/>
              </w:rPr>
              <w:t>000</w:t>
            </w:r>
          </w:p>
        </w:tc>
        <w:tc>
          <w:tcPr>
            <w:tcW w:w="1579" w:type="dxa"/>
          </w:tcPr>
          <w:p w14:paraId="47B27675" w14:textId="77777777" w:rsidR="00EE32A2" w:rsidRPr="00EE32A2" w:rsidRDefault="00EE32A2" w:rsidP="00937629">
            <w:pPr>
              <w:pStyle w:val="TableParagraph"/>
              <w:spacing w:before="94"/>
              <w:ind w:left="0" w:right="97"/>
              <w:jc w:val="right"/>
              <w:rPr>
                <w:rFonts w:asciiTheme="minorHAnsi" w:hAnsiTheme="minorHAnsi"/>
              </w:rPr>
            </w:pPr>
            <w:r w:rsidRPr="00EE32A2">
              <w:rPr>
                <w:rFonts w:asciiTheme="minorHAnsi" w:hAnsiTheme="minorHAnsi"/>
              </w:rPr>
              <w:t>104</w:t>
            </w:r>
            <w:r w:rsidRPr="00EE32A2">
              <w:rPr>
                <w:rFonts w:asciiTheme="minorHAnsi" w:hAnsiTheme="minorHAnsi"/>
                <w:spacing w:val="-4"/>
              </w:rPr>
              <w:t xml:space="preserve"> </w:t>
            </w:r>
            <w:r w:rsidRPr="00EE32A2">
              <w:rPr>
                <w:rFonts w:asciiTheme="minorHAnsi" w:hAnsiTheme="minorHAnsi"/>
                <w:spacing w:val="-5"/>
              </w:rPr>
              <w:t>167</w:t>
            </w:r>
          </w:p>
        </w:tc>
        <w:tc>
          <w:tcPr>
            <w:tcW w:w="1236" w:type="dxa"/>
          </w:tcPr>
          <w:p w14:paraId="2477418B" w14:textId="77777777" w:rsidR="00EE32A2" w:rsidRPr="00EE32A2" w:rsidRDefault="00EE32A2" w:rsidP="00937629">
            <w:pPr>
              <w:pStyle w:val="TableParagraph"/>
              <w:spacing w:before="94"/>
              <w:ind w:left="0" w:right="94"/>
              <w:jc w:val="right"/>
              <w:rPr>
                <w:rFonts w:asciiTheme="minorHAnsi" w:hAnsiTheme="minorHAnsi"/>
              </w:rPr>
            </w:pPr>
            <w:r w:rsidRPr="00EE32A2">
              <w:rPr>
                <w:rFonts w:asciiTheme="minorHAnsi" w:hAnsiTheme="minorHAnsi"/>
                <w:spacing w:val="-5"/>
              </w:rPr>
              <w:t>6.2</w:t>
            </w:r>
          </w:p>
        </w:tc>
        <w:tc>
          <w:tcPr>
            <w:tcW w:w="1241" w:type="dxa"/>
          </w:tcPr>
          <w:p w14:paraId="0E1A3F93"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rPr>
              <w:t>7</w:t>
            </w:r>
          </w:p>
        </w:tc>
        <w:tc>
          <w:tcPr>
            <w:tcW w:w="1227" w:type="dxa"/>
          </w:tcPr>
          <w:p w14:paraId="2005A838"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spacing w:val="-4"/>
              </w:rPr>
              <w:t>5.87</w:t>
            </w:r>
          </w:p>
        </w:tc>
        <w:tc>
          <w:tcPr>
            <w:tcW w:w="886" w:type="dxa"/>
          </w:tcPr>
          <w:p w14:paraId="14134091" w14:textId="77777777" w:rsidR="00EE32A2" w:rsidRPr="00EE32A2" w:rsidRDefault="00EE32A2" w:rsidP="00937629">
            <w:pPr>
              <w:pStyle w:val="TableParagraph"/>
              <w:spacing w:before="94"/>
              <w:ind w:left="216"/>
              <w:rPr>
                <w:rFonts w:asciiTheme="minorHAnsi" w:hAnsiTheme="minorHAnsi"/>
              </w:rPr>
            </w:pPr>
            <w:r w:rsidRPr="00EE32A2">
              <w:rPr>
                <w:rFonts w:asciiTheme="minorHAnsi" w:hAnsiTheme="minorHAnsi"/>
                <w:spacing w:val="-2"/>
              </w:rPr>
              <w:t>12.87</w:t>
            </w:r>
          </w:p>
        </w:tc>
      </w:tr>
      <w:tr w:rsidR="00EE32A2" w:rsidRPr="00EE32A2" w14:paraId="0A1399F9" w14:textId="77777777" w:rsidTr="00EE32A2">
        <w:trPr>
          <w:trHeight w:val="457"/>
        </w:trPr>
        <w:tc>
          <w:tcPr>
            <w:tcW w:w="2558" w:type="dxa"/>
          </w:tcPr>
          <w:p w14:paraId="4D3754FA" w14:textId="77777777" w:rsidR="00EE32A2" w:rsidRPr="00EE32A2" w:rsidRDefault="00EE32A2" w:rsidP="00937629">
            <w:pPr>
              <w:pStyle w:val="TableParagraph"/>
              <w:spacing w:before="94"/>
              <w:rPr>
                <w:rFonts w:asciiTheme="minorHAnsi" w:hAnsiTheme="minorHAnsi"/>
              </w:rPr>
            </w:pPr>
            <w:r w:rsidRPr="00EE32A2">
              <w:rPr>
                <w:rFonts w:asciiTheme="minorHAnsi" w:hAnsiTheme="minorHAnsi"/>
              </w:rPr>
              <w:t>July</w:t>
            </w:r>
            <w:r w:rsidRPr="00EE32A2">
              <w:rPr>
                <w:rFonts w:asciiTheme="minorHAnsi" w:hAnsiTheme="minorHAnsi"/>
                <w:spacing w:val="-2"/>
              </w:rPr>
              <w:t xml:space="preserve"> </w:t>
            </w:r>
            <w:r w:rsidRPr="00EE32A2">
              <w:rPr>
                <w:rFonts w:asciiTheme="minorHAnsi" w:hAnsiTheme="minorHAnsi"/>
              </w:rPr>
              <w:t>2005</w:t>
            </w:r>
            <w:r w:rsidRPr="00EE32A2">
              <w:rPr>
                <w:rFonts w:asciiTheme="minorHAnsi" w:hAnsiTheme="minorHAnsi"/>
                <w:spacing w:val="-1"/>
              </w:rPr>
              <w:t xml:space="preserve"> </w:t>
            </w:r>
            <w:r w:rsidRPr="00EE32A2">
              <w:rPr>
                <w:rFonts w:asciiTheme="minorHAnsi" w:hAnsiTheme="minorHAnsi"/>
              </w:rPr>
              <w:t>to</w:t>
            </w:r>
            <w:r w:rsidRPr="00EE32A2">
              <w:rPr>
                <w:rFonts w:asciiTheme="minorHAnsi" w:hAnsiTheme="minorHAnsi"/>
                <w:spacing w:val="-4"/>
              </w:rPr>
              <w:t xml:space="preserve"> </w:t>
            </w:r>
            <w:r w:rsidRPr="00EE32A2">
              <w:rPr>
                <w:rFonts w:asciiTheme="minorHAnsi" w:hAnsiTheme="minorHAnsi"/>
              </w:rPr>
              <w:t>June</w:t>
            </w:r>
            <w:r w:rsidRPr="00EE32A2">
              <w:rPr>
                <w:rFonts w:asciiTheme="minorHAnsi" w:hAnsiTheme="minorHAnsi"/>
                <w:spacing w:val="1"/>
              </w:rPr>
              <w:t xml:space="preserve"> </w:t>
            </w:r>
            <w:r w:rsidRPr="00EE32A2">
              <w:rPr>
                <w:rFonts w:asciiTheme="minorHAnsi" w:hAnsiTheme="minorHAnsi"/>
                <w:spacing w:val="-4"/>
              </w:rPr>
              <w:t>2006</w:t>
            </w:r>
          </w:p>
        </w:tc>
        <w:tc>
          <w:tcPr>
            <w:tcW w:w="1581" w:type="dxa"/>
          </w:tcPr>
          <w:p w14:paraId="5EC3D34F" w14:textId="77777777" w:rsidR="00EE32A2" w:rsidRPr="00EE32A2" w:rsidRDefault="00EE32A2" w:rsidP="00937629">
            <w:pPr>
              <w:pStyle w:val="TableParagraph"/>
              <w:spacing w:before="94"/>
              <w:ind w:left="0" w:right="97"/>
              <w:jc w:val="right"/>
              <w:rPr>
                <w:rFonts w:asciiTheme="minorHAnsi" w:hAnsiTheme="minorHAnsi"/>
              </w:rPr>
            </w:pPr>
            <w:r w:rsidRPr="00EE32A2">
              <w:rPr>
                <w:rFonts w:asciiTheme="minorHAnsi" w:hAnsiTheme="minorHAnsi"/>
              </w:rPr>
              <w:t>1</w:t>
            </w:r>
            <w:r w:rsidRPr="00EE32A2">
              <w:rPr>
                <w:rFonts w:asciiTheme="minorHAnsi" w:hAnsiTheme="minorHAnsi"/>
                <w:spacing w:val="-1"/>
              </w:rPr>
              <w:t xml:space="preserve"> </w:t>
            </w:r>
            <w:r w:rsidRPr="00EE32A2">
              <w:rPr>
                <w:rFonts w:asciiTheme="minorHAnsi" w:hAnsiTheme="minorHAnsi"/>
              </w:rPr>
              <w:t>000</w:t>
            </w:r>
            <w:r w:rsidRPr="00EE32A2">
              <w:rPr>
                <w:rFonts w:asciiTheme="minorHAnsi" w:hAnsiTheme="minorHAnsi"/>
                <w:spacing w:val="-1"/>
              </w:rPr>
              <w:t xml:space="preserve"> </w:t>
            </w:r>
            <w:r w:rsidRPr="00EE32A2">
              <w:rPr>
                <w:rFonts w:asciiTheme="minorHAnsi" w:hAnsiTheme="minorHAnsi"/>
                <w:spacing w:val="-5"/>
              </w:rPr>
              <w:t>000</w:t>
            </w:r>
          </w:p>
        </w:tc>
        <w:tc>
          <w:tcPr>
            <w:tcW w:w="1579" w:type="dxa"/>
          </w:tcPr>
          <w:p w14:paraId="198E6B66" w14:textId="77777777" w:rsidR="00EE32A2" w:rsidRPr="00EE32A2" w:rsidRDefault="00EE32A2" w:rsidP="00937629">
            <w:pPr>
              <w:pStyle w:val="TableParagraph"/>
              <w:spacing w:before="94"/>
              <w:ind w:left="0" w:right="97"/>
              <w:jc w:val="right"/>
              <w:rPr>
                <w:rFonts w:asciiTheme="minorHAnsi" w:hAnsiTheme="minorHAnsi"/>
              </w:rPr>
            </w:pPr>
            <w:r w:rsidRPr="00EE32A2">
              <w:rPr>
                <w:rFonts w:asciiTheme="minorHAnsi" w:hAnsiTheme="minorHAnsi"/>
              </w:rPr>
              <w:t>83</w:t>
            </w:r>
            <w:r w:rsidRPr="00EE32A2">
              <w:rPr>
                <w:rFonts w:asciiTheme="minorHAnsi" w:hAnsiTheme="minorHAnsi"/>
                <w:spacing w:val="-1"/>
              </w:rPr>
              <w:t xml:space="preserve"> </w:t>
            </w:r>
            <w:r w:rsidRPr="00EE32A2">
              <w:rPr>
                <w:rFonts w:asciiTheme="minorHAnsi" w:hAnsiTheme="minorHAnsi"/>
                <w:spacing w:val="-5"/>
              </w:rPr>
              <w:t>333</w:t>
            </w:r>
          </w:p>
        </w:tc>
        <w:tc>
          <w:tcPr>
            <w:tcW w:w="1236" w:type="dxa"/>
          </w:tcPr>
          <w:p w14:paraId="07BAD889" w14:textId="77777777" w:rsidR="00EE32A2" w:rsidRPr="00EE32A2" w:rsidRDefault="00EE32A2" w:rsidP="00937629">
            <w:pPr>
              <w:pStyle w:val="TableParagraph"/>
              <w:spacing w:before="94"/>
              <w:ind w:left="0" w:right="94"/>
              <w:jc w:val="right"/>
              <w:rPr>
                <w:rFonts w:asciiTheme="minorHAnsi" w:hAnsiTheme="minorHAnsi"/>
              </w:rPr>
            </w:pPr>
            <w:r w:rsidRPr="00EE32A2">
              <w:rPr>
                <w:rFonts w:asciiTheme="minorHAnsi" w:hAnsiTheme="minorHAnsi"/>
                <w:spacing w:val="-5"/>
              </w:rPr>
              <w:t>6.2</w:t>
            </w:r>
          </w:p>
        </w:tc>
        <w:tc>
          <w:tcPr>
            <w:tcW w:w="1241" w:type="dxa"/>
          </w:tcPr>
          <w:p w14:paraId="2611C741" w14:textId="77777777" w:rsidR="00EE32A2" w:rsidRPr="00EE32A2" w:rsidRDefault="00EE32A2" w:rsidP="00937629">
            <w:pPr>
              <w:pStyle w:val="TableParagraph"/>
              <w:spacing w:before="94"/>
              <w:ind w:left="0" w:right="96"/>
              <w:jc w:val="right"/>
              <w:rPr>
                <w:rFonts w:asciiTheme="minorHAnsi" w:hAnsiTheme="minorHAnsi"/>
              </w:rPr>
            </w:pPr>
            <w:r w:rsidRPr="00EE32A2">
              <w:rPr>
                <w:rFonts w:asciiTheme="minorHAnsi" w:hAnsiTheme="minorHAnsi"/>
              </w:rPr>
              <w:t>7</w:t>
            </w:r>
          </w:p>
        </w:tc>
        <w:tc>
          <w:tcPr>
            <w:tcW w:w="1227" w:type="dxa"/>
          </w:tcPr>
          <w:p w14:paraId="1315C708" w14:textId="77777777" w:rsidR="00EE32A2" w:rsidRPr="00EE32A2" w:rsidRDefault="00EE32A2" w:rsidP="00937629">
            <w:pPr>
              <w:pStyle w:val="TableParagraph"/>
              <w:spacing w:before="94"/>
              <w:ind w:left="0" w:right="98"/>
              <w:jc w:val="right"/>
              <w:rPr>
                <w:rFonts w:asciiTheme="minorHAnsi" w:hAnsiTheme="minorHAnsi"/>
              </w:rPr>
            </w:pPr>
            <w:r w:rsidRPr="00EE32A2">
              <w:rPr>
                <w:rFonts w:asciiTheme="minorHAnsi" w:hAnsiTheme="minorHAnsi"/>
                <w:spacing w:val="-4"/>
              </w:rPr>
              <w:t>5.68</w:t>
            </w:r>
          </w:p>
        </w:tc>
        <w:tc>
          <w:tcPr>
            <w:tcW w:w="886" w:type="dxa"/>
          </w:tcPr>
          <w:p w14:paraId="45813D25" w14:textId="77777777" w:rsidR="00EE32A2" w:rsidRPr="00EE32A2" w:rsidRDefault="00EE32A2" w:rsidP="00937629">
            <w:pPr>
              <w:pStyle w:val="TableParagraph"/>
              <w:spacing w:before="94"/>
              <w:ind w:left="216"/>
              <w:rPr>
                <w:rFonts w:asciiTheme="minorHAnsi" w:hAnsiTheme="minorHAnsi"/>
              </w:rPr>
            </w:pPr>
            <w:r w:rsidRPr="00EE32A2">
              <w:rPr>
                <w:rFonts w:asciiTheme="minorHAnsi" w:hAnsiTheme="minorHAnsi"/>
                <w:spacing w:val="-2"/>
              </w:rPr>
              <w:t>12.68</w:t>
            </w:r>
          </w:p>
        </w:tc>
      </w:tr>
    </w:tbl>
    <w:p w14:paraId="2D069DA8" w14:textId="77777777" w:rsidR="00EE32A2" w:rsidRDefault="00EE32A2" w:rsidP="00EE32A2">
      <w:pPr>
        <w:pStyle w:val="BodyText"/>
        <w:spacing w:before="12"/>
        <w:ind w:right="930"/>
      </w:pPr>
      <w:r>
        <w:t>*</w:t>
      </w:r>
      <w:r>
        <w:rPr>
          <w:spacing w:val="-1"/>
        </w:rPr>
        <w:t xml:space="preserve"> </w:t>
      </w:r>
      <w:r>
        <w:t>Note:</w:t>
      </w:r>
      <w:r>
        <w:rPr>
          <w:spacing w:val="-4"/>
        </w:rPr>
        <w:t xml:space="preserve"> </w:t>
      </w:r>
      <w:r>
        <w:t>The</w:t>
      </w:r>
      <w:r>
        <w:rPr>
          <w:spacing w:val="-3"/>
        </w:rPr>
        <w:t xml:space="preserve"> </w:t>
      </w:r>
      <w:r>
        <w:t>maximum</w:t>
      </w:r>
      <w:r>
        <w:rPr>
          <w:spacing w:val="-3"/>
        </w:rPr>
        <w:t xml:space="preserve"> </w:t>
      </w:r>
      <w:r>
        <w:t>deduction</w:t>
      </w:r>
      <w:r>
        <w:rPr>
          <w:spacing w:val="-2"/>
        </w:rPr>
        <w:t xml:space="preserve"> </w:t>
      </w:r>
      <w:r>
        <w:t>is</w:t>
      </w:r>
      <w:r>
        <w:rPr>
          <w:spacing w:val="-1"/>
        </w:rPr>
        <w:t xml:space="preserve"> </w:t>
      </w:r>
      <w:r>
        <w:t>reduced</w:t>
      </w:r>
      <w:r>
        <w:rPr>
          <w:spacing w:val="-3"/>
        </w:rPr>
        <w:t xml:space="preserve"> </w:t>
      </w:r>
      <w:r>
        <w:t>on</w:t>
      </w:r>
      <w:r>
        <w:rPr>
          <w:spacing w:val="-4"/>
        </w:rPr>
        <w:t xml:space="preserve"> </w:t>
      </w:r>
      <w:r>
        <w:t>a</w:t>
      </w:r>
      <w:r>
        <w:rPr>
          <w:spacing w:val="-3"/>
        </w:rPr>
        <w:t xml:space="preserve"> </w:t>
      </w:r>
      <w:r>
        <w:t>proportionate</w:t>
      </w:r>
      <w:r>
        <w:rPr>
          <w:spacing w:val="-3"/>
        </w:rPr>
        <w:t xml:space="preserve"> </w:t>
      </w:r>
      <w:r>
        <w:t>basis</w:t>
      </w:r>
      <w:r>
        <w:rPr>
          <w:spacing w:val="-3"/>
        </w:rPr>
        <w:t xml:space="preserve"> </w:t>
      </w:r>
      <w:r>
        <w:t>where</w:t>
      </w:r>
      <w:r>
        <w:rPr>
          <w:spacing w:val="-3"/>
        </w:rPr>
        <w:t xml:space="preserve"> </w:t>
      </w:r>
      <w:r>
        <w:t>interstate</w:t>
      </w:r>
      <w:r>
        <w:rPr>
          <w:spacing w:val="-3"/>
        </w:rPr>
        <w:t xml:space="preserve"> </w:t>
      </w:r>
      <w:r>
        <w:t>wages</w:t>
      </w:r>
      <w:r>
        <w:rPr>
          <w:spacing w:val="-3"/>
        </w:rPr>
        <w:t xml:space="preserve"> </w:t>
      </w:r>
      <w:r>
        <w:t>are</w:t>
      </w:r>
      <w:r>
        <w:rPr>
          <w:spacing w:val="-3"/>
        </w:rPr>
        <w:t xml:space="preserve"> </w:t>
      </w:r>
      <w:r>
        <w:t>paid</w:t>
      </w:r>
      <w:r>
        <w:rPr>
          <w:spacing w:val="-2"/>
        </w:rPr>
        <w:t xml:space="preserve"> </w:t>
      </w:r>
      <w:r>
        <w:t xml:space="preserve">and or where Australian wages exceed $1,500,000 (see </w:t>
      </w:r>
      <w:hyperlink w:anchor="_Calculating_your_payroll" w:history="1">
        <w:r>
          <w:rPr>
            <w:color w:val="0562C1"/>
            <w:u w:val="single" w:color="0562C1"/>
          </w:rPr>
          <w:t>Calculating and Paying your Payroll Tax</w:t>
        </w:r>
      </w:hyperlink>
      <w:r>
        <w:rPr>
          <w:color w:val="0562C1"/>
        </w:rPr>
        <w:t xml:space="preserve"> </w:t>
      </w:r>
      <w:r>
        <w:t xml:space="preserve">for more </w:t>
      </w:r>
      <w:r>
        <w:rPr>
          <w:spacing w:val="-2"/>
        </w:rPr>
        <w:t>details).</w:t>
      </w:r>
    </w:p>
    <w:p w14:paraId="71DAF259" w14:textId="77777777" w:rsidR="00375B9D" w:rsidRPr="00040599" w:rsidRDefault="00375B9D" w:rsidP="00040599">
      <w:pPr>
        <w:rPr>
          <w:noProof/>
          <w:lang w:val="en-US" w:eastAsia="en-AU"/>
        </w:rPr>
      </w:pPr>
    </w:p>
    <w:sectPr w:rsidR="00375B9D" w:rsidRPr="00040599" w:rsidSect="00F43908">
      <w:footerReference w:type="default" r:id="rId66"/>
      <w:headerReference w:type="first" r:id="rId67"/>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98B84" w14:textId="77777777" w:rsidR="00243018" w:rsidRDefault="00243018">
      <w:r>
        <w:separator/>
      </w:r>
    </w:p>
    <w:p w14:paraId="31AA2F7B" w14:textId="77777777" w:rsidR="00243018" w:rsidRDefault="00243018"/>
  </w:endnote>
  <w:endnote w:type="continuationSeparator" w:id="0">
    <w:p w14:paraId="4AFC3DD5" w14:textId="77777777" w:rsidR="00243018" w:rsidRDefault="00243018">
      <w:r>
        <w:continuationSeparator/>
      </w:r>
    </w:p>
    <w:p w14:paraId="49DCDF4F" w14:textId="77777777" w:rsidR="00243018" w:rsidRDefault="00243018"/>
  </w:endnote>
  <w:endnote w:type="continuationNotice" w:id="1">
    <w:p w14:paraId="0B369E9B" w14:textId="77777777" w:rsidR="00243018" w:rsidRDefault="00243018">
      <w:pPr>
        <w:spacing w:after="0"/>
      </w:pPr>
    </w:p>
    <w:p w14:paraId="496F4A58" w14:textId="77777777" w:rsidR="00243018" w:rsidRDefault="00243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MT Std Light">
    <w:altName w:val="Eras Light ITC"/>
    <w:panose1 w:val="00000000000000000000"/>
    <w:charset w:val="00"/>
    <w:family w:val="swiss"/>
    <w:notTrueType/>
    <w:pitch w:val="variable"/>
    <w:sig w:usb0="800000AF" w:usb1="4000204A" w:usb2="00000000" w:usb3="00000000" w:csb0="00000001" w:csb1="00000000"/>
  </w:font>
  <w:font w:name="Arial MT Std">
    <w:panose1 w:val="00000000000000000000"/>
    <w:charset w:val="00"/>
    <w:family w:val="swiss"/>
    <w:notTrueType/>
    <w:pitch w:val="variable"/>
    <w:sig w:usb0="800000AF" w:usb1="4000204A" w:usb2="00000000" w:usb3="00000000" w:csb0="00000001" w:csb1="00000000"/>
  </w:font>
  <w:font w:name="Arial MT Std Light Cond">
    <w:panose1 w:val="00000000000000000000"/>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14C9" w14:textId="77777777" w:rsidR="00937629" w:rsidRDefault="00937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325129"/>
      <w:docPartObj>
        <w:docPartGallery w:val="Page Numbers (Bottom of Page)"/>
        <w:docPartUnique/>
      </w:docPartObj>
    </w:sdtPr>
    <w:sdtContent>
      <w:sdt>
        <w:sdtPr>
          <w:id w:val="34003993"/>
          <w:docPartObj>
            <w:docPartGallery w:val="Page Numbers (Top of Page)"/>
            <w:docPartUnique/>
          </w:docPartObj>
        </w:sdtPr>
        <w:sdtContent>
          <w:p w14:paraId="550DEBEF" w14:textId="77777777" w:rsidR="00937629" w:rsidRDefault="00937629"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Pr>
                <w:rStyle w:val="PageNumber"/>
                <w:noProof/>
              </w:rPr>
              <w:t>84</w:t>
            </w:r>
            <w:r w:rsidRPr="004E7885">
              <w:rPr>
                <w:rStyle w:val="PageNumber"/>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2062" w14:textId="77777777" w:rsidR="00937629" w:rsidRPr="00F538BD" w:rsidRDefault="00937629" w:rsidP="00111DAC">
    <w:pPr>
      <w:spacing w:after="0"/>
      <w:jc w:val="right"/>
      <w:rPr>
        <w:sz w:val="6"/>
        <w:szCs w:val="6"/>
      </w:rPr>
    </w:pPr>
    <w:r>
      <w:rPr>
        <w:noProof/>
        <w:lang w:eastAsia="en-AU"/>
      </w:rPr>
      <mc:AlternateContent>
        <mc:Choice Requires="wps">
          <w:drawing>
            <wp:anchor distT="45720" distB="45720" distL="114300" distR="114300" simplePos="0" relativeHeight="251661312" behindDoc="0" locked="0" layoutInCell="1" allowOverlap="1" wp14:anchorId="6EB37963" wp14:editId="7644ABB2">
              <wp:simplePos x="0" y="0"/>
              <wp:positionH relativeFrom="margin">
                <wp:align>left</wp:align>
              </wp:positionH>
              <wp:positionV relativeFrom="paragraph">
                <wp:posOffset>223417</wp:posOffset>
              </wp:positionV>
              <wp:extent cx="3508375" cy="32956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375" cy="329565"/>
                      </a:xfrm>
                      <a:prstGeom prst="rect">
                        <a:avLst/>
                      </a:prstGeom>
                      <a:solidFill>
                        <a:srgbClr val="FFFFFF"/>
                      </a:solidFill>
                      <a:ln w="9525">
                        <a:noFill/>
                        <a:miter lim="800000"/>
                        <a:headEnd/>
                        <a:tailEnd/>
                      </a:ln>
                    </wps:spPr>
                    <wps:txbx>
                      <w:txbxContent>
                        <w:p w14:paraId="2C7D7CC8" w14:textId="77777777" w:rsidR="00937629" w:rsidRDefault="00937629" w:rsidP="00111DAC">
                          <w:r w:rsidRPr="006F62C2">
                            <w:rPr>
                              <w:color w:val="1F1F5F" w:themeColor="text1"/>
                              <w:sz w:val="24"/>
                              <w:szCs w:val="24"/>
                            </w:rPr>
                            <w:t xml:space="preserve">Department of </w:t>
                          </w:r>
                          <w:r w:rsidRPr="006F62C2">
                            <w:rPr>
                              <w:b/>
                              <w:color w:val="1F1F5F" w:themeColor="text1"/>
                              <w:sz w:val="24"/>
                              <w:szCs w:val="24"/>
                            </w:rPr>
                            <w:t>TREASURY AND FINANCE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886275" id="_x0000_t202" coordsize="21600,21600" o:spt="202" path="m,l,21600r21600,l21600,xe">
              <v:stroke joinstyle="miter"/>
              <v:path gradientshapeok="t" o:connecttype="rect"/>
            </v:shapetype>
            <v:shape id="Text Box 2" o:spid="_x0000_s1026" type="#_x0000_t202" style="position:absolute;left:0;text-align:left;margin-left:0;margin-top:17.6pt;width:276.25pt;height:25.9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" stroked="f">
              <v:textbox>
                <w:txbxContent>
                  <w:p w:rsidR="00937629" w:rsidRDefault="00937629" w:rsidP="00111DAC">
                    <w:r w:rsidRPr="006F62C2">
                      <w:rPr>
                        <w:color w:val="1F1F5F" w:themeColor="text1"/>
                        <w:sz w:val="24"/>
                        <w:szCs w:val="24"/>
                      </w:rPr>
                      <w:t xml:space="preserve">Department of </w:t>
                    </w:r>
                    <w:r w:rsidRPr="006F62C2">
                      <w:rPr>
                        <w:b/>
                        <w:color w:val="1F1F5F" w:themeColor="text1"/>
                        <w:sz w:val="24"/>
                        <w:szCs w:val="24"/>
                      </w:rPr>
                      <w:t>TREASURY AND FINANCE</w:t>
                    </w:r>
                  </w:p>
                </w:txbxContent>
              </v:textbox>
              <w10:wrap type="square" anchorx="margin"/>
            </v:shape>
          </w:pict>
        </mc:Fallback>
      </mc:AlternateContent>
    </w:r>
    <w:r w:rsidRPr="001852AF">
      <w:rPr>
        <w:noProof/>
        <w:lang w:eastAsia="en-AU"/>
      </w:rPr>
      <w:drawing>
        <wp:inline distT="0" distB="0" distL="0" distR="0" wp14:anchorId="437BB8AF" wp14:editId="7C68F680">
          <wp:extent cx="1572479" cy="561600"/>
          <wp:effectExtent l="0" t="0" r="8890"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EB11" w14:textId="77777777" w:rsidR="00937629" w:rsidRDefault="00937629" w:rsidP="004E7885">
    <w:pPr>
      <w:pStyle w:val="Hidden"/>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0DC0" w14:textId="77777777" w:rsidR="00937629" w:rsidRPr="00F538BD" w:rsidRDefault="00937629" w:rsidP="004E7885">
    <w:pPr>
      <w:spacing w:after="0"/>
      <w:rPr>
        <w:sz w:val="6"/>
        <w:szCs w:val="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1BAB" w14:textId="77777777" w:rsidR="00937629" w:rsidRPr="00A50829" w:rsidRDefault="00937629"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937629" w:rsidRPr="00132658" w14:paraId="14BD7685" w14:textId="77777777" w:rsidTr="00375B9D">
      <w:trPr>
        <w:cantSplit/>
        <w:trHeight w:hRule="exact" w:val="850"/>
        <w:tblHeader/>
      </w:trPr>
      <w:tc>
        <w:tcPr>
          <w:tcW w:w="10318" w:type="dxa"/>
          <w:vAlign w:val="bottom"/>
        </w:tcPr>
        <w:p w14:paraId="7B4D6821" w14:textId="77777777" w:rsidR="00937629" w:rsidRDefault="00937629" w:rsidP="00A50829">
          <w:pPr>
            <w:spacing w:after="0"/>
            <w:rPr>
              <w:rStyle w:val="PageNumber"/>
              <w:b/>
            </w:rPr>
          </w:pPr>
          <w:r>
            <w:rPr>
              <w:rStyle w:val="PageNumber"/>
            </w:rPr>
            <w:t xml:space="preserve">Department of </w:t>
          </w:r>
          <w:r>
            <w:rPr>
              <w:rStyle w:val="PageNumber"/>
              <w:b/>
            </w:rPr>
            <w:t>TREASURY AND FINANCE</w:t>
          </w:r>
        </w:p>
        <w:p w14:paraId="63A0A150" w14:textId="77777777" w:rsidR="00937629" w:rsidRPr="00CE6614" w:rsidRDefault="00937629" w:rsidP="00A50829">
          <w:pPr>
            <w:spacing w:after="0"/>
            <w:rPr>
              <w:rStyle w:val="PageNumber"/>
            </w:rPr>
          </w:pPr>
          <w:r>
            <w:rPr>
              <w:rStyle w:val="PageNumber"/>
            </w:rPr>
            <w:t>Updated: July 2023</w:t>
          </w:r>
        </w:p>
        <w:p w14:paraId="2459667C" w14:textId="77777777" w:rsidR="00937629" w:rsidRPr="00AC4488" w:rsidRDefault="00937629"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36582">
            <w:rPr>
              <w:rStyle w:val="PageNumber"/>
              <w:noProof/>
            </w:rPr>
            <w:t>21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36582">
            <w:rPr>
              <w:rStyle w:val="PageNumber"/>
              <w:noProof/>
            </w:rPr>
            <w:t>84</w:t>
          </w:r>
          <w:r w:rsidRPr="00AC4488">
            <w:rPr>
              <w:rStyle w:val="PageNumber"/>
            </w:rPr>
            <w:fldChar w:fldCharType="end"/>
          </w:r>
        </w:p>
      </w:tc>
    </w:tr>
  </w:tbl>
  <w:p w14:paraId="43788D21" w14:textId="77777777" w:rsidR="00937629" w:rsidRDefault="00937629" w:rsidP="00AD1B26">
    <w:pPr>
      <w:pStyle w:val="Hidden"/>
      <w:ind w:firstLine="0"/>
    </w:pPr>
  </w:p>
  <w:p w14:paraId="02CB0967" w14:textId="77777777" w:rsidR="00937629" w:rsidRDefault="009376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A4D3" w14:textId="77777777" w:rsidR="00243018" w:rsidRDefault="00243018">
      <w:r>
        <w:separator/>
      </w:r>
    </w:p>
    <w:p w14:paraId="2459FD22" w14:textId="77777777" w:rsidR="00243018" w:rsidRDefault="00243018"/>
  </w:footnote>
  <w:footnote w:type="continuationSeparator" w:id="0">
    <w:p w14:paraId="55609637" w14:textId="77777777" w:rsidR="00243018" w:rsidRDefault="00243018">
      <w:r>
        <w:continuationSeparator/>
      </w:r>
    </w:p>
    <w:p w14:paraId="756FB07E" w14:textId="77777777" w:rsidR="00243018" w:rsidRDefault="00243018"/>
  </w:footnote>
  <w:footnote w:type="continuationNotice" w:id="1">
    <w:p w14:paraId="27A679FC" w14:textId="77777777" w:rsidR="00243018" w:rsidRDefault="00243018">
      <w:pPr>
        <w:spacing w:after="0"/>
      </w:pPr>
    </w:p>
    <w:p w14:paraId="38A280A1" w14:textId="77777777" w:rsidR="00243018" w:rsidRDefault="00243018"/>
  </w:footnote>
  <w:footnote w:id="2">
    <w:p w14:paraId="61C5800A" w14:textId="77777777" w:rsidR="00937629" w:rsidRPr="00A45CD0" w:rsidRDefault="00937629" w:rsidP="007118DF">
      <w:pPr>
        <w:pStyle w:val="Caption1"/>
      </w:pPr>
      <w:r w:rsidRPr="00A45CD0">
        <w:rPr>
          <w:rStyle w:val="FootnoteReference"/>
        </w:rPr>
        <w:footnoteRef/>
      </w:r>
      <w:r>
        <w:t xml:space="preserve"> </w:t>
      </w:r>
      <w:r w:rsidRPr="00A45CD0">
        <w:t>A calendar month is the whole period from the 1</w:t>
      </w:r>
      <w:r w:rsidRPr="00A45CD0">
        <w:rPr>
          <w:vertAlign w:val="superscript"/>
        </w:rPr>
        <w:t>st</w:t>
      </w:r>
      <w:r w:rsidRPr="00A45CD0">
        <w:t xml:space="preserve"> to the 28</w:t>
      </w:r>
      <w:r w:rsidRPr="00A45CD0">
        <w:rPr>
          <w:vertAlign w:val="superscript"/>
        </w:rPr>
        <w:t>th</w:t>
      </w:r>
      <w:r w:rsidRPr="00A45CD0">
        <w:t>, 29</w:t>
      </w:r>
      <w:r w:rsidRPr="00A45CD0">
        <w:rPr>
          <w:vertAlign w:val="superscript"/>
        </w:rPr>
        <w:t>th</w:t>
      </w:r>
      <w:r w:rsidRPr="00A45CD0">
        <w:t>, 30</w:t>
      </w:r>
      <w:r w:rsidRPr="00A45CD0">
        <w:rPr>
          <w:vertAlign w:val="superscript"/>
        </w:rPr>
        <w:t>th</w:t>
      </w:r>
      <w:r w:rsidRPr="00A45CD0">
        <w:t xml:space="preserve"> or 31</w:t>
      </w:r>
      <w:r w:rsidRPr="00A45CD0">
        <w:rPr>
          <w:vertAlign w:val="superscript"/>
        </w:rPr>
        <w:t>st</w:t>
      </w:r>
      <w:r w:rsidRPr="00A45CD0">
        <w:t xml:space="preserve"> of the month, depending on the length of each month. However, the period from (for example) the 15</w:t>
      </w:r>
      <w:r w:rsidRPr="00A45CD0">
        <w:rPr>
          <w:vertAlign w:val="superscript"/>
        </w:rPr>
        <w:t>th</w:t>
      </w:r>
      <w:r w:rsidRPr="00A45CD0">
        <w:t xml:space="preserve"> of one month to the 15</w:t>
      </w:r>
      <w:r w:rsidRPr="00A45CD0">
        <w:rPr>
          <w:vertAlign w:val="superscript"/>
        </w:rPr>
        <w:t>th</w:t>
      </w:r>
      <w:r w:rsidRPr="00A45CD0">
        <w:t xml:space="preserve"> of the next month is not a calendar month – it is two part months.</w:t>
      </w:r>
    </w:p>
    <w:p w14:paraId="70CDDD11" w14:textId="77777777" w:rsidR="00937629" w:rsidRDefault="00937629" w:rsidP="00375B9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D057" w14:textId="77777777" w:rsidR="00937629" w:rsidRDefault="00937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FAA6" w14:textId="77777777" w:rsidR="00937629" w:rsidRPr="008E0345" w:rsidRDefault="00937629" w:rsidP="005A5A44">
    <w:pPr>
      <w:pStyle w:val="Header"/>
    </w:pPr>
    <w:r>
      <w:t>Payroll tax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CD96" w14:textId="77777777" w:rsidR="00937629" w:rsidRPr="00BD0F38" w:rsidRDefault="00937629" w:rsidP="00A32EFF">
    <w:pPr>
      <w:tabs>
        <w:tab w:val="right" w:pos="10318"/>
      </w:tabs>
    </w:pPr>
    <w:r w:rsidRPr="00BD0F38">
      <w:rPr>
        <w:noProof/>
        <w:lang w:eastAsia="en-AU"/>
      </w:rPr>
      <w:drawing>
        <wp:anchor distT="0" distB="0" distL="0" distR="0" simplePos="0" relativeHeight="251659264" behindDoc="0" locked="0" layoutInCell="1" allowOverlap="1" wp14:anchorId="25C20B00" wp14:editId="202CB89F">
          <wp:simplePos x="0" y="0"/>
          <wp:positionH relativeFrom="page">
            <wp:align>left</wp:align>
          </wp:positionH>
          <wp:positionV relativeFrom="page">
            <wp:posOffset>3393830</wp:posOffset>
          </wp:positionV>
          <wp:extent cx="7553130" cy="5448285"/>
          <wp:effectExtent l="0" t="0" r="0" b="635"/>
          <wp:wrapTopAndBottom/>
          <wp:docPr id="1"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3F12" w14:textId="77777777" w:rsidR="00937629" w:rsidRPr="004E7885" w:rsidRDefault="00937629" w:rsidP="004E7885">
    <w:pPr>
      <w:pStyle w:val="Header"/>
    </w:pPr>
    <w:r>
      <w:t>Payroll tax guide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14F4" w14:textId="77777777" w:rsidR="00937629" w:rsidRPr="00274F1C" w:rsidRDefault="00937629" w:rsidP="004E7885">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16A8" w14:textId="77777777" w:rsidR="00937629" w:rsidRPr="00964B22" w:rsidRDefault="00937629" w:rsidP="008E0345">
    <w:pPr>
      <w:pStyle w:val="Header"/>
      <w:rPr>
        <w:b/>
      </w:rPr>
    </w:pPr>
    <w:r>
      <w:t>Payroll tax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8D9"/>
    <w:multiLevelType w:val="hybridMultilevel"/>
    <w:tmpl w:val="45380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52FA7"/>
    <w:multiLevelType w:val="multilevel"/>
    <w:tmpl w:val="A5A061F8"/>
    <w:styleLink w:val="DTFNumberedTexttest"/>
    <w:lvl w:ilvl="0">
      <w:start w:val="1"/>
      <w:numFmt w:val="decimal"/>
      <w:lvlText w:val="%1."/>
      <w:lvlJc w:val="left"/>
      <w:pPr>
        <w:ind w:left="1701" w:hanging="283"/>
      </w:pPr>
      <w:rPr>
        <w:rFonts w:hint="default"/>
        <w:color w:val="165788"/>
      </w:rPr>
    </w:lvl>
    <w:lvl w:ilvl="1">
      <w:start w:val="1"/>
      <w:numFmt w:val="decimal"/>
      <w:lvlText w:val="%1.%2."/>
      <w:lvlJc w:val="left"/>
      <w:pPr>
        <w:ind w:left="1701" w:hanging="283"/>
      </w:pPr>
      <w:rPr>
        <w:rFonts w:hint="default"/>
      </w:rPr>
    </w:lvl>
    <w:lvl w:ilvl="2">
      <w:start w:val="1"/>
      <w:numFmt w:val="decimal"/>
      <w:lvlText w:val="%1.%2.%3."/>
      <w:lvlJc w:val="left"/>
      <w:pPr>
        <w:ind w:left="1701" w:hanging="283"/>
      </w:pPr>
      <w:rPr>
        <w:rFonts w:hint="default"/>
      </w:rPr>
    </w:lvl>
    <w:lvl w:ilvl="3">
      <w:start w:val="1"/>
      <w:numFmt w:val="decimal"/>
      <w:lvlText w:val="%1.%2.%3.%4."/>
      <w:lvlJc w:val="left"/>
      <w:pPr>
        <w:ind w:left="1701" w:hanging="283"/>
      </w:pPr>
      <w:rPr>
        <w:rFonts w:hint="default"/>
      </w:rPr>
    </w:lvl>
    <w:lvl w:ilvl="4">
      <w:start w:val="1"/>
      <w:numFmt w:val="decimal"/>
      <w:lvlText w:val="%1.%2.%3.%4.%5."/>
      <w:lvlJc w:val="left"/>
      <w:pPr>
        <w:ind w:left="1701" w:hanging="283"/>
      </w:pPr>
      <w:rPr>
        <w:rFonts w:hint="default"/>
      </w:rPr>
    </w:lvl>
    <w:lvl w:ilvl="5">
      <w:start w:val="1"/>
      <w:numFmt w:val="decimal"/>
      <w:lvlText w:val="%1.%2.%3.%4.%5.%6."/>
      <w:lvlJc w:val="left"/>
      <w:pPr>
        <w:ind w:left="1701" w:hanging="283"/>
      </w:pPr>
      <w:rPr>
        <w:rFonts w:hint="default"/>
      </w:rPr>
    </w:lvl>
    <w:lvl w:ilvl="6">
      <w:start w:val="1"/>
      <w:numFmt w:val="decimal"/>
      <w:lvlText w:val="%1.%2.%3.%4.%5.%6.%7."/>
      <w:lvlJc w:val="left"/>
      <w:pPr>
        <w:ind w:left="1701" w:hanging="283"/>
      </w:pPr>
      <w:rPr>
        <w:rFonts w:hint="default"/>
      </w:rPr>
    </w:lvl>
    <w:lvl w:ilvl="7">
      <w:start w:val="1"/>
      <w:numFmt w:val="decimal"/>
      <w:lvlText w:val="%1.%2.%3.%4.%5.%6.%7.%8."/>
      <w:lvlJc w:val="left"/>
      <w:pPr>
        <w:ind w:left="1701" w:hanging="283"/>
      </w:pPr>
      <w:rPr>
        <w:rFonts w:hint="default"/>
      </w:rPr>
    </w:lvl>
    <w:lvl w:ilvl="8">
      <w:start w:val="1"/>
      <w:numFmt w:val="decimal"/>
      <w:lvlText w:val="%1.%2.%3.%4.%5.%6.%7.%8.%9."/>
      <w:lvlJc w:val="left"/>
      <w:pPr>
        <w:ind w:left="1701" w:hanging="283"/>
      </w:pPr>
      <w:rPr>
        <w:rFont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B33A4A"/>
    <w:multiLevelType w:val="hybridMultilevel"/>
    <w:tmpl w:val="E1340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26C06"/>
    <w:multiLevelType w:val="multilevel"/>
    <w:tmpl w:val="3E5E177A"/>
    <w:name w:val="NTG Table Bullet List33222222222222222"/>
    <w:numStyleLink w:val="Tablenumberlist"/>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C5822F0"/>
    <w:multiLevelType w:val="hybridMultilevel"/>
    <w:tmpl w:val="D2222372"/>
    <w:lvl w:ilvl="0" w:tplc="43A8E760">
      <w:start w:val="1"/>
      <w:numFmt w:val="bullet"/>
      <w:pStyle w:val="DTFBulletText"/>
      <w:lvlText w:val=""/>
      <w:lvlJc w:val="left"/>
      <w:pPr>
        <w:ind w:left="720" w:hanging="360"/>
      </w:pPr>
      <w:rPr>
        <w:rFonts w:ascii="Symbol" w:hAnsi="Symbol" w:hint="default"/>
        <w:color w:val="16578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0744AE"/>
    <w:multiLevelType w:val="multilevel"/>
    <w:tmpl w:val="3E5E177A"/>
    <w:name w:val="NTG Table Bullet List3222322"/>
    <w:numStyleLink w:val="Tablenumberlist"/>
  </w:abstractNum>
  <w:abstractNum w:abstractNumId="16"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7" w15:restartNumberingAfterBreak="0">
    <w:nsid w:val="23733C75"/>
    <w:multiLevelType w:val="hybridMultilevel"/>
    <w:tmpl w:val="1542D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2F1075"/>
    <w:multiLevelType w:val="hybridMultilevel"/>
    <w:tmpl w:val="9A3C681A"/>
    <w:lvl w:ilvl="0" w:tplc="B5643516">
      <w:start w:val="1"/>
      <w:numFmt w:val="bullet"/>
      <w:lvlText w:val=""/>
      <w:lvlJc w:val="left"/>
      <w:pPr>
        <w:ind w:left="720" w:hanging="360"/>
      </w:pPr>
      <w:rPr>
        <w:rFonts w:ascii="Symbol" w:hAnsi="Symbol" w:hint="default"/>
      </w:rPr>
    </w:lvl>
    <w:lvl w:ilvl="1" w:tplc="06FC56E2" w:tentative="1">
      <w:start w:val="1"/>
      <w:numFmt w:val="bullet"/>
      <w:lvlText w:val="o"/>
      <w:lvlJc w:val="left"/>
      <w:pPr>
        <w:ind w:left="1440" w:hanging="360"/>
      </w:pPr>
      <w:rPr>
        <w:rFonts w:ascii="Courier New" w:hAnsi="Courier New" w:cs="Courier New" w:hint="default"/>
      </w:rPr>
    </w:lvl>
    <w:lvl w:ilvl="2" w:tplc="34423E5A">
      <w:start w:val="1"/>
      <w:numFmt w:val="bullet"/>
      <w:lvlText w:val=""/>
      <w:lvlJc w:val="left"/>
      <w:pPr>
        <w:ind w:left="2160" w:hanging="360"/>
      </w:pPr>
      <w:rPr>
        <w:rFonts w:ascii="Symbol" w:hAnsi="Symbol" w:hint="default"/>
        <w:color w:val="165788"/>
      </w:rPr>
    </w:lvl>
    <w:lvl w:ilvl="3" w:tplc="0220033A" w:tentative="1">
      <w:start w:val="1"/>
      <w:numFmt w:val="bullet"/>
      <w:lvlText w:val=""/>
      <w:lvlJc w:val="left"/>
      <w:pPr>
        <w:ind w:left="2880" w:hanging="360"/>
      </w:pPr>
      <w:rPr>
        <w:rFonts w:ascii="Symbol" w:hAnsi="Symbol" w:hint="default"/>
      </w:rPr>
    </w:lvl>
    <w:lvl w:ilvl="4" w:tplc="2CE82684" w:tentative="1">
      <w:start w:val="1"/>
      <w:numFmt w:val="bullet"/>
      <w:lvlText w:val="o"/>
      <w:lvlJc w:val="left"/>
      <w:pPr>
        <w:ind w:left="3600" w:hanging="360"/>
      </w:pPr>
      <w:rPr>
        <w:rFonts w:ascii="Courier New" w:hAnsi="Courier New" w:cs="Courier New" w:hint="default"/>
      </w:rPr>
    </w:lvl>
    <w:lvl w:ilvl="5" w:tplc="D92AE116" w:tentative="1">
      <w:start w:val="1"/>
      <w:numFmt w:val="bullet"/>
      <w:lvlText w:val=""/>
      <w:lvlJc w:val="left"/>
      <w:pPr>
        <w:ind w:left="4320" w:hanging="360"/>
      </w:pPr>
      <w:rPr>
        <w:rFonts w:ascii="Wingdings" w:hAnsi="Wingdings" w:hint="default"/>
      </w:rPr>
    </w:lvl>
    <w:lvl w:ilvl="6" w:tplc="88B29910" w:tentative="1">
      <w:start w:val="1"/>
      <w:numFmt w:val="bullet"/>
      <w:lvlText w:val=""/>
      <w:lvlJc w:val="left"/>
      <w:pPr>
        <w:ind w:left="5040" w:hanging="360"/>
      </w:pPr>
      <w:rPr>
        <w:rFonts w:ascii="Symbol" w:hAnsi="Symbol" w:hint="default"/>
      </w:rPr>
    </w:lvl>
    <w:lvl w:ilvl="7" w:tplc="6A70EBB4" w:tentative="1">
      <w:start w:val="1"/>
      <w:numFmt w:val="bullet"/>
      <w:lvlText w:val="o"/>
      <w:lvlJc w:val="left"/>
      <w:pPr>
        <w:ind w:left="5760" w:hanging="360"/>
      </w:pPr>
      <w:rPr>
        <w:rFonts w:ascii="Courier New" w:hAnsi="Courier New" w:cs="Courier New" w:hint="default"/>
      </w:rPr>
    </w:lvl>
    <w:lvl w:ilvl="8" w:tplc="F474C81C" w:tentative="1">
      <w:start w:val="1"/>
      <w:numFmt w:val="bullet"/>
      <w:lvlText w:val=""/>
      <w:lvlJc w:val="left"/>
      <w:pPr>
        <w:ind w:left="6480" w:hanging="360"/>
      </w:pPr>
      <w:rPr>
        <w:rFonts w:ascii="Wingdings" w:hAnsi="Wingdings" w:hint="default"/>
      </w:rPr>
    </w:lvl>
  </w:abstractNum>
  <w:abstractNum w:abstractNumId="19" w15:restartNumberingAfterBreak="0">
    <w:nsid w:val="272E3F76"/>
    <w:multiLevelType w:val="multilevel"/>
    <w:tmpl w:val="3E5E177A"/>
    <w:name w:val="NTG Table Bullet List3322"/>
    <w:numStyleLink w:val="Tablenumberlist"/>
  </w:abstractNum>
  <w:abstractNum w:abstractNumId="20" w15:restartNumberingAfterBreak="0">
    <w:nsid w:val="27CE4608"/>
    <w:multiLevelType w:val="multilevel"/>
    <w:tmpl w:val="3E5E177A"/>
    <w:name w:val="NTG Table Bullet List33222"/>
    <w:numStyleLink w:val="Tablenumberlist"/>
  </w:abstractNum>
  <w:abstractNum w:abstractNumId="21" w15:restartNumberingAfterBreak="0">
    <w:nsid w:val="27D83E4D"/>
    <w:multiLevelType w:val="multilevel"/>
    <w:tmpl w:val="3928FD02"/>
    <w:numStyleLink w:val="Bulletlist"/>
  </w:abstractNum>
  <w:abstractNum w:abstractNumId="22"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3" w15:restartNumberingAfterBreak="0">
    <w:nsid w:val="2E693641"/>
    <w:multiLevelType w:val="multilevel"/>
    <w:tmpl w:val="3E5E177A"/>
    <w:name w:val="NTG Table Bullet List33"/>
    <w:numStyleLink w:val="Tablenumberlist"/>
  </w:abstractNum>
  <w:abstractNum w:abstractNumId="24" w15:restartNumberingAfterBreak="0">
    <w:nsid w:val="2EF077BC"/>
    <w:multiLevelType w:val="multilevel"/>
    <w:tmpl w:val="0C78A7AC"/>
    <w:name w:val="NTG Table Bullet List33222222222222222222"/>
    <w:numStyleLink w:val="Tablebulletlist"/>
  </w:abstractNum>
  <w:abstractNum w:abstractNumId="25" w15:restartNumberingAfterBreak="0">
    <w:nsid w:val="32DF44DA"/>
    <w:multiLevelType w:val="multilevel"/>
    <w:tmpl w:val="3E5E177A"/>
    <w:name w:val="NTG Table Bullet List3222323"/>
    <w:numStyleLink w:val="Tablenumberlist"/>
  </w:abstractNum>
  <w:abstractNum w:abstractNumId="26"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356F26"/>
    <w:multiLevelType w:val="hybridMultilevel"/>
    <w:tmpl w:val="0F06A4F0"/>
    <w:lvl w:ilvl="0" w:tplc="F8EAD448">
      <w:start w:val="1"/>
      <w:numFmt w:val="lowerLetter"/>
      <w:pStyle w:val="DTFLetterlist1"/>
      <w:lvlText w:val="%1."/>
      <w:lvlJc w:val="left"/>
      <w:pPr>
        <w:ind w:left="720" w:hanging="360"/>
      </w:pPr>
      <w:rPr>
        <w:color w:val="1F1F5F"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BE61945"/>
    <w:multiLevelType w:val="multilevel"/>
    <w:tmpl w:val="3928FD02"/>
    <w:name w:val="NTG Table Bullet List332222222222222222"/>
    <w:numStyleLink w:val="Bulletlist"/>
  </w:abstractNum>
  <w:abstractNum w:abstractNumId="30" w15:restartNumberingAfterBreak="0">
    <w:nsid w:val="3E2E1F89"/>
    <w:multiLevelType w:val="hybridMultilevel"/>
    <w:tmpl w:val="2B408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D60AA0"/>
    <w:multiLevelType w:val="hybridMultilevel"/>
    <w:tmpl w:val="92D47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16E5DD0"/>
    <w:multiLevelType w:val="hybridMultilevel"/>
    <w:tmpl w:val="62942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4C20C4F"/>
    <w:multiLevelType w:val="hybridMultilevel"/>
    <w:tmpl w:val="30A6A22E"/>
    <w:lvl w:ilvl="0" w:tplc="68A042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A431CF"/>
    <w:multiLevelType w:val="multilevel"/>
    <w:tmpl w:val="149CE856"/>
    <w:lvl w:ilvl="0">
      <w:start w:val="1"/>
      <w:numFmt w:val="decimal"/>
      <w:pStyle w:val="DTFNumberedText"/>
      <w:lvlText w:val="%1."/>
      <w:lvlJc w:val="left"/>
      <w:pPr>
        <w:ind w:left="1701" w:hanging="283"/>
      </w:pPr>
      <w:rPr>
        <w:rFonts w:hint="default"/>
        <w:color w:val="165788"/>
      </w:rPr>
    </w:lvl>
    <w:lvl w:ilvl="1">
      <w:start w:val="1"/>
      <w:numFmt w:val="decimal"/>
      <w:lvlText w:val="%1.%2."/>
      <w:lvlJc w:val="left"/>
      <w:pPr>
        <w:ind w:left="1701" w:hanging="283"/>
      </w:pPr>
      <w:rPr>
        <w:rFonts w:hint="default"/>
      </w:rPr>
    </w:lvl>
    <w:lvl w:ilvl="2">
      <w:start w:val="1"/>
      <w:numFmt w:val="decimal"/>
      <w:lvlText w:val="%1.%2.%3."/>
      <w:lvlJc w:val="left"/>
      <w:pPr>
        <w:ind w:left="1701" w:hanging="283"/>
      </w:pPr>
      <w:rPr>
        <w:rFonts w:hint="default"/>
      </w:rPr>
    </w:lvl>
    <w:lvl w:ilvl="3">
      <w:start w:val="1"/>
      <w:numFmt w:val="decimal"/>
      <w:lvlText w:val="%1.%2.%3.%4."/>
      <w:lvlJc w:val="left"/>
      <w:pPr>
        <w:ind w:left="1701" w:hanging="283"/>
      </w:pPr>
      <w:rPr>
        <w:rFonts w:hint="default"/>
      </w:rPr>
    </w:lvl>
    <w:lvl w:ilvl="4">
      <w:start w:val="1"/>
      <w:numFmt w:val="decimal"/>
      <w:lvlText w:val="%1.%2.%3.%4.%5."/>
      <w:lvlJc w:val="left"/>
      <w:pPr>
        <w:ind w:left="1701" w:hanging="283"/>
      </w:pPr>
      <w:rPr>
        <w:rFonts w:hint="default"/>
      </w:rPr>
    </w:lvl>
    <w:lvl w:ilvl="5">
      <w:start w:val="1"/>
      <w:numFmt w:val="decimal"/>
      <w:lvlText w:val="%1.%2.%3.%4.%5.%6."/>
      <w:lvlJc w:val="left"/>
      <w:pPr>
        <w:ind w:left="1701" w:hanging="283"/>
      </w:pPr>
      <w:rPr>
        <w:rFonts w:hint="default"/>
      </w:rPr>
    </w:lvl>
    <w:lvl w:ilvl="6">
      <w:start w:val="1"/>
      <w:numFmt w:val="decimal"/>
      <w:lvlText w:val="%1.%2.%3.%4.%5.%6.%7."/>
      <w:lvlJc w:val="left"/>
      <w:pPr>
        <w:ind w:left="1701" w:hanging="283"/>
      </w:pPr>
      <w:rPr>
        <w:rFonts w:hint="default"/>
      </w:rPr>
    </w:lvl>
    <w:lvl w:ilvl="7">
      <w:start w:val="1"/>
      <w:numFmt w:val="decimal"/>
      <w:lvlText w:val="%1.%2.%3.%4.%5.%6.%7.%8."/>
      <w:lvlJc w:val="left"/>
      <w:pPr>
        <w:ind w:left="1701" w:hanging="283"/>
      </w:pPr>
      <w:rPr>
        <w:rFonts w:hint="default"/>
      </w:rPr>
    </w:lvl>
    <w:lvl w:ilvl="8">
      <w:start w:val="1"/>
      <w:numFmt w:val="decimal"/>
      <w:lvlText w:val="%1.%2.%3.%4.%5.%6.%7.%8.%9."/>
      <w:lvlJc w:val="left"/>
      <w:pPr>
        <w:ind w:left="1701" w:hanging="283"/>
      </w:pPr>
      <w:rPr>
        <w:rFonts w:hint="default"/>
      </w:rPr>
    </w:lvl>
  </w:abstractNum>
  <w:abstractNum w:abstractNumId="35" w15:restartNumberingAfterBreak="0">
    <w:nsid w:val="49FD3A20"/>
    <w:multiLevelType w:val="multilevel"/>
    <w:tmpl w:val="3E5E177A"/>
    <w:name w:val="NTG Table Bullet List3322222222222"/>
    <w:numStyleLink w:val="Tablenumberlist"/>
  </w:abstractNum>
  <w:abstractNum w:abstractNumId="3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8" w15:restartNumberingAfterBreak="0">
    <w:nsid w:val="53842BC6"/>
    <w:multiLevelType w:val="multilevel"/>
    <w:tmpl w:val="0C78A7AC"/>
    <w:numStyleLink w:val="Tablebulletlist"/>
  </w:abstractNum>
  <w:abstractNum w:abstractNumId="3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0" w15:restartNumberingAfterBreak="0">
    <w:nsid w:val="56DA2CAE"/>
    <w:multiLevelType w:val="multilevel"/>
    <w:tmpl w:val="3E5E177A"/>
    <w:name w:val="NTG Table Bullet List332222222222222"/>
    <w:numStyleLink w:val="Tablenumberlist"/>
  </w:abstractNum>
  <w:abstractNum w:abstractNumId="41" w15:restartNumberingAfterBreak="0">
    <w:nsid w:val="583359D9"/>
    <w:multiLevelType w:val="multilevel"/>
    <w:tmpl w:val="3E5E177A"/>
    <w:name w:val="NTG Table Bullet List332222222"/>
    <w:numStyleLink w:val="Tablenumberlist"/>
  </w:abstractNum>
  <w:abstractNum w:abstractNumId="42" w15:restartNumberingAfterBreak="0">
    <w:nsid w:val="5A0C5604"/>
    <w:multiLevelType w:val="multilevel"/>
    <w:tmpl w:val="C23CECEC"/>
    <w:lvl w:ilvl="0">
      <w:start w:val="1"/>
      <w:numFmt w:val="lowerLetter"/>
      <w:pStyle w:val="DTFLetteredText"/>
      <w:lvlText w:val="%1."/>
      <w:lvlJc w:val="left"/>
      <w:pPr>
        <w:ind w:left="1701" w:hanging="283"/>
      </w:pPr>
      <w:rPr>
        <w:rFonts w:hint="default"/>
        <w:color w:val="165788"/>
      </w:rPr>
    </w:lvl>
    <w:lvl w:ilvl="1">
      <w:start w:val="1"/>
      <w:numFmt w:val="decimal"/>
      <w:lvlText w:val="%1.%2."/>
      <w:lvlJc w:val="left"/>
      <w:pPr>
        <w:ind w:left="1701" w:hanging="283"/>
      </w:pPr>
      <w:rPr>
        <w:rFonts w:hint="default"/>
      </w:rPr>
    </w:lvl>
    <w:lvl w:ilvl="2">
      <w:start w:val="1"/>
      <w:numFmt w:val="decimal"/>
      <w:lvlText w:val="%1.%2.%3."/>
      <w:lvlJc w:val="left"/>
      <w:pPr>
        <w:ind w:left="1701" w:hanging="283"/>
      </w:pPr>
      <w:rPr>
        <w:rFonts w:hint="default"/>
      </w:rPr>
    </w:lvl>
    <w:lvl w:ilvl="3">
      <w:start w:val="1"/>
      <w:numFmt w:val="decimal"/>
      <w:lvlText w:val="%1.%2.%3.%4."/>
      <w:lvlJc w:val="left"/>
      <w:pPr>
        <w:ind w:left="1701" w:hanging="283"/>
      </w:pPr>
      <w:rPr>
        <w:rFonts w:hint="default"/>
      </w:rPr>
    </w:lvl>
    <w:lvl w:ilvl="4">
      <w:start w:val="1"/>
      <w:numFmt w:val="decimal"/>
      <w:lvlText w:val="%1.%2.%3.%4.%5."/>
      <w:lvlJc w:val="left"/>
      <w:pPr>
        <w:ind w:left="1701" w:hanging="283"/>
      </w:pPr>
      <w:rPr>
        <w:rFonts w:hint="default"/>
      </w:rPr>
    </w:lvl>
    <w:lvl w:ilvl="5">
      <w:start w:val="1"/>
      <w:numFmt w:val="decimal"/>
      <w:lvlText w:val="%1.%2.%3.%4.%5.%6."/>
      <w:lvlJc w:val="left"/>
      <w:pPr>
        <w:ind w:left="1701" w:hanging="283"/>
      </w:pPr>
      <w:rPr>
        <w:rFonts w:hint="default"/>
      </w:rPr>
    </w:lvl>
    <w:lvl w:ilvl="6">
      <w:start w:val="1"/>
      <w:numFmt w:val="decimal"/>
      <w:lvlText w:val="%1.%2.%3.%4.%5.%6.%7."/>
      <w:lvlJc w:val="left"/>
      <w:pPr>
        <w:ind w:left="1701" w:hanging="283"/>
      </w:pPr>
      <w:rPr>
        <w:rFonts w:hint="default"/>
      </w:rPr>
    </w:lvl>
    <w:lvl w:ilvl="7">
      <w:start w:val="1"/>
      <w:numFmt w:val="decimal"/>
      <w:lvlText w:val="%1.%2.%3.%4.%5.%6.%7.%8."/>
      <w:lvlJc w:val="left"/>
      <w:pPr>
        <w:ind w:left="1701" w:hanging="283"/>
      </w:pPr>
      <w:rPr>
        <w:rFonts w:hint="default"/>
      </w:rPr>
    </w:lvl>
    <w:lvl w:ilvl="8">
      <w:start w:val="1"/>
      <w:numFmt w:val="decimal"/>
      <w:lvlText w:val="%1.%2.%3.%4.%5.%6.%7.%8.%9."/>
      <w:lvlJc w:val="left"/>
      <w:pPr>
        <w:ind w:left="1701" w:hanging="283"/>
      </w:pPr>
      <w:rPr>
        <w:rFonts w:hint="default"/>
      </w:rPr>
    </w:lvl>
  </w:abstractNum>
  <w:abstractNum w:abstractNumId="43" w15:restartNumberingAfterBreak="0">
    <w:nsid w:val="5A9D72A1"/>
    <w:multiLevelType w:val="hybridMultilevel"/>
    <w:tmpl w:val="10722C30"/>
    <w:lvl w:ilvl="0" w:tplc="FA563E9E">
      <w:start w:val="1"/>
      <w:numFmt w:val="decimal"/>
      <w:pStyle w:val="DTFNumberedlist"/>
      <w:lvlText w:val="%1."/>
      <w:lvlJc w:val="left"/>
      <w:pPr>
        <w:ind w:left="644" w:hanging="360"/>
      </w:pPr>
      <w:rPr>
        <w:rFonts w:hint="default"/>
        <w:color w:val="1F1F5F"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B9A5FFE"/>
    <w:multiLevelType w:val="multilevel"/>
    <w:tmpl w:val="0C78A7AC"/>
    <w:name w:val="NTG Table Bullet List33222222222222"/>
    <w:numStyleLink w:val="Tablebulletlist"/>
  </w:abstractNum>
  <w:abstractNum w:abstractNumId="45" w15:restartNumberingAfterBreak="0">
    <w:nsid w:val="5D444259"/>
    <w:multiLevelType w:val="multilevel"/>
    <w:tmpl w:val="0C78A7AC"/>
    <w:name w:val="NTG Table Bullet List332222"/>
    <w:numStyleLink w:val="Tablebulletlist"/>
  </w:abstractNum>
  <w:abstractNum w:abstractNumId="46" w15:restartNumberingAfterBreak="0">
    <w:nsid w:val="69262556"/>
    <w:multiLevelType w:val="multilevel"/>
    <w:tmpl w:val="3E5E177A"/>
    <w:name w:val="NTG Table Bullet List3322222222222222"/>
    <w:numStyleLink w:val="Tablenumberlist"/>
  </w:abstractNum>
  <w:abstractNum w:abstractNumId="47" w15:restartNumberingAfterBreak="0">
    <w:nsid w:val="7453664D"/>
    <w:multiLevelType w:val="multilevel"/>
    <w:tmpl w:val="0C78A7AC"/>
    <w:name w:val="NTG Table Bullet List3322222222222222222"/>
    <w:numStyleLink w:val="Tablebulletlist"/>
  </w:abstractNum>
  <w:abstractNum w:abstractNumId="48" w15:restartNumberingAfterBreak="0">
    <w:nsid w:val="76141D1E"/>
    <w:multiLevelType w:val="multilevel"/>
    <w:tmpl w:val="0C78A7AC"/>
    <w:name w:val="NTG Table Bullet List332222222222"/>
    <w:numStyleLink w:val="Tablebulletlist"/>
  </w:abstractNum>
  <w:abstractNum w:abstractNumId="49" w15:restartNumberingAfterBreak="0">
    <w:nsid w:val="79CC6470"/>
    <w:multiLevelType w:val="multilevel"/>
    <w:tmpl w:val="CB32F200"/>
    <w:lvl w:ilvl="0">
      <w:start w:val="1"/>
      <w:numFmt w:val="decimal"/>
      <w:suff w:val="space"/>
      <w:lvlText w:val="%1."/>
      <w:lvlJc w:val="left"/>
      <w:pPr>
        <w:ind w:left="432" w:hanging="432"/>
      </w:pPr>
      <w:rPr>
        <w:rFonts w:hint="default"/>
        <w:b w:val="0"/>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50" w15:restartNumberingAfterBreak="0">
    <w:nsid w:val="7CE36BC7"/>
    <w:multiLevelType w:val="hybridMultilevel"/>
    <w:tmpl w:val="47946710"/>
    <w:lvl w:ilvl="0" w:tplc="B1245238">
      <w:numFmt w:val="bullet"/>
      <w:lvlText w:val="•"/>
      <w:lvlJc w:val="left"/>
      <w:pPr>
        <w:ind w:left="284" w:hanging="284"/>
      </w:pPr>
      <w:rPr>
        <w:rFonts w:ascii="Lato" w:hAnsi="Lato" w:cs="Times New Roman" w:hint="default"/>
        <w:color w:val="1F1F5F" w:themeColor="text1"/>
      </w:rPr>
    </w:lvl>
    <w:lvl w:ilvl="1" w:tplc="73F04C34">
      <w:start w:val="1"/>
      <w:numFmt w:val="bullet"/>
      <w:pStyle w:val="DTFBulletDash"/>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2" w15:restartNumberingAfterBreak="0">
    <w:nsid w:val="7FAD68C9"/>
    <w:multiLevelType w:val="hybridMultilevel"/>
    <w:tmpl w:val="E36AD9FE"/>
    <w:lvl w:ilvl="0" w:tplc="741612BA">
      <w:numFmt w:val="bullet"/>
      <w:pStyle w:val="DTFBulletlist"/>
      <w:lvlText w:val="•"/>
      <w:lvlJc w:val="left"/>
      <w:pPr>
        <w:ind w:left="284" w:hanging="284"/>
      </w:pPr>
      <w:rPr>
        <w:rFonts w:ascii="Lato" w:hAnsi="Lato" w:cs="Times New Roman" w:hint="default"/>
        <w:color w:val="1F1F5F"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4753502">
    <w:abstractNumId w:val="26"/>
  </w:num>
  <w:num w:numId="2" w16cid:durableId="877739299">
    <w:abstractNumId w:val="16"/>
  </w:num>
  <w:num w:numId="3" w16cid:durableId="1093820162">
    <w:abstractNumId w:val="49"/>
  </w:num>
  <w:num w:numId="4" w16cid:durableId="829830349">
    <w:abstractNumId w:val="36"/>
  </w:num>
  <w:num w:numId="5" w16cid:durableId="821853896">
    <w:abstractNumId w:val="22"/>
  </w:num>
  <w:num w:numId="6" w16cid:durableId="317273256">
    <w:abstractNumId w:val="11"/>
  </w:num>
  <w:num w:numId="7" w16cid:durableId="615449126">
    <w:abstractNumId w:val="38"/>
  </w:num>
  <w:num w:numId="8" w16cid:durableId="1971085324">
    <w:abstractNumId w:val="21"/>
  </w:num>
  <w:num w:numId="9" w16cid:durableId="2006085249">
    <w:abstractNumId w:val="27"/>
  </w:num>
  <w:num w:numId="10" w16cid:durableId="417554816">
    <w:abstractNumId w:val="2"/>
  </w:num>
  <w:num w:numId="11" w16cid:durableId="761801133">
    <w:abstractNumId w:val="31"/>
  </w:num>
  <w:num w:numId="12" w16cid:durableId="2117822697">
    <w:abstractNumId w:val="8"/>
  </w:num>
  <w:num w:numId="13" w16cid:durableId="1516261893">
    <w:abstractNumId w:val="0"/>
  </w:num>
  <w:num w:numId="14" w16cid:durableId="2174721">
    <w:abstractNumId w:val="17"/>
  </w:num>
  <w:num w:numId="15" w16cid:durableId="557477535">
    <w:abstractNumId w:val="32"/>
  </w:num>
  <w:num w:numId="16" w16cid:durableId="519514658">
    <w:abstractNumId w:val="18"/>
  </w:num>
  <w:num w:numId="17" w16cid:durableId="1169491324">
    <w:abstractNumId w:val="42"/>
  </w:num>
  <w:num w:numId="18" w16cid:durableId="1777554916">
    <w:abstractNumId w:val="34"/>
  </w:num>
  <w:num w:numId="19" w16cid:durableId="1923247746">
    <w:abstractNumId w:val="1"/>
  </w:num>
  <w:num w:numId="20" w16cid:durableId="449788202">
    <w:abstractNumId w:val="14"/>
  </w:num>
  <w:num w:numId="21" w16cid:durableId="7979928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49004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10430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787320">
    <w:abstractNumId w:val="33"/>
  </w:num>
  <w:num w:numId="25" w16cid:durableId="380249442">
    <w:abstractNumId w:val="43"/>
  </w:num>
  <w:num w:numId="26" w16cid:durableId="1205487916">
    <w:abstractNumId w:val="43"/>
    <w:lvlOverride w:ilvl="0">
      <w:startOverride w:val="1"/>
    </w:lvlOverride>
  </w:num>
  <w:num w:numId="27" w16cid:durableId="844437837">
    <w:abstractNumId w:val="52"/>
  </w:num>
  <w:num w:numId="28" w16cid:durableId="2061510483">
    <w:abstractNumId w:val="43"/>
    <w:lvlOverride w:ilvl="0">
      <w:startOverride w:val="1"/>
    </w:lvlOverride>
  </w:num>
  <w:num w:numId="29" w16cid:durableId="999188175">
    <w:abstractNumId w:val="43"/>
    <w:lvlOverride w:ilvl="0">
      <w:startOverride w:val="1"/>
    </w:lvlOverride>
  </w:num>
  <w:num w:numId="30" w16cid:durableId="234123572">
    <w:abstractNumId w:val="28"/>
  </w:num>
  <w:num w:numId="31" w16cid:durableId="831021892">
    <w:abstractNumId w:val="28"/>
    <w:lvlOverride w:ilvl="0">
      <w:startOverride w:val="1"/>
    </w:lvlOverride>
  </w:num>
  <w:num w:numId="32" w16cid:durableId="1847288179">
    <w:abstractNumId w:val="30"/>
  </w:num>
  <w:num w:numId="33" w16cid:durableId="1532919806">
    <w:abstractNumId w:val="43"/>
    <w:lvlOverride w:ilvl="0">
      <w:startOverride w:val="1"/>
    </w:lvlOverride>
  </w:num>
  <w:num w:numId="34" w16cid:durableId="1018433518">
    <w:abstractNumId w:val="43"/>
    <w:lvlOverride w:ilvl="0">
      <w:startOverride w:val="1"/>
    </w:lvlOverride>
  </w:num>
  <w:num w:numId="35" w16cid:durableId="526018016">
    <w:abstractNumId w:val="43"/>
    <w:lvlOverride w:ilvl="0">
      <w:startOverride w:val="1"/>
    </w:lvlOverride>
  </w:num>
  <w:num w:numId="36" w16cid:durableId="1923298020">
    <w:abstractNumId w:val="43"/>
    <w:lvlOverride w:ilvl="0">
      <w:startOverride w:val="1"/>
    </w:lvlOverride>
  </w:num>
  <w:num w:numId="37" w16cid:durableId="1007753438">
    <w:abstractNumId w:val="5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93"/>
    <w:rsid w:val="00001DDF"/>
    <w:rsid w:val="0000322D"/>
    <w:rsid w:val="00003696"/>
    <w:rsid w:val="00007670"/>
    <w:rsid w:val="00010665"/>
    <w:rsid w:val="00011EDE"/>
    <w:rsid w:val="000137E9"/>
    <w:rsid w:val="00016B66"/>
    <w:rsid w:val="000238B4"/>
    <w:rsid w:val="0002393A"/>
    <w:rsid w:val="000263D4"/>
    <w:rsid w:val="00027DB8"/>
    <w:rsid w:val="00030262"/>
    <w:rsid w:val="000307A7"/>
    <w:rsid w:val="00031A96"/>
    <w:rsid w:val="00036C4C"/>
    <w:rsid w:val="00040599"/>
    <w:rsid w:val="00040BF3"/>
    <w:rsid w:val="0004562E"/>
    <w:rsid w:val="00045A88"/>
    <w:rsid w:val="00046C59"/>
    <w:rsid w:val="00050358"/>
    <w:rsid w:val="0005133D"/>
    <w:rsid w:val="00051362"/>
    <w:rsid w:val="000519B6"/>
    <w:rsid w:val="00051F45"/>
    <w:rsid w:val="00052953"/>
    <w:rsid w:val="0005341A"/>
    <w:rsid w:val="00053DD6"/>
    <w:rsid w:val="00056DEF"/>
    <w:rsid w:val="00057D45"/>
    <w:rsid w:val="00066BF3"/>
    <w:rsid w:val="00070200"/>
    <w:rsid w:val="000720BE"/>
    <w:rsid w:val="000722F2"/>
    <w:rsid w:val="0007259C"/>
    <w:rsid w:val="00080202"/>
    <w:rsid w:val="00080DCD"/>
    <w:rsid w:val="00080E22"/>
    <w:rsid w:val="00082573"/>
    <w:rsid w:val="000840A3"/>
    <w:rsid w:val="00085062"/>
    <w:rsid w:val="000856A7"/>
    <w:rsid w:val="00086A5F"/>
    <w:rsid w:val="000903A1"/>
    <w:rsid w:val="000911EF"/>
    <w:rsid w:val="00092F36"/>
    <w:rsid w:val="00093D93"/>
    <w:rsid w:val="000950E2"/>
    <w:rsid w:val="00095310"/>
    <w:rsid w:val="00095D32"/>
    <w:rsid w:val="000962C5"/>
    <w:rsid w:val="000A13D0"/>
    <w:rsid w:val="000A37EB"/>
    <w:rsid w:val="000A4317"/>
    <w:rsid w:val="000A5141"/>
    <w:rsid w:val="000A5241"/>
    <w:rsid w:val="000A559C"/>
    <w:rsid w:val="000B280D"/>
    <w:rsid w:val="000B2CA1"/>
    <w:rsid w:val="000B6E48"/>
    <w:rsid w:val="000C2DFA"/>
    <w:rsid w:val="000D02A6"/>
    <w:rsid w:val="000D1F29"/>
    <w:rsid w:val="000D4E62"/>
    <w:rsid w:val="000D633D"/>
    <w:rsid w:val="000E0962"/>
    <w:rsid w:val="000E342B"/>
    <w:rsid w:val="000E38FB"/>
    <w:rsid w:val="000E53D9"/>
    <w:rsid w:val="000E5DD2"/>
    <w:rsid w:val="000F035B"/>
    <w:rsid w:val="000F2958"/>
    <w:rsid w:val="000F4805"/>
    <w:rsid w:val="0010334E"/>
    <w:rsid w:val="00104597"/>
    <w:rsid w:val="00104E7F"/>
    <w:rsid w:val="00111DAC"/>
    <w:rsid w:val="00112E55"/>
    <w:rsid w:val="001137EC"/>
    <w:rsid w:val="00114287"/>
    <w:rsid w:val="001152F5"/>
    <w:rsid w:val="00117743"/>
    <w:rsid w:val="00117F5B"/>
    <w:rsid w:val="001258EC"/>
    <w:rsid w:val="00132658"/>
    <w:rsid w:val="00142971"/>
    <w:rsid w:val="001475AA"/>
    <w:rsid w:val="00147DED"/>
    <w:rsid w:val="00150DC0"/>
    <w:rsid w:val="0015141E"/>
    <w:rsid w:val="00156CD4"/>
    <w:rsid w:val="00161CC6"/>
    <w:rsid w:val="00163BF6"/>
    <w:rsid w:val="00164A3E"/>
    <w:rsid w:val="00166FF6"/>
    <w:rsid w:val="00167941"/>
    <w:rsid w:val="001703C6"/>
    <w:rsid w:val="001729EA"/>
    <w:rsid w:val="00172C77"/>
    <w:rsid w:val="00175A60"/>
    <w:rsid w:val="00176123"/>
    <w:rsid w:val="00181620"/>
    <w:rsid w:val="001957AD"/>
    <w:rsid w:val="001A0F26"/>
    <w:rsid w:val="001A2447"/>
    <w:rsid w:val="001A2B7F"/>
    <w:rsid w:val="001A3AFD"/>
    <w:rsid w:val="001A496C"/>
    <w:rsid w:val="001A6304"/>
    <w:rsid w:val="001B0DE1"/>
    <w:rsid w:val="001B290D"/>
    <w:rsid w:val="001B2B6C"/>
    <w:rsid w:val="001B2FB8"/>
    <w:rsid w:val="001B2FF5"/>
    <w:rsid w:val="001C14D1"/>
    <w:rsid w:val="001C7754"/>
    <w:rsid w:val="001C7E5A"/>
    <w:rsid w:val="001D01C4"/>
    <w:rsid w:val="001D13DC"/>
    <w:rsid w:val="001D52B0"/>
    <w:rsid w:val="001D5A18"/>
    <w:rsid w:val="001D7CA4"/>
    <w:rsid w:val="001E057F"/>
    <w:rsid w:val="001E14EB"/>
    <w:rsid w:val="001E1C62"/>
    <w:rsid w:val="001E1D4D"/>
    <w:rsid w:val="001E4C5D"/>
    <w:rsid w:val="001F3B18"/>
    <w:rsid w:val="001F42D2"/>
    <w:rsid w:val="001F58DE"/>
    <w:rsid w:val="001F59E6"/>
    <w:rsid w:val="002004BA"/>
    <w:rsid w:val="00201F2F"/>
    <w:rsid w:val="00202014"/>
    <w:rsid w:val="00202DA4"/>
    <w:rsid w:val="002030AE"/>
    <w:rsid w:val="00206936"/>
    <w:rsid w:val="00206C6F"/>
    <w:rsid w:val="00206FBD"/>
    <w:rsid w:val="00207746"/>
    <w:rsid w:val="00221220"/>
    <w:rsid w:val="00224229"/>
    <w:rsid w:val="00230031"/>
    <w:rsid w:val="00235896"/>
    <w:rsid w:val="00235C01"/>
    <w:rsid w:val="00236878"/>
    <w:rsid w:val="002416B3"/>
    <w:rsid w:val="00243018"/>
    <w:rsid w:val="00243DB6"/>
    <w:rsid w:val="00247343"/>
    <w:rsid w:val="00247538"/>
    <w:rsid w:val="002551AC"/>
    <w:rsid w:val="0025602F"/>
    <w:rsid w:val="002619E7"/>
    <w:rsid w:val="00263E46"/>
    <w:rsid w:val="00264C90"/>
    <w:rsid w:val="00265C56"/>
    <w:rsid w:val="0027093B"/>
    <w:rsid w:val="002716CD"/>
    <w:rsid w:val="00271E69"/>
    <w:rsid w:val="00272232"/>
    <w:rsid w:val="00274D4B"/>
    <w:rsid w:val="00276968"/>
    <w:rsid w:val="002806F5"/>
    <w:rsid w:val="00281577"/>
    <w:rsid w:val="00286B86"/>
    <w:rsid w:val="002926BC"/>
    <w:rsid w:val="00292EFE"/>
    <w:rsid w:val="00293A72"/>
    <w:rsid w:val="002A0160"/>
    <w:rsid w:val="002A0A36"/>
    <w:rsid w:val="002A30C3"/>
    <w:rsid w:val="002A3C1F"/>
    <w:rsid w:val="002A4C93"/>
    <w:rsid w:val="002A6109"/>
    <w:rsid w:val="002A6F6A"/>
    <w:rsid w:val="002A71E4"/>
    <w:rsid w:val="002A7712"/>
    <w:rsid w:val="002B38F7"/>
    <w:rsid w:val="002B4C0D"/>
    <w:rsid w:val="002B5591"/>
    <w:rsid w:val="002B6AA4"/>
    <w:rsid w:val="002B79EB"/>
    <w:rsid w:val="002C1FE9"/>
    <w:rsid w:val="002D0D09"/>
    <w:rsid w:val="002D3A57"/>
    <w:rsid w:val="002D7D05"/>
    <w:rsid w:val="002E20C8"/>
    <w:rsid w:val="002E4290"/>
    <w:rsid w:val="002E5B94"/>
    <w:rsid w:val="002E66A6"/>
    <w:rsid w:val="002F031F"/>
    <w:rsid w:val="002F03DD"/>
    <w:rsid w:val="002F0DB1"/>
    <w:rsid w:val="002F2885"/>
    <w:rsid w:val="002F3CF1"/>
    <w:rsid w:val="002F45A1"/>
    <w:rsid w:val="00302B89"/>
    <w:rsid w:val="003037F9"/>
    <w:rsid w:val="00304AFF"/>
    <w:rsid w:val="0030583E"/>
    <w:rsid w:val="00307FE1"/>
    <w:rsid w:val="00312012"/>
    <w:rsid w:val="0031617F"/>
    <w:rsid w:val="003164BA"/>
    <w:rsid w:val="003216EA"/>
    <w:rsid w:val="003216F5"/>
    <w:rsid w:val="003223FE"/>
    <w:rsid w:val="003227BE"/>
    <w:rsid w:val="003258E6"/>
    <w:rsid w:val="003277C7"/>
    <w:rsid w:val="00327E6F"/>
    <w:rsid w:val="003302A4"/>
    <w:rsid w:val="00333ABE"/>
    <w:rsid w:val="00341FD7"/>
    <w:rsid w:val="00342283"/>
    <w:rsid w:val="00343A87"/>
    <w:rsid w:val="003442A4"/>
    <w:rsid w:val="00344A36"/>
    <w:rsid w:val="003456F4"/>
    <w:rsid w:val="00346E28"/>
    <w:rsid w:val="00347FB6"/>
    <w:rsid w:val="00350088"/>
    <w:rsid w:val="003504FD"/>
    <w:rsid w:val="00350881"/>
    <w:rsid w:val="00357D55"/>
    <w:rsid w:val="00362170"/>
    <w:rsid w:val="00363513"/>
    <w:rsid w:val="003636C9"/>
    <w:rsid w:val="003657E5"/>
    <w:rsid w:val="0036589C"/>
    <w:rsid w:val="003712B4"/>
    <w:rsid w:val="00371312"/>
    <w:rsid w:val="00371668"/>
    <w:rsid w:val="00371DC7"/>
    <w:rsid w:val="00375B9D"/>
    <w:rsid w:val="003765C6"/>
    <w:rsid w:val="00376BF0"/>
    <w:rsid w:val="00377B21"/>
    <w:rsid w:val="00384506"/>
    <w:rsid w:val="00390881"/>
    <w:rsid w:val="00390CE3"/>
    <w:rsid w:val="003920F7"/>
    <w:rsid w:val="00393AF2"/>
    <w:rsid w:val="00394876"/>
    <w:rsid w:val="00394AAF"/>
    <w:rsid w:val="00394CE5"/>
    <w:rsid w:val="003A028E"/>
    <w:rsid w:val="003A1792"/>
    <w:rsid w:val="003A42FC"/>
    <w:rsid w:val="003A6341"/>
    <w:rsid w:val="003B173F"/>
    <w:rsid w:val="003B67FD"/>
    <w:rsid w:val="003B6A61"/>
    <w:rsid w:val="003C1E64"/>
    <w:rsid w:val="003C6B52"/>
    <w:rsid w:val="003D1308"/>
    <w:rsid w:val="003D3850"/>
    <w:rsid w:val="003D3E27"/>
    <w:rsid w:val="003D42C0"/>
    <w:rsid w:val="003D5B29"/>
    <w:rsid w:val="003D7818"/>
    <w:rsid w:val="003E2445"/>
    <w:rsid w:val="003E3BB2"/>
    <w:rsid w:val="003F5B58"/>
    <w:rsid w:val="0040222A"/>
    <w:rsid w:val="004047BC"/>
    <w:rsid w:val="00406497"/>
    <w:rsid w:val="004100F7"/>
    <w:rsid w:val="00411665"/>
    <w:rsid w:val="00414CB3"/>
    <w:rsid w:val="0041563D"/>
    <w:rsid w:val="00417E19"/>
    <w:rsid w:val="00420CF5"/>
    <w:rsid w:val="00422874"/>
    <w:rsid w:val="004267E5"/>
    <w:rsid w:val="00426E25"/>
    <w:rsid w:val="00427D9C"/>
    <w:rsid w:val="00427E7E"/>
    <w:rsid w:val="004337B5"/>
    <w:rsid w:val="00440E76"/>
    <w:rsid w:val="0044248C"/>
    <w:rsid w:val="004433AE"/>
    <w:rsid w:val="00443B6E"/>
    <w:rsid w:val="00446DE5"/>
    <w:rsid w:val="00450326"/>
    <w:rsid w:val="00451124"/>
    <w:rsid w:val="004521CB"/>
    <w:rsid w:val="0045420A"/>
    <w:rsid w:val="004554D4"/>
    <w:rsid w:val="004556BC"/>
    <w:rsid w:val="004611F4"/>
    <w:rsid w:val="00461744"/>
    <w:rsid w:val="00465E67"/>
    <w:rsid w:val="00466185"/>
    <w:rsid w:val="004668A7"/>
    <w:rsid w:val="00466D96"/>
    <w:rsid w:val="00467747"/>
    <w:rsid w:val="00472420"/>
    <w:rsid w:val="00472A93"/>
    <w:rsid w:val="00473C98"/>
    <w:rsid w:val="00474965"/>
    <w:rsid w:val="00481F23"/>
    <w:rsid w:val="00482CC4"/>
    <w:rsid w:val="00482DF8"/>
    <w:rsid w:val="00483791"/>
    <w:rsid w:val="004864DE"/>
    <w:rsid w:val="00490031"/>
    <w:rsid w:val="004948DC"/>
    <w:rsid w:val="00494BE5"/>
    <w:rsid w:val="00495403"/>
    <w:rsid w:val="00495F34"/>
    <w:rsid w:val="00497A1D"/>
    <w:rsid w:val="004A0EBA"/>
    <w:rsid w:val="004A1190"/>
    <w:rsid w:val="004A2538"/>
    <w:rsid w:val="004A3F91"/>
    <w:rsid w:val="004B0C15"/>
    <w:rsid w:val="004B35EA"/>
    <w:rsid w:val="004B69E4"/>
    <w:rsid w:val="004B7373"/>
    <w:rsid w:val="004B7802"/>
    <w:rsid w:val="004C2BF4"/>
    <w:rsid w:val="004C6C39"/>
    <w:rsid w:val="004D075F"/>
    <w:rsid w:val="004D1B76"/>
    <w:rsid w:val="004D2896"/>
    <w:rsid w:val="004D344E"/>
    <w:rsid w:val="004D4AF2"/>
    <w:rsid w:val="004E019E"/>
    <w:rsid w:val="004E06EC"/>
    <w:rsid w:val="004E0FD7"/>
    <w:rsid w:val="004E2CB7"/>
    <w:rsid w:val="004E31D1"/>
    <w:rsid w:val="004E7885"/>
    <w:rsid w:val="004F016A"/>
    <w:rsid w:val="004F2206"/>
    <w:rsid w:val="00500F94"/>
    <w:rsid w:val="00501652"/>
    <w:rsid w:val="00502FB3"/>
    <w:rsid w:val="00503DE9"/>
    <w:rsid w:val="00504271"/>
    <w:rsid w:val="00504572"/>
    <w:rsid w:val="00505288"/>
    <w:rsid w:val="0050530C"/>
    <w:rsid w:val="00505DEA"/>
    <w:rsid w:val="00507782"/>
    <w:rsid w:val="0050784D"/>
    <w:rsid w:val="00512A04"/>
    <w:rsid w:val="005142E9"/>
    <w:rsid w:val="0051484C"/>
    <w:rsid w:val="00517405"/>
    <w:rsid w:val="0052334C"/>
    <w:rsid w:val="005249F5"/>
    <w:rsid w:val="005260F7"/>
    <w:rsid w:val="005264A4"/>
    <w:rsid w:val="00526966"/>
    <w:rsid w:val="00532301"/>
    <w:rsid w:val="00543BD1"/>
    <w:rsid w:val="00546D7E"/>
    <w:rsid w:val="00552575"/>
    <w:rsid w:val="00555833"/>
    <w:rsid w:val="00555C27"/>
    <w:rsid w:val="00556113"/>
    <w:rsid w:val="005561D8"/>
    <w:rsid w:val="005619AF"/>
    <w:rsid w:val="005646CF"/>
    <w:rsid w:val="00564C12"/>
    <w:rsid w:val="005654B8"/>
    <w:rsid w:val="00567AB8"/>
    <w:rsid w:val="00571E5F"/>
    <w:rsid w:val="0057377F"/>
    <w:rsid w:val="005747AC"/>
    <w:rsid w:val="005762CC"/>
    <w:rsid w:val="00582D3D"/>
    <w:rsid w:val="00583889"/>
    <w:rsid w:val="0058415F"/>
    <w:rsid w:val="0058622B"/>
    <w:rsid w:val="0058793F"/>
    <w:rsid w:val="00591C2C"/>
    <w:rsid w:val="00595386"/>
    <w:rsid w:val="005953B0"/>
    <w:rsid w:val="0059543C"/>
    <w:rsid w:val="005A26E9"/>
    <w:rsid w:val="005A3621"/>
    <w:rsid w:val="005A3EA5"/>
    <w:rsid w:val="005A4AC0"/>
    <w:rsid w:val="005A5A44"/>
    <w:rsid w:val="005A5FDF"/>
    <w:rsid w:val="005B0FB7"/>
    <w:rsid w:val="005B122A"/>
    <w:rsid w:val="005B1D58"/>
    <w:rsid w:val="005B4E4E"/>
    <w:rsid w:val="005B5503"/>
    <w:rsid w:val="005B5AC2"/>
    <w:rsid w:val="005B5FE9"/>
    <w:rsid w:val="005B752F"/>
    <w:rsid w:val="005C2833"/>
    <w:rsid w:val="005C330A"/>
    <w:rsid w:val="005C5ACE"/>
    <w:rsid w:val="005D26B8"/>
    <w:rsid w:val="005E0A78"/>
    <w:rsid w:val="005E144D"/>
    <w:rsid w:val="005E1500"/>
    <w:rsid w:val="005E3A43"/>
    <w:rsid w:val="005E51A4"/>
    <w:rsid w:val="005F457D"/>
    <w:rsid w:val="005F77C7"/>
    <w:rsid w:val="00603F8E"/>
    <w:rsid w:val="00612867"/>
    <w:rsid w:val="00612FA4"/>
    <w:rsid w:val="006137E1"/>
    <w:rsid w:val="00617186"/>
    <w:rsid w:val="00620675"/>
    <w:rsid w:val="00622910"/>
    <w:rsid w:val="00622E24"/>
    <w:rsid w:val="00623344"/>
    <w:rsid w:val="00625F54"/>
    <w:rsid w:val="00631D53"/>
    <w:rsid w:val="0063286C"/>
    <w:rsid w:val="006364DA"/>
    <w:rsid w:val="006433C3"/>
    <w:rsid w:val="00647A30"/>
    <w:rsid w:val="00650F5B"/>
    <w:rsid w:val="006514C6"/>
    <w:rsid w:val="00652DC0"/>
    <w:rsid w:val="00660584"/>
    <w:rsid w:val="006670D7"/>
    <w:rsid w:val="00667797"/>
    <w:rsid w:val="006719EA"/>
    <w:rsid w:val="00671F13"/>
    <w:rsid w:val="00673C36"/>
    <w:rsid w:val="0067400A"/>
    <w:rsid w:val="006747E0"/>
    <w:rsid w:val="00682FFA"/>
    <w:rsid w:val="006836F0"/>
    <w:rsid w:val="006847AD"/>
    <w:rsid w:val="00687A91"/>
    <w:rsid w:val="0069114B"/>
    <w:rsid w:val="00691F42"/>
    <w:rsid w:val="00692215"/>
    <w:rsid w:val="00695244"/>
    <w:rsid w:val="00695321"/>
    <w:rsid w:val="00695950"/>
    <w:rsid w:val="006A03ED"/>
    <w:rsid w:val="006A3245"/>
    <w:rsid w:val="006A3615"/>
    <w:rsid w:val="006A4776"/>
    <w:rsid w:val="006A6AA7"/>
    <w:rsid w:val="006A756A"/>
    <w:rsid w:val="006B6856"/>
    <w:rsid w:val="006C2F23"/>
    <w:rsid w:val="006C396A"/>
    <w:rsid w:val="006C43E9"/>
    <w:rsid w:val="006D1264"/>
    <w:rsid w:val="006D1ADA"/>
    <w:rsid w:val="006D349D"/>
    <w:rsid w:val="006D66F7"/>
    <w:rsid w:val="006E3B5D"/>
    <w:rsid w:val="006E4AAA"/>
    <w:rsid w:val="006E6F3F"/>
    <w:rsid w:val="006E7156"/>
    <w:rsid w:val="006F1AE6"/>
    <w:rsid w:val="006F2E26"/>
    <w:rsid w:val="006F62C2"/>
    <w:rsid w:val="006F62CB"/>
    <w:rsid w:val="00702D61"/>
    <w:rsid w:val="00705C9D"/>
    <w:rsid w:val="00705F13"/>
    <w:rsid w:val="007069AC"/>
    <w:rsid w:val="00707B63"/>
    <w:rsid w:val="007118DF"/>
    <w:rsid w:val="00713A7C"/>
    <w:rsid w:val="00714512"/>
    <w:rsid w:val="00714F1D"/>
    <w:rsid w:val="00715225"/>
    <w:rsid w:val="007155FA"/>
    <w:rsid w:val="00717C37"/>
    <w:rsid w:val="00720CC6"/>
    <w:rsid w:val="00722DDB"/>
    <w:rsid w:val="0072406F"/>
    <w:rsid w:val="00724728"/>
    <w:rsid w:val="00724F98"/>
    <w:rsid w:val="00727E02"/>
    <w:rsid w:val="00730B9B"/>
    <w:rsid w:val="0073182E"/>
    <w:rsid w:val="0073318A"/>
    <w:rsid w:val="007332FF"/>
    <w:rsid w:val="00735723"/>
    <w:rsid w:val="00736582"/>
    <w:rsid w:val="00740862"/>
    <w:rsid w:val="007408F5"/>
    <w:rsid w:val="00741EAE"/>
    <w:rsid w:val="007423B8"/>
    <w:rsid w:val="00742922"/>
    <w:rsid w:val="00745012"/>
    <w:rsid w:val="0074552B"/>
    <w:rsid w:val="007468DF"/>
    <w:rsid w:val="00746CAA"/>
    <w:rsid w:val="007551E1"/>
    <w:rsid w:val="00755248"/>
    <w:rsid w:val="007557E0"/>
    <w:rsid w:val="00757005"/>
    <w:rsid w:val="00761670"/>
    <w:rsid w:val="0076190B"/>
    <w:rsid w:val="0076355D"/>
    <w:rsid w:val="00763A2D"/>
    <w:rsid w:val="00770535"/>
    <w:rsid w:val="00774CBF"/>
    <w:rsid w:val="007761D8"/>
    <w:rsid w:val="00777795"/>
    <w:rsid w:val="00783A57"/>
    <w:rsid w:val="00783E0B"/>
    <w:rsid w:val="007842A0"/>
    <w:rsid w:val="00784C92"/>
    <w:rsid w:val="007859CD"/>
    <w:rsid w:val="00786FA3"/>
    <w:rsid w:val="007907E4"/>
    <w:rsid w:val="0079203C"/>
    <w:rsid w:val="00795B35"/>
    <w:rsid w:val="00796461"/>
    <w:rsid w:val="00797696"/>
    <w:rsid w:val="00797FCB"/>
    <w:rsid w:val="007A5132"/>
    <w:rsid w:val="007A6A4F"/>
    <w:rsid w:val="007B03F5"/>
    <w:rsid w:val="007B3140"/>
    <w:rsid w:val="007B59D3"/>
    <w:rsid w:val="007B5C09"/>
    <w:rsid w:val="007B5DA2"/>
    <w:rsid w:val="007C0966"/>
    <w:rsid w:val="007C19E7"/>
    <w:rsid w:val="007C5CFD"/>
    <w:rsid w:val="007C6D9F"/>
    <w:rsid w:val="007D02B3"/>
    <w:rsid w:val="007D3426"/>
    <w:rsid w:val="007D3874"/>
    <w:rsid w:val="007D3D73"/>
    <w:rsid w:val="007D4893"/>
    <w:rsid w:val="007D7697"/>
    <w:rsid w:val="007E1D6B"/>
    <w:rsid w:val="007E5105"/>
    <w:rsid w:val="007E70CF"/>
    <w:rsid w:val="007E72CE"/>
    <w:rsid w:val="007E74A4"/>
    <w:rsid w:val="007F1A6E"/>
    <w:rsid w:val="007F263F"/>
    <w:rsid w:val="007F40B8"/>
    <w:rsid w:val="007F46EA"/>
    <w:rsid w:val="007F5579"/>
    <w:rsid w:val="007F70A2"/>
    <w:rsid w:val="008002E8"/>
    <w:rsid w:val="00800F85"/>
    <w:rsid w:val="0080766E"/>
    <w:rsid w:val="008105BE"/>
    <w:rsid w:val="00811169"/>
    <w:rsid w:val="008133EB"/>
    <w:rsid w:val="00815297"/>
    <w:rsid w:val="00817097"/>
    <w:rsid w:val="00817AE9"/>
    <w:rsid w:val="00817BA1"/>
    <w:rsid w:val="00821D46"/>
    <w:rsid w:val="00822821"/>
    <w:rsid w:val="00823022"/>
    <w:rsid w:val="00823730"/>
    <w:rsid w:val="00823AEC"/>
    <w:rsid w:val="0082634E"/>
    <w:rsid w:val="00826A8C"/>
    <w:rsid w:val="008279C3"/>
    <w:rsid w:val="008313C4"/>
    <w:rsid w:val="00832B35"/>
    <w:rsid w:val="00835434"/>
    <w:rsid w:val="008358C0"/>
    <w:rsid w:val="008424A5"/>
    <w:rsid w:val="00842838"/>
    <w:rsid w:val="00851A5F"/>
    <w:rsid w:val="00852724"/>
    <w:rsid w:val="00854BE6"/>
    <w:rsid w:val="00854EC1"/>
    <w:rsid w:val="0085797F"/>
    <w:rsid w:val="008611EA"/>
    <w:rsid w:val="00861DC3"/>
    <w:rsid w:val="00861ED9"/>
    <w:rsid w:val="00864EDC"/>
    <w:rsid w:val="00867019"/>
    <w:rsid w:val="00872F53"/>
    <w:rsid w:val="008735A9"/>
    <w:rsid w:val="00875243"/>
    <w:rsid w:val="008775BF"/>
    <w:rsid w:val="00877D20"/>
    <w:rsid w:val="00881C48"/>
    <w:rsid w:val="0088370B"/>
    <w:rsid w:val="00885590"/>
    <w:rsid w:val="00885B80"/>
    <w:rsid w:val="00885C30"/>
    <w:rsid w:val="00885E9B"/>
    <w:rsid w:val="00886C9D"/>
    <w:rsid w:val="00887C20"/>
    <w:rsid w:val="00891750"/>
    <w:rsid w:val="00893C96"/>
    <w:rsid w:val="0089500A"/>
    <w:rsid w:val="00897C94"/>
    <w:rsid w:val="008A138C"/>
    <w:rsid w:val="008A4379"/>
    <w:rsid w:val="008A51A3"/>
    <w:rsid w:val="008A7C12"/>
    <w:rsid w:val="008A7E30"/>
    <w:rsid w:val="008B03CE"/>
    <w:rsid w:val="008B529E"/>
    <w:rsid w:val="008B5C1D"/>
    <w:rsid w:val="008B6620"/>
    <w:rsid w:val="008C17FB"/>
    <w:rsid w:val="008C742B"/>
    <w:rsid w:val="008D031B"/>
    <w:rsid w:val="008D0D4D"/>
    <w:rsid w:val="008D1B00"/>
    <w:rsid w:val="008D4E82"/>
    <w:rsid w:val="008D57B8"/>
    <w:rsid w:val="008D6166"/>
    <w:rsid w:val="008D6C93"/>
    <w:rsid w:val="008D6D78"/>
    <w:rsid w:val="008E0345"/>
    <w:rsid w:val="008E03FC"/>
    <w:rsid w:val="008E4171"/>
    <w:rsid w:val="008E510B"/>
    <w:rsid w:val="008F1B25"/>
    <w:rsid w:val="008F4A04"/>
    <w:rsid w:val="008F4FBE"/>
    <w:rsid w:val="008F5EE3"/>
    <w:rsid w:val="008F7957"/>
    <w:rsid w:val="00900477"/>
    <w:rsid w:val="00902B13"/>
    <w:rsid w:val="00911941"/>
    <w:rsid w:val="009125F3"/>
    <w:rsid w:val="009138A0"/>
    <w:rsid w:val="009147EF"/>
    <w:rsid w:val="00915D2C"/>
    <w:rsid w:val="009202DE"/>
    <w:rsid w:val="00920569"/>
    <w:rsid w:val="0092207F"/>
    <w:rsid w:val="0092333A"/>
    <w:rsid w:val="00924A32"/>
    <w:rsid w:val="00925F0F"/>
    <w:rsid w:val="00926087"/>
    <w:rsid w:val="00927D4E"/>
    <w:rsid w:val="00930C91"/>
    <w:rsid w:val="0093233E"/>
    <w:rsid w:val="00932F6B"/>
    <w:rsid w:val="00937629"/>
    <w:rsid w:val="009436FF"/>
    <w:rsid w:val="00945C97"/>
    <w:rsid w:val="009468BC"/>
    <w:rsid w:val="00954C24"/>
    <w:rsid w:val="00957129"/>
    <w:rsid w:val="009616DF"/>
    <w:rsid w:val="009619C5"/>
    <w:rsid w:val="00963AE1"/>
    <w:rsid w:val="00964B22"/>
    <w:rsid w:val="0096542F"/>
    <w:rsid w:val="00966B57"/>
    <w:rsid w:val="00967FA7"/>
    <w:rsid w:val="009702BF"/>
    <w:rsid w:val="00971645"/>
    <w:rsid w:val="00977919"/>
    <w:rsid w:val="00983000"/>
    <w:rsid w:val="00984D9B"/>
    <w:rsid w:val="009863A2"/>
    <w:rsid w:val="009870FA"/>
    <w:rsid w:val="009921C3"/>
    <w:rsid w:val="009946C0"/>
    <w:rsid w:val="00995500"/>
    <w:rsid w:val="0099551D"/>
    <w:rsid w:val="009A0CB1"/>
    <w:rsid w:val="009A5897"/>
    <w:rsid w:val="009A5F24"/>
    <w:rsid w:val="009B0B3E"/>
    <w:rsid w:val="009B1913"/>
    <w:rsid w:val="009B62F8"/>
    <w:rsid w:val="009B6657"/>
    <w:rsid w:val="009B7C35"/>
    <w:rsid w:val="009C21F1"/>
    <w:rsid w:val="009C5D24"/>
    <w:rsid w:val="009D0EB5"/>
    <w:rsid w:val="009D14F9"/>
    <w:rsid w:val="009D1F67"/>
    <w:rsid w:val="009D2B74"/>
    <w:rsid w:val="009D63FF"/>
    <w:rsid w:val="009E175D"/>
    <w:rsid w:val="009E2315"/>
    <w:rsid w:val="009E3B92"/>
    <w:rsid w:val="009E3CC2"/>
    <w:rsid w:val="009E4EAB"/>
    <w:rsid w:val="009E7530"/>
    <w:rsid w:val="009F06BD"/>
    <w:rsid w:val="009F2A4D"/>
    <w:rsid w:val="009F3302"/>
    <w:rsid w:val="009F600A"/>
    <w:rsid w:val="00A002D9"/>
    <w:rsid w:val="00A00828"/>
    <w:rsid w:val="00A03290"/>
    <w:rsid w:val="00A03772"/>
    <w:rsid w:val="00A04CA3"/>
    <w:rsid w:val="00A07490"/>
    <w:rsid w:val="00A10655"/>
    <w:rsid w:val="00A1197C"/>
    <w:rsid w:val="00A12B64"/>
    <w:rsid w:val="00A1768C"/>
    <w:rsid w:val="00A1773C"/>
    <w:rsid w:val="00A17A38"/>
    <w:rsid w:val="00A212D7"/>
    <w:rsid w:val="00A22C38"/>
    <w:rsid w:val="00A25193"/>
    <w:rsid w:val="00A26E80"/>
    <w:rsid w:val="00A27B7E"/>
    <w:rsid w:val="00A314E5"/>
    <w:rsid w:val="00A31AE8"/>
    <w:rsid w:val="00A32192"/>
    <w:rsid w:val="00A32EFF"/>
    <w:rsid w:val="00A35D88"/>
    <w:rsid w:val="00A3739D"/>
    <w:rsid w:val="00A37DDA"/>
    <w:rsid w:val="00A37ED8"/>
    <w:rsid w:val="00A40080"/>
    <w:rsid w:val="00A418F9"/>
    <w:rsid w:val="00A45CD0"/>
    <w:rsid w:val="00A50829"/>
    <w:rsid w:val="00A50A92"/>
    <w:rsid w:val="00A535EF"/>
    <w:rsid w:val="00A55BCD"/>
    <w:rsid w:val="00A6065E"/>
    <w:rsid w:val="00A65799"/>
    <w:rsid w:val="00A7084F"/>
    <w:rsid w:val="00A72DF4"/>
    <w:rsid w:val="00A7303B"/>
    <w:rsid w:val="00A73CE7"/>
    <w:rsid w:val="00A73D7B"/>
    <w:rsid w:val="00A86B43"/>
    <w:rsid w:val="00A9121A"/>
    <w:rsid w:val="00A9249B"/>
    <w:rsid w:val="00A925EC"/>
    <w:rsid w:val="00A929AA"/>
    <w:rsid w:val="00A92B6B"/>
    <w:rsid w:val="00A955A9"/>
    <w:rsid w:val="00AA4C49"/>
    <w:rsid w:val="00AA541E"/>
    <w:rsid w:val="00AA5A11"/>
    <w:rsid w:val="00AA5FCB"/>
    <w:rsid w:val="00AB10A5"/>
    <w:rsid w:val="00AB14EB"/>
    <w:rsid w:val="00AB78AF"/>
    <w:rsid w:val="00AC2255"/>
    <w:rsid w:val="00AC3E38"/>
    <w:rsid w:val="00AC6773"/>
    <w:rsid w:val="00AD0DA4"/>
    <w:rsid w:val="00AD134E"/>
    <w:rsid w:val="00AD1B26"/>
    <w:rsid w:val="00AD23F7"/>
    <w:rsid w:val="00AD4169"/>
    <w:rsid w:val="00AD6133"/>
    <w:rsid w:val="00AD7557"/>
    <w:rsid w:val="00AE25C6"/>
    <w:rsid w:val="00AE306C"/>
    <w:rsid w:val="00AE36E9"/>
    <w:rsid w:val="00AE591B"/>
    <w:rsid w:val="00AE756D"/>
    <w:rsid w:val="00AF1211"/>
    <w:rsid w:val="00AF1606"/>
    <w:rsid w:val="00AF28C1"/>
    <w:rsid w:val="00AF36F5"/>
    <w:rsid w:val="00B01C7D"/>
    <w:rsid w:val="00B01FCE"/>
    <w:rsid w:val="00B02EF1"/>
    <w:rsid w:val="00B070B3"/>
    <w:rsid w:val="00B07C97"/>
    <w:rsid w:val="00B07EA1"/>
    <w:rsid w:val="00B11C67"/>
    <w:rsid w:val="00B156DD"/>
    <w:rsid w:val="00B15754"/>
    <w:rsid w:val="00B15A27"/>
    <w:rsid w:val="00B16992"/>
    <w:rsid w:val="00B2046E"/>
    <w:rsid w:val="00B20E8B"/>
    <w:rsid w:val="00B233DB"/>
    <w:rsid w:val="00B257E1"/>
    <w:rsid w:val="00B2599A"/>
    <w:rsid w:val="00B27AC4"/>
    <w:rsid w:val="00B343CC"/>
    <w:rsid w:val="00B379B9"/>
    <w:rsid w:val="00B43C75"/>
    <w:rsid w:val="00B5084A"/>
    <w:rsid w:val="00B56AF6"/>
    <w:rsid w:val="00B606A1"/>
    <w:rsid w:val="00B614F7"/>
    <w:rsid w:val="00B61B26"/>
    <w:rsid w:val="00B6239B"/>
    <w:rsid w:val="00B671FF"/>
    <w:rsid w:val="00B675B2"/>
    <w:rsid w:val="00B727FD"/>
    <w:rsid w:val="00B7739B"/>
    <w:rsid w:val="00B81261"/>
    <w:rsid w:val="00B8223E"/>
    <w:rsid w:val="00B832AE"/>
    <w:rsid w:val="00B86678"/>
    <w:rsid w:val="00B903B2"/>
    <w:rsid w:val="00B92F9B"/>
    <w:rsid w:val="00B941B3"/>
    <w:rsid w:val="00B96513"/>
    <w:rsid w:val="00B971B0"/>
    <w:rsid w:val="00BA1D47"/>
    <w:rsid w:val="00BA283D"/>
    <w:rsid w:val="00BA46A6"/>
    <w:rsid w:val="00BA54B4"/>
    <w:rsid w:val="00BA66F0"/>
    <w:rsid w:val="00BB00C5"/>
    <w:rsid w:val="00BB0B15"/>
    <w:rsid w:val="00BB2239"/>
    <w:rsid w:val="00BB2AE7"/>
    <w:rsid w:val="00BB6464"/>
    <w:rsid w:val="00BC1BB8"/>
    <w:rsid w:val="00BC69BB"/>
    <w:rsid w:val="00BD0F38"/>
    <w:rsid w:val="00BD24F5"/>
    <w:rsid w:val="00BD68B9"/>
    <w:rsid w:val="00BD7029"/>
    <w:rsid w:val="00BD7D7B"/>
    <w:rsid w:val="00BD7FE1"/>
    <w:rsid w:val="00BE37CA"/>
    <w:rsid w:val="00BE4B2A"/>
    <w:rsid w:val="00BE6144"/>
    <w:rsid w:val="00BE635A"/>
    <w:rsid w:val="00BF0754"/>
    <w:rsid w:val="00BF17E9"/>
    <w:rsid w:val="00BF2ABB"/>
    <w:rsid w:val="00BF351D"/>
    <w:rsid w:val="00BF385B"/>
    <w:rsid w:val="00BF5099"/>
    <w:rsid w:val="00C00217"/>
    <w:rsid w:val="00C03919"/>
    <w:rsid w:val="00C069C9"/>
    <w:rsid w:val="00C10F10"/>
    <w:rsid w:val="00C12017"/>
    <w:rsid w:val="00C15D4D"/>
    <w:rsid w:val="00C175DC"/>
    <w:rsid w:val="00C25852"/>
    <w:rsid w:val="00C27129"/>
    <w:rsid w:val="00C30171"/>
    <w:rsid w:val="00C302B2"/>
    <w:rsid w:val="00C309D8"/>
    <w:rsid w:val="00C33998"/>
    <w:rsid w:val="00C407F8"/>
    <w:rsid w:val="00C43392"/>
    <w:rsid w:val="00C43519"/>
    <w:rsid w:val="00C4392A"/>
    <w:rsid w:val="00C43930"/>
    <w:rsid w:val="00C459BA"/>
    <w:rsid w:val="00C46195"/>
    <w:rsid w:val="00C51537"/>
    <w:rsid w:val="00C52BC3"/>
    <w:rsid w:val="00C5584B"/>
    <w:rsid w:val="00C60CBD"/>
    <w:rsid w:val="00C61AFA"/>
    <w:rsid w:val="00C61D64"/>
    <w:rsid w:val="00C62099"/>
    <w:rsid w:val="00C620B6"/>
    <w:rsid w:val="00C62B1E"/>
    <w:rsid w:val="00C64EA3"/>
    <w:rsid w:val="00C65823"/>
    <w:rsid w:val="00C667F6"/>
    <w:rsid w:val="00C6710B"/>
    <w:rsid w:val="00C72867"/>
    <w:rsid w:val="00C75E81"/>
    <w:rsid w:val="00C75F52"/>
    <w:rsid w:val="00C766AA"/>
    <w:rsid w:val="00C86609"/>
    <w:rsid w:val="00C92B4C"/>
    <w:rsid w:val="00C954F6"/>
    <w:rsid w:val="00C9566A"/>
    <w:rsid w:val="00C95D30"/>
    <w:rsid w:val="00CA19C6"/>
    <w:rsid w:val="00CA568C"/>
    <w:rsid w:val="00CA6BC5"/>
    <w:rsid w:val="00CA7EA2"/>
    <w:rsid w:val="00CB3E57"/>
    <w:rsid w:val="00CC1CCA"/>
    <w:rsid w:val="00CC61CD"/>
    <w:rsid w:val="00CD0F49"/>
    <w:rsid w:val="00CD5011"/>
    <w:rsid w:val="00CE640F"/>
    <w:rsid w:val="00CE705E"/>
    <w:rsid w:val="00CE76BC"/>
    <w:rsid w:val="00CF0850"/>
    <w:rsid w:val="00CF12A2"/>
    <w:rsid w:val="00CF26E1"/>
    <w:rsid w:val="00CF2DD7"/>
    <w:rsid w:val="00CF540E"/>
    <w:rsid w:val="00CF6209"/>
    <w:rsid w:val="00D01495"/>
    <w:rsid w:val="00D01C7E"/>
    <w:rsid w:val="00D02F07"/>
    <w:rsid w:val="00D033AC"/>
    <w:rsid w:val="00D04B89"/>
    <w:rsid w:val="00D053CB"/>
    <w:rsid w:val="00D0585D"/>
    <w:rsid w:val="00D2080B"/>
    <w:rsid w:val="00D23346"/>
    <w:rsid w:val="00D261E4"/>
    <w:rsid w:val="00D26C6E"/>
    <w:rsid w:val="00D26C82"/>
    <w:rsid w:val="00D27EBE"/>
    <w:rsid w:val="00D32CC3"/>
    <w:rsid w:val="00D36A49"/>
    <w:rsid w:val="00D410C9"/>
    <w:rsid w:val="00D517C6"/>
    <w:rsid w:val="00D64806"/>
    <w:rsid w:val="00D66D12"/>
    <w:rsid w:val="00D677EB"/>
    <w:rsid w:val="00D67B91"/>
    <w:rsid w:val="00D718FC"/>
    <w:rsid w:val="00D719EE"/>
    <w:rsid w:val="00D71D84"/>
    <w:rsid w:val="00D72464"/>
    <w:rsid w:val="00D75926"/>
    <w:rsid w:val="00D768EB"/>
    <w:rsid w:val="00D82D1E"/>
    <w:rsid w:val="00D832D9"/>
    <w:rsid w:val="00D90F00"/>
    <w:rsid w:val="00D94B12"/>
    <w:rsid w:val="00D94F6B"/>
    <w:rsid w:val="00D975C0"/>
    <w:rsid w:val="00DA1A72"/>
    <w:rsid w:val="00DA5285"/>
    <w:rsid w:val="00DB075A"/>
    <w:rsid w:val="00DB1467"/>
    <w:rsid w:val="00DB191D"/>
    <w:rsid w:val="00DB4F91"/>
    <w:rsid w:val="00DC00E3"/>
    <w:rsid w:val="00DC1EF7"/>
    <w:rsid w:val="00DC1F0F"/>
    <w:rsid w:val="00DC3117"/>
    <w:rsid w:val="00DC5DD9"/>
    <w:rsid w:val="00DC6D2D"/>
    <w:rsid w:val="00DD2845"/>
    <w:rsid w:val="00DD2B8C"/>
    <w:rsid w:val="00DD64C2"/>
    <w:rsid w:val="00DE067D"/>
    <w:rsid w:val="00DE33B5"/>
    <w:rsid w:val="00DE4C21"/>
    <w:rsid w:val="00DE5E18"/>
    <w:rsid w:val="00DE6E01"/>
    <w:rsid w:val="00DF0487"/>
    <w:rsid w:val="00DF3586"/>
    <w:rsid w:val="00DF58EF"/>
    <w:rsid w:val="00DF5EA4"/>
    <w:rsid w:val="00E02681"/>
    <w:rsid w:val="00E02792"/>
    <w:rsid w:val="00E034D8"/>
    <w:rsid w:val="00E038E1"/>
    <w:rsid w:val="00E04CC0"/>
    <w:rsid w:val="00E0516D"/>
    <w:rsid w:val="00E11A9D"/>
    <w:rsid w:val="00E1485E"/>
    <w:rsid w:val="00E15816"/>
    <w:rsid w:val="00E160D5"/>
    <w:rsid w:val="00E239FF"/>
    <w:rsid w:val="00E27D7B"/>
    <w:rsid w:val="00E30556"/>
    <w:rsid w:val="00E30981"/>
    <w:rsid w:val="00E33136"/>
    <w:rsid w:val="00E34D7C"/>
    <w:rsid w:val="00E35E8F"/>
    <w:rsid w:val="00E366E9"/>
    <w:rsid w:val="00E36C7E"/>
    <w:rsid w:val="00E3723D"/>
    <w:rsid w:val="00E411EE"/>
    <w:rsid w:val="00E44C89"/>
    <w:rsid w:val="00E45536"/>
    <w:rsid w:val="00E5188B"/>
    <w:rsid w:val="00E551CA"/>
    <w:rsid w:val="00E57BA2"/>
    <w:rsid w:val="00E61BA2"/>
    <w:rsid w:val="00E63586"/>
    <w:rsid w:val="00E63864"/>
    <w:rsid w:val="00E6403F"/>
    <w:rsid w:val="00E64725"/>
    <w:rsid w:val="00E6710D"/>
    <w:rsid w:val="00E67AEC"/>
    <w:rsid w:val="00E71328"/>
    <w:rsid w:val="00E770C4"/>
    <w:rsid w:val="00E77505"/>
    <w:rsid w:val="00E77ACA"/>
    <w:rsid w:val="00E80380"/>
    <w:rsid w:val="00E84C5A"/>
    <w:rsid w:val="00E861DB"/>
    <w:rsid w:val="00E90FA2"/>
    <w:rsid w:val="00E93406"/>
    <w:rsid w:val="00E956C5"/>
    <w:rsid w:val="00E95C39"/>
    <w:rsid w:val="00E9641C"/>
    <w:rsid w:val="00EA1715"/>
    <w:rsid w:val="00EA2C39"/>
    <w:rsid w:val="00EA3B37"/>
    <w:rsid w:val="00EA5004"/>
    <w:rsid w:val="00EA6881"/>
    <w:rsid w:val="00EB01AD"/>
    <w:rsid w:val="00EB0A3C"/>
    <w:rsid w:val="00EB0A96"/>
    <w:rsid w:val="00EB3C99"/>
    <w:rsid w:val="00EB3D43"/>
    <w:rsid w:val="00EB41D4"/>
    <w:rsid w:val="00EB42C8"/>
    <w:rsid w:val="00EB6A2F"/>
    <w:rsid w:val="00EB77F9"/>
    <w:rsid w:val="00EC4988"/>
    <w:rsid w:val="00EC5769"/>
    <w:rsid w:val="00EC7D00"/>
    <w:rsid w:val="00ED0304"/>
    <w:rsid w:val="00ED087C"/>
    <w:rsid w:val="00ED6C2A"/>
    <w:rsid w:val="00ED6EB6"/>
    <w:rsid w:val="00EE32A2"/>
    <w:rsid w:val="00EE38FA"/>
    <w:rsid w:val="00EE3E2C"/>
    <w:rsid w:val="00EE466C"/>
    <w:rsid w:val="00EE54CB"/>
    <w:rsid w:val="00EE5D23"/>
    <w:rsid w:val="00EE6E93"/>
    <w:rsid w:val="00EE750D"/>
    <w:rsid w:val="00EF127C"/>
    <w:rsid w:val="00EF25B8"/>
    <w:rsid w:val="00EF3CA4"/>
    <w:rsid w:val="00EF4404"/>
    <w:rsid w:val="00EF5E1F"/>
    <w:rsid w:val="00EF7859"/>
    <w:rsid w:val="00F014DA"/>
    <w:rsid w:val="00F02591"/>
    <w:rsid w:val="00F12A40"/>
    <w:rsid w:val="00F12A4D"/>
    <w:rsid w:val="00F13212"/>
    <w:rsid w:val="00F14273"/>
    <w:rsid w:val="00F15D8F"/>
    <w:rsid w:val="00F16611"/>
    <w:rsid w:val="00F168DF"/>
    <w:rsid w:val="00F16B6C"/>
    <w:rsid w:val="00F23932"/>
    <w:rsid w:val="00F24EC6"/>
    <w:rsid w:val="00F2599D"/>
    <w:rsid w:val="00F330A1"/>
    <w:rsid w:val="00F34F9D"/>
    <w:rsid w:val="00F35F8B"/>
    <w:rsid w:val="00F3755D"/>
    <w:rsid w:val="00F4053C"/>
    <w:rsid w:val="00F419B3"/>
    <w:rsid w:val="00F4299A"/>
    <w:rsid w:val="00F43908"/>
    <w:rsid w:val="00F479D5"/>
    <w:rsid w:val="00F5696E"/>
    <w:rsid w:val="00F57E8C"/>
    <w:rsid w:val="00F60EFF"/>
    <w:rsid w:val="00F67D2D"/>
    <w:rsid w:val="00F70155"/>
    <w:rsid w:val="00F8474D"/>
    <w:rsid w:val="00F860CC"/>
    <w:rsid w:val="00F90858"/>
    <w:rsid w:val="00F94398"/>
    <w:rsid w:val="00FA2078"/>
    <w:rsid w:val="00FA228B"/>
    <w:rsid w:val="00FA3D1A"/>
    <w:rsid w:val="00FA3EEC"/>
    <w:rsid w:val="00FA4629"/>
    <w:rsid w:val="00FA61C9"/>
    <w:rsid w:val="00FA64B4"/>
    <w:rsid w:val="00FA672F"/>
    <w:rsid w:val="00FA6B6D"/>
    <w:rsid w:val="00FB084F"/>
    <w:rsid w:val="00FB0A2D"/>
    <w:rsid w:val="00FB2B56"/>
    <w:rsid w:val="00FB4E3A"/>
    <w:rsid w:val="00FC0828"/>
    <w:rsid w:val="00FC12BF"/>
    <w:rsid w:val="00FC16A5"/>
    <w:rsid w:val="00FC1A7C"/>
    <w:rsid w:val="00FC2C60"/>
    <w:rsid w:val="00FC3E26"/>
    <w:rsid w:val="00FC64AB"/>
    <w:rsid w:val="00FC77AA"/>
    <w:rsid w:val="00FD0BEE"/>
    <w:rsid w:val="00FD26C4"/>
    <w:rsid w:val="00FD3839"/>
    <w:rsid w:val="00FD3D5C"/>
    <w:rsid w:val="00FD3E6F"/>
    <w:rsid w:val="00FD51B9"/>
    <w:rsid w:val="00FD5257"/>
    <w:rsid w:val="00FE2A39"/>
    <w:rsid w:val="00FE2EF6"/>
    <w:rsid w:val="00FF11A1"/>
    <w:rsid w:val="00FF2DD3"/>
    <w:rsid w:val="00FF39CF"/>
    <w:rsid w:val="00FF4A44"/>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2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9"/>
    <w:qFormat/>
    <w:rsid w:val="007155FA"/>
    <w:p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9"/>
    <w:qFormat/>
    <w:rsid w:val="00A7303B"/>
    <w:pPr>
      <w:keepNext/>
      <w:spacing w:before="240"/>
      <w:outlineLvl w:val="1"/>
    </w:pPr>
    <w:rPr>
      <w:rFonts w:asciiTheme="majorHAnsi" w:eastAsiaTheme="majorEastAsia" w:hAnsiTheme="majorHAnsi" w:cstheme="majorBidi"/>
      <w:bCs/>
      <w:iCs/>
      <w:noProof/>
      <w:color w:val="454347"/>
      <w:sz w:val="32"/>
      <w:szCs w:val="32"/>
      <w:lang w:eastAsia="en-AU"/>
    </w:rPr>
  </w:style>
  <w:style w:type="paragraph" w:styleId="Heading3">
    <w:name w:val="heading 3"/>
    <w:basedOn w:val="Normal"/>
    <w:next w:val="Normal"/>
    <w:link w:val="Heading3Char"/>
    <w:uiPriority w:val="9"/>
    <w:qFormat/>
    <w:rsid w:val="008775BF"/>
    <w:pPr>
      <w:keepNext/>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9"/>
    <w:qFormat/>
    <w:rsid w:val="00A7303B"/>
    <w:pPr>
      <w:spacing w:before="240" w:after="60"/>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9"/>
    <w:semiHidden/>
    <w:qFormat/>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9"/>
    <w:semiHidden/>
    <w:qFormat/>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9"/>
    <w:semiHidden/>
    <w:qFormat/>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9"/>
    <w:semiHidden/>
    <w:qFormat/>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9"/>
    <w:semiHidden/>
    <w:qFormat/>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qFormat/>
    <w:rsid w:val="003504FD"/>
  </w:style>
  <w:style w:type="character" w:customStyle="1" w:styleId="Heading1Char">
    <w:name w:val="Heading 1 Char"/>
    <w:basedOn w:val="DefaultParagraphFont"/>
    <w:link w:val="Heading1"/>
    <w:uiPriority w:val="9"/>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9"/>
    <w:rsid w:val="00A7303B"/>
    <w:rPr>
      <w:rFonts w:asciiTheme="majorHAnsi" w:eastAsiaTheme="majorEastAsia" w:hAnsiTheme="majorHAnsi" w:cstheme="majorBidi"/>
      <w:bCs/>
      <w:iCs/>
      <w:noProof/>
      <w:color w:val="454347"/>
      <w:sz w:val="32"/>
      <w:szCs w:val="32"/>
      <w:lang w:eastAsia="en-AU"/>
    </w:rPr>
  </w:style>
  <w:style w:type="paragraph" w:styleId="Title">
    <w:name w:val="Title"/>
    <w:basedOn w:val="Normal"/>
    <w:next w:val="Normal"/>
    <w:link w:val="TitleChar"/>
    <w:uiPriority w:val="10"/>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uiPriority w:val="10"/>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9"/>
    <w:rsid w:val="008775BF"/>
    <w:rPr>
      <w:rFonts w:asciiTheme="majorHAnsi" w:hAnsiTheme="majorHAnsi" w:cs="Arial"/>
      <w:bCs/>
      <w:color w:val="1F1F5F" w:themeColor="text1"/>
      <w:sz w:val="28"/>
      <w:szCs w:val="28"/>
    </w:rPr>
  </w:style>
  <w:style w:type="paragraph" w:styleId="BlockText">
    <w:name w:val="Block Text"/>
    <w:basedOn w:val="Normal"/>
    <w:link w:val="BlockTextChar"/>
    <w:uiPriority w:val="99"/>
    <w:semiHidden/>
    <w:rsid w:val="00414CB3"/>
    <w:rPr>
      <w:rFonts w:eastAsiaTheme="minorEastAsia"/>
      <w:iCs/>
    </w:rPr>
  </w:style>
  <w:style w:type="paragraph" w:styleId="Header">
    <w:name w:val="header"/>
    <w:aliases w:val="Page header"/>
    <w:basedOn w:val="Normal"/>
    <w:next w:val="Normal"/>
    <w:link w:val="HeaderChar"/>
    <w:uiPriority w:val="99"/>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99"/>
    <w:rsid w:val="00FC16A5"/>
    <w:rPr>
      <w:rFonts w:ascii="Lato" w:hAnsi="Lato"/>
    </w:rPr>
  </w:style>
  <w:style w:type="paragraph" w:styleId="Footer">
    <w:name w:val="footer"/>
    <w:aliases w:val="Footer Even"/>
    <w:basedOn w:val="Normal"/>
    <w:link w:val="FooterChar"/>
    <w:uiPriority w:val="99"/>
    <w:unhideWhenUsed/>
    <w:rsid w:val="004E7885"/>
    <w:pPr>
      <w:tabs>
        <w:tab w:val="center" w:pos="4513"/>
        <w:tab w:val="right" w:pos="9026"/>
      </w:tabs>
      <w:spacing w:after="0"/>
    </w:pPr>
  </w:style>
  <w:style w:type="character" w:customStyle="1" w:styleId="FooterChar">
    <w:name w:val="Footer Char"/>
    <w:aliases w:val="Footer Even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9"/>
    <w:rsid w:val="00A7303B"/>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rsid w:val="003B6A61"/>
    <w:pPr>
      <w:spacing w:after="120"/>
    </w:pPr>
  </w:style>
  <w:style w:type="table" w:styleId="TableGrid">
    <w:name w:val="Table Grid"/>
    <w:aliases w:val="DTF Table 4"/>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1E1C6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tcPr>
      <w:shd w:val="clear" w:color="auto" w:fill="auto"/>
    </w:tc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9"/>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9"/>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9"/>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9"/>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99"/>
    <w:semiHidden/>
    <w:rsid w:val="00A22C38"/>
    <w:pPr>
      <w:spacing w:after="120"/>
    </w:pPr>
  </w:style>
  <w:style w:type="paragraph" w:styleId="ListNumber4">
    <w:name w:val="List Number 4"/>
    <w:aliases w:val="Number list level 4"/>
    <w:basedOn w:val="Normal"/>
    <w:uiPriority w:val="99"/>
    <w:semiHidden/>
    <w:rsid w:val="00A22C38"/>
    <w:pPr>
      <w:spacing w:after="120"/>
    </w:pPr>
  </w:style>
  <w:style w:type="paragraph" w:styleId="ListNumber5">
    <w:name w:val="List Number 5"/>
    <w:aliases w:val="List number 5 - with space"/>
    <w:basedOn w:val="Normal"/>
    <w:uiPriority w:val="99"/>
    <w:semiHidden/>
    <w:rsid w:val="00A22C38"/>
    <w:pPr>
      <w:spacing w:after="120"/>
    </w:pPr>
  </w:style>
  <w:style w:type="paragraph" w:styleId="ListBullet">
    <w:name w:val="List Bullet"/>
    <w:aliases w:val="Bullet list level 1"/>
    <w:basedOn w:val="Normal"/>
    <w:uiPriority w:val="99"/>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99"/>
    <w:semiHidden/>
    <w:rsid w:val="006847AD"/>
    <w:pPr>
      <w:numPr>
        <w:ilvl w:val="2"/>
        <w:numId w:val="8"/>
      </w:numPr>
      <w:spacing w:after="120"/>
    </w:pPr>
  </w:style>
  <w:style w:type="paragraph" w:styleId="ListBullet4">
    <w:name w:val="List Bullet 4"/>
    <w:aliases w:val="Bullet list level 4"/>
    <w:basedOn w:val="Normal"/>
    <w:uiPriority w:val="99"/>
    <w:semiHidden/>
    <w:rsid w:val="006847AD"/>
    <w:pPr>
      <w:numPr>
        <w:ilvl w:val="3"/>
        <w:numId w:val="8"/>
      </w:numPr>
      <w:spacing w:after="120"/>
    </w:pPr>
  </w:style>
  <w:style w:type="paragraph" w:styleId="ListBullet5">
    <w:name w:val="List Bullet 5"/>
    <w:aliases w:val="Bullet list level 5"/>
    <w:basedOn w:val="Normal"/>
    <w:uiPriority w:val="99"/>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35"/>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350088"/>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nhideWhenUsed/>
    <w:rsid w:val="000B6E48"/>
    <w:pPr>
      <w:spacing w:after="0"/>
    </w:pPr>
    <w:rPr>
      <w:sz w:val="20"/>
      <w:szCs w:val="20"/>
    </w:rPr>
  </w:style>
  <w:style w:type="character" w:customStyle="1" w:styleId="FootnoteTextChar">
    <w:name w:val="Footnote Text Char"/>
    <w:basedOn w:val="DefaultParagraphFont"/>
    <w:link w:val="FootnoteText"/>
    <w:rsid w:val="000B6E48"/>
    <w:rPr>
      <w:rFonts w:ascii="Lato" w:hAnsi="Lato"/>
      <w:sz w:val="20"/>
      <w:szCs w:val="20"/>
    </w:rPr>
  </w:style>
  <w:style w:type="character" w:styleId="FootnoteReference">
    <w:name w:val="footnote reference"/>
    <w:basedOn w:val="DefaultParagraphFont"/>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paragraph" w:styleId="BalloonText">
    <w:name w:val="Balloon Text"/>
    <w:basedOn w:val="Normal"/>
    <w:link w:val="BalloonTextChar"/>
    <w:unhideWhenUsed/>
    <w:rsid w:val="00375B9D"/>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rsid w:val="00375B9D"/>
    <w:rPr>
      <w:rFonts w:ascii="Tahoma" w:eastAsiaTheme="minorHAnsi" w:hAnsi="Tahoma" w:cs="Tahoma"/>
      <w:sz w:val="16"/>
      <w:szCs w:val="16"/>
    </w:rPr>
  </w:style>
  <w:style w:type="paragraph" w:styleId="Bibliography">
    <w:name w:val="Bibliography"/>
    <w:basedOn w:val="Normal"/>
    <w:next w:val="Normal"/>
    <w:uiPriority w:val="37"/>
    <w:semiHidden/>
    <w:unhideWhenUsed/>
    <w:rsid w:val="00375B9D"/>
    <w:pPr>
      <w:spacing w:line="276" w:lineRule="auto"/>
    </w:pPr>
    <w:rPr>
      <w:rFonts w:ascii="Arial MT Std Light" w:eastAsiaTheme="minorHAnsi" w:hAnsi="Arial MT Std Light" w:cstheme="minorBidi"/>
    </w:rPr>
  </w:style>
  <w:style w:type="paragraph" w:customStyle="1" w:styleId="DTFPublicationDate">
    <w:name w:val="DTF Publication Date"/>
    <w:basedOn w:val="Normal"/>
    <w:rsid w:val="00375B9D"/>
    <w:pPr>
      <w:keepLines/>
      <w:suppressAutoHyphens/>
      <w:autoSpaceDE w:val="0"/>
      <w:autoSpaceDN w:val="0"/>
      <w:adjustRightInd w:val="0"/>
      <w:spacing w:after="60"/>
      <w:jc w:val="right"/>
      <w:textAlignment w:val="center"/>
    </w:pPr>
    <w:rPr>
      <w:rFonts w:ascii="Arial MT Std Light" w:eastAsia="Times New Roman" w:hAnsi="Arial MT Std Light" w:cs="Arial MT Std Light"/>
      <w:noProof/>
      <w:color w:val="FFFFFF" w:themeColor="background1"/>
      <w:sz w:val="28"/>
      <w:szCs w:val="28"/>
      <w:lang w:eastAsia="en-AU"/>
    </w:rPr>
  </w:style>
  <w:style w:type="paragraph" w:customStyle="1" w:styleId="DTFFooterEvenPage">
    <w:name w:val="DTF Footer (Even Page)"/>
    <w:basedOn w:val="Footer"/>
    <w:rsid w:val="00375B9D"/>
    <w:pPr>
      <w:pageBreakBefore/>
      <w:tabs>
        <w:tab w:val="clear" w:pos="4513"/>
        <w:tab w:val="clear" w:pos="9026"/>
      </w:tabs>
      <w:suppressAutoHyphens/>
      <w:autoSpaceDE w:val="0"/>
      <w:autoSpaceDN w:val="0"/>
      <w:adjustRightInd w:val="0"/>
      <w:spacing w:line="320" w:lineRule="atLeast"/>
      <w:textAlignment w:val="center"/>
    </w:pPr>
    <w:rPr>
      <w:rFonts w:ascii="Arial MT Std Light" w:eastAsiaTheme="minorHAnsi" w:hAnsi="Arial MT Std Light" w:cs="Arial MT Std Light"/>
      <w:color w:val="165788"/>
      <w:position w:val="-4"/>
      <w:sz w:val="20"/>
      <w:szCs w:val="20"/>
    </w:rPr>
  </w:style>
  <w:style w:type="paragraph" w:customStyle="1" w:styleId="DTFChapterHeading">
    <w:name w:val="DTF Chapter Heading"/>
    <w:basedOn w:val="Normal"/>
    <w:rsid w:val="00375B9D"/>
    <w:pPr>
      <w:keepNext/>
      <w:suppressAutoHyphens/>
      <w:autoSpaceDE w:val="0"/>
      <w:autoSpaceDN w:val="0"/>
      <w:adjustRightInd w:val="0"/>
      <w:spacing w:after="170" w:line="520" w:lineRule="atLeast"/>
      <w:textAlignment w:val="baseline"/>
    </w:pPr>
    <w:rPr>
      <w:rFonts w:ascii="Arial MT Std Light" w:eastAsia="Times New Roman" w:hAnsi="Arial MT Std Light" w:cs="Arial MT Std"/>
      <w:color w:val="165788"/>
      <w:w w:val="90"/>
      <w:sz w:val="44"/>
      <w:szCs w:val="44"/>
      <w:lang w:eastAsia="en-AU"/>
    </w:rPr>
  </w:style>
  <w:style w:type="paragraph" w:styleId="BodyText2">
    <w:name w:val="Body Text 2"/>
    <w:basedOn w:val="Normal"/>
    <w:link w:val="BodyText2Char"/>
    <w:uiPriority w:val="99"/>
    <w:semiHidden/>
    <w:unhideWhenUsed/>
    <w:rsid w:val="00375B9D"/>
    <w:pPr>
      <w:spacing w:after="120" w:line="480" w:lineRule="auto"/>
    </w:pPr>
    <w:rPr>
      <w:rFonts w:ascii="Arial MT Std Light" w:eastAsiaTheme="minorHAnsi" w:hAnsi="Arial MT Std Light" w:cstheme="minorBidi"/>
    </w:rPr>
  </w:style>
  <w:style w:type="character" w:customStyle="1" w:styleId="BodyText2Char">
    <w:name w:val="Body Text 2 Char"/>
    <w:basedOn w:val="DefaultParagraphFont"/>
    <w:link w:val="BodyText2"/>
    <w:uiPriority w:val="99"/>
    <w:semiHidden/>
    <w:rsid w:val="00375B9D"/>
    <w:rPr>
      <w:rFonts w:ascii="Arial MT Std Light" w:eastAsiaTheme="minorHAnsi" w:hAnsi="Arial MT Std Light" w:cstheme="minorBidi"/>
    </w:rPr>
  </w:style>
  <w:style w:type="paragraph" w:customStyle="1" w:styleId="DTFTableFigureHeading">
    <w:name w:val="DTF Table/Figure Heading"/>
    <w:basedOn w:val="Normal"/>
    <w:rsid w:val="00375B9D"/>
    <w:pPr>
      <w:tabs>
        <w:tab w:val="right" w:pos="3061"/>
        <w:tab w:val="right" w:pos="4819"/>
        <w:tab w:val="right" w:pos="6480"/>
      </w:tabs>
      <w:suppressAutoHyphens/>
      <w:autoSpaceDE w:val="0"/>
      <w:autoSpaceDN w:val="0"/>
      <w:adjustRightInd w:val="0"/>
      <w:spacing w:after="28" w:line="300" w:lineRule="atLeast"/>
      <w:ind w:left="1417"/>
      <w:textAlignment w:val="center"/>
    </w:pPr>
    <w:rPr>
      <w:rFonts w:ascii="Arial MT Std Light" w:eastAsia="Times New Roman" w:hAnsi="Arial MT Std Light" w:cs="Arial"/>
      <w:color w:val="E37222"/>
      <w:w w:val="90"/>
      <w:lang w:eastAsia="en-AU"/>
    </w:rPr>
  </w:style>
  <w:style w:type="paragraph" w:styleId="BodyText3">
    <w:name w:val="Body Text 3"/>
    <w:basedOn w:val="Normal"/>
    <w:link w:val="BodyText3Char"/>
    <w:uiPriority w:val="99"/>
    <w:semiHidden/>
    <w:unhideWhenUsed/>
    <w:rsid w:val="00375B9D"/>
    <w:pPr>
      <w:spacing w:after="120" w:line="276" w:lineRule="auto"/>
    </w:pPr>
    <w:rPr>
      <w:rFonts w:ascii="Arial MT Std Light" w:eastAsiaTheme="minorHAnsi" w:hAnsi="Arial MT Std Light" w:cstheme="minorBidi"/>
      <w:sz w:val="16"/>
      <w:szCs w:val="16"/>
    </w:rPr>
  </w:style>
  <w:style w:type="character" w:customStyle="1" w:styleId="BodyText3Char">
    <w:name w:val="Body Text 3 Char"/>
    <w:basedOn w:val="DefaultParagraphFont"/>
    <w:link w:val="BodyText3"/>
    <w:uiPriority w:val="99"/>
    <w:semiHidden/>
    <w:rsid w:val="00375B9D"/>
    <w:rPr>
      <w:rFonts w:ascii="Arial MT Std Light" w:eastAsiaTheme="minorHAnsi" w:hAnsi="Arial MT Std Light" w:cstheme="minorBidi"/>
      <w:sz w:val="16"/>
      <w:szCs w:val="16"/>
    </w:rPr>
  </w:style>
  <w:style w:type="paragraph" w:customStyle="1" w:styleId="DTFTableBody">
    <w:name w:val="DTF Table Body"/>
    <w:basedOn w:val="Normal"/>
    <w:rsid w:val="00375B9D"/>
    <w:pPr>
      <w:suppressAutoHyphens/>
      <w:autoSpaceDE w:val="0"/>
      <w:autoSpaceDN w:val="0"/>
      <w:adjustRightInd w:val="0"/>
      <w:spacing w:after="0"/>
      <w:textAlignment w:val="center"/>
    </w:pPr>
    <w:rPr>
      <w:rFonts w:ascii="Arial MT Std Light" w:eastAsia="Times New Roman" w:hAnsi="Arial MT Std Light" w:cs="Arial"/>
      <w:color w:val="000000"/>
      <w:w w:val="90"/>
      <w:sz w:val="18"/>
      <w:szCs w:val="18"/>
      <w:lang w:eastAsia="en-AU"/>
    </w:rPr>
  </w:style>
  <w:style w:type="paragraph" w:customStyle="1" w:styleId="DTFTableHeading">
    <w:name w:val="DTF Table Heading"/>
    <w:basedOn w:val="DTFTableBody"/>
    <w:rsid w:val="00375B9D"/>
    <w:pPr>
      <w:jc w:val="center"/>
    </w:pPr>
  </w:style>
  <w:style w:type="paragraph" w:customStyle="1" w:styleId="DTFTableNumbers">
    <w:name w:val="DTF Table Numbers"/>
    <w:basedOn w:val="DTFTableBody"/>
    <w:rsid w:val="00375B9D"/>
    <w:pPr>
      <w:jc w:val="right"/>
    </w:pPr>
    <w:rPr>
      <w:color w:val="auto"/>
    </w:rPr>
  </w:style>
  <w:style w:type="paragraph" w:customStyle="1" w:styleId="DTFTableIndent">
    <w:name w:val="DTF Table Indent"/>
    <w:basedOn w:val="DTFTableBody"/>
    <w:rsid w:val="00375B9D"/>
    <w:pPr>
      <w:ind w:left="170"/>
    </w:pPr>
  </w:style>
  <w:style w:type="character" w:customStyle="1" w:styleId="DTFColourTextPMS647">
    <w:name w:val="DTF Colour Text PMS 647"/>
    <w:uiPriority w:val="1"/>
    <w:rsid w:val="00375B9D"/>
    <w:rPr>
      <w:color w:val="165788"/>
      <w:u w:color="0035C4"/>
    </w:rPr>
  </w:style>
  <w:style w:type="character" w:customStyle="1" w:styleId="DTFHyperlinkColour">
    <w:name w:val="DTF Hyperlink Colour"/>
    <w:uiPriority w:val="1"/>
    <w:rsid w:val="00375B9D"/>
    <w:rPr>
      <w:color w:val="165788"/>
      <w:u w:color="0035C4"/>
    </w:rPr>
  </w:style>
  <w:style w:type="paragraph" w:styleId="BodyTextFirstIndent">
    <w:name w:val="Body Text First Indent"/>
    <w:basedOn w:val="Normal"/>
    <w:link w:val="BodyTextFirstIndentChar"/>
    <w:uiPriority w:val="99"/>
    <w:semiHidden/>
    <w:unhideWhenUsed/>
    <w:rsid w:val="00375B9D"/>
    <w:pPr>
      <w:spacing w:line="276" w:lineRule="auto"/>
      <w:ind w:firstLine="360"/>
    </w:pPr>
    <w:rPr>
      <w:rFonts w:ascii="Arial MT Std Light" w:eastAsiaTheme="minorHAnsi" w:hAnsi="Arial MT Std Light" w:cstheme="minorBidi"/>
    </w:rPr>
  </w:style>
  <w:style w:type="character" w:customStyle="1" w:styleId="BodyTextFirstIndentChar">
    <w:name w:val="Body Text First Indent Char"/>
    <w:basedOn w:val="BodyTextChar"/>
    <w:link w:val="BodyTextFirstIndent"/>
    <w:uiPriority w:val="99"/>
    <w:semiHidden/>
    <w:rsid w:val="00375B9D"/>
    <w:rPr>
      <w:rFonts w:ascii="Arial MT Std Light" w:eastAsiaTheme="minorHAnsi" w:hAnsi="Arial MT Std Light" w:cstheme="minorBidi"/>
      <w:sz w:val="22"/>
      <w:szCs w:val="22"/>
    </w:rPr>
  </w:style>
  <w:style w:type="paragraph" w:customStyle="1" w:styleId="DTFPublicationHeading">
    <w:name w:val="DTF Publication Heading"/>
    <w:basedOn w:val="Normal"/>
    <w:rsid w:val="00375B9D"/>
    <w:pPr>
      <w:keepLines/>
      <w:pBdr>
        <w:bottom w:val="single" w:sz="8" w:space="6" w:color="FFFFFF"/>
      </w:pBdr>
      <w:suppressAutoHyphens/>
      <w:autoSpaceDE w:val="0"/>
      <w:autoSpaceDN w:val="0"/>
      <w:adjustRightInd w:val="0"/>
      <w:spacing w:after="283" w:line="720" w:lineRule="atLeast"/>
      <w:jc w:val="right"/>
      <w:textAlignment w:val="center"/>
    </w:pPr>
    <w:rPr>
      <w:rFonts w:ascii="Arial MT Std Light" w:eastAsiaTheme="minorHAnsi" w:hAnsi="Arial MT Std Light" w:cs="Arial MT Std Light"/>
      <w:color w:val="FFFFFF"/>
      <w:w w:val="90"/>
      <w:sz w:val="60"/>
      <w:szCs w:val="60"/>
    </w:rPr>
  </w:style>
  <w:style w:type="paragraph" w:customStyle="1" w:styleId="DTFPublicationHeading2">
    <w:name w:val="DTF Publication Heading 2"/>
    <w:basedOn w:val="Normal"/>
    <w:rsid w:val="00375B9D"/>
    <w:pPr>
      <w:keepLines/>
      <w:suppressAutoHyphens/>
      <w:autoSpaceDE w:val="0"/>
      <w:autoSpaceDN w:val="0"/>
      <w:adjustRightInd w:val="0"/>
      <w:spacing w:after="283" w:line="600" w:lineRule="atLeast"/>
      <w:jc w:val="right"/>
      <w:textAlignment w:val="center"/>
    </w:pPr>
    <w:rPr>
      <w:rFonts w:ascii="Arial MT Std Light" w:eastAsiaTheme="minorHAnsi" w:hAnsi="Arial MT Std Light" w:cs="Arial MT Std Light Cond"/>
      <w:color w:val="FFFFFF"/>
      <w:w w:val="90"/>
      <w:sz w:val="48"/>
      <w:szCs w:val="48"/>
    </w:rPr>
  </w:style>
  <w:style w:type="paragraph" w:customStyle="1" w:styleId="DTFFooterOddPage">
    <w:name w:val="DTF Footer (Odd Page)"/>
    <w:basedOn w:val="Normal"/>
    <w:rsid w:val="00375B9D"/>
    <w:pPr>
      <w:pageBreakBefore/>
      <w:suppressAutoHyphens/>
      <w:autoSpaceDE w:val="0"/>
      <w:autoSpaceDN w:val="0"/>
      <w:adjustRightInd w:val="0"/>
      <w:spacing w:after="0" w:line="320" w:lineRule="atLeast"/>
      <w:jc w:val="right"/>
      <w:textAlignment w:val="center"/>
    </w:pPr>
    <w:rPr>
      <w:rFonts w:ascii="Arial MT Std Light" w:eastAsiaTheme="minorHAnsi" w:hAnsi="Arial MT Std Light" w:cs="Arial MT Std Light"/>
      <w:color w:val="165788"/>
      <w:position w:val="-4"/>
      <w:sz w:val="20"/>
      <w:szCs w:val="20"/>
    </w:rPr>
  </w:style>
  <w:style w:type="paragraph" w:customStyle="1" w:styleId="DTFPublicationIdentifier">
    <w:name w:val="DTF Publication Identifier"/>
    <w:basedOn w:val="Normal"/>
    <w:rsid w:val="00375B9D"/>
    <w:pPr>
      <w:keepLines/>
      <w:suppressAutoHyphens/>
      <w:autoSpaceDE w:val="0"/>
      <w:autoSpaceDN w:val="0"/>
      <w:adjustRightInd w:val="0"/>
      <w:spacing w:after="0"/>
      <w:jc w:val="right"/>
      <w:textAlignment w:val="center"/>
    </w:pPr>
    <w:rPr>
      <w:rFonts w:ascii="Arial MT Std Light" w:eastAsiaTheme="minorHAnsi" w:hAnsi="Arial MT Std Light" w:cs="Arial MT Std Light"/>
      <w:color w:val="FFFFFF" w:themeColor="background1"/>
      <w:sz w:val="20"/>
      <w:szCs w:val="20"/>
    </w:rPr>
  </w:style>
  <w:style w:type="character" w:customStyle="1" w:styleId="DTFItalics">
    <w:name w:val="DTF Italics"/>
    <w:uiPriority w:val="1"/>
    <w:rsid w:val="00375B9D"/>
    <w:rPr>
      <w:i/>
    </w:rPr>
  </w:style>
  <w:style w:type="paragraph" w:customStyle="1" w:styleId="DTFNumberedText">
    <w:name w:val="DTF Numbered Text"/>
    <w:basedOn w:val="Normal"/>
    <w:rsid w:val="00375B9D"/>
    <w:pPr>
      <w:numPr>
        <w:numId w:val="18"/>
      </w:numPr>
      <w:suppressAutoHyphens/>
      <w:autoSpaceDE w:val="0"/>
      <w:autoSpaceDN w:val="0"/>
      <w:adjustRightInd w:val="0"/>
      <w:spacing w:after="120" w:line="300" w:lineRule="atLeast"/>
      <w:textAlignment w:val="center"/>
    </w:pPr>
    <w:rPr>
      <w:rFonts w:ascii="Arial MT Std Light" w:eastAsia="Times New Roman" w:hAnsi="Arial MT Std Light" w:cs="Arial MT Std Light"/>
      <w:color w:val="000000"/>
      <w:w w:val="90"/>
      <w:lang w:eastAsia="en-AU"/>
    </w:rPr>
  </w:style>
  <w:style w:type="character" w:styleId="Strong">
    <w:name w:val="Strong"/>
    <w:aliases w:val="Bold"/>
    <w:basedOn w:val="DefaultParagraphFont"/>
    <w:uiPriority w:val="22"/>
    <w:semiHidden/>
    <w:qFormat/>
    <w:rsid w:val="00375B9D"/>
    <w:rPr>
      <w:b/>
    </w:rPr>
  </w:style>
  <w:style w:type="character" w:customStyle="1" w:styleId="DTFBold">
    <w:name w:val="DTF Bold"/>
    <w:basedOn w:val="Strong"/>
    <w:uiPriority w:val="1"/>
    <w:rsid w:val="00375B9D"/>
    <w:rPr>
      <w:b/>
    </w:rPr>
  </w:style>
  <w:style w:type="paragraph" w:styleId="BodyTextIndent">
    <w:name w:val="Body Text Indent"/>
    <w:basedOn w:val="Normal"/>
    <w:link w:val="BodyTextIndentChar"/>
    <w:uiPriority w:val="99"/>
    <w:semiHidden/>
    <w:unhideWhenUsed/>
    <w:rsid w:val="00375B9D"/>
    <w:pPr>
      <w:spacing w:after="120" w:line="276" w:lineRule="auto"/>
      <w:ind w:left="283"/>
    </w:pPr>
    <w:rPr>
      <w:rFonts w:ascii="Arial MT Std Light" w:eastAsiaTheme="minorHAnsi" w:hAnsi="Arial MT Std Light" w:cstheme="minorBidi"/>
    </w:rPr>
  </w:style>
  <w:style w:type="character" w:customStyle="1" w:styleId="BodyTextIndentChar">
    <w:name w:val="Body Text Indent Char"/>
    <w:basedOn w:val="DefaultParagraphFont"/>
    <w:link w:val="BodyTextIndent"/>
    <w:uiPriority w:val="99"/>
    <w:semiHidden/>
    <w:rsid w:val="00375B9D"/>
    <w:rPr>
      <w:rFonts w:ascii="Arial MT Std Light" w:eastAsiaTheme="minorHAnsi" w:hAnsi="Arial MT Std Light" w:cstheme="minorBidi"/>
    </w:rPr>
  </w:style>
  <w:style w:type="paragraph" w:styleId="BodyTextFirstIndent2">
    <w:name w:val="Body Text First Indent 2"/>
    <w:basedOn w:val="BodyTextIndent"/>
    <w:link w:val="BodyTextFirstIndent2Char"/>
    <w:uiPriority w:val="99"/>
    <w:semiHidden/>
    <w:unhideWhenUsed/>
    <w:rsid w:val="00375B9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375B9D"/>
    <w:rPr>
      <w:rFonts w:ascii="Arial MT Std Light" w:eastAsiaTheme="minorHAnsi" w:hAnsi="Arial MT Std Light" w:cstheme="minorBidi"/>
    </w:rPr>
  </w:style>
  <w:style w:type="paragraph" w:styleId="BodyTextIndent2">
    <w:name w:val="Body Text Indent 2"/>
    <w:basedOn w:val="Normal"/>
    <w:link w:val="BodyTextIndent2Char"/>
    <w:uiPriority w:val="99"/>
    <w:semiHidden/>
    <w:unhideWhenUsed/>
    <w:rsid w:val="00375B9D"/>
    <w:pPr>
      <w:spacing w:after="120" w:line="480" w:lineRule="auto"/>
      <w:ind w:left="283"/>
    </w:pPr>
    <w:rPr>
      <w:rFonts w:ascii="Arial MT Std Light" w:eastAsiaTheme="minorHAnsi" w:hAnsi="Arial MT Std Light" w:cstheme="minorBidi"/>
    </w:rPr>
  </w:style>
  <w:style w:type="character" w:customStyle="1" w:styleId="BodyTextIndent2Char">
    <w:name w:val="Body Text Indent 2 Char"/>
    <w:basedOn w:val="DefaultParagraphFont"/>
    <w:link w:val="BodyTextIndent2"/>
    <w:uiPriority w:val="99"/>
    <w:semiHidden/>
    <w:rsid w:val="00375B9D"/>
    <w:rPr>
      <w:rFonts w:ascii="Arial MT Std Light" w:eastAsiaTheme="minorHAnsi" w:hAnsi="Arial MT Std Light" w:cstheme="minorBidi"/>
    </w:rPr>
  </w:style>
  <w:style w:type="paragraph" w:styleId="BodyTextIndent3">
    <w:name w:val="Body Text Indent 3"/>
    <w:basedOn w:val="Normal"/>
    <w:link w:val="BodyTextIndent3Char"/>
    <w:uiPriority w:val="99"/>
    <w:semiHidden/>
    <w:unhideWhenUsed/>
    <w:rsid w:val="00375B9D"/>
    <w:pPr>
      <w:spacing w:after="120" w:line="276" w:lineRule="auto"/>
      <w:ind w:left="283"/>
    </w:pPr>
    <w:rPr>
      <w:rFonts w:ascii="Arial MT Std Light" w:eastAsiaTheme="minorHAnsi" w:hAnsi="Arial MT Std Light" w:cstheme="minorBidi"/>
      <w:sz w:val="16"/>
      <w:szCs w:val="16"/>
    </w:rPr>
  </w:style>
  <w:style w:type="character" w:customStyle="1" w:styleId="BodyTextIndent3Char">
    <w:name w:val="Body Text Indent 3 Char"/>
    <w:basedOn w:val="DefaultParagraphFont"/>
    <w:link w:val="BodyTextIndent3"/>
    <w:uiPriority w:val="99"/>
    <w:semiHidden/>
    <w:rsid w:val="00375B9D"/>
    <w:rPr>
      <w:rFonts w:ascii="Arial MT Std Light" w:eastAsiaTheme="minorHAnsi" w:hAnsi="Arial MT Std Light" w:cstheme="minorBidi"/>
      <w:sz w:val="16"/>
      <w:szCs w:val="16"/>
    </w:rPr>
  </w:style>
  <w:style w:type="paragraph" w:styleId="Closing">
    <w:name w:val="Closing"/>
    <w:basedOn w:val="Normal"/>
    <w:link w:val="ClosingChar"/>
    <w:uiPriority w:val="99"/>
    <w:semiHidden/>
    <w:unhideWhenUsed/>
    <w:rsid w:val="00375B9D"/>
    <w:pPr>
      <w:spacing w:after="0"/>
      <w:ind w:left="4252"/>
    </w:pPr>
    <w:rPr>
      <w:rFonts w:ascii="Arial MT Std Light" w:eastAsiaTheme="minorHAnsi" w:hAnsi="Arial MT Std Light" w:cstheme="minorBidi"/>
    </w:rPr>
  </w:style>
  <w:style w:type="character" w:customStyle="1" w:styleId="ClosingChar">
    <w:name w:val="Closing Char"/>
    <w:basedOn w:val="DefaultParagraphFont"/>
    <w:link w:val="Closing"/>
    <w:uiPriority w:val="99"/>
    <w:semiHidden/>
    <w:rsid w:val="00375B9D"/>
    <w:rPr>
      <w:rFonts w:ascii="Arial MT Std Light" w:eastAsiaTheme="minorHAnsi" w:hAnsi="Arial MT Std Light" w:cstheme="minorBidi"/>
    </w:rPr>
  </w:style>
  <w:style w:type="paragraph" w:styleId="CommentText">
    <w:name w:val="annotation text"/>
    <w:basedOn w:val="Normal"/>
    <w:link w:val="CommentTextChar"/>
    <w:uiPriority w:val="99"/>
    <w:unhideWhenUsed/>
    <w:rsid w:val="00375B9D"/>
    <w:rPr>
      <w:rFonts w:ascii="Arial MT Std Light" w:eastAsiaTheme="minorHAnsi" w:hAnsi="Arial MT Std Light" w:cstheme="minorBidi"/>
      <w:sz w:val="20"/>
      <w:szCs w:val="20"/>
    </w:rPr>
  </w:style>
  <w:style w:type="character" w:customStyle="1" w:styleId="CommentTextChar">
    <w:name w:val="Comment Text Char"/>
    <w:basedOn w:val="DefaultParagraphFont"/>
    <w:link w:val="CommentText"/>
    <w:uiPriority w:val="99"/>
    <w:rsid w:val="00375B9D"/>
    <w:rPr>
      <w:rFonts w:ascii="Arial MT Std Light" w:eastAsiaTheme="minorHAnsi" w:hAnsi="Arial MT Std Light" w:cstheme="minorBidi"/>
      <w:sz w:val="20"/>
      <w:szCs w:val="20"/>
    </w:rPr>
  </w:style>
  <w:style w:type="paragraph" w:styleId="CommentSubject">
    <w:name w:val="annotation subject"/>
    <w:basedOn w:val="CommentText"/>
    <w:next w:val="CommentText"/>
    <w:link w:val="CommentSubjectChar"/>
    <w:uiPriority w:val="99"/>
    <w:semiHidden/>
    <w:unhideWhenUsed/>
    <w:rsid w:val="00375B9D"/>
    <w:rPr>
      <w:b/>
      <w:bCs/>
    </w:rPr>
  </w:style>
  <w:style w:type="character" w:customStyle="1" w:styleId="CommentSubjectChar">
    <w:name w:val="Comment Subject Char"/>
    <w:basedOn w:val="CommentTextChar"/>
    <w:link w:val="CommentSubject"/>
    <w:uiPriority w:val="99"/>
    <w:semiHidden/>
    <w:rsid w:val="00375B9D"/>
    <w:rPr>
      <w:rFonts w:ascii="Arial MT Std Light" w:eastAsiaTheme="minorHAnsi" w:hAnsi="Arial MT Std Light" w:cstheme="minorBidi"/>
      <w:b/>
      <w:bCs/>
      <w:sz w:val="20"/>
      <w:szCs w:val="20"/>
    </w:rPr>
  </w:style>
  <w:style w:type="paragraph" w:styleId="Date">
    <w:name w:val="Date"/>
    <w:basedOn w:val="Normal"/>
    <w:next w:val="Normal"/>
    <w:link w:val="DateChar"/>
    <w:uiPriority w:val="99"/>
    <w:semiHidden/>
    <w:unhideWhenUsed/>
    <w:rsid w:val="00375B9D"/>
    <w:pPr>
      <w:spacing w:line="276" w:lineRule="auto"/>
    </w:pPr>
    <w:rPr>
      <w:rFonts w:ascii="Arial MT Std Light" w:eastAsiaTheme="minorHAnsi" w:hAnsi="Arial MT Std Light" w:cstheme="minorBidi"/>
    </w:rPr>
  </w:style>
  <w:style w:type="character" w:customStyle="1" w:styleId="DateChar">
    <w:name w:val="Date Char"/>
    <w:basedOn w:val="DefaultParagraphFont"/>
    <w:link w:val="Date"/>
    <w:uiPriority w:val="99"/>
    <w:semiHidden/>
    <w:rsid w:val="00375B9D"/>
    <w:rPr>
      <w:rFonts w:ascii="Arial MT Std Light" w:eastAsiaTheme="minorHAnsi" w:hAnsi="Arial MT Std Light" w:cstheme="minorBidi"/>
    </w:rPr>
  </w:style>
  <w:style w:type="paragraph" w:styleId="DocumentMap">
    <w:name w:val="Document Map"/>
    <w:basedOn w:val="Normal"/>
    <w:link w:val="DocumentMapChar"/>
    <w:uiPriority w:val="99"/>
    <w:semiHidden/>
    <w:unhideWhenUsed/>
    <w:rsid w:val="00375B9D"/>
    <w:pPr>
      <w:spacing w:after="0"/>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375B9D"/>
    <w:rPr>
      <w:rFonts w:ascii="Tahoma" w:eastAsiaTheme="minorHAnsi" w:hAnsi="Tahoma" w:cs="Tahoma"/>
      <w:sz w:val="16"/>
      <w:szCs w:val="16"/>
    </w:rPr>
  </w:style>
  <w:style w:type="paragraph" w:styleId="E-mailSignature">
    <w:name w:val="E-mail Signature"/>
    <w:basedOn w:val="Normal"/>
    <w:link w:val="E-mailSignatureChar"/>
    <w:uiPriority w:val="99"/>
    <w:semiHidden/>
    <w:unhideWhenUsed/>
    <w:rsid w:val="00375B9D"/>
    <w:pPr>
      <w:spacing w:after="0"/>
    </w:pPr>
    <w:rPr>
      <w:rFonts w:ascii="Arial MT Std Light" w:eastAsiaTheme="minorHAnsi" w:hAnsi="Arial MT Std Light" w:cstheme="minorBidi"/>
    </w:rPr>
  </w:style>
  <w:style w:type="character" w:customStyle="1" w:styleId="E-mailSignatureChar">
    <w:name w:val="E-mail Signature Char"/>
    <w:basedOn w:val="DefaultParagraphFont"/>
    <w:link w:val="E-mailSignature"/>
    <w:uiPriority w:val="99"/>
    <w:semiHidden/>
    <w:rsid w:val="00375B9D"/>
    <w:rPr>
      <w:rFonts w:ascii="Arial MT Std Light" w:eastAsiaTheme="minorHAnsi" w:hAnsi="Arial MT Std Light" w:cstheme="minorBidi"/>
    </w:rPr>
  </w:style>
  <w:style w:type="paragraph" w:styleId="EnvelopeAddress">
    <w:name w:val="envelope address"/>
    <w:basedOn w:val="Normal"/>
    <w:uiPriority w:val="99"/>
    <w:semiHidden/>
    <w:unhideWhenUsed/>
    <w:rsid w:val="00375B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75B9D"/>
    <w:pPr>
      <w:spacing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375B9D"/>
    <w:pPr>
      <w:spacing w:after="0"/>
    </w:pPr>
    <w:rPr>
      <w:rFonts w:ascii="Arial MT Std Light" w:eastAsiaTheme="minorHAnsi" w:hAnsi="Arial MT Std Light" w:cstheme="minorBidi"/>
      <w:i/>
      <w:iCs/>
    </w:rPr>
  </w:style>
  <w:style w:type="character" w:customStyle="1" w:styleId="HTMLAddressChar">
    <w:name w:val="HTML Address Char"/>
    <w:basedOn w:val="DefaultParagraphFont"/>
    <w:link w:val="HTMLAddress"/>
    <w:uiPriority w:val="99"/>
    <w:semiHidden/>
    <w:rsid w:val="00375B9D"/>
    <w:rPr>
      <w:rFonts w:ascii="Arial MT Std Light" w:eastAsiaTheme="minorHAnsi" w:hAnsi="Arial MT Std Light" w:cstheme="minorBidi"/>
      <w:i/>
      <w:iCs/>
    </w:rPr>
  </w:style>
  <w:style w:type="paragraph" w:styleId="HTMLPreformatted">
    <w:name w:val="HTML Preformatted"/>
    <w:basedOn w:val="Normal"/>
    <w:link w:val="HTMLPreformattedChar"/>
    <w:uiPriority w:val="99"/>
    <w:semiHidden/>
    <w:unhideWhenUsed/>
    <w:rsid w:val="00375B9D"/>
    <w:pPr>
      <w:spacing w:after="0"/>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375B9D"/>
    <w:rPr>
      <w:rFonts w:ascii="Consolas" w:eastAsiaTheme="minorHAnsi" w:hAnsi="Consolas" w:cs="Consolas"/>
      <w:sz w:val="20"/>
      <w:szCs w:val="20"/>
    </w:rPr>
  </w:style>
  <w:style w:type="paragraph" w:styleId="Index1">
    <w:name w:val="index 1"/>
    <w:basedOn w:val="Normal"/>
    <w:next w:val="Normal"/>
    <w:autoRedefine/>
    <w:uiPriority w:val="99"/>
    <w:semiHidden/>
    <w:unhideWhenUsed/>
    <w:rsid w:val="00375B9D"/>
    <w:pPr>
      <w:spacing w:after="0"/>
      <w:ind w:left="220" w:hanging="220"/>
    </w:pPr>
    <w:rPr>
      <w:rFonts w:ascii="Arial MT Std Light" w:eastAsiaTheme="minorHAnsi" w:hAnsi="Arial MT Std Light" w:cstheme="minorBidi"/>
    </w:rPr>
  </w:style>
  <w:style w:type="paragraph" w:styleId="Index2">
    <w:name w:val="index 2"/>
    <w:basedOn w:val="Normal"/>
    <w:next w:val="Normal"/>
    <w:autoRedefine/>
    <w:uiPriority w:val="99"/>
    <w:semiHidden/>
    <w:unhideWhenUsed/>
    <w:rsid w:val="00375B9D"/>
    <w:pPr>
      <w:spacing w:after="0"/>
      <w:ind w:left="440" w:hanging="220"/>
    </w:pPr>
    <w:rPr>
      <w:rFonts w:ascii="Arial MT Std Light" w:eastAsiaTheme="minorHAnsi" w:hAnsi="Arial MT Std Light" w:cstheme="minorBidi"/>
    </w:rPr>
  </w:style>
  <w:style w:type="paragraph" w:styleId="Index3">
    <w:name w:val="index 3"/>
    <w:basedOn w:val="Normal"/>
    <w:next w:val="Normal"/>
    <w:autoRedefine/>
    <w:uiPriority w:val="99"/>
    <w:semiHidden/>
    <w:unhideWhenUsed/>
    <w:rsid w:val="00375B9D"/>
    <w:pPr>
      <w:spacing w:after="0"/>
      <w:ind w:left="660" w:hanging="220"/>
    </w:pPr>
    <w:rPr>
      <w:rFonts w:ascii="Arial MT Std Light" w:eastAsiaTheme="minorHAnsi" w:hAnsi="Arial MT Std Light" w:cstheme="minorBidi"/>
    </w:rPr>
  </w:style>
  <w:style w:type="paragraph" w:styleId="Index4">
    <w:name w:val="index 4"/>
    <w:basedOn w:val="Normal"/>
    <w:next w:val="Normal"/>
    <w:autoRedefine/>
    <w:uiPriority w:val="99"/>
    <w:semiHidden/>
    <w:unhideWhenUsed/>
    <w:rsid w:val="00375B9D"/>
    <w:pPr>
      <w:spacing w:after="0"/>
      <w:ind w:left="880" w:hanging="220"/>
    </w:pPr>
    <w:rPr>
      <w:rFonts w:ascii="Arial MT Std Light" w:eastAsiaTheme="minorHAnsi" w:hAnsi="Arial MT Std Light" w:cstheme="minorBidi"/>
    </w:rPr>
  </w:style>
  <w:style w:type="paragraph" w:styleId="Index5">
    <w:name w:val="index 5"/>
    <w:basedOn w:val="Normal"/>
    <w:next w:val="Normal"/>
    <w:autoRedefine/>
    <w:uiPriority w:val="99"/>
    <w:semiHidden/>
    <w:unhideWhenUsed/>
    <w:rsid w:val="00375B9D"/>
    <w:pPr>
      <w:spacing w:after="0"/>
      <w:ind w:left="1100" w:hanging="220"/>
    </w:pPr>
    <w:rPr>
      <w:rFonts w:ascii="Arial MT Std Light" w:eastAsiaTheme="minorHAnsi" w:hAnsi="Arial MT Std Light" w:cstheme="minorBidi"/>
    </w:rPr>
  </w:style>
  <w:style w:type="paragraph" w:styleId="Index6">
    <w:name w:val="index 6"/>
    <w:basedOn w:val="Normal"/>
    <w:next w:val="Normal"/>
    <w:autoRedefine/>
    <w:uiPriority w:val="99"/>
    <w:semiHidden/>
    <w:unhideWhenUsed/>
    <w:rsid w:val="00375B9D"/>
    <w:pPr>
      <w:spacing w:after="0"/>
      <w:ind w:left="1320" w:hanging="220"/>
    </w:pPr>
    <w:rPr>
      <w:rFonts w:ascii="Arial MT Std Light" w:eastAsiaTheme="minorHAnsi" w:hAnsi="Arial MT Std Light" w:cstheme="minorBidi"/>
    </w:rPr>
  </w:style>
  <w:style w:type="paragraph" w:styleId="Index7">
    <w:name w:val="index 7"/>
    <w:basedOn w:val="Normal"/>
    <w:next w:val="Normal"/>
    <w:autoRedefine/>
    <w:uiPriority w:val="99"/>
    <w:semiHidden/>
    <w:unhideWhenUsed/>
    <w:rsid w:val="00375B9D"/>
    <w:pPr>
      <w:spacing w:after="0"/>
      <w:ind w:left="1540" w:hanging="220"/>
    </w:pPr>
    <w:rPr>
      <w:rFonts w:ascii="Arial MT Std Light" w:eastAsiaTheme="minorHAnsi" w:hAnsi="Arial MT Std Light" w:cstheme="minorBidi"/>
    </w:rPr>
  </w:style>
  <w:style w:type="paragraph" w:styleId="Index8">
    <w:name w:val="index 8"/>
    <w:basedOn w:val="Normal"/>
    <w:next w:val="Normal"/>
    <w:autoRedefine/>
    <w:uiPriority w:val="99"/>
    <w:semiHidden/>
    <w:unhideWhenUsed/>
    <w:rsid w:val="00375B9D"/>
    <w:pPr>
      <w:spacing w:after="0"/>
      <w:ind w:left="1760" w:hanging="220"/>
    </w:pPr>
    <w:rPr>
      <w:rFonts w:ascii="Arial MT Std Light" w:eastAsiaTheme="minorHAnsi" w:hAnsi="Arial MT Std Light" w:cstheme="minorBidi"/>
    </w:rPr>
  </w:style>
  <w:style w:type="paragraph" w:styleId="Index9">
    <w:name w:val="index 9"/>
    <w:basedOn w:val="Normal"/>
    <w:next w:val="Normal"/>
    <w:autoRedefine/>
    <w:uiPriority w:val="99"/>
    <w:semiHidden/>
    <w:unhideWhenUsed/>
    <w:rsid w:val="00375B9D"/>
    <w:pPr>
      <w:spacing w:after="0"/>
      <w:ind w:left="1980" w:hanging="220"/>
    </w:pPr>
    <w:rPr>
      <w:rFonts w:ascii="Arial MT Std Light" w:eastAsiaTheme="minorHAnsi" w:hAnsi="Arial MT Std Light" w:cstheme="minorBidi"/>
    </w:rPr>
  </w:style>
  <w:style w:type="paragraph" w:styleId="IndexHeading">
    <w:name w:val="index heading"/>
    <w:basedOn w:val="Normal"/>
    <w:next w:val="Index1"/>
    <w:uiPriority w:val="99"/>
    <w:semiHidden/>
    <w:unhideWhenUsed/>
    <w:rsid w:val="00375B9D"/>
    <w:pPr>
      <w:spacing w:line="276" w:lineRule="auto"/>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375B9D"/>
    <w:pPr>
      <w:pBdr>
        <w:bottom w:val="single" w:sz="4" w:space="4" w:color="C25062" w:themeColor="accent1"/>
      </w:pBdr>
      <w:spacing w:before="200" w:after="280" w:line="276" w:lineRule="auto"/>
      <w:ind w:left="936" w:right="936"/>
    </w:pPr>
    <w:rPr>
      <w:rFonts w:ascii="Arial MT Std Light" w:eastAsiaTheme="minorHAnsi" w:hAnsi="Arial MT Std Light" w:cstheme="minorBidi"/>
      <w:b/>
      <w:bCs/>
      <w:i/>
      <w:iCs/>
      <w:color w:val="C25062" w:themeColor="accent1"/>
    </w:rPr>
  </w:style>
  <w:style w:type="character" w:customStyle="1" w:styleId="IntenseQuoteChar">
    <w:name w:val="Intense Quote Char"/>
    <w:basedOn w:val="DefaultParagraphFont"/>
    <w:link w:val="IntenseQuote"/>
    <w:uiPriority w:val="30"/>
    <w:semiHidden/>
    <w:rsid w:val="00375B9D"/>
    <w:rPr>
      <w:rFonts w:ascii="Arial MT Std Light" w:eastAsiaTheme="minorHAnsi" w:hAnsi="Arial MT Std Light" w:cstheme="minorBidi"/>
      <w:b/>
      <w:bCs/>
      <w:i/>
      <w:iCs/>
      <w:color w:val="C25062" w:themeColor="accent1"/>
    </w:rPr>
  </w:style>
  <w:style w:type="paragraph" w:styleId="List">
    <w:name w:val="List"/>
    <w:basedOn w:val="Normal"/>
    <w:uiPriority w:val="99"/>
    <w:semiHidden/>
    <w:unhideWhenUsed/>
    <w:rsid w:val="00375B9D"/>
    <w:pPr>
      <w:spacing w:line="276" w:lineRule="auto"/>
      <w:ind w:left="283" w:hanging="283"/>
      <w:contextualSpacing/>
    </w:pPr>
    <w:rPr>
      <w:rFonts w:ascii="Arial MT Std Light" w:eastAsiaTheme="minorHAnsi" w:hAnsi="Arial MT Std Light" w:cstheme="minorBidi"/>
    </w:rPr>
  </w:style>
  <w:style w:type="paragraph" w:styleId="List2">
    <w:name w:val="List 2"/>
    <w:basedOn w:val="Normal"/>
    <w:uiPriority w:val="99"/>
    <w:semiHidden/>
    <w:unhideWhenUsed/>
    <w:rsid w:val="00375B9D"/>
    <w:pPr>
      <w:spacing w:line="276" w:lineRule="auto"/>
      <w:ind w:left="566" w:hanging="283"/>
      <w:contextualSpacing/>
    </w:pPr>
    <w:rPr>
      <w:rFonts w:ascii="Arial MT Std Light" w:eastAsiaTheme="minorHAnsi" w:hAnsi="Arial MT Std Light" w:cstheme="minorBidi"/>
    </w:rPr>
  </w:style>
  <w:style w:type="paragraph" w:styleId="List3">
    <w:name w:val="List 3"/>
    <w:basedOn w:val="Normal"/>
    <w:uiPriority w:val="99"/>
    <w:semiHidden/>
    <w:unhideWhenUsed/>
    <w:rsid w:val="00375B9D"/>
    <w:pPr>
      <w:spacing w:line="276" w:lineRule="auto"/>
      <w:ind w:left="849" w:hanging="283"/>
      <w:contextualSpacing/>
    </w:pPr>
    <w:rPr>
      <w:rFonts w:ascii="Arial MT Std Light" w:eastAsiaTheme="minorHAnsi" w:hAnsi="Arial MT Std Light" w:cstheme="minorBidi"/>
    </w:rPr>
  </w:style>
  <w:style w:type="paragraph" w:styleId="List4">
    <w:name w:val="List 4"/>
    <w:basedOn w:val="Normal"/>
    <w:uiPriority w:val="99"/>
    <w:semiHidden/>
    <w:unhideWhenUsed/>
    <w:rsid w:val="00375B9D"/>
    <w:pPr>
      <w:spacing w:line="276" w:lineRule="auto"/>
      <w:ind w:left="1132" w:hanging="283"/>
      <w:contextualSpacing/>
    </w:pPr>
    <w:rPr>
      <w:rFonts w:ascii="Arial MT Std Light" w:eastAsiaTheme="minorHAnsi" w:hAnsi="Arial MT Std Light" w:cstheme="minorBidi"/>
    </w:rPr>
  </w:style>
  <w:style w:type="paragraph" w:styleId="List5">
    <w:name w:val="List 5"/>
    <w:basedOn w:val="Normal"/>
    <w:uiPriority w:val="99"/>
    <w:semiHidden/>
    <w:unhideWhenUsed/>
    <w:rsid w:val="00375B9D"/>
    <w:pPr>
      <w:spacing w:line="276" w:lineRule="auto"/>
      <w:ind w:left="1415" w:hanging="283"/>
      <w:contextualSpacing/>
    </w:pPr>
    <w:rPr>
      <w:rFonts w:ascii="Arial MT Std Light" w:eastAsiaTheme="minorHAnsi" w:hAnsi="Arial MT Std Light" w:cstheme="minorBidi"/>
    </w:rPr>
  </w:style>
  <w:style w:type="paragraph" w:styleId="ListContinue">
    <w:name w:val="List Continue"/>
    <w:basedOn w:val="Normal"/>
    <w:uiPriority w:val="99"/>
    <w:semiHidden/>
    <w:unhideWhenUsed/>
    <w:rsid w:val="00375B9D"/>
    <w:pPr>
      <w:spacing w:after="120" w:line="276" w:lineRule="auto"/>
      <w:ind w:left="283"/>
      <w:contextualSpacing/>
    </w:pPr>
    <w:rPr>
      <w:rFonts w:ascii="Arial MT Std Light" w:eastAsiaTheme="minorHAnsi" w:hAnsi="Arial MT Std Light" w:cstheme="minorBidi"/>
    </w:rPr>
  </w:style>
  <w:style w:type="paragraph" w:styleId="ListContinue2">
    <w:name w:val="List Continue 2"/>
    <w:basedOn w:val="Normal"/>
    <w:uiPriority w:val="99"/>
    <w:semiHidden/>
    <w:unhideWhenUsed/>
    <w:rsid w:val="00375B9D"/>
    <w:pPr>
      <w:spacing w:after="120" w:line="276" w:lineRule="auto"/>
      <w:ind w:left="566"/>
      <w:contextualSpacing/>
    </w:pPr>
    <w:rPr>
      <w:rFonts w:ascii="Arial MT Std Light" w:eastAsiaTheme="minorHAnsi" w:hAnsi="Arial MT Std Light" w:cstheme="minorBidi"/>
    </w:rPr>
  </w:style>
  <w:style w:type="paragraph" w:styleId="ListContinue3">
    <w:name w:val="List Continue 3"/>
    <w:basedOn w:val="Normal"/>
    <w:uiPriority w:val="99"/>
    <w:semiHidden/>
    <w:unhideWhenUsed/>
    <w:rsid w:val="00375B9D"/>
    <w:pPr>
      <w:spacing w:after="120" w:line="276" w:lineRule="auto"/>
      <w:ind w:left="849"/>
      <w:contextualSpacing/>
    </w:pPr>
    <w:rPr>
      <w:rFonts w:ascii="Arial MT Std Light" w:eastAsiaTheme="minorHAnsi" w:hAnsi="Arial MT Std Light" w:cstheme="minorBidi"/>
    </w:rPr>
  </w:style>
  <w:style w:type="paragraph" w:styleId="ListContinue4">
    <w:name w:val="List Continue 4"/>
    <w:basedOn w:val="Normal"/>
    <w:uiPriority w:val="99"/>
    <w:semiHidden/>
    <w:unhideWhenUsed/>
    <w:rsid w:val="00375B9D"/>
    <w:pPr>
      <w:spacing w:after="120" w:line="276" w:lineRule="auto"/>
      <w:ind w:left="1132"/>
      <w:contextualSpacing/>
    </w:pPr>
    <w:rPr>
      <w:rFonts w:ascii="Arial MT Std Light" w:eastAsiaTheme="minorHAnsi" w:hAnsi="Arial MT Std Light" w:cstheme="minorBidi"/>
    </w:rPr>
  </w:style>
  <w:style w:type="paragraph" w:styleId="ListContinue5">
    <w:name w:val="List Continue 5"/>
    <w:basedOn w:val="Normal"/>
    <w:uiPriority w:val="99"/>
    <w:semiHidden/>
    <w:unhideWhenUsed/>
    <w:rsid w:val="00375B9D"/>
    <w:pPr>
      <w:spacing w:after="120" w:line="276" w:lineRule="auto"/>
      <w:ind w:left="1415"/>
      <w:contextualSpacing/>
    </w:pPr>
    <w:rPr>
      <w:rFonts w:ascii="Arial MT Std Light" w:eastAsiaTheme="minorHAnsi" w:hAnsi="Arial MT Std Light" w:cstheme="minorBidi"/>
    </w:rPr>
  </w:style>
  <w:style w:type="paragraph" w:styleId="MacroText">
    <w:name w:val="macro"/>
    <w:link w:val="MacroTextChar"/>
    <w:uiPriority w:val="99"/>
    <w:semiHidden/>
    <w:unhideWhenUsed/>
    <w:rsid w:val="00375B9D"/>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heme="minorHAnsi" w:hAnsi="Consolas" w:cs="Consolas"/>
      <w:sz w:val="20"/>
      <w:szCs w:val="20"/>
    </w:rPr>
  </w:style>
  <w:style w:type="character" w:customStyle="1" w:styleId="MacroTextChar">
    <w:name w:val="Macro Text Char"/>
    <w:basedOn w:val="DefaultParagraphFont"/>
    <w:link w:val="MacroText"/>
    <w:uiPriority w:val="99"/>
    <w:semiHidden/>
    <w:rsid w:val="00375B9D"/>
    <w:rPr>
      <w:rFonts w:ascii="Consolas" w:eastAsiaTheme="minorHAnsi" w:hAnsi="Consolas" w:cs="Consolas"/>
      <w:sz w:val="20"/>
      <w:szCs w:val="20"/>
    </w:rPr>
  </w:style>
  <w:style w:type="paragraph" w:styleId="MessageHeader">
    <w:name w:val="Message Header"/>
    <w:basedOn w:val="Normal"/>
    <w:link w:val="MessageHeaderChar"/>
    <w:uiPriority w:val="99"/>
    <w:semiHidden/>
    <w:unhideWhenUsed/>
    <w:rsid w:val="00375B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75B9D"/>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375B9D"/>
    <w:pPr>
      <w:spacing w:line="276" w:lineRule="auto"/>
      <w:ind w:left="720"/>
    </w:pPr>
    <w:rPr>
      <w:rFonts w:ascii="Arial MT Std Light" w:eastAsiaTheme="minorHAnsi" w:hAnsi="Arial MT Std Light" w:cstheme="minorBidi"/>
    </w:rPr>
  </w:style>
  <w:style w:type="paragraph" w:styleId="NoteHeading">
    <w:name w:val="Note Heading"/>
    <w:basedOn w:val="Normal"/>
    <w:next w:val="Normal"/>
    <w:link w:val="NoteHeadingChar"/>
    <w:uiPriority w:val="99"/>
    <w:semiHidden/>
    <w:unhideWhenUsed/>
    <w:rsid w:val="00375B9D"/>
    <w:pPr>
      <w:spacing w:after="0"/>
    </w:pPr>
    <w:rPr>
      <w:rFonts w:ascii="Arial MT Std Light" w:eastAsiaTheme="minorHAnsi" w:hAnsi="Arial MT Std Light" w:cstheme="minorBidi"/>
    </w:rPr>
  </w:style>
  <w:style w:type="character" w:customStyle="1" w:styleId="NoteHeadingChar">
    <w:name w:val="Note Heading Char"/>
    <w:basedOn w:val="DefaultParagraphFont"/>
    <w:link w:val="NoteHeading"/>
    <w:uiPriority w:val="99"/>
    <w:semiHidden/>
    <w:rsid w:val="00375B9D"/>
    <w:rPr>
      <w:rFonts w:ascii="Arial MT Std Light" w:eastAsiaTheme="minorHAnsi" w:hAnsi="Arial MT Std Light" w:cstheme="minorBidi"/>
    </w:rPr>
  </w:style>
  <w:style w:type="paragraph" w:styleId="PlainText">
    <w:name w:val="Plain Text"/>
    <w:basedOn w:val="Normal"/>
    <w:link w:val="PlainTextChar"/>
    <w:uiPriority w:val="99"/>
    <w:semiHidden/>
    <w:unhideWhenUsed/>
    <w:rsid w:val="00375B9D"/>
    <w:pPr>
      <w:spacing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375B9D"/>
    <w:rPr>
      <w:rFonts w:ascii="Consolas" w:eastAsiaTheme="minorHAnsi" w:hAnsi="Consolas" w:cs="Consolas"/>
      <w:sz w:val="21"/>
      <w:szCs w:val="21"/>
    </w:rPr>
  </w:style>
  <w:style w:type="paragraph" w:styleId="Quote">
    <w:name w:val="Quote"/>
    <w:basedOn w:val="Normal"/>
    <w:next w:val="Normal"/>
    <w:link w:val="QuoteChar"/>
    <w:uiPriority w:val="29"/>
    <w:semiHidden/>
    <w:qFormat/>
    <w:rsid w:val="00375B9D"/>
    <w:pPr>
      <w:spacing w:line="276" w:lineRule="auto"/>
    </w:pPr>
    <w:rPr>
      <w:rFonts w:ascii="Arial MT Std Light" w:eastAsiaTheme="minorHAnsi" w:hAnsi="Arial MT Std Light" w:cstheme="minorBidi"/>
      <w:i/>
      <w:iCs/>
      <w:color w:val="1F1F5F" w:themeColor="text1"/>
    </w:rPr>
  </w:style>
  <w:style w:type="character" w:customStyle="1" w:styleId="QuoteChar">
    <w:name w:val="Quote Char"/>
    <w:basedOn w:val="DefaultParagraphFont"/>
    <w:link w:val="Quote"/>
    <w:uiPriority w:val="29"/>
    <w:semiHidden/>
    <w:rsid w:val="00375B9D"/>
    <w:rPr>
      <w:rFonts w:ascii="Arial MT Std Light" w:eastAsiaTheme="minorHAnsi" w:hAnsi="Arial MT Std Light" w:cstheme="minorBidi"/>
      <w:i/>
      <w:iCs/>
      <w:color w:val="1F1F5F" w:themeColor="text1"/>
    </w:rPr>
  </w:style>
  <w:style w:type="paragraph" w:styleId="Salutation">
    <w:name w:val="Salutation"/>
    <w:basedOn w:val="Normal"/>
    <w:next w:val="Normal"/>
    <w:link w:val="SalutationChar"/>
    <w:uiPriority w:val="99"/>
    <w:semiHidden/>
    <w:unhideWhenUsed/>
    <w:rsid w:val="00375B9D"/>
    <w:pPr>
      <w:spacing w:line="276" w:lineRule="auto"/>
    </w:pPr>
    <w:rPr>
      <w:rFonts w:ascii="Arial MT Std Light" w:eastAsiaTheme="minorHAnsi" w:hAnsi="Arial MT Std Light" w:cstheme="minorBidi"/>
    </w:rPr>
  </w:style>
  <w:style w:type="character" w:customStyle="1" w:styleId="SalutationChar">
    <w:name w:val="Salutation Char"/>
    <w:basedOn w:val="DefaultParagraphFont"/>
    <w:link w:val="Salutation"/>
    <w:uiPriority w:val="99"/>
    <w:semiHidden/>
    <w:rsid w:val="00375B9D"/>
    <w:rPr>
      <w:rFonts w:ascii="Arial MT Std Light" w:eastAsiaTheme="minorHAnsi" w:hAnsi="Arial MT Std Light" w:cstheme="minorBidi"/>
    </w:rPr>
  </w:style>
  <w:style w:type="paragraph" w:styleId="Signature">
    <w:name w:val="Signature"/>
    <w:basedOn w:val="Normal"/>
    <w:link w:val="SignatureChar"/>
    <w:uiPriority w:val="99"/>
    <w:semiHidden/>
    <w:unhideWhenUsed/>
    <w:rsid w:val="00375B9D"/>
    <w:pPr>
      <w:spacing w:after="0"/>
      <w:ind w:left="4252"/>
    </w:pPr>
    <w:rPr>
      <w:rFonts w:ascii="Arial MT Std Light" w:eastAsiaTheme="minorHAnsi" w:hAnsi="Arial MT Std Light" w:cstheme="minorBidi"/>
    </w:rPr>
  </w:style>
  <w:style w:type="character" w:customStyle="1" w:styleId="SignatureChar">
    <w:name w:val="Signature Char"/>
    <w:basedOn w:val="DefaultParagraphFont"/>
    <w:link w:val="Signature"/>
    <w:uiPriority w:val="99"/>
    <w:semiHidden/>
    <w:rsid w:val="00375B9D"/>
    <w:rPr>
      <w:rFonts w:ascii="Arial MT Std Light" w:eastAsiaTheme="minorHAnsi" w:hAnsi="Arial MT Std Light" w:cstheme="minorBidi"/>
    </w:rPr>
  </w:style>
  <w:style w:type="paragraph" w:styleId="TableofAuthorities">
    <w:name w:val="table of authorities"/>
    <w:basedOn w:val="Normal"/>
    <w:next w:val="Normal"/>
    <w:uiPriority w:val="99"/>
    <w:semiHidden/>
    <w:unhideWhenUsed/>
    <w:rsid w:val="00375B9D"/>
    <w:pPr>
      <w:spacing w:after="0" w:line="276" w:lineRule="auto"/>
      <w:ind w:left="220" w:hanging="220"/>
    </w:pPr>
    <w:rPr>
      <w:rFonts w:ascii="Arial MT Std Light" w:eastAsiaTheme="minorHAnsi" w:hAnsi="Arial MT Std Light" w:cstheme="minorBidi"/>
    </w:rPr>
  </w:style>
  <w:style w:type="paragraph" w:styleId="TableofFigures">
    <w:name w:val="table of figures"/>
    <w:basedOn w:val="Normal"/>
    <w:next w:val="Normal"/>
    <w:uiPriority w:val="99"/>
    <w:semiHidden/>
    <w:unhideWhenUsed/>
    <w:rsid w:val="00375B9D"/>
    <w:pPr>
      <w:spacing w:after="0" w:line="276" w:lineRule="auto"/>
    </w:pPr>
    <w:rPr>
      <w:rFonts w:ascii="Arial MT Std Light" w:eastAsiaTheme="minorHAnsi" w:hAnsi="Arial MT Std Light" w:cstheme="minorBidi"/>
    </w:rPr>
  </w:style>
  <w:style w:type="paragraph" w:styleId="TOAHeading">
    <w:name w:val="toa heading"/>
    <w:basedOn w:val="Normal"/>
    <w:next w:val="Normal"/>
    <w:uiPriority w:val="99"/>
    <w:semiHidden/>
    <w:unhideWhenUsed/>
    <w:rsid w:val="00375B9D"/>
    <w:pPr>
      <w:spacing w:before="120" w:line="276" w:lineRule="auto"/>
    </w:pPr>
    <w:rPr>
      <w:rFonts w:asciiTheme="majorHAnsi" w:eastAsiaTheme="majorEastAsia" w:hAnsiTheme="majorHAnsi" w:cstheme="majorBidi"/>
      <w:b/>
      <w:bCs/>
      <w:sz w:val="24"/>
      <w:szCs w:val="24"/>
    </w:rPr>
  </w:style>
  <w:style w:type="paragraph" w:styleId="TOC5">
    <w:name w:val="toc 5"/>
    <w:basedOn w:val="Normal"/>
    <w:next w:val="Normal"/>
    <w:autoRedefine/>
    <w:uiPriority w:val="39"/>
    <w:unhideWhenUsed/>
    <w:rsid w:val="00375B9D"/>
    <w:pPr>
      <w:spacing w:after="100" w:line="276" w:lineRule="auto"/>
      <w:ind w:left="880"/>
    </w:pPr>
    <w:rPr>
      <w:rFonts w:ascii="Arial MT Std Light" w:eastAsiaTheme="minorHAnsi" w:hAnsi="Arial MT Std Light" w:cstheme="minorBidi"/>
    </w:rPr>
  </w:style>
  <w:style w:type="paragraph" w:styleId="TOC6">
    <w:name w:val="toc 6"/>
    <w:basedOn w:val="Normal"/>
    <w:next w:val="Normal"/>
    <w:autoRedefine/>
    <w:uiPriority w:val="39"/>
    <w:unhideWhenUsed/>
    <w:rsid w:val="00375B9D"/>
    <w:pPr>
      <w:spacing w:after="100" w:line="276" w:lineRule="auto"/>
      <w:ind w:left="1100"/>
    </w:pPr>
    <w:rPr>
      <w:rFonts w:ascii="Arial MT Std Light" w:eastAsiaTheme="minorHAnsi" w:hAnsi="Arial MT Std Light" w:cstheme="minorBidi"/>
    </w:rPr>
  </w:style>
  <w:style w:type="paragraph" w:styleId="TOC7">
    <w:name w:val="toc 7"/>
    <w:basedOn w:val="Normal"/>
    <w:next w:val="Normal"/>
    <w:autoRedefine/>
    <w:uiPriority w:val="39"/>
    <w:unhideWhenUsed/>
    <w:rsid w:val="00375B9D"/>
    <w:pPr>
      <w:spacing w:after="100" w:line="276" w:lineRule="auto"/>
      <w:ind w:left="1320"/>
    </w:pPr>
    <w:rPr>
      <w:rFonts w:ascii="Arial MT Std Light" w:eastAsiaTheme="minorHAnsi" w:hAnsi="Arial MT Std Light" w:cstheme="minorBidi"/>
    </w:rPr>
  </w:style>
  <w:style w:type="paragraph" w:styleId="TOC8">
    <w:name w:val="toc 8"/>
    <w:basedOn w:val="Normal"/>
    <w:next w:val="Normal"/>
    <w:autoRedefine/>
    <w:uiPriority w:val="39"/>
    <w:unhideWhenUsed/>
    <w:rsid w:val="00375B9D"/>
    <w:pPr>
      <w:spacing w:after="100" w:line="276" w:lineRule="auto"/>
      <w:ind w:left="1540"/>
    </w:pPr>
    <w:rPr>
      <w:rFonts w:ascii="Arial MT Std Light" w:eastAsiaTheme="minorHAnsi" w:hAnsi="Arial MT Std Light" w:cstheme="minorBidi"/>
    </w:rPr>
  </w:style>
  <w:style w:type="paragraph" w:styleId="TOC9">
    <w:name w:val="toc 9"/>
    <w:basedOn w:val="Normal"/>
    <w:next w:val="Normal"/>
    <w:autoRedefine/>
    <w:uiPriority w:val="39"/>
    <w:unhideWhenUsed/>
    <w:rsid w:val="00375B9D"/>
    <w:pPr>
      <w:spacing w:after="100" w:line="276" w:lineRule="auto"/>
      <w:ind w:left="1760"/>
    </w:pPr>
    <w:rPr>
      <w:rFonts w:ascii="Arial MT Std Light" w:eastAsiaTheme="minorHAnsi" w:hAnsi="Arial MT Std Light" w:cstheme="minorBidi"/>
    </w:rPr>
  </w:style>
  <w:style w:type="paragraph" w:customStyle="1" w:styleId="DTFHeading1">
    <w:name w:val="DTF Heading 1"/>
    <w:basedOn w:val="Heading1"/>
    <w:rsid w:val="00375B9D"/>
    <w:pPr>
      <w:keepNext/>
      <w:keepLines/>
      <w:suppressAutoHyphens/>
      <w:autoSpaceDE w:val="0"/>
      <w:autoSpaceDN w:val="0"/>
      <w:adjustRightInd w:val="0"/>
      <w:spacing w:after="57" w:line="400" w:lineRule="atLeast"/>
      <w:textAlignment w:val="center"/>
    </w:pPr>
    <w:rPr>
      <w:rFonts w:ascii="Arial MT Std Light" w:eastAsia="Times New Roman" w:hAnsi="Arial MT Std Light" w:cs="Arial MT Std Light"/>
      <w:bCs w:val="0"/>
      <w:color w:val="E37222"/>
      <w:w w:val="90"/>
      <w:kern w:val="0"/>
      <w:sz w:val="32"/>
      <w:lang w:eastAsia="en-AU"/>
    </w:rPr>
  </w:style>
  <w:style w:type="paragraph" w:customStyle="1" w:styleId="DTFHeading2">
    <w:name w:val="DTF Heading 2"/>
    <w:basedOn w:val="Heading2"/>
    <w:rsid w:val="00375B9D"/>
    <w:pPr>
      <w:suppressAutoHyphens/>
      <w:autoSpaceDE w:val="0"/>
      <w:autoSpaceDN w:val="0"/>
      <w:adjustRightInd w:val="0"/>
      <w:spacing w:before="0" w:after="60" w:line="360" w:lineRule="atLeast"/>
      <w:textAlignment w:val="center"/>
    </w:pPr>
    <w:rPr>
      <w:rFonts w:ascii="Arial MT Std Light" w:eastAsia="Times New Roman" w:hAnsi="Arial MT Std Light" w:cs="Arial MT Std Light"/>
      <w:bCs w:val="0"/>
      <w:iCs w:val="0"/>
      <w:color w:val="165788"/>
      <w:w w:val="90"/>
      <w:sz w:val="28"/>
      <w:szCs w:val="28"/>
    </w:rPr>
  </w:style>
  <w:style w:type="paragraph" w:customStyle="1" w:styleId="DTFHeading3">
    <w:name w:val="DTF Heading 3"/>
    <w:basedOn w:val="Heading3"/>
    <w:rsid w:val="00375B9D"/>
    <w:pPr>
      <w:suppressAutoHyphens/>
      <w:autoSpaceDE w:val="0"/>
      <w:autoSpaceDN w:val="0"/>
      <w:adjustRightInd w:val="0"/>
      <w:spacing w:before="0" w:after="60" w:line="320" w:lineRule="atLeast"/>
      <w:ind w:left="567"/>
      <w:textAlignment w:val="center"/>
    </w:pPr>
    <w:rPr>
      <w:rFonts w:ascii="Arial MT Std Light" w:eastAsia="Times New Roman" w:hAnsi="Arial MT Std Light" w:cs="Arial MT Std Light"/>
      <w:bCs w:val="0"/>
      <w:color w:val="165788"/>
      <w:w w:val="90"/>
      <w:sz w:val="24"/>
      <w:szCs w:val="24"/>
      <w:lang w:eastAsia="en-AU"/>
    </w:rPr>
  </w:style>
  <w:style w:type="paragraph" w:customStyle="1" w:styleId="DTFHeading4">
    <w:name w:val="DTF Heading 4"/>
    <w:basedOn w:val="Heading4"/>
    <w:rsid w:val="00375B9D"/>
    <w:pPr>
      <w:keepNext/>
      <w:suppressAutoHyphens/>
      <w:autoSpaceDE w:val="0"/>
      <w:autoSpaceDN w:val="0"/>
      <w:adjustRightInd w:val="0"/>
      <w:spacing w:before="0" w:after="28" w:line="300" w:lineRule="atLeast"/>
      <w:ind w:left="1417"/>
      <w:textAlignment w:val="center"/>
    </w:pPr>
    <w:rPr>
      <w:rFonts w:ascii="Arial MT Std Light" w:eastAsia="Times New Roman" w:hAnsi="Arial MT Std Light" w:cs="Arial"/>
      <w:bCs w:val="0"/>
      <w:iCs w:val="0"/>
      <w:color w:val="E37222"/>
      <w:w w:val="90"/>
      <w:sz w:val="22"/>
      <w:lang w:eastAsia="en-AU"/>
    </w:rPr>
  </w:style>
  <w:style w:type="paragraph" w:customStyle="1" w:styleId="DTFBulletText">
    <w:name w:val="DTF Bullet Text"/>
    <w:basedOn w:val="ListBullet"/>
    <w:rsid w:val="00375B9D"/>
    <w:pPr>
      <w:numPr>
        <w:numId w:val="20"/>
      </w:numPr>
      <w:tabs>
        <w:tab w:val="left" w:pos="1418"/>
      </w:tabs>
      <w:suppressAutoHyphens/>
      <w:autoSpaceDE w:val="0"/>
      <w:autoSpaceDN w:val="0"/>
      <w:adjustRightInd w:val="0"/>
      <w:spacing w:line="300" w:lineRule="atLeast"/>
      <w:ind w:left="1702" w:hanging="284"/>
      <w:textAlignment w:val="center"/>
    </w:pPr>
    <w:rPr>
      <w:rFonts w:ascii="Arial MT Std Light" w:eastAsia="Times New Roman" w:hAnsi="Arial MT Std Light" w:cs="Arial MT Std Light"/>
      <w:color w:val="000000"/>
      <w:w w:val="90"/>
      <w:szCs w:val="24"/>
      <w:lang w:eastAsia="en-AU"/>
    </w:rPr>
  </w:style>
  <w:style w:type="paragraph" w:customStyle="1" w:styleId="DTFBulletDash">
    <w:name w:val="DTF Bullet Dash"/>
    <w:basedOn w:val="DTFBulletlist"/>
    <w:rsid w:val="00AE756D"/>
    <w:pPr>
      <w:numPr>
        <w:ilvl w:val="1"/>
        <w:numId w:val="37"/>
      </w:numPr>
      <w:spacing w:after="120"/>
    </w:pPr>
  </w:style>
  <w:style w:type="paragraph" w:customStyle="1" w:styleId="Caption1">
    <w:name w:val="Caption 1"/>
    <w:basedOn w:val="Normal"/>
    <w:link w:val="Caption1Char"/>
    <w:qFormat/>
    <w:rsid w:val="007118DF"/>
    <w:pPr>
      <w:ind w:left="113" w:hanging="113"/>
    </w:pPr>
    <w:rPr>
      <w:sz w:val="18"/>
    </w:rPr>
  </w:style>
  <w:style w:type="paragraph" w:customStyle="1" w:styleId="DTFLetteredText">
    <w:name w:val="DTF Lettered Text"/>
    <w:basedOn w:val="Normal"/>
    <w:rsid w:val="00375B9D"/>
    <w:pPr>
      <w:numPr>
        <w:numId w:val="17"/>
      </w:numPr>
      <w:suppressAutoHyphens/>
      <w:autoSpaceDE w:val="0"/>
      <w:autoSpaceDN w:val="0"/>
      <w:adjustRightInd w:val="0"/>
      <w:spacing w:after="120" w:line="300" w:lineRule="atLeast"/>
      <w:textAlignment w:val="center"/>
    </w:pPr>
    <w:rPr>
      <w:rFonts w:ascii="Arial MT Std Light" w:eastAsia="Times New Roman" w:hAnsi="Arial MT Std Light" w:cs="Arial MT Std Light"/>
      <w:color w:val="000000"/>
      <w:w w:val="90"/>
      <w:lang w:eastAsia="en-AU"/>
    </w:rPr>
  </w:style>
  <w:style w:type="paragraph" w:customStyle="1" w:styleId="DTFBodyText">
    <w:name w:val="DTF Body Text"/>
    <w:rsid w:val="00375B9D"/>
    <w:pPr>
      <w:suppressAutoHyphens/>
      <w:autoSpaceDE w:val="0"/>
      <w:autoSpaceDN w:val="0"/>
      <w:adjustRightInd w:val="0"/>
      <w:spacing w:after="120" w:line="300" w:lineRule="atLeast"/>
      <w:ind w:left="1418"/>
      <w:textAlignment w:val="center"/>
    </w:pPr>
    <w:rPr>
      <w:rFonts w:ascii="Arial MT Std Light" w:eastAsia="Times New Roman" w:hAnsi="Arial MT Std Light" w:cs="Arial MT Std Light"/>
      <w:color w:val="000000"/>
      <w:w w:val="90"/>
      <w:lang w:eastAsia="en-AU"/>
    </w:rPr>
  </w:style>
  <w:style w:type="table" w:customStyle="1" w:styleId="DTFTable5">
    <w:name w:val="DTF Table 5"/>
    <w:basedOn w:val="TableNormal"/>
    <w:uiPriority w:val="99"/>
    <w:rsid w:val="00375B9D"/>
    <w:pPr>
      <w:spacing w:after="0" w:line="300" w:lineRule="atLeast"/>
    </w:pPr>
    <w:rPr>
      <w:rFonts w:ascii="Arial MT Std Light" w:eastAsiaTheme="minorHAnsi" w:hAnsi="Arial MT Std Light" w:cstheme="minorBidi"/>
    </w:rPr>
    <w:tblPr>
      <w:tblInd w:w="1418" w:type="dxa"/>
      <w:tblBorders>
        <w:bottom w:val="single" w:sz="4" w:space="0" w:color="005595"/>
      </w:tblBorders>
      <w:tblCellMar>
        <w:top w:w="28" w:type="dxa"/>
        <w:left w:w="0" w:type="dxa"/>
        <w:bottom w:w="28" w:type="dxa"/>
        <w:right w:w="85" w:type="dxa"/>
      </w:tblCellMar>
    </w:tblPr>
  </w:style>
  <w:style w:type="character" w:customStyle="1" w:styleId="DTFColourText">
    <w:name w:val="DTF Colour Text"/>
    <w:uiPriority w:val="1"/>
    <w:rsid w:val="00375B9D"/>
    <w:rPr>
      <w:color w:val="165788"/>
      <w:u w:color="0035C4"/>
    </w:rPr>
  </w:style>
  <w:style w:type="numbering" w:customStyle="1" w:styleId="DTFNumberedTexttest">
    <w:name w:val="DTF Numbered Text test"/>
    <w:uiPriority w:val="99"/>
    <w:rsid w:val="00375B9D"/>
    <w:pPr>
      <w:numPr>
        <w:numId w:val="19"/>
      </w:numPr>
    </w:pPr>
  </w:style>
  <w:style w:type="table" w:customStyle="1" w:styleId="DTFTable1">
    <w:name w:val="DTF Table 1"/>
    <w:basedOn w:val="TableNormal"/>
    <w:uiPriority w:val="99"/>
    <w:rsid w:val="00375B9D"/>
    <w:pPr>
      <w:spacing w:after="0" w:line="300" w:lineRule="atLeast"/>
    </w:pPr>
    <w:rPr>
      <w:rFonts w:ascii="Arial MT Std Light" w:eastAsiaTheme="minorHAnsi" w:hAnsi="Arial MT Std Light" w:cstheme="minorBidi"/>
    </w:rPr>
    <w:tblPr>
      <w:tblInd w:w="1418" w:type="dxa"/>
      <w:tblBorders>
        <w:top w:val="single" w:sz="4" w:space="0" w:color="165788"/>
        <w:bottom w:val="single" w:sz="4" w:space="0" w:color="005595"/>
      </w:tblBorders>
      <w:tblCellMar>
        <w:top w:w="28" w:type="dxa"/>
        <w:left w:w="0" w:type="dxa"/>
        <w:bottom w:w="28" w:type="dxa"/>
        <w:right w:w="85" w:type="dxa"/>
      </w:tblCellMar>
    </w:tblPr>
    <w:tcPr>
      <w:tcMar>
        <w:top w:w="28" w:type="dxa"/>
        <w:bottom w:w="28" w:type="dxa"/>
      </w:tcMar>
    </w:tcPr>
  </w:style>
  <w:style w:type="table" w:customStyle="1" w:styleId="DTFTable2">
    <w:name w:val="DTF Table 2"/>
    <w:basedOn w:val="TableNormal"/>
    <w:uiPriority w:val="99"/>
    <w:rsid w:val="00375B9D"/>
    <w:pPr>
      <w:spacing w:after="0"/>
    </w:pPr>
    <w:rPr>
      <w:rFonts w:asciiTheme="minorHAnsi" w:eastAsiaTheme="minorHAnsi" w:hAnsiTheme="minorHAnsi" w:cstheme="minorBidi"/>
    </w:rPr>
    <w:tblPr>
      <w:tblInd w:w="1418" w:type="dxa"/>
      <w:tblBorders>
        <w:top w:val="single" w:sz="4" w:space="0" w:color="165788"/>
        <w:bottom w:val="single" w:sz="4" w:space="0" w:color="165788"/>
        <w:insideH w:val="single" w:sz="4" w:space="0" w:color="165788"/>
      </w:tblBorders>
      <w:tblCellMar>
        <w:top w:w="28" w:type="dxa"/>
        <w:left w:w="0" w:type="dxa"/>
        <w:bottom w:w="28" w:type="dxa"/>
        <w:right w:w="85" w:type="dxa"/>
      </w:tblCellMar>
    </w:tblPr>
    <w:tcPr>
      <w:tcMar>
        <w:top w:w="28" w:type="dxa"/>
        <w:bottom w:w="28" w:type="dxa"/>
      </w:tcMar>
    </w:tcPr>
  </w:style>
  <w:style w:type="table" w:customStyle="1" w:styleId="DTFTable3">
    <w:name w:val="DTF Table 3"/>
    <w:basedOn w:val="TableNormal"/>
    <w:uiPriority w:val="99"/>
    <w:rsid w:val="00375B9D"/>
    <w:pPr>
      <w:spacing w:after="0"/>
    </w:pPr>
    <w:rPr>
      <w:rFonts w:asciiTheme="minorHAnsi" w:eastAsiaTheme="minorHAnsi" w:hAnsiTheme="minorHAnsi" w:cstheme="minorBidi"/>
    </w:rPr>
    <w:tblPr>
      <w:tblInd w:w="1418" w:type="dxa"/>
      <w:tblBorders>
        <w:top w:val="single" w:sz="4" w:space="0" w:color="165788"/>
        <w:left w:val="single" w:sz="4" w:space="0" w:color="165788"/>
        <w:bottom w:val="single" w:sz="4" w:space="0" w:color="165788"/>
        <w:right w:val="single" w:sz="4" w:space="0" w:color="165788"/>
        <w:insideH w:val="single" w:sz="4" w:space="0" w:color="165788"/>
        <w:insideV w:val="single" w:sz="4" w:space="0" w:color="165788"/>
      </w:tblBorders>
      <w:tblCellMar>
        <w:top w:w="28" w:type="dxa"/>
        <w:left w:w="0" w:type="dxa"/>
        <w:bottom w:w="28" w:type="dxa"/>
        <w:right w:w="85" w:type="dxa"/>
      </w:tblCellMar>
    </w:tblPr>
    <w:tcPr>
      <w:tcMar>
        <w:top w:w="28" w:type="dxa"/>
        <w:left w:w="0" w:type="dxa"/>
        <w:bottom w:w="28" w:type="dxa"/>
        <w:right w:w="85" w:type="dxa"/>
      </w:tcMar>
    </w:tcPr>
  </w:style>
  <w:style w:type="paragraph" w:customStyle="1" w:styleId="DTFTableBodyCentre">
    <w:name w:val="DTF Table Body Centre"/>
    <w:basedOn w:val="DTFTableBody"/>
    <w:rsid w:val="00375B9D"/>
    <w:pPr>
      <w:jc w:val="center"/>
    </w:pPr>
  </w:style>
  <w:style w:type="table" w:customStyle="1" w:styleId="DTFBoxedText">
    <w:name w:val="DTF Boxed Text"/>
    <w:basedOn w:val="TableNormal"/>
    <w:uiPriority w:val="99"/>
    <w:rsid w:val="00375B9D"/>
    <w:pPr>
      <w:spacing w:after="0"/>
    </w:pPr>
    <w:rPr>
      <w:rFonts w:ascii="Lato" w:eastAsiaTheme="minorHAnsi" w:hAnsi="Lato" w:cstheme="minorBidi"/>
    </w:rPr>
    <w:tblPr>
      <w:tblInd w:w="1531" w:type="dxa"/>
      <w:tblCellMar>
        <w:top w:w="113" w:type="dxa"/>
        <w:bottom w:w="113" w:type="dxa"/>
      </w:tblCellMar>
    </w:tblPr>
    <w:tcPr>
      <w:shd w:val="clear" w:color="auto" w:fill="F2DBDF" w:themeFill="accent1" w:themeFillTint="33"/>
    </w:tcPr>
  </w:style>
  <w:style w:type="paragraph" w:customStyle="1" w:styleId="PRTBoxText">
    <w:name w:val="PRT Box Text"/>
    <w:basedOn w:val="Normal"/>
    <w:uiPriority w:val="99"/>
    <w:rsid w:val="00375B9D"/>
    <w:pPr>
      <w:suppressAutoHyphens/>
      <w:autoSpaceDE w:val="0"/>
      <w:autoSpaceDN w:val="0"/>
      <w:adjustRightInd w:val="0"/>
      <w:spacing w:after="113" w:line="240" w:lineRule="atLeast"/>
      <w:textAlignment w:val="center"/>
    </w:pPr>
    <w:rPr>
      <w:rFonts w:ascii="Arial MT Std" w:eastAsiaTheme="minorHAnsi" w:hAnsi="Arial MT Std" w:cs="Arial MT Std"/>
      <w:color w:val="005595"/>
      <w:w w:val="87"/>
      <w:sz w:val="21"/>
      <w:szCs w:val="21"/>
    </w:rPr>
  </w:style>
  <w:style w:type="paragraph" w:customStyle="1" w:styleId="PRTHeading2">
    <w:name w:val="PRT Heading 2"/>
    <w:basedOn w:val="Normal"/>
    <w:uiPriority w:val="99"/>
    <w:rsid w:val="00375B9D"/>
    <w:pPr>
      <w:suppressAutoHyphens/>
      <w:autoSpaceDE w:val="0"/>
      <w:autoSpaceDN w:val="0"/>
      <w:adjustRightInd w:val="0"/>
      <w:spacing w:before="113" w:after="0" w:line="360" w:lineRule="atLeast"/>
      <w:jc w:val="right"/>
      <w:textAlignment w:val="center"/>
    </w:pPr>
    <w:rPr>
      <w:rFonts w:ascii="Arial MT Std" w:eastAsiaTheme="minorHAnsi" w:hAnsi="Arial MT Std" w:cs="Arial MT Std"/>
      <w:color w:val="F48024"/>
      <w:w w:val="90"/>
      <w:sz w:val="28"/>
      <w:szCs w:val="28"/>
      <w:lang w:val="en-GB"/>
    </w:rPr>
  </w:style>
  <w:style w:type="paragraph" w:customStyle="1" w:styleId="PRTBoxHeading1">
    <w:name w:val="PRT Box Heading1"/>
    <w:basedOn w:val="Normal"/>
    <w:uiPriority w:val="99"/>
    <w:rsid w:val="00375B9D"/>
    <w:pPr>
      <w:suppressAutoHyphens/>
      <w:autoSpaceDE w:val="0"/>
      <w:autoSpaceDN w:val="0"/>
      <w:adjustRightInd w:val="0"/>
      <w:spacing w:before="113" w:after="113" w:line="260" w:lineRule="atLeast"/>
      <w:textAlignment w:val="center"/>
    </w:pPr>
    <w:rPr>
      <w:rFonts w:ascii="Arial MT Std" w:eastAsiaTheme="minorHAnsi" w:hAnsi="Arial MT Std" w:cs="Arial MT Std"/>
      <w:b/>
      <w:bCs/>
      <w:color w:val="005595"/>
      <w:sz w:val="21"/>
      <w:szCs w:val="21"/>
    </w:rPr>
  </w:style>
  <w:style w:type="character" w:styleId="CommentReference">
    <w:name w:val="annotation reference"/>
    <w:basedOn w:val="DefaultParagraphFont"/>
    <w:uiPriority w:val="99"/>
    <w:unhideWhenUsed/>
    <w:rsid w:val="00375B9D"/>
    <w:rPr>
      <w:sz w:val="16"/>
      <w:szCs w:val="16"/>
    </w:rPr>
  </w:style>
  <w:style w:type="paragraph" w:customStyle="1" w:styleId="NoParagraphStyle">
    <w:name w:val="[No Paragraph Style]"/>
    <w:rsid w:val="00375B9D"/>
    <w:pPr>
      <w:autoSpaceDE w:val="0"/>
      <w:autoSpaceDN w:val="0"/>
      <w:adjustRightInd w:val="0"/>
      <w:spacing w:after="0" w:line="288" w:lineRule="auto"/>
      <w:textAlignment w:val="center"/>
    </w:pPr>
    <w:rPr>
      <w:rFonts w:ascii="Times Regular" w:eastAsiaTheme="minorHAnsi" w:hAnsi="Times Regular" w:cs="Times Regular"/>
      <w:color w:val="000000"/>
      <w:sz w:val="24"/>
      <w:szCs w:val="24"/>
      <w:lang w:val="en-GB"/>
    </w:rPr>
  </w:style>
  <w:style w:type="paragraph" w:customStyle="1" w:styleId="PRTBodyText">
    <w:name w:val="PRT Body Text"/>
    <w:basedOn w:val="NoParagraphStyle"/>
    <w:uiPriority w:val="99"/>
    <w:rsid w:val="00375B9D"/>
    <w:pPr>
      <w:suppressAutoHyphens/>
      <w:spacing w:after="113" w:line="290" w:lineRule="atLeast"/>
    </w:pPr>
    <w:rPr>
      <w:rFonts w:ascii="Arial MT Std" w:hAnsi="Arial MT Std" w:cs="Arial MT Std"/>
      <w:color w:val="005595"/>
      <w:sz w:val="21"/>
      <w:szCs w:val="21"/>
      <w:lang w:val="en-AU"/>
    </w:rPr>
  </w:style>
  <w:style w:type="paragraph" w:customStyle="1" w:styleId="PRTHeading1">
    <w:name w:val="PRT Heading 1"/>
    <w:basedOn w:val="NoParagraphStyle"/>
    <w:uiPriority w:val="99"/>
    <w:rsid w:val="00375B9D"/>
    <w:pPr>
      <w:suppressAutoHyphens/>
      <w:spacing w:line="460" w:lineRule="atLeast"/>
    </w:pPr>
    <w:rPr>
      <w:rFonts w:ascii="Arial MT Std" w:hAnsi="Arial MT Std" w:cs="Arial MT Std"/>
      <w:color w:val="F48024"/>
      <w:sz w:val="36"/>
      <w:szCs w:val="36"/>
      <w:lang w:val="en-US"/>
    </w:rPr>
  </w:style>
  <w:style w:type="paragraph" w:customStyle="1" w:styleId="DTFBoxedBodyText">
    <w:name w:val="DTF Boxed Body Text"/>
    <w:basedOn w:val="DTFBodyText"/>
    <w:rsid w:val="00375B9D"/>
    <w:pPr>
      <w:ind w:left="14"/>
    </w:pPr>
  </w:style>
  <w:style w:type="paragraph" w:customStyle="1" w:styleId="DTFBoxedBulletText">
    <w:name w:val="DTF Boxed Bullet Text"/>
    <w:basedOn w:val="DTFBulletText"/>
    <w:rsid w:val="00375B9D"/>
    <w:pPr>
      <w:tabs>
        <w:tab w:val="clear" w:pos="1418"/>
      </w:tabs>
      <w:ind w:left="289"/>
    </w:pPr>
  </w:style>
  <w:style w:type="character" w:styleId="FollowedHyperlink">
    <w:name w:val="FollowedHyperlink"/>
    <w:basedOn w:val="DefaultParagraphFont"/>
    <w:uiPriority w:val="99"/>
    <w:semiHidden/>
    <w:unhideWhenUsed/>
    <w:rsid w:val="00375B9D"/>
    <w:rPr>
      <w:color w:val="8C4799" w:themeColor="followedHyperlink"/>
      <w:u w:val="single"/>
    </w:rPr>
  </w:style>
  <w:style w:type="paragraph" w:styleId="Revision">
    <w:name w:val="Revision"/>
    <w:hidden/>
    <w:uiPriority w:val="99"/>
    <w:semiHidden/>
    <w:rsid w:val="00375B9D"/>
    <w:pPr>
      <w:spacing w:after="0"/>
    </w:pPr>
    <w:rPr>
      <w:rFonts w:ascii="Arial MT Std Light" w:eastAsiaTheme="minorHAnsi" w:hAnsi="Arial MT Std Light" w:cstheme="minorBidi"/>
    </w:rPr>
  </w:style>
  <w:style w:type="paragraph" w:customStyle="1" w:styleId="DTFTableBullet">
    <w:name w:val="DTF Table Bullet"/>
    <w:basedOn w:val="DTFBulletlist"/>
    <w:rsid w:val="00FD5257"/>
    <w:pPr>
      <w:spacing w:before="40"/>
      <w:ind w:left="276" w:hanging="284"/>
    </w:pPr>
  </w:style>
  <w:style w:type="table" w:styleId="PlainTable4">
    <w:name w:val="Plain Table 4"/>
    <w:basedOn w:val="TableNormal"/>
    <w:uiPriority w:val="44"/>
    <w:rsid w:val="00292EF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TFNumberedlist">
    <w:name w:val="DTF Numbered list"/>
    <w:basedOn w:val="ListParagraph"/>
    <w:link w:val="DTFNumberedlistChar"/>
    <w:qFormat/>
    <w:rsid w:val="00F16611"/>
    <w:pPr>
      <w:numPr>
        <w:numId w:val="25"/>
      </w:numPr>
      <w:spacing w:after="200"/>
    </w:pPr>
    <w:rPr>
      <w:noProof/>
      <w:lang w:eastAsia="en-AU"/>
    </w:rPr>
  </w:style>
  <w:style w:type="paragraph" w:customStyle="1" w:styleId="DTFBulletlist">
    <w:name w:val="DTF Bullet list"/>
    <w:basedOn w:val="ListParagraph"/>
    <w:link w:val="DTFBulletlistChar"/>
    <w:qFormat/>
    <w:rsid w:val="00AE756D"/>
    <w:pPr>
      <w:numPr>
        <w:numId w:val="27"/>
      </w:numPr>
      <w:spacing w:after="200"/>
      <w:ind w:left="714" w:hanging="357"/>
    </w:pPr>
    <w:rPr>
      <w:noProof/>
      <w:lang w:eastAsia="en-AU"/>
    </w:rPr>
  </w:style>
  <w:style w:type="character" w:customStyle="1" w:styleId="BlockTextChar">
    <w:name w:val="Block Text Char"/>
    <w:basedOn w:val="DefaultParagraphFont"/>
    <w:link w:val="BlockText"/>
    <w:uiPriority w:val="99"/>
    <w:semiHidden/>
    <w:rsid w:val="00F16611"/>
    <w:rPr>
      <w:rFonts w:ascii="Lato" w:eastAsiaTheme="minorEastAsia" w:hAnsi="Lato"/>
      <w:iCs/>
    </w:rPr>
  </w:style>
  <w:style w:type="character" w:customStyle="1" w:styleId="ListParagraphChar">
    <w:name w:val="List Paragraph Char"/>
    <w:basedOn w:val="BlockTextChar"/>
    <w:link w:val="ListParagraph"/>
    <w:uiPriority w:val="34"/>
    <w:rsid w:val="00F16611"/>
    <w:rPr>
      <w:rFonts w:ascii="Lato" w:eastAsiaTheme="minorEastAsia" w:hAnsi="Lato"/>
      <w:iCs/>
    </w:rPr>
  </w:style>
  <w:style w:type="character" w:customStyle="1" w:styleId="DTFNumberedlistChar">
    <w:name w:val="DTF Numbered list Char"/>
    <w:basedOn w:val="ListParagraphChar"/>
    <w:link w:val="DTFNumberedlist"/>
    <w:rsid w:val="00F16611"/>
    <w:rPr>
      <w:rFonts w:ascii="Lato" w:eastAsiaTheme="minorEastAsia" w:hAnsi="Lato"/>
      <w:iCs/>
      <w:noProof/>
      <w:lang w:eastAsia="en-AU"/>
    </w:rPr>
  </w:style>
  <w:style w:type="paragraph" w:customStyle="1" w:styleId="DTFHeading5">
    <w:name w:val="DTF Heading 5"/>
    <w:basedOn w:val="Normal"/>
    <w:link w:val="DTFHeading5Char"/>
    <w:qFormat/>
    <w:rsid w:val="00AA5FCB"/>
    <w:pPr>
      <w:keepNext/>
    </w:pPr>
    <w:rPr>
      <w:rFonts w:asciiTheme="majorHAnsi" w:hAnsiTheme="majorHAnsi"/>
      <w:noProof/>
      <w:color w:val="1F1F5F" w:themeColor="text1"/>
      <w:sz w:val="24"/>
      <w:szCs w:val="24"/>
      <w:lang w:eastAsia="en-AU"/>
    </w:rPr>
  </w:style>
  <w:style w:type="character" w:customStyle="1" w:styleId="DTFBulletlistChar">
    <w:name w:val="DTF Bullet list Char"/>
    <w:basedOn w:val="ListParagraphChar"/>
    <w:link w:val="DTFBulletlist"/>
    <w:rsid w:val="00AE756D"/>
    <w:rPr>
      <w:rFonts w:ascii="Lato" w:eastAsiaTheme="minorEastAsia" w:hAnsi="Lato"/>
      <w:iCs/>
      <w:noProof/>
      <w:lang w:eastAsia="en-AU"/>
    </w:rPr>
  </w:style>
  <w:style w:type="character" w:customStyle="1" w:styleId="Caption1Char">
    <w:name w:val="Caption 1 Char"/>
    <w:basedOn w:val="DefaultParagraphFont"/>
    <w:link w:val="Caption1"/>
    <w:rsid w:val="007118DF"/>
    <w:rPr>
      <w:rFonts w:ascii="Lato" w:hAnsi="Lato"/>
      <w:sz w:val="18"/>
    </w:rPr>
  </w:style>
  <w:style w:type="paragraph" w:customStyle="1" w:styleId="DTFTableHeading1">
    <w:name w:val="DTF Table Heading 1"/>
    <w:basedOn w:val="DTFHeading5"/>
    <w:next w:val="DTFHeading1"/>
    <w:link w:val="DTFTableHeading1Char"/>
    <w:qFormat/>
    <w:rsid w:val="00AF1606"/>
    <w:pPr>
      <w:spacing w:after="240"/>
    </w:pPr>
    <w:rPr>
      <w:rFonts w:eastAsiaTheme="minorHAnsi" w:cstheme="minorBidi"/>
      <w:sz w:val="22"/>
    </w:rPr>
  </w:style>
  <w:style w:type="character" w:customStyle="1" w:styleId="DTFHeading5Char">
    <w:name w:val="DTF Heading 5 Char"/>
    <w:basedOn w:val="DefaultParagraphFont"/>
    <w:link w:val="DTFHeading5"/>
    <w:rsid w:val="00AA5FCB"/>
    <w:rPr>
      <w:rFonts w:asciiTheme="majorHAnsi" w:hAnsiTheme="majorHAnsi"/>
      <w:noProof/>
      <w:color w:val="1F1F5F" w:themeColor="text1"/>
      <w:sz w:val="24"/>
      <w:szCs w:val="24"/>
      <w:lang w:eastAsia="en-AU"/>
    </w:rPr>
  </w:style>
  <w:style w:type="table" w:customStyle="1" w:styleId="DTFpayrolltaxguidestyle1">
    <w:name w:val="DTF payroll tax guide style 1"/>
    <w:basedOn w:val="TableNormal"/>
    <w:uiPriority w:val="99"/>
    <w:rsid w:val="00872F53"/>
    <w:pPr>
      <w:spacing w:after="0"/>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
    <w:tcPr>
      <w:shd w:val="clear" w:color="auto" w:fill="F2F2F2" w:themeFill="background1" w:themeFillShade="F2"/>
      <w:tcMar>
        <w:top w:w="113" w:type="dxa"/>
      </w:tcMar>
    </w:tcPr>
  </w:style>
  <w:style w:type="character" w:customStyle="1" w:styleId="DTFTableHeading1Char">
    <w:name w:val="DTF Table Heading 1 Char"/>
    <w:basedOn w:val="DTFHeading5Char"/>
    <w:link w:val="DTFTableHeading1"/>
    <w:rsid w:val="00AF1606"/>
    <w:rPr>
      <w:rFonts w:asciiTheme="majorHAnsi" w:eastAsiaTheme="minorHAnsi" w:hAnsiTheme="majorHAnsi" w:cstheme="minorBidi"/>
      <w:noProof/>
      <w:color w:val="1F1F5F" w:themeColor="text1"/>
      <w:sz w:val="24"/>
      <w:szCs w:val="24"/>
      <w:lang w:eastAsia="en-AU"/>
    </w:rPr>
  </w:style>
  <w:style w:type="paragraph" w:customStyle="1" w:styleId="DTFNormalnumberedlist">
    <w:name w:val="DTF Normal numbered list"/>
    <w:basedOn w:val="Normal"/>
    <w:link w:val="DTFNormalnumberedlistChar"/>
    <w:qFormat/>
    <w:rsid w:val="00B727FD"/>
    <w:pPr>
      <w:ind w:left="680"/>
    </w:pPr>
    <w:rPr>
      <w:noProof/>
      <w:lang w:eastAsia="en-AU"/>
    </w:rPr>
  </w:style>
  <w:style w:type="paragraph" w:customStyle="1" w:styleId="DTFLetterlist1">
    <w:name w:val="DTF Letter list 1"/>
    <w:basedOn w:val="Normal"/>
    <w:link w:val="DTFLetterlist1Char"/>
    <w:qFormat/>
    <w:rsid w:val="00030262"/>
    <w:pPr>
      <w:numPr>
        <w:numId w:val="30"/>
      </w:numPr>
      <w:ind w:left="714" w:hanging="357"/>
    </w:pPr>
    <w:rPr>
      <w:noProof/>
    </w:rPr>
  </w:style>
  <w:style w:type="character" w:customStyle="1" w:styleId="DTFNormalnumberedlistChar">
    <w:name w:val="DTF Normal numbered list Char"/>
    <w:basedOn w:val="DefaultParagraphFont"/>
    <w:link w:val="DTFNormalnumberedlist"/>
    <w:rsid w:val="00B727FD"/>
    <w:rPr>
      <w:rFonts w:ascii="Lato" w:hAnsi="Lato"/>
      <w:noProof/>
      <w:lang w:eastAsia="en-AU"/>
    </w:rPr>
  </w:style>
  <w:style w:type="character" w:customStyle="1" w:styleId="DTFLetterlist1Char">
    <w:name w:val="DTF Letter list 1 Char"/>
    <w:basedOn w:val="ListParagraphChar"/>
    <w:link w:val="DTFLetterlist1"/>
    <w:rsid w:val="00030262"/>
    <w:rPr>
      <w:rFonts w:ascii="Lato" w:eastAsiaTheme="minorEastAsia" w:hAnsi="Lato"/>
      <w:iCs w:val="0"/>
      <w:noProof/>
    </w:rPr>
  </w:style>
  <w:style w:type="paragraph" w:customStyle="1" w:styleId="TableParagraph">
    <w:name w:val="Table Paragraph"/>
    <w:basedOn w:val="Normal"/>
    <w:uiPriority w:val="1"/>
    <w:qFormat/>
    <w:rsid w:val="00EE32A2"/>
    <w:pPr>
      <w:widowControl w:val="0"/>
      <w:autoSpaceDE w:val="0"/>
      <w:autoSpaceDN w:val="0"/>
      <w:spacing w:before="39" w:after="0"/>
      <w:ind w:left="107"/>
    </w:pPr>
    <w:rPr>
      <w:rFonts w:eastAsia="Lato" w:cs="La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ra.nt.gov.au/Account/Login?ReturnUrl=%2F" TargetMode="External"/><Relationship Id="rId21" Type="http://schemas.openxmlformats.org/officeDocument/2006/relationships/hyperlink" Target="https://treasury.nt.gov.au/dtf/territory-revenue-office/publications" TargetMode="External"/><Relationship Id="rId42" Type="http://schemas.openxmlformats.org/officeDocument/2006/relationships/hyperlink" Target="https://treasury.nt.gov.au/dtf/territory-revenue-office/publications" TargetMode="External"/><Relationship Id="rId47" Type="http://schemas.openxmlformats.org/officeDocument/2006/relationships/hyperlink" Target="https://treasury.nt.gov.au/dtf/territory-revenue-office/publications" TargetMode="External"/><Relationship Id="rId63" Type="http://schemas.openxmlformats.org/officeDocument/2006/relationships/hyperlink" Target="https://treasury.nt.gov.au/dtf/territory-revenue-office/publications"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s://treasury.nt.gov.au/dtf/territory-revenue-office/publications" TargetMode="External"/><Relationship Id="rId11" Type="http://schemas.openxmlformats.org/officeDocument/2006/relationships/footer" Target="footer2.xml"/><Relationship Id="rId24" Type="http://schemas.openxmlformats.org/officeDocument/2006/relationships/hyperlink" Target="https://treasury.nt.gov.au/dtf/territory-revenue-office/publications" TargetMode="External"/><Relationship Id="rId32" Type="http://schemas.openxmlformats.org/officeDocument/2006/relationships/hyperlink" Target="https://treasury.nt.gov.au/dtf/territory-revenue-office/publications" TargetMode="External"/><Relationship Id="rId37" Type="http://schemas.openxmlformats.org/officeDocument/2006/relationships/hyperlink" Target="https://treasury.nt.gov.au/dtf/territory-revenue-office/publications" TargetMode="External"/><Relationship Id="rId40" Type="http://schemas.openxmlformats.org/officeDocument/2006/relationships/hyperlink" Target="https://treasury.nt.gov.au/dtf/territory-revenue-office/publications" TargetMode="External"/><Relationship Id="rId45" Type="http://schemas.openxmlformats.org/officeDocument/2006/relationships/hyperlink" Target="https://treasury.nt.gov.au/dtf/territory-revenue-office/publications" TargetMode="External"/><Relationship Id="rId53" Type="http://schemas.openxmlformats.org/officeDocument/2006/relationships/hyperlink" Target="https://treasury.nt.gov.au/__data/assets/pdf_file/0017/481031/F-PRT-002.pdf" TargetMode="External"/><Relationship Id="rId58" Type="http://schemas.openxmlformats.org/officeDocument/2006/relationships/hyperlink" Target="https://treasury.nt.gov.au/dtf/territory-revenue-office/publications" TargetMode="External"/><Relationship Id="rId66"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yperlink" Target="https://treasury.nt.gov.au/dtf/territory-revenue-office/publications" TargetMode="External"/><Relationship Id="rId19" Type="http://schemas.openxmlformats.org/officeDocument/2006/relationships/hyperlink" Target="http://www.revenue.nt.gov.au" TargetMode="External"/><Relationship Id="rId14" Type="http://schemas.openxmlformats.org/officeDocument/2006/relationships/header" Target="header4.xml"/><Relationship Id="rId22" Type="http://schemas.openxmlformats.org/officeDocument/2006/relationships/hyperlink" Target="https://treasury.nt.gov.au/dtf/territory-revenue-office/publications" TargetMode="External"/><Relationship Id="rId27" Type="http://schemas.openxmlformats.org/officeDocument/2006/relationships/hyperlink" Target="https://intra.nt.gov.au/Account/Login?ReturnUrl=%2F" TargetMode="External"/><Relationship Id="rId30" Type="http://schemas.openxmlformats.org/officeDocument/2006/relationships/hyperlink" Target="https://treasury.nt.gov.au/dtf/territory-revenue-office/publications" TargetMode="External"/><Relationship Id="rId35" Type="http://schemas.openxmlformats.org/officeDocument/2006/relationships/hyperlink" Target="https://treasury.nt.gov.au/dtf/territory-revenue-office/publications" TargetMode="External"/><Relationship Id="rId43" Type="http://schemas.openxmlformats.org/officeDocument/2006/relationships/hyperlink" Target="https://treasury.nt.gov.au/dtf/territory-revenue-office/publications" TargetMode="External"/><Relationship Id="rId48" Type="http://schemas.openxmlformats.org/officeDocument/2006/relationships/hyperlink" Target="https://treasury.nt.gov.au/dtf/territory-revenue-office/publications" TargetMode="External"/><Relationship Id="rId56" Type="http://schemas.openxmlformats.org/officeDocument/2006/relationships/image" Target="media/image3.png"/><Relationship Id="rId64" Type="http://schemas.openxmlformats.org/officeDocument/2006/relationships/image" Target="media/image5.png"/><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treasury.nt.gov.au/dtf/territory-revenue-office/publications"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treasury.nt.gov.au/dtf/territory-revenue-office/publications" TargetMode="External"/><Relationship Id="rId33" Type="http://schemas.openxmlformats.org/officeDocument/2006/relationships/hyperlink" Target="https://treasury.nt.gov.au/dtf/territory-revenue-office/publications" TargetMode="External"/><Relationship Id="rId38" Type="http://schemas.openxmlformats.org/officeDocument/2006/relationships/hyperlink" Target="https://treasury.nt.gov.au/dtf/territory-revenue-office/publications" TargetMode="External"/><Relationship Id="rId46" Type="http://schemas.openxmlformats.org/officeDocument/2006/relationships/hyperlink" Target="https://treasury.nt.gov.au/dtf/territory-revenue-office/publications" TargetMode="External"/><Relationship Id="rId59" Type="http://schemas.openxmlformats.org/officeDocument/2006/relationships/hyperlink" Target="https://treasury.nt.gov.au/dtf/territory-revenue-office/publications" TargetMode="External"/><Relationship Id="rId67" Type="http://schemas.openxmlformats.org/officeDocument/2006/relationships/header" Target="header6.xml"/><Relationship Id="rId20" Type="http://schemas.openxmlformats.org/officeDocument/2006/relationships/hyperlink" Target="https://treasury.nt.gov.au/dtf/territory-revenue-office/publications" TargetMode="External"/><Relationship Id="rId41" Type="http://schemas.openxmlformats.org/officeDocument/2006/relationships/hyperlink" Target="https://treasury.nt.gov.au/dtf/territory-revenue-office/publications" TargetMode="External"/><Relationship Id="rId54" Type="http://schemas.openxmlformats.org/officeDocument/2006/relationships/hyperlink" Target="https://treasury.nt.gov.au/dtf/territory-revenue-office/publications" TargetMode="External"/><Relationship Id="rId62" Type="http://schemas.openxmlformats.org/officeDocument/2006/relationships/hyperlink" Target="https://treasury.nt.gov.au/dtf/territory-revenue-office/publication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treasury.nt.gov.au/dtf/territory-revenue-office/publications" TargetMode="External"/><Relationship Id="rId28" Type="http://schemas.openxmlformats.org/officeDocument/2006/relationships/hyperlink" Target="https://treasury.nt.gov.au/dtf/territory-revenue-office/publications" TargetMode="External"/><Relationship Id="rId36" Type="http://schemas.openxmlformats.org/officeDocument/2006/relationships/hyperlink" Target="https://treasury.nt.gov.au/dtf/territory-revenue-office/publications" TargetMode="External"/><Relationship Id="rId49" Type="http://schemas.openxmlformats.org/officeDocument/2006/relationships/hyperlink" Target="https://intra.nt.gov.au/Account/Login?ReturnUrl=%2F" TargetMode="External"/><Relationship Id="rId57" Type="http://schemas.openxmlformats.org/officeDocument/2006/relationships/image" Target="media/image4.png"/><Relationship Id="rId10" Type="http://schemas.openxmlformats.org/officeDocument/2006/relationships/footer" Target="footer1.xml"/><Relationship Id="rId31" Type="http://schemas.openxmlformats.org/officeDocument/2006/relationships/hyperlink" Target="http://abr.business.gov.au/" TargetMode="External"/><Relationship Id="rId44" Type="http://schemas.openxmlformats.org/officeDocument/2006/relationships/hyperlink" Target="https://treasury.nt.gov.au/dtf/territory-revenue-office/publications" TargetMode="External"/><Relationship Id="rId52" Type="http://schemas.openxmlformats.org/officeDocument/2006/relationships/hyperlink" Target="https://treasury.nt.gov.au/dtf/territory-revenue-office/intra" TargetMode="External"/><Relationship Id="rId60" Type="http://schemas.openxmlformats.org/officeDocument/2006/relationships/hyperlink" Target="https://www.ato.gov.au/Forms/Taxable-payments-annual-report-instructions-and-form/" TargetMode="External"/><Relationship Id="rId65" Type="http://schemas.openxmlformats.org/officeDocument/2006/relationships/hyperlink" Target="https://treasury.nt.gov.au/dtf/territory-revenue-office/payroll-tax"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mailto:ntrevenue@nt.gov.au" TargetMode="External"/><Relationship Id="rId39" Type="http://schemas.openxmlformats.org/officeDocument/2006/relationships/hyperlink" Target="https://treasury.nt.gov.au/dtf/territory-revenue-office/payroll-tax" TargetMode="External"/><Relationship Id="rId34" Type="http://schemas.openxmlformats.org/officeDocument/2006/relationships/hyperlink" Target="https://treasury.nt.gov.au/dtf/territory-revenue-office/publications" TargetMode="External"/><Relationship Id="rId50" Type="http://schemas.openxmlformats.org/officeDocument/2006/relationships/hyperlink" Target="https://treasury.nt.gov.au/dtf/territory-revenue-office/publications" TargetMode="External"/><Relationship Id="rId55" Type="http://schemas.openxmlformats.org/officeDocument/2006/relationships/hyperlink" Target="https://treasury.nt.gov.au/dtf/territory-revenue-office/intra"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25326</Words>
  <Characters>144360</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I-PRT-001</vt:lpstr>
    </vt:vector>
  </TitlesOfParts>
  <Company/>
  <LinksUpToDate>false</LinksUpToDate>
  <CharactersWithSpaces>169348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I-PRT-001</dc:title>
  <dc:subject>Payroll tax guide</dc:subject>
  <dc:creator/>
  <cp:keywords/>
  <cp:lastModifiedBy/>
  <cp:revision>1</cp:revision>
  <dcterms:created xsi:type="dcterms:W3CDTF">2023-11-07T01:58:00Z</dcterms:created>
  <dcterms:modified xsi:type="dcterms:W3CDTF">2024-06-11T22:57:00Z</dcterms:modified>
</cp:coreProperties>
</file>