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A1" w:rsidRPr="00795E8D" w:rsidRDefault="000D48A1" w:rsidP="00795E8D">
      <w:pPr>
        <w:pStyle w:val="Heading1"/>
        <w:spacing w:before="240" w:after="200"/>
        <w:rPr>
          <w:rFonts w:ascii="Arial" w:hAnsi="Arial" w:cs="Arial"/>
          <w:color w:val="CB6015"/>
          <w:sz w:val="32"/>
          <w:szCs w:val="32"/>
        </w:rPr>
      </w:pPr>
      <w:r w:rsidRPr="00795E8D">
        <w:rPr>
          <w:rFonts w:ascii="Arial" w:hAnsi="Arial" w:cs="Arial"/>
          <w:color w:val="CB6015"/>
          <w:sz w:val="32"/>
          <w:szCs w:val="32"/>
        </w:rPr>
        <w:t>Requirement to Release Pre-Election Fiscal Outlook Report</w:t>
      </w:r>
    </w:p>
    <w:p w:rsidR="000D48A1" w:rsidRDefault="000D48A1" w:rsidP="000D48A1">
      <w:pPr>
        <w:pStyle w:val="DTFBodyText"/>
      </w:pPr>
      <w:r>
        <w:t xml:space="preserve">The </w:t>
      </w:r>
      <w:r w:rsidRPr="00573897">
        <w:rPr>
          <w:rStyle w:val="DTFItalic"/>
        </w:rPr>
        <w:t>Fiscal Integrity and Transparency Act</w:t>
      </w:r>
      <w:r w:rsidRPr="00573897">
        <w:t xml:space="preserve"> </w:t>
      </w:r>
      <w:r>
        <w:t>requires the public release of a Pre</w:t>
      </w:r>
      <w:r>
        <w:noBreakHyphen/>
        <w:t>Election Fiscal Outlook Report within 10 days of the issue of a writ for a Northern Territory general election.</w:t>
      </w:r>
    </w:p>
    <w:p w:rsidR="000D48A1" w:rsidRDefault="000D48A1" w:rsidP="000D48A1">
      <w:pPr>
        <w:pStyle w:val="DTFBodyText"/>
      </w:pPr>
      <w:r w:rsidRPr="004E0596">
        <w:t xml:space="preserve">In accordance with this requirement, </w:t>
      </w:r>
      <w:r>
        <w:t xml:space="preserve">the Report </w:t>
      </w:r>
      <w:r w:rsidRPr="004E0596">
        <w:t xml:space="preserve">will </w:t>
      </w:r>
      <w:r>
        <w:t xml:space="preserve">be </w:t>
      </w:r>
      <w:r w:rsidRPr="004E0596">
        <w:t>releas</w:t>
      </w:r>
      <w:r>
        <w:t>ed</w:t>
      </w:r>
      <w:r w:rsidRPr="004E0596">
        <w:t xml:space="preserve"> on </w:t>
      </w:r>
      <w:r>
        <w:t>18 August 2016 and will be available on the Department of Treasury and Finance website.</w:t>
      </w:r>
    </w:p>
    <w:p w:rsidR="000D48A1" w:rsidRDefault="000D48A1" w:rsidP="000D48A1">
      <w:pPr>
        <w:pStyle w:val="DTFBodyText"/>
      </w:pPr>
      <w:r w:rsidRPr="004E0596">
        <w:t>The Report wi</w:t>
      </w:r>
      <w:r>
        <w:t>ll take</w:t>
      </w:r>
      <w:r w:rsidRPr="004E0596">
        <w:t xml:space="preserve"> into account non-policy changes</w:t>
      </w:r>
      <w:r>
        <w:t xml:space="preserve"> and</w:t>
      </w:r>
      <w:r w:rsidRPr="004E0596">
        <w:t xml:space="preserve"> policy decisions </w:t>
      </w:r>
      <w:r>
        <w:t>approved</w:t>
      </w:r>
      <w:r w:rsidRPr="004E0596">
        <w:t xml:space="preserve"> since the </w:t>
      </w:r>
      <w:r>
        <w:t>2016-17</w:t>
      </w:r>
      <w:r w:rsidRPr="004E0596">
        <w:t xml:space="preserve"> Budget</w:t>
      </w:r>
      <w:r>
        <w:t xml:space="preserve">. The Treasurer will also be asked if there are any other commitments that the Under Treasurer may not be aware of so that these may also be incorporated into the Report. </w:t>
      </w:r>
    </w:p>
    <w:p w:rsidR="000D48A1" w:rsidRDefault="000D48A1" w:rsidP="000D48A1">
      <w:pPr>
        <w:pStyle w:val="DTFBodyText"/>
      </w:pPr>
      <w:r>
        <w:t>The Report will provide preliminary information on the 2015-16 Budget outcome and</w:t>
      </w:r>
      <w:r w:rsidRPr="00236663">
        <w:t xml:space="preserve"> </w:t>
      </w:r>
      <w:r>
        <w:t>updated</w:t>
      </w:r>
      <w:r w:rsidRPr="004E0596">
        <w:t xml:space="preserve"> fiscal </w:t>
      </w:r>
      <w:r>
        <w:t xml:space="preserve">estimates and </w:t>
      </w:r>
      <w:r w:rsidRPr="004E0596">
        <w:t xml:space="preserve">projections for </w:t>
      </w:r>
      <w:r>
        <w:t>2016-17 to 2019-20.</w:t>
      </w:r>
      <w:r w:rsidRPr="00F8561F">
        <w:tab/>
      </w:r>
    </w:p>
    <w:p w:rsidR="000D48A1" w:rsidRDefault="000D48A1" w:rsidP="000D48A1">
      <w:pPr>
        <w:pStyle w:val="DTFBodyText"/>
      </w:pPr>
      <w:r>
        <w:t xml:space="preserve">The </w:t>
      </w:r>
      <w:r w:rsidRPr="00573897">
        <w:rPr>
          <w:rStyle w:val="DTFItalic"/>
        </w:rPr>
        <w:t>Fiscal Integrity and Transparency Act</w:t>
      </w:r>
      <w:r>
        <w:t xml:space="preserve"> does not include provisions in relation to the costing of election commitments.  However for the previous three elections government and opposition parties requested the Under Treasurer to provide an assessment of whether the net cost of their election commitments would have a material effect on the estimates included in the Pre-Election Fiscal Outlook Report.  </w:t>
      </w:r>
    </w:p>
    <w:p w:rsidR="000D48A1" w:rsidRDefault="000D48A1" w:rsidP="000D48A1">
      <w:pPr>
        <w:pStyle w:val="DTFBodyText"/>
      </w:pPr>
      <w:r>
        <w:t>While there is no obligation on political parties to provide costings of commitments to Treasury, if requests similar to those in previous elections are made during the 2016 election, an assessment will be done on the following basis:</w:t>
      </w:r>
    </w:p>
    <w:p w:rsidR="000D48A1" w:rsidRPr="00573897" w:rsidRDefault="000D48A1" w:rsidP="000D48A1">
      <w:pPr>
        <w:pStyle w:val="DTFListBullet1-Black"/>
      </w:pPr>
      <w:r w:rsidRPr="00573897">
        <w:t>A summary of expenditure and revenue pertaining to 2016 election commitments to be provided to Treasury by no later than 1pm on 22 August 2016; and</w:t>
      </w:r>
    </w:p>
    <w:p w:rsidR="000D48A1" w:rsidRPr="00573897" w:rsidRDefault="000D48A1" w:rsidP="000D48A1">
      <w:pPr>
        <w:pStyle w:val="DTFListBullet1-Black"/>
      </w:pPr>
      <w:r w:rsidRPr="00573897">
        <w:t>If adequate information is provided for an assessment to be made, this will be completed and released publicly by 1pm on 25 August 2016.</w:t>
      </w:r>
    </w:p>
    <w:p w:rsidR="000D48A1" w:rsidRDefault="000D48A1" w:rsidP="000D48A1">
      <w:pPr>
        <w:pStyle w:val="DTFBodyText"/>
      </w:pPr>
      <w:r>
        <w:t>Given the limited time available to undertake the assessment, no comment will be made on the estimates of expenditure and revenue except where they are demonstrably unachievable or are unlikely to be done within the timeframes outlined.</w:t>
      </w:r>
    </w:p>
    <w:p w:rsidR="00E97EFB" w:rsidRPr="004D63BE" w:rsidRDefault="00E97EFB" w:rsidP="004B424A"/>
    <w:sectPr w:rsidR="00E97EFB" w:rsidRPr="004D63BE" w:rsidSect="00520ED8">
      <w:headerReference w:type="even" r:id="rId8"/>
      <w:headerReference w:type="default" r:id="rId9"/>
      <w:footerReference w:type="even" r:id="rId10"/>
      <w:footerReference w:type="default" r:id="rId11"/>
      <w:headerReference w:type="first" r:id="rId12"/>
      <w:footerReference w:type="first" r:id="rId13"/>
      <w:pgSz w:w="11900" w:h="16840"/>
      <w:pgMar w:top="2552" w:right="1134" w:bottom="1134" w:left="170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A1" w:rsidRDefault="000D48A1" w:rsidP="004B424A">
      <w:r>
        <w:separator/>
      </w:r>
    </w:p>
  </w:endnote>
  <w:endnote w:type="continuationSeparator" w:id="0">
    <w:p w:rsidR="000D48A1" w:rsidRDefault="000D48A1" w:rsidP="004B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7E" w:rsidRDefault="00431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BC" w:rsidRDefault="00060A6D" w:rsidP="004B424A">
    <w:pPr>
      <w:pStyle w:val="Footer"/>
    </w:pPr>
    <w:r>
      <w:rPr>
        <w:noProof/>
        <w:lang w:eastAsia="en-AU"/>
      </w:rPr>
      <mc:AlternateContent>
        <mc:Choice Requires="wps">
          <w:drawing>
            <wp:anchor distT="0" distB="0" distL="114300" distR="114300" simplePos="0" relativeHeight="251658240" behindDoc="0" locked="0" layoutInCell="1" allowOverlap="1" wp14:anchorId="46EA9A5A" wp14:editId="31303787">
              <wp:simplePos x="0" y="0"/>
              <wp:positionH relativeFrom="margin">
                <wp:posOffset>4715510</wp:posOffset>
              </wp:positionH>
              <wp:positionV relativeFrom="margin">
                <wp:posOffset>9213215</wp:posOffset>
              </wp:positionV>
              <wp:extent cx="1583690" cy="134620"/>
              <wp:effectExtent l="635" t="2540" r="0" b="0"/>
              <wp:wrapTight wrapText="bothSides">
                <wp:wrapPolygon edited="0">
                  <wp:start x="0" y="0"/>
                  <wp:lineTo x="21600" y="0"/>
                  <wp:lineTo x="21600" y="21600"/>
                  <wp:lineTo x="0" y="21600"/>
                  <wp:lineTo x="0" y="0"/>
                </wp:wrapPolygon>
              </wp:wrapTight>
              <wp:docPr id="1" name="_x0000_tx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BBC" w:rsidRDefault="00531BBC" w:rsidP="004B424A">
                          <w:pPr>
                            <w:pStyle w:val="web"/>
                          </w:pPr>
                          <w:r>
                            <w:t>www.nt.gov.au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tx3" o:spid="_x0000_s1028" type="#_x0000_t202" style="position:absolute;margin-left:371.3pt;margin-top:725.45pt;width:124.7pt;height:10.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tntQIAALAFAAAOAAAAZHJzL2Uyb0RvYy54bWysVNuOmzAQfa/Uf7D8znIJyQJaUu2GUFXa&#10;XqRtn1cGTLAKNrWdwLbqv3dsQpLdvlRteUADHp+5nDNz82bsWnSgUjHBU+xfeRhRXoqK8V2Kv3zO&#10;nQgjpQmvSCs4TfETVfjN+vWrm6FPaCAa0VZUIgDhKhn6FDda94nrqrKhHVFXoqccDmshO6LhU+7c&#10;SpIB0LvWDTxv5Q5CVr0UJVUK/mbTIV5b/Lqmpf5Y14pq1KYYctP2Le27MG93fUOSnSR9w8pjGuQv&#10;sugI4xD0BJURTdBest+gOlZKoUStr0rRuaKuWUltDVCN772o5qEhPbW1QHNUf2qT+n+w5YfDJ4lY&#10;BdxhxEkHFD2OHjyPelyY7gy9SsDpoQc3Pd6J0XiaSlV/L8qvCnGxaQjf0VspxdBQUkF2vrnpXlyd&#10;cJQBKYb3ooIwZK+FBRpr2RlAaAYCdGDp6cQMHTUqTchltFjFcFTCmb8IV4GlziXJfLuXSr+lokPG&#10;SLEE5i06OdwrbbIhyexignGRs7a17Lf82Q9wnP5AbLhqzkwWlswfsRdvo20UOmGw2jqhl2XObb4J&#10;nVXuXy+zRbbZZP5PE9cPk4ZVFeUmzCwsP/wz4o4SnyRxkpYSLasMnElJyV2xaSU6EBB2bh/bczg5&#10;u7nP07BNgFpelOQHoXcXxE6+iq6dMA+XTnztRY7nx3fxygvjMMufl3TPOP33ktCQ4ngZLCcxnZN+&#10;UZvRojeTfVEbSTqmYXW0rEtxdHIiiZHglleWWk1YO9kXrTDpn1sBdM9EW8EajU5q1WMx2skI5jko&#10;RPUECpYCBAZahLUHRiPkd4wGWCEpVt/2RFKM2nccpsDsm9mQs1HMBuElXE1xgdFkbvS0l/a9ZLsG&#10;kKc54+IWJqVmVsRmpKYsjvMFa8HWclxhZu9cfluv86Jd/wIAAP//AwBQSwMEFAAGAAgAAAAhAOWh&#10;w0fhAAAADQEAAA8AAABkcnMvZG93bnJldi54bWxMj81OwzAQhO9IvIO1SNyoU7c0JMSpIiQOqPyI&#10;wAO4yZJExOsodtLw9mxPcNyZT7Mz2X6xvZhx9J0jDetVBAKpcnVHjYbPj8ebOxA+GKpN7wg1/KCH&#10;fX55kZm0did6x7kMjeAQ8qnR0IYwpFL6qkVr/MoNSOx9udGawOfYyHo0Jw63vVRRtJPWdMQfWjPg&#10;Q4vVdzlZDfOLVcVT9ZrI8llt4nhzeCumg9bXV0txDyLgEv5gONfn6pBzp6ObqPai1xBv1Y5RNra3&#10;UQKCkSRRPO94lmK1Bpln8v+K/BcAAP//AwBQSwECLQAUAAYACAAAACEAtoM4kv4AAADhAQAAEwAA&#10;AAAAAAAAAAAAAAAAAAAAW0NvbnRlbnRfVHlwZXNdLnhtbFBLAQItABQABgAIAAAAIQA4/SH/1gAA&#10;AJQBAAALAAAAAAAAAAAAAAAAAC8BAABfcmVscy8ucmVsc1BLAQItABQABgAIAAAAIQC5sPtntQIA&#10;ALAFAAAOAAAAAAAAAAAAAAAAAC4CAABkcnMvZTJvRG9jLnhtbFBLAQItABQABgAIAAAAIQDlocNH&#10;4QAAAA0BAAAPAAAAAAAAAAAAAAAAAA8FAABkcnMvZG93bnJldi54bWxQSwUGAAAAAAQABADzAAAA&#10;HQYAAAAA&#10;" filled="f" stroked="f">
              <v:textbox inset="0,0,0,0">
                <w:txbxContent>
                  <w:p w:rsidR="00531BBC" w:rsidRDefault="00531BBC" w:rsidP="004B424A">
                    <w:pPr>
                      <w:pStyle w:val="web"/>
                    </w:pPr>
                    <w:r>
                      <w:t>www.nt.gov.au</w:t>
                    </w:r>
                  </w:p>
                </w:txbxContent>
              </v:textbox>
              <w10:wrap type="tight"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7E" w:rsidRDefault="00431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A1" w:rsidRDefault="000D48A1" w:rsidP="004B424A">
      <w:r>
        <w:separator/>
      </w:r>
    </w:p>
  </w:footnote>
  <w:footnote w:type="continuationSeparator" w:id="0">
    <w:p w:rsidR="000D48A1" w:rsidRDefault="000D48A1" w:rsidP="004B4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7E" w:rsidRDefault="00431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F9" w:rsidRDefault="00E8487D" w:rsidP="004B424A">
    <w:pPr>
      <w:pStyle w:val="Header"/>
      <w:rPr>
        <w:noProof/>
        <w:lang w:eastAsia="en-AU"/>
      </w:rPr>
    </w:pPr>
    <w:bookmarkStart w:id="0" w:name="_GoBack"/>
    <w:r w:rsidRPr="00E8487D">
      <w:rPr>
        <w:noProof/>
        <w:lang w:eastAsia="en-AU"/>
      </w:rPr>
      <w:drawing>
        <wp:anchor distT="0" distB="0" distL="114300" distR="114300" simplePos="0" relativeHeight="251668480" behindDoc="0" locked="0" layoutInCell="1" allowOverlap="1" wp14:anchorId="6C3E2129" wp14:editId="268B1F40">
          <wp:simplePos x="0" y="0"/>
          <wp:positionH relativeFrom="column">
            <wp:posOffset>4815840</wp:posOffset>
          </wp:positionH>
          <wp:positionV relativeFrom="paragraph">
            <wp:posOffset>-9525</wp:posOffset>
          </wp:positionV>
          <wp:extent cx="47625" cy="990600"/>
          <wp:effectExtent l="0" t="0" r="9525" b="0"/>
          <wp:wrapNone/>
          <wp:docPr id="8" name="Picture 8" descr="DTF colo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 UNIT\4. Comms Internal Work and Publications\7. Templates\6. 2016 NTG templates - new branding\New DTF samples\colour stri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 cy="990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E8487D">
      <w:rPr>
        <w:noProof/>
        <w:lang w:eastAsia="en-AU"/>
      </w:rPr>
      <mc:AlternateContent>
        <mc:Choice Requires="wps">
          <w:drawing>
            <wp:anchor distT="0" distB="0" distL="114300" distR="114300" simplePos="0" relativeHeight="251667456" behindDoc="0" locked="0" layoutInCell="1" allowOverlap="1" wp14:anchorId="23797CAC" wp14:editId="06B09673">
              <wp:simplePos x="0" y="0"/>
              <wp:positionH relativeFrom="margin">
                <wp:posOffset>4893945</wp:posOffset>
              </wp:positionH>
              <wp:positionV relativeFrom="margin">
                <wp:posOffset>-1104900</wp:posOffset>
              </wp:positionV>
              <wp:extent cx="1574800" cy="487680"/>
              <wp:effectExtent l="0" t="0" r="6350" b="7620"/>
              <wp:wrapTight wrapText="bothSides">
                <wp:wrapPolygon edited="0">
                  <wp:start x="0" y="0"/>
                  <wp:lineTo x="0" y="21094"/>
                  <wp:lineTo x="21426" y="21094"/>
                  <wp:lineTo x="21426" y="0"/>
                  <wp:lineTo x="0" y="0"/>
                </wp:wrapPolygon>
              </wp:wrapTight>
              <wp:docPr id="5"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87D" w:rsidRDefault="00E8487D" w:rsidP="00E8487D">
                          <w:pPr>
                            <w:pStyle w:val="Departmentof"/>
                          </w:pPr>
                          <w:r>
                            <w:t>Department of</w:t>
                          </w:r>
                        </w:p>
                        <w:p w:rsidR="00E8487D" w:rsidRDefault="00E8487D" w:rsidP="00E8487D">
                          <w:pPr>
                            <w:pStyle w:val="Departmentname"/>
                          </w:pPr>
                          <w:r>
                            <w:t>Treasury and finance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tx2" o:spid="_x0000_s1026" type="#_x0000_t202" style="position:absolute;margin-left:385.35pt;margin-top:-87pt;width:124pt;height:3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DtAIAAKkFAAAOAAAAZHJzL2Uyb0RvYy54bWysVFtvmzAUfp+0/2D5nXIZSQCVVG0I06Tu&#10;InV7rgyYYA1sZjuBbtp/37EJSdq9TNt4sA728Xcu3+dzfTN2LTpQqZjgKfavPIwoL0XF+C7FXz7n&#10;ToSR0oRXpBWcpviJKnyzfv3qeugTGohGtBWVCEC4SoY+xY3WfeK6qmxoR9SV6CmHw1rIjmj4lTu3&#10;kmQA9K51A89buoOQVS9FSZWC3Ww6xGuLX9e01B/rWlGN2hRDbtqu0q6FWd31NUl2kvQNK49pkL/I&#10;oiOMQ9ATVEY0QXvJfoPqWCmFErW+KkXnirpmJbU1QDW+96Kah4b01NYCzVH9qU3q/8GWHw6fJGJV&#10;ihcYcdIBRY+jB9+jHgPTnaFXCTg99OCmxzsxAsu2UtXfi/KrQlxsGsJ39FZKMTSUVJCdb266F1cn&#10;HGVAiuG9qCAM2WthgcZadqZ10AwE6MDS04kZOmpUmpCLVRh5cFTCWRitlpGlziXJfLuXSr+lokPG&#10;SLEE5i06OdwrbbIhyexignGRs7a17Lf82QY4TjsQG66aM5OFJfNH7MXbaBuFThgst07oZZlzm29C&#10;Z5n7q0X2JttsMv+nieuHScOqinITZhaWH/4ZcUeJT5I4SUuJllUGzqSk5K7YtBIdCAg7t5/tOZyc&#10;3dznadgmQC0vSvKD0LsLYidfRisnzMOFE6+8yPH8+C5eemEcZvnzku4Zp/9eEhpSHC+CxSSmc9Iv&#10;ajNaBOInBi9qI0nHNIyOlnUpBmkcnUhiJLjllaVWE9ZO9kUrTPrnVgDdM9FWsEajk1r1WIyAYlRc&#10;iOoJpCsFKAtECPMOjEbI7xgNMDtSrL7tiaQYte84yN8MmtmQs1HMBuElXE1xgdFkbvQ0kPa9ZLsG&#10;kKcHxsUtPJGaWfWeszg+LJgHtojj7DID5/Lfep0n7PoXAAAA//8DAFBLAwQUAAYACAAAACEAHVyl&#10;beAAAAANAQAADwAAAGRycy9kb3ducmV2LnhtbEyPTU7DMBCF90jcwRokdq2dFOE2xKkiJBaoUETg&#10;AG5skoh4HMVOGm7PdAXLefPp/eT7xfVstmPoPCpI1gKYxdqbDhsFnx9Pqy2wEDUa3Xu0Cn5sgH1x&#10;fZXrzPgzvtu5ig0jEwyZVtDGOGSch7q1Toe1HyzS78uPTkc6x4abUZ/J3PU8FeKeO90hJbR6sI+t&#10;rb+rySmYX11aPtfHHa9e0o2Um8NbOR2Uur1Zygdg0S7xD4ZLfaoOBXU6+QlNYL0CKYUkVMEqkXe0&#10;6oKIZEvaibSdTIEXOf+/ovgFAAD//wMAUEsBAi0AFAAGAAgAAAAhALaDOJL+AAAA4QEAABMAAAAA&#10;AAAAAAAAAAAAAAAAAFtDb250ZW50X1R5cGVzXS54bWxQSwECLQAUAAYACAAAACEAOP0h/9YAAACU&#10;AQAACwAAAAAAAAAAAAAAAAAvAQAAX3JlbHMvLnJlbHNQSwECLQAUAAYACAAAACEArAofg7QCAACp&#10;BQAADgAAAAAAAAAAAAAAAAAuAgAAZHJzL2Uyb0RvYy54bWxQSwECLQAUAAYACAAAACEAHVylbeAA&#10;AAANAQAADwAAAAAAAAAAAAAAAAAOBQAAZHJzL2Rvd25yZXYueG1sUEsFBgAAAAAEAAQA8wAAABsG&#10;AAAAAA==&#10;" filled="f" stroked="f">
              <v:textbox inset="0,0,0,0">
                <w:txbxContent>
                  <w:p w:rsidR="00E8487D" w:rsidRDefault="00E8487D" w:rsidP="00E8487D">
                    <w:pPr>
                      <w:pStyle w:val="Departmentof"/>
                    </w:pPr>
                    <w:r>
                      <w:t>Department of</w:t>
                    </w:r>
                  </w:p>
                  <w:p w:rsidR="00E8487D" w:rsidRDefault="00E8487D" w:rsidP="00E8487D">
                    <w:pPr>
                      <w:pStyle w:val="Departmentname"/>
                    </w:pPr>
                    <w:r>
                      <w:t>Treasury and finance</w:t>
                    </w:r>
                  </w:p>
                </w:txbxContent>
              </v:textbox>
              <w10:wrap type="tight" anchorx="margin" anchory="margin"/>
            </v:shape>
          </w:pict>
        </mc:Fallback>
      </mc:AlternateContent>
    </w:r>
    <w:r w:rsidRPr="00E8487D">
      <w:rPr>
        <w:noProof/>
        <w:lang w:eastAsia="en-AU"/>
      </w:rPr>
      <w:drawing>
        <wp:anchor distT="114300" distB="114300" distL="114300" distR="114300" simplePos="0" relativeHeight="251666432" behindDoc="1" locked="0" layoutInCell="0" allowOverlap="1" wp14:anchorId="2176B326" wp14:editId="61C37C03">
          <wp:simplePos x="0" y="0"/>
          <wp:positionH relativeFrom="margin">
            <wp:posOffset>-621030</wp:posOffset>
          </wp:positionH>
          <wp:positionV relativeFrom="margin">
            <wp:posOffset>-1257300</wp:posOffset>
          </wp:positionV>
          <wp:extent cx="2169160" cy="701040"/>
          <wp:effectExtent l="0" t="0" r="0" b="3810"/>
          <wp:wrapNone/>
          <wp:docPr id="2" name="Image 2" descr="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clrChange>
                      <a:clrFrom>
                        <a:srgbClr val="FFFFFF"/>
                      </a:clrFrom>
                      <a:clrTo>
                        <a:srgbClr val="FFFFFF">
                          <a:alpha val="0"/>
                        </a:srgbClr>
                      </a:clrTo>
                    </a:clrChange>
                  </a:blip>
                  <a:stretch>
                    <a:fillRect/>
                  </a:stretch>
                </pic:blipFill>
                <pic:spPr>
                  <a:xfrm>
                    <a:off x="0" y="0"/>
                    <a:ext cx="2169160" cy="701040"/>
                  </a:xfrm>
                  <a:prstGeom prst="rect">
                    <a:avLst/>
                  </a:prstGeom>
                  <a:noFill/>
                  <a:ln>
                    <a:noFill/>
                  </a:ln>
                </pic:spPr>
              </pic:pic>
            </a:graphicData>
          </a:graphic>
        </wp:anchor>
      </w:drawing>
    </w:r>
  </w:p>
  <w:p w:rsidR="00531BBC" w:rsidRPr="00531BBC" w:rsidRDefault="00060A6D" w:rsidP="004B424A">
    <w:pPr>
      <w:pStyle w:val="Header"/>
    </w:pPr>
    <w:r>
      <w:rPr>
        <w:noProof/>
        <w:lang w:eastAsia="en-AU"/>
      </w:rPr>
      <mc:AlternateContent>
        <mc:Choice Requires="wps">
          <w:drawing>
            <wp:anchor distT="0" distB="0" distL="114300" distR="114300" simplePos="0" relativeHeight="251664384" behindDoc="0" locked="0" layoutInCell="1" allowOverlap="1" wp14:anchorId="333ACFA8" wp14:editId="723D2AF5">
              <wp:simplePos x="0" y="0"/>
              <wp:positionH relativeFrom="margin">
                <wp:posOffset>4715510</wp:posOffset>
              </wp:positionH>
              <wp:positionV relativeFrom="margin">
                <wp:posOffset>8672830</wp:posOffset>
              </wp:positionV>
              <wp:extent cx="1583690" cy="134620"/>
              <wp:effectExtent l="635" t="0" r="0" b="3175"/>
              <wp:wrapTight wrapText="bothSides">
                <wp:wrapPolygon edited="0">
                  <wp:start x="0" y="0"/>
                  <wp:lineTo x="21600" y="0"/>
                  <wp:lineTo x="21600" y="21600"/>
                  <wp:lineTo x="0" y="2160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ED8" w:rsidRDefault="00520ED8" w:rsidP="004B424A">
                          <w:pPr>
                            <w:pStyle w:val="web"/>
                          </w:pPr>
                          <w:r>
                            <w:t>www.nt.gov.au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71.3pt;margin-top:682.9pt;width:124.7pt;height:10.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2IsQIAALAFAAAOAAAAZHJzL2Uyb0RvYy54bWysVNtunDAQfa/Uf7D8TriEJYDCVsmyVJXS&#10;i5T0AwyYxSrY1PYupFX/vWOz7ObyUrXlwRrs8Zk5M8dz/W7qO3SgUjHBM+xfeBhRXoma8V2Gvz4U&#10;ToyR0oTXpBOcZviRKvxu/fbN9TikNBCt6GoqEYBwlY5Dhluth9R1VdXSnqgLMVAOh42QPdHwK3du&#10;LckI6H3nBp4XuaOQ9SBFRZWC3Xw+xGuL3zS00p+bRlGNugxDbtqu0q6lWd31NUl3kgwtq45pkL/I&#10;oieMQ9ATVE40QXvJXkH1rJJCiUZfVKJ3RdOwiloOwMb3XrC5b8lALRcojhpOZVL/D7b6dPgiEasz&#10;HGLESQ8teqCTRrdiQompzjioFJzuB3DTE2xDly1TNdyJ6ptCXGxawnf0RkoxtpTUkJ1vbrpPrs44&#10;yoCU40dRQxiy18ICTY3sTemgGAjQoUuPp86YVCoTchVfRgkcVXDmX4ZRYFvnknS5PUil31PRI2Nk&#10;WELnLTo53CltsiHp4mKCcVGwrrPd7/izDXCcdyA2XDVnJgvbzJ+Jl2zjbRw6YRBtndDLc+em2IRO&#10;VPhXq/wy32xy/5eJ64dpy+qachNmEZYf/lnjjhKfJXGSlhIdqw2cSUnJXbnpJDoQEHZhP1tzODm7&#10;uc/TsEUALi8o+UHo3QaJU0TxlRMW4cpJrrzY8fzkNom8MAnz4jmlO8bpv1NCY4aTVbCaxXRO+gU3&#10;z36vuZG0ZxpGR8f6DMcnJ5IaCW55bVurCetm+0kpTPrnUkC7l0ZbwRqNzmrVUznZl2HVbMRcivoR&#10;FCwFCAy0CGMPjFbIHxiNMEIyrL7viaQYdR84vAIzbxZDLka5GIRXcDXDJUazudHzXNoPku1aQJ7f&#10;GRc38FIaZkV8zuL4vmAsWC7HEWbmztN/63UetOvfAAAA//8DAFBLAwQUAAYACAAAACEATtd6b+AA&#10;AAANAQAADwAAAGRycy9kb3ducmV2LnhtbEyPQU+EMBCF7yb+h2ZMvLnForAgZUNMPJh1NaI/oEtH&#10;INKW0MLiv3f2pMd578ub94rdaga24OR7ZyXcbiJgaBune9tK+Px4utkC80FZrQZnUcIPetiVlxeF&#10;yrU72Xdc6tAyCrE+VxK6EMacc990aJTfuBEteV9uMirQObVcT+pE4WbgIooSblRv6UOnRnzssPmu&#10;ZyNhORhRPTevGa9fRJym8f6tmvdSXl+t1QOwgGv4g+Fcn6pDSZ2Obrbas0FCeicSQsmIk3saQUiW&#10;CZp3PEvbNAJeFvz/ivIXAAD//wMAUEsBAi0AFAAGAAgAAAAhALaDOJL+AAAA4QEAABMAAAAAAAAA&#10;AAAAAAAAAAAAAFtDb250ZW50X1R5cGVzXS54bWxQSwECLQAUAAYACAAAACEAOP0h/9YAAACUAQAA&#10;CwAAAAAAAAAAAAAAAAAvAQAAX3JlbHMvLnJlbHNQSwECLQAUAAYACAAAACEALr7diLECAACwBQAA&#10;DgAAAAAAAAAAAAAAAAAuAgAAZHJzL2Uyb0RvYy54bWxQSwECLQAUAAYACAAAACEATtd6b+AAAAAN&#10;AQAADwAAAAAAAAAAAAAAAAALBQAAZHJzL2Rvd25yZXYueG1sUEsFBgAAAAAEAAQA8wAAABgGAAAA&#10;AA==&#10;" filled="f" stroked="f">
              <v:textbox inset="0,0,0,0">
                <w:txbxContent>
                  <w:p w:rsidR="00520ED8" w:rsidRDefault="00520ED8" w:rsidP="004B424A">
                    <w:pPr>
                      <w:pStyle w:val="web"/>
                    </w:pPr>
                    <w:r>
                      <w:t>www.nt.gov.au</w:t>
                    </w:r>
                  </w:p>
                </w:txbxContent>
              </v:textbox>
              <w10:wrap type="tight" anchorx="margin" anchory="margin"/>
            </v:shape>
          </w:pict>
        </mc:Fallback>
      </mc:AlternateContent>
    </w:r>
    <w:r w:rsidR="00E30FF9">
      <w:rPr>
        <w:noProof/>
        <w:lang w:eastAsia="en-A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7E" w:rsidRDefault="00431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5E85E4"/>
    <w:lvl w:ilvl="0">
      <w:start w:val="1"/>
      <w:numFmt w:val="decimal"/>
      <w:lvlText w:val="%1."/>
      <w:lvlJc w:val="left"/>
      <w:pPr>
        <w:tabs>
          <w:tab w:val="num" w:pos="1492"/>
        </w:tabs>
        <w:ind w:left="1492" w:hanging="360"/>
      </w:pPr>
    </w:lvl>
  </w:abstractNum>
  <w:abstractNum w:abstractNumId="1">
    <w:nsid w:val="FFFFFF7D"/>
    <w:multiLevelType w:val="singleLevel"/>
    <w:tmpl w:val="AF12E76A"/>
    <w:lvl w:ilvl="0">
      <w:start w:val="1"/>
      <w:numFmt w:val="decimal"/>
      <w:lvlText w:val="%1."/>
      <w:lvlJc w:val="left"/>
      <w:pPr>
        <w:tabs>
          <w:tab w:val="num" w:pos="1209"/>
        </w:tabs>
        <w:ind w:left="1209" w:hanging="360"/>
      </w:pPr>
    </w:lvl>
  </w:abstractNum>
  <w:abstractNum w:abstractNumId="2">
    <w:nsid w:val="FFFFFF7E"/>
    <w:multiLevelType w:val="singleLevel"/>
    <w:tmpl w:val="DCE83A08"/>
    <w:lvl w:ilvl="0">
      <w:start w:val="1"/>
      <w:numFmt w:val="decimal"/>
      <w:lvlText w:val="%1."/>
      <w:lvlJc w:val="left"/>
      <w:pPr>
        <w:tabs>
          <w:tab w:val="num" w:pos="926"/>
        </w:tabs>
        <w:ind w:left="926" w:hanging="360"/>
      </w:pPr>
    </w:lvl>
  </w:abstractNum>
  <w:abstractNum w:abstractNumId="3">
    <w:nsid w:val="FFFFFF7F"/>
    <w:multiLevelType w:val="singleLevel"/>
    <w:tmpl w:val="11509F62"/>
    <w:lvl w:ilvl="0">
      <w:start w:val="1"/>
      <w:numFmt w:val="decimal"/>
      <w:lvlText w:val="%1."/>
      <w:lvlJc w:val="left"/>
      <w:pPr>
        <w:tabs>
          <w:tab w:val="num" w:pos="643"/>
        </w:tabs>
        <w:ind w:left="643" w:hanging="360"/>
      </w:pPr>
    </w:lvl>
  </w:abstractNum>
  <w:abstractNum w:abstractNumId="4">
    <w:nsid w:val="FFFFFF80"/>
    <w:multiLevelType w:val="singleLevel"/>
    <w:tmpl w:val="4DA637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066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1E0A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AA95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447E80"/>
    <w:lvl w:ilvl="0">
      <w:start w:val="1"/>
      <w:numFmt w:val="decimal"/>
      <w:lvlText w:val="%1."/>
      <w:lvlJc w:val="left"/>
      <w:pPr>
        <w:tabs>
          <w:tab w:val="num" w:pos="360"/>
        </w:tabs>
        <w:ind w:left="360" w:hanging="360"/>
      </w:pPr>
    </w:lvl>
  </w:abstractNum>
  <w:abstractNum w:abstractNumId="9">
    <w:nsid w:val="FFFFFF89"/>
    <w:multiLevelType w:val="singleLevel"/>
    <w:tmpl w:val="F7809C42"/>
    <w:lvl w:ilvl="0">
      <w:start w:val="1"/>
      <w:numFmt w:val="bullet"/>
      <w:lvlText w:val=""/>
      <w:lvlJc w:val="left"/>
      <w:pPr>
        <w:tabs>
          <w:tab w:val="num" w:pos="360"/>
        </w:tabs>
        <w:ind w:left="360" w:hanging="360"/>
      </w:pPr>
      <w:rPr>
        <w:rFonts w:ascii="Symbol" w:hAnsi="Symbol" w:hint="default"/>
      </w:rPr>
    </w:lvl>
  </w:abstractNum>
  <w:abstractNum w:abstractNumId="10">
    <w:nsid w:val="171C3D8A"/>
    <w:multiLevelType w:val="multilevel"/>
    <w:tmpl w:val="926C9EB6"/>
    <w:lvl w:ilvl="0">
      <w:start w:val="1"/>
      <w:numFmt w:val="bullet"/>
      <w:pStyle w:val="DTFListBullet1-Black"/>
      <w:lvlText w:val=""/>
      <w:lvlJc w:val="left"/>
      <w:pPr>
        <w:ind w:left="680" w:hanging="396"/>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nsid w:val="307E16E5"/>
    <w:multiLevelType w:val="hybridMultilevel"/>
    <w:tmpl w:val="F4CA7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0C67D6"/>
    <w:multiLevelType w:val="hybridMultilevel"/>
    <w:tmpl w:val="B98CB826"/>
    <w:lvl w:ilvl="0" w:tplc="B94295A2">
      <w:numFmt w:val="bullet"/>
      <w:lvlText w:val=""/>
      <w:lvlJc w:val="left"/>
      <w:pPr>
        <w:ind w:left="1080" w:hanging="720"/>
      </w:pPr>
      <w:rPr>
        <w:rFonts w:ascii="Symbol" w:eastAsia="Times New Roman" w:hAnsi="Symbol" w:cs="Arial MT Std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E01F59"/>
    <w:multiLevelType w:val="hybridMultilevel"/>
    <w:tmpl w:val="E74AB590"/>
    <w:lvl w:ilvl="0" w:tplc="028AB41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BD325C3"/>
    <w:multiLevelType w:val="hybridMultilevel"/>
    <w:tmpl w:val="1EB0C42C"/>
    <w:lvl w:ilvl="0" w:tplc="F6A6D81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2"/>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Full" w:cryptAlgorithmClass="hash" w:cryptAlgorithmType="typeAny" w:cryptAlgorithmSid="4" w:cryptSpinCount="100000" w:hash="EPtNeqioE3t6jSDycc8ynAE3hxc=" w:salt="U6QMf+UWGHyKfkscMFYKFw=="/>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A1"/>
    <w:rsid w:val="00017774"/>
    <w:rsid w:val="000403C2"/>
    <w:rsid w:val="00060A6D"/>
    <w:rsid w:val="00095847"/>
    <w:rsid w:val="000D48A1"/>
    <w:rsid w:val="00113FA8"/>
    <w:rsid w:val="001F10F1"/>
    <w:rsid w:val="00333395"/>
    <w:rsid w:val="003444B9"/>
    <w:rsid w:val="00385F27"/>
    <w:rsid w:val="003E7272"/>
    <w:rsid w:val="003F2C3F"/>
    <w:rsid w:val="0043117E"/>
    <w:rsid w:val="004B424A"/>
    <w:rsid w:val="004D63BE"/>
    <w:rsid w:val="004E3170"/>
    <w:rsid w:val="00517566"/>
    <w:rsid w:val="00520ED8"/>
    <w:rsid w:val="00531BBC"/>
    <w:rsid w:val="006870E1"/>
    <w:rsid w:val="007359BD"/>
    <w:rsid w:val="00795E8D"/>
    <w:rsid w:val="007B0739"/>
    <w:rsid w:val="008A1533"/>
    <w:rsid w:val="008A1E8F"/>
    <w:rsid w:val="00925B97"/>
    <w:rsid w:val="00946E0C"/>
    <w:rsid w:val="00981E2C"/>
    <w:rsid w:val="009D4109"/>
    <w:rsid w:val="00A40AEE"/>
    <w:rsid w:val="00A40B8C"/>
    <w:rsid w:val="00A653CD"/>
    <w:rsid w:val="00AB3455"/>
    <w:rsid w:val="00B8692B"/>
    <w:rsid w:val="00BC4370"/>
    <w:rsid w:val="00BC674B"/>
    <w:rsid w:val="00C52468"/>
    <w:rsid w:val="00C8640B"/>
    <w:rsid w:val="00C902BE"/>
    <w:rsid w:val="00E30FF9"/>
    <w:rsid w:val="00E8487D"/>
    <w:rsid w:val="00E97EFB"/>
    <w:rsid w:val="00F02F6D"/>
    <w:rsid w:val="00F053D9"/>
    <w:rsid w:val="00F77120"/>
    <w:rsid w:val="00FB54F4"/>
    <w:rsid w:val="00FC2AC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8D"/>
    <w:rPr>
      <w:rFonts w:ascii="Arial" w:hAnsi="Arial" w:cs="Arial"/>
      <w:sz w:val="20"/>
      <w:szCs w:val="20"/>
    </w:rPr>
  </w:style>
  <w:style w:type="paragraph" w:styleId="Heading1">
    <w:name w:val="heading 1"/>
    <w:basedOn w:val="Normal"/>
    <w:next w:val="Normal"/>
    <w:link w:val="Heading1Char"/>
    <w:uiPriority w:val="9"/>
    <w:qFormat/>
    <w:rsid w:val="000D4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1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basedOn w:val="Normal"/>
    <w:rsid w:val="00531BBC"/>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rsid w:val="004B424A"/>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character" w:customStyle="1" w:styleId="apple-converted-space">
    <w:name w:val="apple-converted-space"/>
    <w:basedOn w:val="DefaultParagraphFont"/>
    <w:rsid w:val="00531BBC"/>
  </w:style>
  <w:style w:type="paragraph" w:styleId="ListParagraph">
    <w:name w:val="List Paragraph"/>
    <w:basedOn w:val="Normal"/>
    <w:uiPriority w:val="34"/>
    <w:qFormat/>
    <w:rsid w:val="00E97EFB"/>
    <w:pPr>
      <w:numPr>
        <w:numId w:val="5"/>
      </w:numPr>
      <w:tabs>
        <w:tab w:val="left" w:pos="0"/>
      </w:tabs>
      <w:spacing w:before="120" w:line="260" w:lineRule="exact"/>
      <w:ind w:left="714" w:hanging="357"/>
      <w:contextualSpacing/>
    </w:pPr>
  </w:style>
  <w:style w:type="paragraph" w:styleId="BalloonText">
    <w:name w:val="Balloon Text"/>
    <w:basedOn w:val="Normal"/>
    <w:link w:val="BalloonTextChar"/>
    <w:uiPriority w:val="99"/>
    <w:semiHidden/>
    <w:unhideWhenUsed/>
    <w:rsid w:val="00F02F6D"/>
    <w:rPr>
      <w:rFonts w:ascii="Tahoma" w:hAnsi="Tahoma" w:cs="Tahoma"/>
      <w:sz w:val="16"/>
      <w:szCs w:val="16"/>
    </w:rPr>
  </w:style>
  <w:style w:type="character" w:customStyle="1" w:styleId="BalloonTextChar">
    <w:name w:val="Balloon Text Char"/>
    <w:basedOn w:val="DefaultParagraphFont"/>
    <w:link w:val="BalloonText"/>
    <w:uiPriority w:val="99"/>
    <w:semiHidden/>
    <w:rsid w:val="00F02F6D"/>
    <w:rPr>
      <w:rFonts w:ascii="Tahoma" w:hAnsi="Tahoma" w:cs="Tahoma"/>
      <w:sz w:val="16"/>
      <w:szCs w:val="16"/>
    </w:rPr>
  </w:style>
  <w:style w:type="character" w:styleId="Hyperlink">
    <w:name w:val="Hyperlink"/>
    <w:basedOn w:val="DefaultParagraphFont"/>
    <w:uiPriority w:val="99"/>
    <w:unhideWhenUsed/>
    <w:rsid w:val="00981E2C"/>
    <w:rPr>
      <w:color w:val="0000FF" w:themeColor="hyperlink"/>
      <w:u w:val="single"/>
    </w:rPr>
  </w:style>
  <w:style w:type="paragraph" w:customStyle="1" w:styleId="DTFListBullet1-Black">
    <w:name w:val="DTF List Bullet 1 - Black"/>
    <w:autoRedefine/>
    <w:qFormat/>
    <w:rsid w:val="000D48A1"/>
    <w:pPr>
      <w:numPr>
        <w:numId w:val="6"/>
      </w:numPr>
      <w:spacing w:after="200"/>
      <w:ind w:left="681" w:hanging="397"/>
    </w:pPr>
    <w:rPr>
      <w:rFonts w:ascii="Arial" w:eastAsia="Times New Roman" w:hAnsi="Arial" w:cs="Arial"/>
      <w:color w:val="000000" w:themeColor="text1"/>
      <w:sz w:val="22"/>
      <w:szCs w:val="20"/>
      <w:lang w:eastAsia="en-AU"/>
    </w:rPr>
  </w:style>
  <w:style w:type="paragraph" w:customStyle="1" w:styleId="DTFBodyText">
    <w:name w:val="DTF Body Text"/>
    <w:basedOn w:val="Normal"/>
    <w:qFormat/>
    <w:rsid w:val="000D48A1"/>
    <w:pPr>
      <w:tabs>
        <w:tab w:val="left" w:pos="709"/>
        <w:tab w:val="left" w:pos="1276"/>
        <w:tab w:val="left" w:pos="4536"/>
      </w:tabs>
      <w:spacing w:after="200"/>
    </w:pPr>
    <w:rPr>
      <w:rFonts w:eastAsia="Times New Roman"/>
      <w:sz w:val="22"/>
      <w:lang w:eastAsia="en-AU"/>
    </w:rPr>
  </w:style>
  <w:style w:type="character" w:customStyle="1" w:styleId="DTFItalic">
    <w:name w:val="DTF Italic"/>
    <w:uiPriority w:val="1"/>
    <w:qFormat/>
    <w:rsid w:val="000D48A1"/>
    <w:rPr>
      <w:i/>
    </w:rPr>
  </w:style>
  <w:style w:type="character" w:customStyle="1" w:styleId="Heading1Char">
    <w:name w:val="Heading 1 Char"/>
    <w:basedOn w:val="DefaultParagraphFont"/>
    <w:link w:val="Heading1"/>
    <w:uiPriority w:val="9"/>
    <w:rsid w:val="000D48A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E31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317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E31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8D"/>
    <w:rPr>
      <w:rFonts w:ascii="Arial" w:hAnsi="Arial" w:cs="Arial"/>
      <w:sz w:val="20"/>
      <w:szCs w:val="20"/>
    </w:rPr>
  </w:style>
  <w:style w:type="paragraph" w:styleId="Heading1">
    <w:name w:val="heading 1"/>
    <w:basedOn w:val="Normal"/>
    <w:next w:val="Normal"/>
    <w:link w:val="Heading1Char"/>
    <w:uiPriority w:val="9"/>
    <w:qFormat/>
    <w:rsid w:val="000D4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1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basedOn w:val="Normal"/>
    <w:rsid w:val="00531BBC"/>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rsid w:val="004B424A"/>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character" w:customStyle="1" w:styleId="apple-converted-space">
    <w:name w:val="apple-converted-space"/>
    <w:basedOn w:val="DefaultParagraphFont"/>
    <w:rsid w:val="00531BBC"/>
  </w:style>
  <w:style w:type="paragraph" w:styleId="ListParagraph">
    <w:name w:val="List Paragraph"/>
    <w:basedOn w:val="Normal"/>
    <w:uiPriority w:val="34"/>
    <w:qFormat/>
    <w:rsid w:val="00E97EFB"/>
    <w:pPr>
      <w:numPr>
        <w:numId w:val="5"/>
      </w:numPr>
      <w:tabs>
        <w:tab w:val="left" w:pos="0"/>
      </w:tabs>
      <w:spacing w:before="120" w:line="260" w:lineRule="exact"/>
      <w:ind w:left="714" w:hanging="357"/>
      <w:contextualSpacing/>
    </w:pPr>
  </w:style>
  <w:style w:type="paragraph" w:styleId="BalloonText">
    <w:name w:val="Balloon Text"/>
    <w:basedOn w:val="Normal"/>
    <w:link w:val="BalloonTextChar"/>
    <w:uiPriority w:val="99"/>
    <w:semiHidden/>
    <w:unhideWhenUsed/>
    <w:rsid w:val="00F02F6D"/>
    <w:rPr>
      <w:rFonts w:ascii="Tahoma" w:hAnsi="Tahoma" w:cs="Tahoma"/>
      <w:sz w:val="16"/>
      <w:szCs w:val="16"/>
    </w:rPr>
  </w:style>
  <w:style w:type="character" w:customStyle="1" w:styleId="BalloonTextChar">
    <w:name w:val="Balloon Text Char"/>
    <w:basedOn w:val="DefaultParagraphFont"/>
    <w:link w:val="BalloonText"/>
    <w:uiPriority w:val="99"/>
    <w:semiHidden/>
    <w:rsid w:val="00F02F6D"/>
    <w:rPr>
      <w:rFonts w:ascii="Tahoma" w:hAnsi="Tahoma" w:cs="Tahoma"/>
      <w:sz w:val="16"/>
      <w:szCs w:val="16"/>
    </w:rPr>
  </w:style>
  <w:style w:type="character" w:styleId="Hyperlink">
    <w:name w:val="Hyperlink"/>
    <w:basedOn w:val="DefaultParagraphFont"/>
    <w:uiPriority w:val="99"/>
    <w:unhideWhenUsed/>
    <w:rsid w:val="00981E2C"/>
    <w:rPr>
      <w:color w:val="0000FF" w:themeColor="hyperlink"/>
      <w:u w:val="single"/>
    </w:rPr>
  </w:style>
  <w:style w:type="paragraph" w:customStyle="1" w:styleId="DTFListBullet1-Black">
    <w:name w:val="DTF List Bullet 1 - Black"/>
    <w:autoRedefine/>
    <w:qFormat/>
    <w:rsid w:val="000D48A1"/>
    <w:pPr>
      <w:numPr>
        <w:numId w:val="6"/>
      </w:numPr>
      <w:spacing w:after="200"/>
      <w:ind w:left="681" w:hanging="397"/>
    </w:pPr>
    <w:rPr>
      <w:rFonts w:ascii="Arial" w:eastAsia="Times New Roman" w:hAnsi="Arial" w:cs="Arial"/>
      <w:color w:val="000000" w:themeColor="text1"/>
      <w:sz w:val="22"/>
      <w:szCs w:val="20"/>
      <w:lang w:eastAsia="en-AU"/>
    </w:rPr>
  </w:style>
  <w:style w:type="paragraph" w:customStyle="1" w:styleId="DTFBodyText">
    <w:name w:val="DTF Body Text"/>
    <w:basedOn w:val="Normal"/>
    <w:qFormat/>
    <w:rsid w:val="000D48A1"/>
    <w:pPr>
      <w:tabs>
        <w:tab w:val="left" w:pos="709"/>
        <w:tab w:val="left" w:pos="1276"/>
        <w:tab w:val="left" w:pos="4536"/>
      </w:tabs>
      <w:spacing w:after="200"/>
    </w:pPr>
    <w:rPr>
      <w:rFonts w:eastAsia="Times New Roman"/>
      <w:sz w:val="22"/>
      <w:lang w:eastAsia="en-AU"/>
    </w:rPr>
  </w:style>
  <w:style w:type="character" w:customStyle="1" w:styleId="DTFItalic">
    <w:name w:val="DTF Italic"/>
    <w:uiPriority w:val="1"/>
    <w:qFormat/>
    <w:rsid w:val="000D48A1"/>
    <w:rPr>
      <w:i/>
    </w:rPr>
  </w:style>
  <w:style w:type="character" w:customStyle="1" w:styleId="Heading1Char">
    <w:name w:val="Heading 1 Char"/>
    <w:basedOn w:val="DefaultParagraphFont"/>
    <w:link w:val="Heading1"/>
    <w:uiPriority w:val="9"/>
    <w:rsid w:val="000D48A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E31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317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E31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ONS%20UNIT\4.%20Comms%20Internal%20Work%20and%20Publications\7.%20Templates\6.%202016%20NTG%20templates%20-%20new%20branding\New%20DTF%20samples\DT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2016-08-08T14:30:00+00:00</Release_x0020_Date>
    <Publication_x0020_Title xmlns="378e824e-6e02-4c0d-8321-dd86fba681ee">Requirement to Release Pre-Election Fiscal Outlook Report</Publication_x0020_Title>
    <Sub_x0020_Sub_x0020_Category xmlns="378e824e-6e02-4c0d-8321-dd86fba681ee" xsi:nil="true"/>
    <Details xmlns="378e824e-6e02-4c0d-8321-dd86fba681ee" xsi:nil="true"/>
    <Main_x0020_Category xmlns="378e824e-6e02-4c0d-8321-dd86fba681ee">3</Main_x0020_Category>
    <Tax_x0020_Type_x0020_Topic xmlns="378e824e-6e02-4c0d-8321-dd86fba681ee" xsi:nil="true"/>
    <Sub_x0020_Category xmlns="378e824e-6e02-4c0d-8321-dd86fba681ee">55</Sub_x0020_Category>
    <Identifier xmlns="378e824e-6e02-4c0d-8321-dd86fba681ee">PEFO-RR-2016</Identifier>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6C9EC19B-E5DF-46A2-8C3F-34F5FBCD2A4C}"/>
</file>

<file path=customXml/itemProps2.xml><?xml version="1.0" encoding="utf-8"?>
<ds:datastoreItem xmlns:ds="http://schemas.openxmlformats.org/officeDocument/2006/customXml" ds:itemID="{A098C1C2-1C90-4F2B-92A6-546495579F62}"/>
</file>

<file path=customXml/itemProps3.xml><?xml version="1.0" encoding="utf-8"?>
<ds:datastoreItem xmlns:ds="http://schemas.openxmlformats.org/officeDocument/2006/customXml" ds:itemID="{35A61D71-C32B-4233-A672-AF1001044AA5}"/>
</file>

<file path=docProps/app.xml><?xml version="1.0" encoding="utf-8"?>
<Properties xmlns="http://schemas.openxmlformats.org/officeDocument/2006/extended-properties" xmlns:vt="http://schemas.openxmlformats.org/officeDocument/2006/docPropsVTypes">
  <Template>DTF Letterhead</Template>
  <TotalTime>17</TotalTime>
  <Pages>1</Pages>
  <Words>298</Words>
  <Characters>1699</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 to Release Pre-Election Fiscal Outlook Report</dc:title>
  <dc:creator>Barbara Beamsley</dc:creator>
  <cp:lastModifiedBy>Barbara Beamsley</cp:lastModifiedBy>
  <cp:revision>3</cp:revision>
  <cp:lastPrinted>2016-01-15T05:48:00Z</cp:lastPrinted>
  <dcterms:created xsi:type="dcterms:W3CDTF">2016-08-08T23:11:00Z</dcterms:created>
  <dcterms:modified xsi:type="dcterms:W3CDTF">2016-08-09T04:29:00Z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