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2A719" w14:textId="494571DA" w:rsidR="00362698" w:rsidRDefault="00362698" w:rsidP="00272E37">
      <w:pPr>
        <w:spacing w:after="160"/>
      </w:pPr>
      <w:bookmarkStart w:id="0" w:name="_GoBack"/>
      <w:bookmarkEnd w:id="0"/>
      <w:r>
        <w:t xml:space="preserve">This fact sheet explains how </w:t>
      </w:r>
      <w:r w:rsidR="00270F0F">
        <w:t>“average weekly e</w:t>
      </w:r>
      <w:r>
        <w:t>arnings</w:t>
      </w:r>
      <w:r w:rsidR="00270F0F">
        <w:t>”</w:t>
      </w:r>
      <w:r>
        <w:t xml:space="preserve"> </w:t>
      </w:r>
      <w:r w:rsidR="00662126">
        <w:t xml:space="preserve">are </w:t>
      </w:r>
      <w:r>
        <w:t xml:space="preserve">used to index </w:t>
      </w:r>
      <w:r w:rsidR="00662126">
        <w:t xml:space="preserve">contribution salaries of </w:t>
      </w:r>
      <w:r w:rsidR="008B08ED" w:rsidRPr="00A910AC">
        <w:t>Northern Territory Government and Public Authorities</w:t>
      </w:r>
      <w:r w:rsidR="00662126">
        <w:t>’</w:t>
      </w:r>
      <w:r w:rsidR="008B08ED" w:rsidRPr="00A910AC">
        <w:t xml:space="preserve"> Superannuation Scheme (NTGPASS) </w:t>
      </w:r>
      <w:r>
        <w:t xml:space="preserve">members. </w:t>
      </w:r>
    </w:p>
    <w:p w14:paraId="31D157B4" w14:textId="7C414D23" w:rsidR="00362698" w:rsidRDefault="00900ADF" w:rsidP="003E2F16">
      <w:pPr>
        <w:pStyle w:val="Heading1"/>
        <w:spacing w:before="160"/>
      </w:pPr>
      <w:r>
        <w:t xml:space="preserve">NTGPASS </w:t>
      </w:r>
      <w:r w:rsidR="00362698">
        <w:t>benefit salary</w:t>
      </w:r>
    </w:p>
    <w:p w14:paraId="26D2F3A8" w14:textId="57A430CD" w:rsidR="00AE719D" w:rsidRDefault="00662126" w:rsidP="00272E37">
      <w:pPr>
        <w:spacing w:after="160"/>
      </w:pPr>
      <w:r>
        <w:t>The benefit salary of</w:t>
      </w:r>
      <w:r w:rsidR="00AE719D">
        <w:t xml:space="preserve"> </w:t>
      </w:r>
      <w:r w:rsidR="00900ADF">
        <w:t>NTGPASS</w:t>
      </w:r>
      <w:r w:rsidR="00362698" w:rsidRPr="00362698">
        <w:t xml:space="preserve"> </w:t>
      </w:r>
      <w:r>
        <w:t xml:space="preserve">members </w:t>
      </w:r>
      <w:r w:rsidR="00362698" w:rsidRPr="00362698">
        <w:t xml:space="preserve">is </w:t>
      </w:r>
      <w:r w:rsidR="008B08ED" w:rsidRPr="008B08ED">
        <w:t xml:space="preserve">the </w:t>
      </w:r>
      <w:r w:rsidR="00AE719D" w:rsidRPr="00AE719D">
        <w:rPr>
          <w:u w:val="single"/>
        </w:rPr>
        <w:t>greater</w:t>
      </w:r>
      <w:r w:rsidR="00AE719D">
        <w:t xml:space="preserve"> of the following:</w:t>
      </w:r>
    </w:p>
    <w:p w14:paraId="1B9F5700" w14:textId="7916092C" w:rsidR="00AE719D" w:rsidRDefault="00AE719D" w:rsidP="003E2F16">
      <w:pPr>
        <w:pStyle w:val="ListParagraph"/>
        <w:numPr>
          <w:ilvl w:val="0"/>
          <w:numId w:val="29"/>
        </w:numPr>
        <w:spacing w:after="160"/>
        <w:ind w:left="709" w:hanging="283"/>
      </w:pPr>
      <w:r>
        <w:t xml:space="preserve">The amount equal to the average </w:t>
      </w:r>
      <w:r w:rsidRPr="00AE719D">
        <w:t>of</w:t>
      </w:r>
      <w:r>
        <w:t xml:space="preserve"> </w:t>
      </w:r>
      <w:r w:rsidRPr="00AE719D">
        <w:t>the</w:t>
      </w:r>
      <w:r>
        <w:t xml:space="preserve"> </w:t>
      </w:r>
      <w:r w:rsidRPr="00AE719D">
        <w:t>last</w:t>
      </w:r>
      <w:r>
        <w:t xml:space="preserve"> </w:t>
      </w:r>
      <w:r w:rsidRPr="00AE719D">
        <w:t>3 contribution salaries</w:t>
      </w:r>
      <w:r>
        <w:t xml:space="preserve"> </w:t>
      </w:r>
      <w:r w:rsidRPr="00AE719D">
        <w:t>before</w:t>
      </w:r>
      <w:r>
        <w:t xml:space="preserve"> </w:t>
      </w:r>
      <w:r w:rsidRPr="00AE719D">
        <w:t>the</w:t>
      </w:r>
      <w:r w:rsidR="00662126">
        <w:t xml:space="preserve"> member’s</w:t>
      </w:r>
      <w:r>
        <w:t xml:space="preserve"> e</w:t>
      </w:r>
      <w:r w:rsidRPr="00AE719D">
        <w:t>xit</w:t>
      </w:r>
      <w:r>
        <w:t xml:space="preserve"> </w:t>
      </w:r>
      <w:r w:rsidRPr="00AE719D">
        <w:t>date</w:t>
      </w:r>
      <w:r>
        <w:t xml:space="preserve"> </w:t>
      </w:r>
      <w:r w:rsidRPr="00AE719D">
        <w:t>after those</w:t>
      </w:r>
      <w:r>
        <w:t xml:space="preserve"> </w:t>
      </w:r>
      <w:r w:rsidRPr="00AE719D">
        <w:t>contribution</w:t>
      </w:r>
      <w:r>
        <w:t xml:space="preserve"> </w:t>
      </w:r>
      <w:r w:rsidRPr="00AE719D">
        <w:t>salaries are</w:t>
      </w:r>
      <w:r>
        <w:t xml:space="preserve"> </w:t>
      </w:r>
      <w:r w:rsidRPr="00AE719D">
        <w:t>adjusted</w:t>
      </w:r>
      <w:r>
        <w:t xml:space="preserve"> </w:t>
      </w:r>
      <w:r w:rsidRPr="00AE719D">
        <w:t>to</w:t>
      </w:r>
      <w:r>
        <w:t xml:space="preserve"> </w:t>
      </w:r>
      <w:r w:rsidRPr="00AE719D">
        <w:t>full</w:t>
      </w:r>
      <w:r>
        <w:t xml:space="preserve"> </w:t>
      </w:r>
      <w:r w:rsidRPr="00AE719D">
        <w:t>time equivalent values and indexed by average weekly earnings to current</w:t>
      </w:r>
      <w:r>
        <w:t xml:space="preserve"> </w:t>
      </w:r>
      <w:r w:rsidRPr="00AE719D">
        <w:t>values at the exit date;</w:t>
      </w:r>
    </w:p>
    <w:p w14:paraId="0D406CB5" w14:textId="50F11771" w:rsidR="00AE719D" w:rsidRDefault="00AE719D" w:rsidP="003E2F16">
      <w:pPr>
        <w:pStyle w:val="ListParagraph"/>
        <w:numPr>
          <w:ilvl w:val="0"/>
          <w:numId w:val="29"/>
        </w:numPr>
        <w:spacing w:after="160"/>
        <w:ind w:left="709" w:hanging="283"/>
      </w:pPr>
      <w:r w:rsidRPr="00AE719D">
        <w:t>The</w:t>
      </w:r>
      <w:r>
        <w:t xml:space="preserve"> </w:t>
      </w:r>
      <w:r w:rsidRPr="00AE719D">
        <w:t>amount</w:t>
      </w:r>
      <w:r>
        <w:t xml:space="preserve"> </w:t>
      </w:r>
      <w:r w:rsidRPr="00AE719D">
        <w:t>equal</w:t>
      </w:r>
      <w:r>
        <w:t xml:space="preserve"> </w:t>
      </w:r>
      <w:r w:rsidRPr="00AE719D">
        <w:t>to</w:t>
      </w:r>
      <w:r>
        <w:t xml:space="preserve"> </w:t>
      </w:r>
      <w:r w:rsidRPr="00AE719D">
        <w:t>the</w:t>
      </w:r>
      <w:r>
        <w:t xml:space="preserve"> </w:t>
      </w:r>
      <w:r w:rsidRPr="00AE719D">
        <w:t>average</w:t>
      </w:r>
      <w:r>
        <w:t xml:space="preserve"> </w:t>
      </w:r>
      <w:r w:rsidRPr="00AE719D">
        <w:t>of</w:t>
      </w:r>
      <w:r>
        <w:t xml:space="preserve"> </w:t>
      </w:r>
      <w:r w:rsidRPr="00AE719D">
        <w:t>the</w:t>
      </w:r>
      <w:r>
        <w:t xml:space="preserve"> </w:t>
      </w:r>
      <w:r w:rsidRPr="00AE719D">
        <w:t>last</w:t>
      </w:r>
      <w:r>
        <w:t xml:space="preserve"> </w:t>
      </w:r>
      <w:r w:rsidRPr="00AE719D">
        <w:t>3 contribution</w:t>
      </w:r>
      <w:r>
        <w:t xml:space="preserve"> </w:t>
      </w:r>
      <w:r w:rsidRPr="00AE719D">
        <w:t>salaries</w:t>
      </w:r>
      <w:r>
        <w:t xml:space="preserve"> </w:t>
      </w:r>
      <w:r w:rsidRPr="00AE719D">
        <w:t>before</w:t>
      </w:r>
      <w:r>
        <w:t xml:space="preserve"> </w:t>
      </w:r>
      <w:r w:rsidRPr="00AE719D">
        <w:t>the</w:t>
      </w:r>
      <w:r>
        <w:t xml:space="preserve"> </w:t>
      </w:r>
      <w:r w:rsidR="00662126">
        <w:t xml:space="preserve">member’s </w:t>
      </w:r>
      <w:r w:rsidRPr="00AE719D">
        <w:t>exit</w:t>
      </w:r>
      <w:r>
        <w:t xml:space="preserve"> </w:t>
      </w:r>
      <w:r w:rsidRPr="00AE719D">
        <w:t>date</w:t>
      </w:r>
      <w:r>
        <w:t xml:space="preserve"> </w:t>
      </w:r>
      <w:r w:rsidRPr="00AE719D">
        <w:t>after those contribution salaries are adjusted to full time equivalent values;</w:t>
      </w:r>
    </w:p>
    <w:p w14:paraId="55750C8C" w14:textId="3A6859FE" w:rsidR="00665476" w:rsidRDefault="00665476" w:rsidP="00272E37">
      <w:pPr>
        <w:spacing w:after="160"/>
      </w:pPr>
      <w:r>
        <w:t>For most NTGPASS members, their contribution salaries are their actual annual rate of salary and approved allowances payable at the 1 October annual review.</w:t>
      </w:r>
      <w:r w:rsidR="00662126">
        <w:t xml:space="preserve"> Different contribution salaries apply to members of the NT Police Force and to people employed under executive contracts.</w:t>
      </w:r>
    </w:p>
    <w:p w14:paraId="7374E7A3" w14:textId="4C1D2444" w:rsidR="002C7055" w:rsidRDefault="002C7055" w:rsidP="003E2F16">
      <w:pPr>
        <w:pStyle w:val="Heading1"/>
        <w:spacing w:before="160"/>
      </w:pPr>
      <w:r>
        <w:t xml:space="preserve">What </w:t>
      </w:r>
      <w:r w:rsidR="00662126">
        <w:t xml:space="preserve">are </w:t>
      </w:r>
      <w:r>
        <w:t>a</w:t>
      </w:r>
      <w:r w:rsidRPr="005C7609">
        <w:t>verage weekly earnings</w:t>
      </w:r>
      <w:r>
        <w:t>?</w:t>
      </w:r>
    </w:p>
    <w:p w14:paraId="3A37010D" w14:textId="150512DB" w:rsidR="002C7055" w:rsidRDefault="002C7055" w:rsidP="002C7055">
      <w:pPr>
        <w:spacing w:after="160"/>
      </w:pPr>
      <w:r>
        <w:t>I</w:t>
      </w:r>
      <w:r w:rsidR="00471111">
        <w:t>n</w:t>
      </w:r>
      <w:r>
        <w:t xml:space="preserve"> the above section, one of the methodologies for obtaining a person’s benefit salary is to index the</w:t>
      </w:r>
      <w:r w:rsidR="00662126">
        <w:t>ir</w:t>
      </w:r>
      <w:r>
        <w:t xml:space="preserve"> contribution salaries </w:t>
      </w:r>
      <w:r w:rsidRPr="002C7055">
        <w:t xml:space="preserve">by </w:t>
      </w:r>
      <w:r w:rsidR="009672A6">
        <w:t>“</w:t>
      </w:r>
      <w:r w:rsidRPr="002C7055">
        <w:t>average weekly earnings</w:t>
      </w:r>
      <w:r w:rsidR="009672A6">
        <w:t>”</w:t>
      </w:r>
      <w:r>
        <w:t xml:space="preserve">. But, what </w:t>
      </w:r>
      <w:r w:rsidR="00662126">
        <w:t xml:space="preserve">are </w:t>
      </w:r>
      <w:r w:rsidRPr="002C7055">
        <w:t>average weekly earnings</w:t>
      </w:r>
      <w:r>
        <w:t>?</w:t>
      </w:r>
    </w:p>
    <w:p w14:paraId="66E74F46" w14:textId="6C32A011" w:rsidR="002C7055" w:rsidRDefault="000E0617" w:rsidP="002C7055">
      <w:pPr>
        <w:spacing w:after="160"/>
      </w:pPr>
      <w:r>
        <w:t>In the NTGPASS Rules, a</w:t>
      </w:r>
      <w:r w:rsidR="002C7055" w:rsidRPr="005C7609">
        <w:t>verage weekly earnings</w:t>
      </w:r>
      <w:r w:rsidR="002C7055">
        <w:t xml:space="preserve"> </w:t>
      </w:r>
      <w:r w:rsidR="00662126">
        <w:t xml:space="preserve">is defined to </w:t>
      </w:r>
      <w:r w:rsidR="002C7055" w:rsidRPr="005C7609">
        <w:t>mean the Average Weekly Earnings for Full</w:t>
      </w:r>
      <w:r w:rsidR="002C7055">
        <w:t xml:space="preserve"> </w:t>
      </w:r>
      <w:r w:rsidR="002C7055" w:rsidRPr="005C7609">
        <w:t>Time</w:t>
      </w:r>
      <w:r w:rsidR="002C7055">
        <w:t xml:space="preserve"> </w:t>
      </w:r>
      <w:r w:rsidR="002C7055" w:rsidRPr="005C7609">
        <w:t>Adult</w:t>
      </w:r>
      <w:r w:rsidR="002C7055">
        <w:t xml:space="preserve"> </w:t>
      </w:r>
      <w:r w:rsidR="002C7055" w:rsidRPr="005C7609">
        <w:t>Persons,</w:t>
      </w:r>
      <w:r w:rsidR="002C7055">
        <w:t xml:space="preserve"> </w:t>
      </w:r>
      <w:r w:rsidR="002C7055" w:rsidRPr="005C7609">
        <w:t>Weekly Ordinary</w:t>
      </w:r>
      <w:r w:rsidR="002C7055">
        <w:t xml:space="preserve"> </w:t>
      </w:r>
      <w:r w:rsidR="002C7055" w:rsidRPr="005C7609">
        <w:t>Time</w:t>
      </w:r>
      <w:r w:rsidR="002C7055">
        <w:t xml:space="preserve"> </w:t>
      </w:r>
      <w:r w:rsidR="002C7055" w:rsidRPr="005C7609">
        <w:t>Earnings</w:t>
      </w:r>
      <w:r w:rsidR="002C7055">
        <w:t xml:space="preserve"> (AWOTE)</w:t>
      </w:r>
      <w:r w:rsidR="002C7055" w:rsidRPr="005C7609">
        <w:t xml:space="preserve"> for</w:t>
      </w:r>
      <w:r w:rsidR="002C7055">
        <w:t xml:space="preserve"> </w:t>
      </w:r>
      <w:r w:rsidR="002C7055" w:rsidRPr="005C7609">
        <w:t>the</w:t>
      </w:r>
      <w:r w:rsidR="002C7055">
        <w:t xml:space="preserve"> </w:t>
      </w:r>
      <w:r w:rsidR="002C7055" w:rsidRPr="005C7609">
        <w:t>Northern</w:t>
      </w:r>
      <w:r w:rsidR="002C7055">
        <w:t xml:space="preserve"> </w:t>
      </w:r>
      <w:r w:rsidR="002C7055" w:rsidRPr="005C7609">
        <w:t>Territory</w:t>
      </w:r>
      <w:r w:rsidR="002C7055">
        <w:t xml:space="preserve"> </w:t>
      </w:r>
      <w:r w:rsidR="002C7055" w:rsidRPr="005C7609">
        <w:t>as</w:t>
      </w:r>
      <w:r w:rsidR="002C7055">
        <w:t xml:space="preserve"> </w:t>
      </w:r>
      <w:r w:rsidR="002C7055" w:rsidRPr="005C7609">
        <w:t>published from time to time in Catalogue Number 6302.0 by the Australian Statistician</w:t>
      </w:r>
      <w:r w:rsidR="002C7055">
        <w:t xml:space="preserve">. </w:t>
      </w:r>
    </w:p>
    <w:p w14:paraId="52D92265" w14:textId="6DABCD8F" w:rsidR="002C7055" w:rsidRDefault="002C7055" w:rsidP="002C7055">
      <w:pPr>
        <w:spacing w:after="160"/>
      </w:pPr>
      <w:r w:rsidRPr="00362698">
        <w:t xml:space="preserve">The Australian Bureau of Statistics (ABS) </w:t>
      </w:r>
      <w:r>
        <w:t>provides</w:t>
      </w:r>
      <w:r w:rsidRPr="00362698">
        <w:t xml:space="preserve"> </w:t>
      </w:r>
      <w:r>
        <w:t>AWOTE</w:t>
      </w:r>
      <w:r w:rsidRPr="00362698">
        <w:t xml:space="preserve"> data </w:t>
      </w:r>
      <w:r>
        <w:t xml:space="preserve">for the reference periods of May and November each year, publishing these figures in February and August each year. </w:t>
      </w:r>
      <w:r w:rsidRPr="00310EC1">
        <w:t>Th</w:t>
      </w:r>
      <w:r>
        <w:t>is data</w:t>
      </w:r>
      <w:r w:rsidR="00471111">
        <w:t xml:space="preserve"> </w:t>
      </w:r>
      <w:r w:rsidRPr="00310EC1">
        <w:t>reflect</w:t>
      </w:r>
      <w:r w:rsidR="00471111">
        <w:t>s</w:t>
      </w:r>
      <w:r w:rsidRPr="00310EC1">
        <w:t xml:space="preserve"> changes </w:t>
      </w:r>
      <w:r w:rsidR="00AA320C">
        <w:t xml:space="preserve">in </w:t>
      </w:r>
      <w:r w:rsidR="00662126">
        <w:t xml:space="preserve">the weekly ordinary time remuneration of adults </w:t>
      </w:r>
      <w:r w:rsidR="00471111">
        <w:t xml:space="preserve">in the Northern Territory through a survey sample of </w:t>
      </w:r>
      <w:r w:rsidRPr="00310EC1">
        <w:t>businesses</w:t>
      </w:r>
      <w:r w:rsidR="00471111">
        <w:t>.</w:t>
      </w:r>
    </w:p>
    <w:p w14:paraId="6F096118" w14:textId="77777777" w:rsidR="002C7055" w:rsidRPr="00362698" w:rsidRDefault="002C7055" w:rsidP="002C7055">
      <w:pPr>
        <w:spacing w:after="160"/>
      </w:pPr>
      <w:r>
        <w:t xml:space="preserve">This catalogue, as well as historical data, is maintained on the </w:t>
      </w:r>
      <w:hyperlink r:id="rId9" w:history="1">
        <w:r w:rsidRPr="005C7609">
          <w:rPr>
            <w:rStyle w:val="Hyperlink"/>
          </w:rPr>
          <w:t>Australian Bureau of Statistics website</w:t>
        </w:r>
      </w:hyperlink>
      <w:r>
        <w:t>.</w:t>
      </w:r>
    </w:p>
    <w:p w14:paraId="67DECFC8" w14:textId="15A92DB5" w:rsidR="00362698" w:rsidRPr="00C6360D" w:rsidRDefault="00362698" w:rsidP="003E2F16">
      <w:pPr>
        <w:pStyle w:val="Heading1"/>
        <w:spacing w:before="160"/>
      </w:pPr>
      <w:r w:rsidRPr="00C6360D">
        <w:t xml:space="preserve">Why </w:t>
      </w:r>
      <w:r>
        <w:t>are my contribution</w:t>
      </w:r>
      <w:r w:rsidRPr="00C6360D">
        <w:t xml:space="preserve"> salar</w:t>
      </w:r>
      <w:r>
        <w:t>ies</w:t>
      </w:r>
      <w:r w:rsidRPr="00C6360D">
        <w:t xml:space="preserve"> </w:t>
      </w:r>
      <w:r w:rsidR="00900ADF">
        <w:t>adjusted?</w:t>
      </w:r>
    </w:p>
    <w:p w14:paraId="14C41014" w14:textId="72F9D41E" w:rsidR="00AE719D" w:rsidRDefault="00362698" w:rsidP="00272E37">
      <w:pPr>
        <w:spacing w:after="160"/>
      </w:pPr>
      <w:r w:rsidRPr="00362698">
        <w:t>The contribution salaries used in the calculation</w:t>
      </w:r>
      <w:r w:rsidR="00E02534">
        <w:t xml:space="preserve"> of a member’s benefit salary</w:t>
      </w:r>
      <w:r w:rsidRPr="00362698">
        <w:t xml:space="preserve"> are up to three years old. The indexation process is a legislated method which </w:t>
      </w:r>
      <w:r w:rsidR="00900ADF">
        <w:t>adjusts the value of contribution salaries by movements</w:t>
      </w:r>
      <w:r w:rsidR="00900ADF" w:rsidRPr="00900ADF">
        <w:t xml:space="preserve"> in the broader wage market </w:t>
      </w:r>
      <w:r w:rsidR="009672A6">
        <w:t xml:space="preserve">in the Northern Territory </w:t>
      </w:r>
      <w:r w:rsidR="00900ADF" w:rsidRPr="00900ADF">
        <w:t>during the relevant two year period</w:t>
      </w:r>
      <w:r w:rsidR="009672A6">
        <w:t xml:space="preserve">, </w:t>
      </w:r>
      <w:r w:rsidRPr="00362698">
        <w:t>prior to applying the averaging calculation.</w:t>
      </w:r>
      <w:r w:rsidR="00665476" w:rsidRPr="00665476">
        <w:t xml:space="preserve"> </w:t>
      </w:r>
      <w:r w:rsidR="00AE719D">
        <w:t xml:space="preserve">However, where the </w:t>
      </w:r>
      <w:r w:rsidR="00381C76">
        <w:t>indexation of the contribution salaries</w:t>
      </w:r>
      <w:r w:rsidR="00AE719D">
        <w:t xml:space="preserve"> results in a person’s benefit salary being less than the simple average</w:t>
      </w:r>
      <w:r w:rsidR="00FC5425">
        <w:t xml:space="preserve">, then the </w:t>
      </w:r>
      <w:r w:rsidR="00AE719D">
        <w:t xml:space="preserve">simple average is to apply. </w:t>
      </w:r>
    </w:p>
    <w:p w14:paraId="1B0A90EB" w14:textId="77777777" w:rsidR="003E2F16" w:rsidRDefault="003E2F16" w:rsidP="003E2F16">
      <w:pPr>
        <w:pStyle w:val="Heading1"/>
        <w:spacing w:before="160"/>
      </w:pPr>
      <w:r>
        <w:lastRenderedPageBreak/>
        <w:t>Can you predict what the index factor will be?</w:t>
      </w:r>
    </w:p>
    <w:p w14:paraId="2D039126" w14:textId="1F885145" w:rsidR="002E4F83" w:rsidRDefault="00270F0F" w:rsidP="003E2F16">
      <w:pPr>
        <w:spacing w:after="160"/>
      </w:pPr>
      <w:r>
        <w:t>The AWOTE is</w:t>
      </w:r>
      <w:r w:rsidR="002E4F83" w:rsidRPr="00362698">
        <w:t xml:space="preserve"> based on a survey of businesses and </w:t>
      </w:r>
      <w:r>
        <w:t xml:space="preserve">will </w:t>
      </w:r>
      <w:r w:rsidR="002E4F83" w:rsidRPr="00362698">
        <w:t>fluctuate from survey to survey as businesses rotate in and out of the sample. For this reason, it is impossible to determine what the factor will be at any given point in the future.</w:t>
      </w:r>
    </w:p>
    <w:p w14:paraId="24CE967A" w14:textId="6917BE8E" w:rsidR="00362698" w:rsidRPr="00371C6B" w:rsidRDefault="003E2F16" w:rsidP="00362698">
      <w:pPr>
        <w:pStyle w:val="Heading1"/>
      </w:pPr>
      <w:r>
        <w:t>How the i</w:t>
      </w:r>
      <w:r w:rsidR="002C7055">
        <w:t>ndex f</w:t>
      </w:r>
      <w:r w:rsidR="00C756A0">
        <w:t>actor</w:t>
      </w:r>
      <w:r>
        <w:t xml:space="preserve"> is calculated</w:t>
      </w:r>
    </w:p>
    <w:p w14:paraId="0A14F3AF" w14:textId="200AC460" w:rsidR="00362698" w:rsidRPr="00362698" w:rsidRDefault="00362698" w:rsidP="00272E37">
      <w:pPr>
        <w:spacing w:after="160"/>
      </w:pPr>
      <w:r w:rsidRPr="00362698">
        <w:t xml:space="preserve">The formula to determine the </w:t>
      </w:r>
      <w:r w:rsidR="002C7055">
        <w:t>index f</w:t>
      </w:r>
      <w:r w:rsidRPr="00362698">
        <w:t>actor</w:t>
      </w:r>
      <w:r w:rsidR="00272E37">
        <w:t xml:space="preserve"> is</w:t>
      </w:r>
      <w:r w:rsidRPr="00362698">
        <w:t>:</w:t>
      </w:r>
    </w:p>
    <w:p w14:paraId="60D54428" w14:textId="754B75C3" w:rsidR="00362698" w:rsidRPr="00BC6743" w:rsidRDefault="00362698" w:rsidP="00272E37">
      <w:pPr>
        <w:spacing w:after="160"/>
        <w:ind w:left="567"/>
      </w:pPr>
      <m:oMathPara>
        <m:oMathParaPr>
          <m:jc m:val="left"/>
        </m:oMathParaPr>
        <m:oMath>
          <m:r>
            <m:rPr>
              <m:sty m:val="p"/>
            </m:rPr>
            <w:rPr>
              <w:rFonts w:ascii="Cambria Math" w:hAnsi="Cambria Math"/>
            </w:rPr>
            <m:t>  </m:t>
          </m:r>
          <m:r>
            <m:rPr>
              <m:sty m:val="bi"/>
            </m:rPr>
            <w:rPr>
              <w:rFonts w:ascii="Cambria Math" w:hAnsi="Cambria Math"/>
            </w:rPr>
            <m:t>r</m:t>
          </m:r>
          <m:r>
            <m:rPr>
              <m:sty m:val="p"/>
            </m:rP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r>
                    <m:rPr>
                      <m:sty m:val="bi"/>
                    </m:rPr>
                    <w:rPr>
                      <w:rFonts w:ascii="Cambria Math" w:hAnsi="Cambria Math"/>
                    </w:rPr>
                    <m:t>Ax</m:t>
                  </m:r>
                </m:num>
                <m:den>
                  <m:r>
                    <m:rPr>
                      <m:sty m:val="bi"/>
                    </m:rPr>
                    <w:rPr>
                      <w:rFonts w:ascii="Cambria Math" w:hAnsi="Cambria Math"/>
                    </w:rPr>
                    <m:t>Ax-2</m:t>
                  </m:r>
                </m:den>
              </m:f>
            </m:e>
          </m:rad>
        </m:oMath>
      </m:oMathPara>
    </w:p>
    <w:p w14:paraId="787DF292" w14:textId="77777777" w:rsidR="00362698" w:rsidRPr="00362698" w:rsidRDefault="00362698" w:rsidP="00272E37">
      <w:pPr>
        <w:spacing w:after="0" w:line="240" w:lineRule="auto"/>
      </w:pPr>
      <w:r w:rsidRPr="00362698">
        <w:t>Where:</w:t>
      </w:r>
    </w:p>
    <w:p w14:paraId="12CFC374" w14:textId="300B74C1" w:rsidR="00362698" w:rsidRPr="00371C6B" w:rsidRDefault="00362698" w:rsidP="00BC6743">
      <w:pPr>
        <w:pStyle w:val="Bulletlistlv1"/>
        <w:spacing w:after="0"/>
        <w:ind w:left="714" w:hanging="357"/>
      </w:pPr>
      <w:r>
        <w:t>r</w:t>
      </w:r>
      <w:r w:rsidRPr="00371C6B">
        <w:t xml:space="preserve"> = </w:t>
      </w:r>
      <w:r w:rsidR="00272E37">
        <w:tab/>
      </w:r>
      <w:r w:rsidR="00272E37">
        <w:tab/>
      </w:r>
      <w:r w:rsidR="000E0617">
        <w:t>I</w:t>
      </w:r>
      <w:r w:rsidR="002C7055">
        <w:t>ndex f</w:t>
      </w:r>
      <w:r w:rsidRPr="00371C6B">
        <w:t>actor</w:t>
      </w:r>
    </w:p>
    <w:p w14:paraId="4789E8B8" w14:textId="58172A4E" w:rsidR="00362698" w:rsidRPr="00371C6B" w:rsidRDefault="00362698" w:rsidP="00BC6743">
      <w:pPr>
        <w:pStyle w:val="Bulletlistlv1"/>
        <w:spacing w:after="0"/>
        <w:ind w:left="714" w:hanging="357"/>
      </w:pPr>
      <w:r w:rsidRPr="00371C6B">
        <w:t>A</w:t>
      </w:r>
      <w:r w:rsidRPr="00371C6B">
        <w:rPr>
          <w:vertAlign w:val="subscript"/>
        </w:rPr>
        <w:t>×</w:t>
      </w:r>
      <w:r w:rsidRPr="00371C6B">
        <w:t xml:space="preserve"> = </w:t>
      </w:r>
      <w:r w:rsidR="00272E37">
        <w:tab/>
      </w:r>
      <w:r w:rsidR="000E0617">
        <w:t xml:space="preserve">Most recently published </w:t>
      </w:r>
      <w:r w:rsidR="00D12B17">
        <w:t xml:space="preserve">NT </w:t>
      </w:r>
      <w:r w:rsidR="000E0617">
        <w:t>AWOTE</w:t>
      </w:r>
    </w:p>
    <w:p w14:paraId="10B1C1CC" w14:textId="3C426F60" w:rsidR="00362698" w:rsidRPr="00371C6B" w:rsidRDefault="00362698" w:rsidP="00BC6743">
      <w:pPr>
        <w:pStyle w:val="Bulletlistlv1"/>
      </w:pPr>
      <w:r w:rsidRPr="00371C6B">
        <w:t>A</w:t>
      </w:r>
      <w:r w:rsidRPr="00371C6B">
        <w:rPr>
          <w:vertAlign w:val="subscript"/>
        </w:rPr>
        <w:t xml:space="preserve">×-2 </w:t>
      </w:r>
      <w:r w:rsidRPr="00371C6B">
        <w:t xml:space="preserve">= </w:t>
      </w:r>
      <w:r w:rsidR="00272E37">
        <w:tab/>
      </w:r>
      <w:r w:rsidR="00D12B17">
        <w:t xml:space="preserve">NT </w:t>
      </w:r>
      <w:r w:rsidR="000E0617">
        <w:t>AWOTE</w:t>
      </w:r>
      <w:r w:rsidRPr="00371C6B">
        <w:t xml:space="preserve"> figure from the corresponding period, 2 years previous. </w:t>
      </w:r>
    </w:p>
    <w:p w14:paraId="0E64789E" w14:textId="0C1C290F" w:rsidR="00362698" w:rsidRPr="007C0A2D" w:rsidRDefault="00362698" w:rsidP="00B83605">
      <w:pPr>
        <w:spacing w:before="120" w:after="80"/>
        <w:rPr>
          <w:rFonts w:ascii="Arial" w:hAnsi="Arial" w:cs="Arial"/>
        </w:rPr>
      </w:pPr>
      <w:r w:rsidRPr="00F00C1F">
        <w:rPr>
          <w:rFonts w:ascii="Arial" w:hAnsi="Arial" w:cs="Arial"/>
          <w:b/>
        </w:rPr>
        <w:t>Index Factor Example</w:t>
      </w:r>
      <w:r>
        <w:rPr>
          <w:rFonts w:ascii="Arial" w:hAnsi="Arial" w:cs="Arial"/>
        </w:rPr>
        <w:t xml:space="preserve"> – </w:t>
      </w:r>
      <w:r w:rsidRPr="00362698">
        <w:t xml:space="preserve">as at </w:t>
      </w:r>
      <w:r w:rsidR="0039397D">
        <w:t>19</w:t>
      </w:r>
      <w:r w:rsidRPr="00362698">
        <w:t xml:space="preserve"> August 20</w:t>
      </w:r>
      <w:r w:rsidR="0039397D">
        <w:t>21</w:t>
      </w:r>
    </w:p>
    <w:p w14:paraId="3F740025" w14:textId="4D0BCF43" w:rsidR="00362698" w:rsidRPr="00362698" w:rsidRDefault="00362698" w:rsidP="00F00C1F">
      <w:pPr>
        <w:spacing w:after="0"/>
      </w:pPr>
      <w:r w:rsidRPr="00362698">
        <w:t>A</w:t>
      </w:r>
      <w:r w:rsidRPr="00272E37">
        <w:rPr>
          <w:vertAlign w:val="subscript"/>
        </w:rPr>
        <w:t>×</w:t>
      </w:r>
      <w:r w:rsidRPr="00362698">
        <w:t xml:space="preserve"> = </w:t>
      </w:r>
      <w:r w:rsidR="00272E37">
        <w:tab/>
      </w:r>
      <w:r w:rsidR="00272E37">
        <w:tab/>
      </w:r>
      <w:r w:rsidRPr="00362698">
        <w:t xml:space="preserve">Most recently published </w:t>
      </w:r>
      <w:r w:rsidR="00D12B17">
        <w:t xml:space="preserve">NT AWOTE </w:t>
      </w:r>
      <w:r w:rsidRPr="00362698">
        <w:t xml:space="preserve">figure: </w:t>
      </w:r>
      <w:r w:rsidRPr="00BC6743">
        <w:rPr>
          <w:b/>
        </w:rPr>
        <w:t>$</w:t>
      </w:r>
      <w:r w:rsidR="0039397D">
        <w:rPr>
          <w:b/>
        </w:rPr>
        <w:t>1695.20</w:t>
      </w:r>
    </w:p>
    <w:p w14:paraId="60364E80" w14:textId="30870BF5" w:rsidR="00362698" w:rsidRPr="00362698" w:rsidRDefault="00362698" w:rsidP="00F00C1F">
      <w:pPr>
        <w:tabs>
          <w:tab w:val="left" w:pos="426"/>
        </w:tabs>
        <w:spacing w:after="120"/>
        <w:ind w:left="709" w:hanging="709"/>
      </w:pPr>
      <w:r w:rsidRPr="00362698">
        <w:t>A</w:t>
      </w:r>
      <w:r w:rsidRPr="00272E37">
        <w:rPr>
          <w:vertAlign w:val="subscript"/>
        </w:rPr>
        <w:t>×-2</w:t>
      </w:r>
      <w:r w:rsidRPr="00362698">
        <w:t xml:space="preserve"> = </w:t>
      </w:r>
      <w:r w:rsidR="00272E37">
        <w:tab/>
      </w:r>
      <w:r w:rsidR="00272E37">
        <w:tab/>
      </w:r>
      <w:r w:rsidR="00D12B17">
        <w:t xml:space="preserve">NT </w:t>
      </w:r>
      <w:r w:rsidR="000E0617">
        <w:t>AWOTE</w:t>
      </w:r>
      <w:r w:rsidR="00272E37">
        <w:t xml:space="preserve"> </w:t>
      </w:r>
      <w:r w:rsidRPr="00362698">
        <w:t xml:space="preserve">from the corresponding period, 2 years previous: </w:t>
      </w:r>
      <w:r w:rsidRPr="00BC6743">
        <w:rPr>
          <w:b/>
        </w:rPr>
        <w:t>$</w:t>
      </w:r>
      <w:r w:rsidR="0039397D">
        <w:rPr>
          <w:b/>
        </w:rPr>
        <w:t>1690.30</w:t>
      </w:r>
    </w:p>
    <w:p w14:paraId="1E6E7425" w14:textId="7C6C3ED3" w:rsidR="00362698" w:rsidRPr="00BC6743" w:rsidRDefault="003331FC" w:rsidP="00F00C1F">
      <w:pPr>
        <w:spacing w:after="120"/>
        <w:ind w:left="709"/>
      </w:pPr>
      <m:oMathPara>
        <m:oMathParaPr>
          <m:jc m:val="left"/>
        </m:oMathParaPr>
        <m:oMath>
          <m:r>
            <m:rPr>
              <m:sty m:val="bi"/>
            </m:rPr>
            <w:rPr>
              <w:rFonts w:ascii="Cambria Math" w:hAnsi="Cambria Math"/>
            </w:rPr>
            <m:t>r</m:t>
          </m:r>
          <m:r>
            <m:rPr>
              <m:sty m:val="p"/>
            </m:rPr>
            <w:rPr>
              <w:rFonts w:ascii="Cambria Math" w:hAnsi="Cambria Math"/>
            </w:rPr>
            <m:t xml:space="preserve">= </m:t>
          </m:r>
          <m:rad>
            <m:radPr>
              <m:degHide m:val="1"/>
              <m:ctrlPr>
                <w:rPr>
                  <w:rFonts w:ascii="Cambria Math" w:hAnsi="Cambria Math"/>
                </w:rPr>
              </m:ctrlPr>
            </m:radPr>
            <m:deg/>
            <m:e>
              <m:f>
                <m:fPr>
                  <m:ctrlPr>
                    <w:rPr>
                      <w:rFonts w:ascii="Cambria Math" w:hAnsi="Cambria Math"/>
                      <w:i/>
                    </w:rPr>
                  </m:ctrlPr>
                </m:fPr>
                <m:num>
                  <m:r>
                    <m:rPr>
                      <m:sty m:val="bi"/>
                    </m:rPr>
                    <w:rPr>
                      <w:rFonts w:ascii="Cambria Math" w:hAnsi="Cambria Math"/>
                    </w:rPr>
                    <m:t>1695.20</m:t>
                  </m:r>
                </m:num>
                <m:den>
                  <m:r>
                    <m:rPr>
                      <m:sty m:val="bi"/>
                    </m:rPr>
                    <w:rPr>
                      <w:rFonts w:ascii="Cambria Math" w:hAnsi="Cambria Math"/>
                    </w:rPr>
                    <m:t>1690.30</m:t>
                  </m:r>
                </m:den>
              </m:f>
            </m:e>
          </m:rad>
        </m:oMath>
      </m:oMathPara>
    </w:p>
    <w:p w14:paraId="0E6A7BA6" w14:textId="7A9962BC" w:rsidR="00362698" w:rsidRDefault="00362698" w:rsidP="00F00C1F">
      <w:pPr>
        <w:tabs>
          <w:tab w:val="left" w:pos="851"/>
        </w:tabs>
        <w:spacing w:after="120"/>
      </w:pPr>
      <w:r w:rsidRPr="00362698">
        <w:tab/>
        <w:t xml:space="preserve">= </w:t>
      </w:r>
      <w:r w:rsidR="00555F66" w:rsidRPr="00066D93">
        <w:rPr>
          <w:rFonts w:ascii="Cambria Math" w:hAnsi="Cambria Math"/>
          <w:b/>
        </w:rPr>
        <w:t>1.0014484</w:t>
      </w:r>
      <w:r w:rsidR="00555F66" w:rsidRPr="00310EC1">
        <w:t xml:space="preserve"> </w:t>
      </w:r>
    </w:p>
    <w:p w14:paraId="3CEAB3B3" w14:textId="77777777" w:rsidR="0035095C" w:rsidRPr="00041160" w:rsidRDefault="0035095C" w:rsidP="0035095C">
      <w:pPr>
        <w:pStyle w:val="Heading1"/>
      </w:pPr>
      <w:r w:rsidRPr="00041160">
        <w:t>When does the factor apply?</w:t>
      </w:r>
    </w:p>
    <w:p w14:paraId="12FCA316" w14:textId="070941BB" w:rsidR="0035095C" w:rsidRDefault="0035095C" w:rsidP="0035095C">
      <w:r w:rsidRPr="00362698">
        <w:t>The index factor applies for the relevant reference period</w:t>
      </w:r>
      <w:r>
        <w:t xml:space="preserve"> and is applied prospectively from the date the relevant </w:t>
      </w:r>
      <w:r w:rsidR="000E0617">
        <w:t>AWOTE</w:t>
      </w:r>
      <w:r>
        <w:t xml:space="preserve"> factors are published</w:t>
      </w:r>
      <w:r w:rsidRPr="00362698">
        <w:t xml:space="preserve">. </w:t>
      </w:r>
      <w:r w:rsidR="00C00272">
        <w:t>For example, t</w:t>
      </w:r>
      <w:r w:rsidRPr="00362698">
        <w:t>he ABS report</w:t>
      </w:r>
      <w:r w:rsidR="00C00272">
        <w:t>ed</w:t>
      </w:r>
      <w:r w:rsidRPr="00362698">
        <w:t xml:space="preserve"> the May 20</w:t>
      </w:r>
      <w:r>
        <w:t>21</w:t>
      </w:r>
      <w:r w:rsidRPr="00362698">
        <w:t xml:space="preserve"> </w:t>
      </w:r>
      <w:r w:rsidR="000E0617">
        <w:t>AWOTE</w:t>
      </w:r>
      <w:r w:rsidRPr="00362698">
        <w:t xml:space="preserve"> figure </w:t>
      </w:r>
      <w:r w:rsidR="00E02534">
        <w:t>on 19 </w:t>
      </w:r>
      <w:r w:rsidRPr="00362698">
        <w:t>August 20</w:t>
      </w:r>
      <w:r>
        <w:t>21</w:t>
      </w:r>
      <w:r w:rsidRPr="00362698">
        <w:t xml:space="preserve">. The resulting index factor of </w:t>
      </w:r>
      <w:r>
        <w:t>1.0014484</w:t>
      </w:r>
      <w:r w:rsidRPr="00310EC1">
        <w:t xml:space="preserve"> </w:t>
      </w:r>
      <w:r w:rsidRPr="00362698">
        <w:t>(as calculated in the example</w:t>
      </w:r>
      <w:r>
        <w:t xml:space="preserve"> </w:t>
      </w:r>
      <w:r w:rsidR="00C00272">
        <w:t>above</w:t>
      </w:r>
      <w:r w:rsidRPr="00362698">
        <w:t>) appl</w:t>
      </w:r>
      <w:r w:rsidR="00C00272">
        <w:t>ied</w:t>
      </w:r>
      <w:r w:rsidRPr="00362698">
        <w:t xml:space="preserve"> to NTGPASS benefit calculations from the ABS report date</w:t>
      </w:r>
      <w:r>
        <w:t xml:space="preserve"> of 19</w:t>
      </w:r>
      <w:r w:rsidRPr="00362698">
        <w:t xml:space="preserve"> August 20</w:t>
      </w:r>
      <w:r>
        <w:t>21</w:t>
      </w:r>
      <w:r w:rsidRPr="00362698">
        <w:t xml:space="preserve"> until the new </w:t>
      </w:r>
      <w:r w:rsidR="000E0617">
        <w:t>AWOTE</w:t>
      </w:r>
      <w:r w:rsidRPr="00362698">
        <w:t xml:space="preserve"> figure </w:t>
      </w:r>
      <w:r w:rsidR="00C00272">
        <w:t>was</w:t>
      </w:r>
      <w:r w:rsidRPr="00362698">
        <w:t xml:space="preserve"> published </w:t>
      </w:r>
      <w:r w:rsidR="00E02534">
        <w:t xml:space="preserve">on </w:t>
      </w:r>
      <w:r w:rsidR="00066D93">
        <w:t>24</w:t>
      </w:r>
      <w:r w:rsidR="00E02534" w:rsidRPr="00362698">
        <w:t xml:space="preserve"> </w:t>
      </w:r>
      <w:r w:rsidRPr="00362698">
        <w:t>February 20</w:t>
      </w:r>
      <w:r>
        <w:t>22</w:t>
      </w:r>
      <w:r w:rsidRPr="00362698">
        <w:t xml:space="preserve">. </w:t>
      </w:r>
    </w:p>
    <w:p w14:paraId="3D7D364E" w14:textId="77777777" w:rsidR="00362698" w:rsidRDefault="00362698" w:rsidP="00272E37">
      <w:pPr>
        <w:pStyle w:val="Heading1"/>
      </w:pPr>
      <w:r w:rsidRPr="00EB29AA">
        <w:t>How does the index factor affect benefit salary?</w:t>
      </w:r>
    </w:p>
    <w:p w14:paraId="0799251B" w14:textId="13AB9E74" w:rsidR="00362698" w:rsidRPr="00362698" w:rsidRDefault="00362698" w:rsidP="00362698">
      <w:r w:rsidRPr="00362698">
        <w:t xml:space="preserve">The following </w:t>
      </w:r>
      <w:r w:rsidR="002E4F83">
        <w:t>is</w:t>
      </w:r>
      <w:r w:rsidRPr="00362698">
        <w:t xml:space="preserve"> an example of </w:t>
      </w:r>
      <w:r w:rsidR="002E4F83">
        <w:t xml:space="preserve">the </w:t>
      </w:r>
      <w:r w:rsidRPr="00362698">
        <w:t>benefit salary calculation for an NTGPASS member who exited the scheme on 1</w:t>
      </w:r>
      <w:r w:rsidR="0039397D">
        <w:t>9</w:t>
      </w:r>
      <w:r w:rsidRPr="00362698">
        <w:t xml:space="preserve"> August 20</w:t>
      </w:r>
      <w:r w:rsidR="0039397D">
        <w:t>21</w:t>
      </w:r>
      <w:r w:rsidR="002E4F83">
        <w:t>. T</w:t>
      </w:r>
      <w:r w:rsidR="002E4F83" w:rsidRPr="00362698">
        <w:t xml:space="preserve">he </w:t>
      </w:r>
      <w:r w:rsidR="0035095C" w:rsidRPr="008B08ED">
        <w:t>last three</w:t>
      </w:r>
      <w:r w:rsidR="0035095C">
        <w:t xml:space="preserve"> </w:t>
      </w:r>
      <w:r w:rsidR="0035095C" w:rsidRPr="008B08ED">
        <w:t>contribution salaries prior to ceasing NTGPASS membership</w:t>
      </w:r>
      <w:r w:rsidR="0035095C" w:rsidRPr="00362698">
        <w:t xml:space="preserve"> </w:t>
      </w:r>
      <w:r w:rsidR="0035095C">
        <w:t>are</w:t>
      </w:r>
      <w:r w:rsidR="002E4F83">
        <w:t xml:space="preserve"> </w:t>
      </w:r>
      <w:r w:rsidR="002E4F83" w:rsidRPr="00362698">
        <w:t>20</w:t>
      </w:r>
      <w:r w:rsidR="002E4F83">
        <w:t>18</w:t>
      </w:r>
      <w:r w:rsidR="002E4F83" w:rsidRPr="00362698">
        <w:t>, 20</w:t>
      </w:r>
      <w:r w:rsidR="002E4F83">
        <w:t>19</w:t>
      </w:r>
      <w:r w:rsidR="002E4F83" w:rsidRPr="00362698">
        <w:t xml:space="preserve"> and 20</w:t>
      </w:r>
      <w:r w:rsidR="002E4F83">
        <w:t>20. The below table shows the difference between a simple average of the contributions salaries and</w:t>
      </w:r>
      <w:r w:rsidR="0035095C">
        <w:t xml:space="preserve"> the contributions salaries after they have been </w:t>
      </w:r>
      <w:r w:rsidR="002E4F83" w:rsidRPr="00362698">
        <w:t xml:space="preserve">indexed from the relevant review date to the exit date by the </w:t>
      </w:r>
      <w:r w:rsidR="000E0617">
        <w:t>index</w:t>
      </w:r>
      <w:r w:rsidR="002E4F83" w:rsidRPr="00362698">
        <w:t xml:space="preserve"> factor of </w:t>
      </w:r>
      <w:r w:rsidR="002E4F83">
        <w:t>1.0014484</w:t>
      </w:r>
      <w:r w:rsidR="002E4F83" w:rsidRPr="00362698">
        <w:t xml:space="preserve">. </w:t>
      </w:r>
    </w:p>
    <w:p w14:paraId="41D568C8" w14:textId="77777777" w:rsidR="00E02534" w:rsidRDefault="00E02534">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3613"/>
        <w:gridCol w:w="3915"/>
      </w:tblGrid>
      <w:tr w:rsidR="00362698" w:rsidRPr="0067749C" w14:paraId="37E5B84F" w14:textId="77777777" w:rsidTr="00066D93">
        <w:trPr>
          <w:trHeight w:val="372"/>
        </w:trPr>
        <w:tc>
          <w:tcPr>
            <w:tcW w:w="2780" w:type="dxa"/>
            <w:tcBorders>
              <w:bottom w:val="single" w:sz="4" w:space="0" w:color="auto"/>
            </w:tcBorders>
            <w:shd w:val="clear" w:color="auto" w:fill="1F1F5F" w:themeFill="text1"/>
            <w:noWrap/>
            <w:vAlign w:val="bottom"/>
          </w:tcPr>
          <w:p w14:paraId="19313D53" w14:textId="43E4F69B" w:rsidR="00362698" w:rsidRPr="002E4F83" w:rsidRDefault="00362698" w:rsidP="002E4F83">
            <w:pPr>
              <w:spacing w:before="100" w:after="100"/>
              <w:rPr>
                <w:b/>
                <w:bCs/>
                <w:lang w:eastAsia="en-AU"/>
              </w:rPr>
            </w:pPr>
            <w:r w:rsidRPr="002E4F83">
              <w:rPr>
                <w:b/>
                <w:bCs/>
                <w:lang w:eastAsia="en-AU"/>
              </w:rPr>
              <w:lastRenderedPageBreak/>
              <w:t>Index Factor</w:t>
            </w:r>
          </w:p>
        </w:tc>
        <w:tc>
          <w:tcPr>
            <w:tcW w:w="3613" w:type="dxa"/>
            <w:tcBorders>
              <w:bottom w:val="single" w:sz="4" w:space="0" w:color="auto"/>
            </w:tcBorders>
            <w:shd w:val="clear" w:color="auto" w:fill="1F1F5F" w:themeFill="text1"/>
            <w:noWrap/>
            <w:vAlign w:val="bottom"/>
          </w:tcPr>
          <w:p w14:paraId="110A5BB1" w14:textId="336CE368" w:rsidR="00362698" w:rsidRPr="002E4F83" w:rsidRDefault="00555F66" w:rsidP="002E4F83">
            <w:pPr>
              <w:spacing w:before="100" w:after="100"/>
              <w:jc w:val="center"/>
              <w:rPr>
                <w:b/>
                <w:bCs/>
                <w:lang w:eastAsia="en-AU"/>
              </w:rPr>
            </w:pPr>
            <w:r w:rsidRPr="002E4F83">
              <w:rPr>
                <w:b/>
                <w:bCs/>
                <w:lang w:eastAsia="en-AU"/>
              </w:rPr>
              <w:t xml:space="preserve">1.0014484 </w:t>
            </w:r>
          </w:p>
        </w:tc>
        <w:tc>
          <w:tcPr>
            <w:tcW w:w="3915" w:type="dxa"/>
            <w:tcBorders>
              <w:bottom w:val="single" w:sz="4" w:space="0" w:color="auto"/>
            </w:tcBorders>
            <w:shd w:val="clear" w:color="auto" w:fill="1F1F5F" w:themeFill="text1"/>
            <w:noWrap/>
            <w:vAlign w:val="bottom"/>
          </w:tcPr>
          <w:p w14:paraId="556C542A" w14:textId="77777777" w:rsidR="00362698" w:rsidRPr="002E4F83" w:rsidRDefault="00362698" w:rsidP="002E4F83">
            <w:pPr>
              <w:spacing w:before="100" w:after="100"/>
              <w:jc w:val="center"/>
              <w:rPr>
                <w:b/>
                <w:bCs/>
                <w:lang w:eastAsia="en-AU"/>
              </w:rPr>
            </w:pPr>
          </w:p>
        </w:tc>
      </w:tr>
      <w:tr w:rsidR="00362698" w:rsidRPr="0067749C" w14:paraId="73074A04" w14:textId="77777777" w:rsidTr="00066D93">
        <w:trPr>
          <w:trHeight w:val="300"/>
        </w:trPr>
        <w:tc>
          <w:tcPr>
            <w:tcW w:w="2780"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02DC7B81" w14:textId="77777777" w:rsidR="00362698" w:rsidRDefault="00362698" w:rsidP="00BC6743">
            <w:pPr>
              <w:spacing w:before="100" w:after="100"/>
              <w:rPr>
                <w:lang w:eastAsia="en-AU"/>
              </w:rPr>
            </w:pPr>
            <w:r w:rsidRPr="0067749C">
              <w:rPr>
                <w:lang w:eastAsia="en-AU"/>
              </w:rPr>
              <w:t>Exit Date</w:t>
            </w:r>
          </w:p>
        </w:tc>
        <w:tc>
          <w:tcPr>
            <w:tcW w:w="3613" w:type="dxa"/>
            <w:tcBorders>
              <w:top w:val="single" w:sz="4" w:space="0" w:color="auto"/>
              <w:left w:val="nil"/>
              <w:bottom w:val="single" w:sz="4" w:space="0" w:color="auto"/>
              <w:right w:val="nil"/>
            </w:tcBorders>
            <w:shd w:val="clear" w:color="auto" w:fill="D9D9D9" w:themeFill="background1" w:themeFillShade="D9"/>
            <w:noWrap/>
            <w:vAlign w:val="bottom"/>
          </w:tcPr>
          <w:p w14:paraId="5F7ABE4E" w14:textId="4ADD97E7" w:rsidR="00362698" w:rsidRDefault="00362698">
            <w:pPr>
              <w:spacing w:before="100" w:after="100"/>
              <w:jc w:val="center"/>
              <w:rPr>
                <w:lang w:eastAsia="en-AU"/>
              </w:rPr>
            </w:pPr>
            <w:r>
              <w:rPr>
                <w:lang w:eastAsia="en-AU"/>
              </w:rPr>
              <w:t>1</w:t>
            </w:r>
            <w:r w:rsidR="0039397D">
              <w:rPr>
                <w:lang w:eastAsia="en-AU"/>
              </w:rPr>
              <w:t>9</w:t>
            </w:r>
            <w:r>
              <w:rPr>
                <w:lang w:eastAsia="en-AU"/>
              </w:rPr>
              <w:t>/08</w:t>
            </w:r>
            <w:r w:rsidRPr="0067749C">
              <w:rPr>
                <w:lang w:eastAsia="en-AU"/>
              </w:rPr>
              <w:t>/20</w:t>
            </w:r>
            <w:r w:rsidR="0039397D">
              <w:rPr>
                <w:lang w:eastAsia="en-AU"/>
              </w:rPr>
              <w:t>21</w:t>
            </w:r>
          </w:p>
        </w:tc>
        <w:tc>
          <w:tcPr>
            <w:tcW w:w="3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2E3AA42" w14:textId="77777777" w:rsidR="00362698" w:rsidRDefault="00362698" w:rsidP="00BC6743">
            <w:pPr>
              <w:spacing w:before="100" w:after="100"/>
              <w:jc w:val="center"/>
              <w:rPr>
                <w:lang w:eastAsia="en-AU"/>
              </w:rPr>
            </w:pPr>
          </w:p>
        </w:tc>
      </w:tr>
      <w:tr w:rsidR="00362698" w:rsidRPr="0067749C" w14:paraId="1E1EFA96" w14:textId="77777777" w:rsidTr="00066D93">
        <w:trPr>
          <w:trHeight w:val="300"/>
        </w:trPr>
        <w:tc>
          <w:tcPr>
            <w:tcW w:w="2780" w:type="dxa"/>
            <w:tcBorders>
              <w:top w:val="single" w:sz="4" w:space="0" w:color="auto"/>
            </w:tcBorders>
            <w:shd w:val="clear" w:color="auto" w:fill="auto"/>
            <w:noWrap/>
            <w:vAlign w:val="bottom"/>
            <w:hideMark/>
          </w:tcPr>
          <w:p w14:paraId="79AF6374" w14:textId="77777777" w:rsidR="00362698" w:rsidRPr="0067749C" w:rsidRDefault="00362698" w:rsidP="00BC6743">
            <w:pPr>
              <w:spacing w:before="100" w:after="100"/>
              <w:rPr>
                <w:lang w:eastAsia="en-AU"/>
              </w:rPr>
            </w:pPr>
            <w:r>
              <w:rPr>
                <w:lang w:eastAsia="en-AU"/>
              </w:rPr>
              <w:t>R</w:t>
            </w:r>
            <w:r w:rsidRPr="0067749C">
              <w:rPr>
                <w:lang w:eastAsia="en-AU"/>
              </w:rPr>
              <w:t>eview date</w:t>
            </w:r>
          </w:p>
        </w:tc>
        <w:tc>
          <w:tcPr>
            <w:tcW w:w="3613" w:type="dxa"/>
            <w:tcBorders>
              <w:top w:val="single" w:sz="4" w:space="0" w:color="auto"/>
            </w:tcBorders>
            <w:shd w:val="clear" w:color="auto" w:fill="auto"/>
            <w:noWrap/>
            <w:vAlign w:val="bottom"/>
            <w:hideMark/>
          </w:tcPr>
          <w:p w14:paraId="58874E8D" w14:textId="77777777" w:rsidR="00362698" w:rsidRPr="0067749C" w:rsidRDefault="00362698" w:rsidP="00BC6743">
            <w:pPr>
              <w:spacing w:before="100" w:after="100"/>
              <w:jc w:val="center"/>
              <w:rPr>
                <w:lang w:eastAsia="en-AU"/>
              </w:rPr>
            </w:pPr>
            <w:r>
              <w:rPr>
                <w:lang w:eastAsia="en-AU"/>
              </w:rPr>
              <w:t>R</w:t>
            </w:r>
            <w:r w:rsidRPr="0067749C">
              <w:rPr>
                <w:lang w:eastAsia="en-AU"/>
              </w:rPr>
              <w:t>eview salary</w:t>
            </w:r>
          </w:p>
        </w:tc>
        <w:tc>
          <w:tcPr>
            <w:tcW w:w="3915" w:type="dxa"/>
            <w:tcBorders>
              <w:top w:val="single" w:sz="4" w:space="0" w:color="auto"/>
            </w:tcBorders>
            <w:shd w:val="clear" w:color="auto" w:fill="auto"/>
            <w:noWrap/>
            <w:vAlign w:val="bottom"/>
            <w:hideMark/>
          </w:tcPr>
          <w:p w14:paraId="59DD6956" w14:textId="77777777" w:rsidR="00362698" w:rsidRPr="0067749C" w:rsidRDefault="00362698" w:rsidP="00BC6743">
            <w:pPr>
              <w:spacing w:before="100" w:after="100"/>
              <w:jc w:val="center"/>
              <w:rPr>
                <w:lang w:eastAsia="en-AU"/>
              </w:rPr>
            </w:pPr>
            <w:r>
              <w:rPr>
                <w:lang w:eastAsia="en-AU"/>
              </w:rPr>
              <w:t>I</w:t>
            </w:r>
            <w:r w:rsidRPr="0067749C">
              <w:rPr>
                <w:lang w:eastAsia="en-AU"/>
              </w:rPr>
              <w:t>ndexed salary</w:t>
            </w:r>
            <w:r w:rsidRPr="009C145E">
              <w:rPr>
                <w:vertAlign w:val="superscript"/>
                <w:lang w:eastAsia="en-AU"/>
              </w:rPr>
              <w:t>1</w:t>
            </w:r>
          </w:p>
        </w:tc>
      </w:tr>
      <w:tr w:rsidR="00362698" w:rsidRPr="0067749C" w14:paraId="61146E81" w14:textId="77777777" w:rsidTr="00066D93">
        <w:trPr>
          <w:trHeight w:val="315"/>
        </w:trPr>
        <w:tc>
          <w:tcPr>
            <w:tcW w:w="2780" w:type="dxa"/>
            <w:shd w:val="clear" w:color="auto" w:fill="auto"/>
            <w:noWrap/>
            <w:vAlign w:val="bottom"/>
            <w:hideMark/>
          </w:tcPr>
          <w:p w14:paraId="25800703" w14:textId="32195D8C" w:rsidR="00362698" w:rsidRPr="0067749C" w:rsidRDefault="00362698" w:rsidP="00BC6743">
            <w:pPr>
              <w:spacing w:before="100" w:after="100"/>
              <w:rPr>
                <w:lang w:eastAsia="en-AU"/>
              </w:rPr>
            </w:pPr>
            <w:r w:rsidRPr="0067749C">
              <w:rPr>
                <w:lang w:eastAsia="en-AU"/>
              </w:rPr>
              <w:t>1/10/201</w:t>
            </w:r>
            <w:r w:rsidR="0039397D">
              <w:rPr>
                <w:lang w:eastAsia="en-AU"/>
              </w:rPr>
              <w:t>8</w:t>
            </w:r>
          </w:p>
        </w:tc>
        <w:tc>
          <w:tcPr>
            <w:tcW w:w="3613" w:type="dxa"/>
            <w:shd w:val="clear" w:color="auto" w:fill="auto"/>
            <w:noWrap/>
            <w:vAlign w:val="bottom"/>
            <w:hideMark/>
          </w:tcPr>
          <w:p w14:paraId="3B99D29C" w14:textId="12269B87" w:rsidR="00362698" w:rsidRPr="0067749C" w:rsidRDefault="00362698" w:rsidP="00BC6743">
            <w:pPr>
              <w:spacing w:before="100" w:after="100"/>
              <w:jc w:val="center"/>
              <w:rPr>
                <w:lang w:eastAsia="en-AU"/>
              </w:rPr>
            </w:pPr>
            <w:r w:rsidRPr="0067749C">
              <w:rPr>
                <w:lang w:eastAsia="en-AU"/>
              </w:rPr>
              <w:t>$</w:t>
            </w:r>
            <w:r w:rsidR="0039397D">
              <w:rPr>
                <w:lang w:eastAsia="en-AU"/>
              </w:rPr>
              <w:t>7</w:t>
            </w:r>
            <w:r w:rsidRPr="0067749C">
              <w:rPr>
                <w:lang w:eastAsia="en-AU"/>
              </w:rPr>
              <w:t>0 000</w:t>
            </w:r>
          </w:p>
        </w:tc>
        <w:tc>
          <w:tcPr>
            <w:tcW w:w="3915" w:type="dxa"/>
            <w:shd w:val="clear" w:color="auto" w:fill="auto"/>
            <w:noWrap/>
            <w:vAlign w:val="bottom"/>
            <w:hideMark/>
          </w:tcPr>
          <w:p w14:paraId="17318051" w14:textId="6E295172" w:rsidR="00362698" w:rsidRPr="0067749C" w:rsidRDefault="00362698" w:rsidP="00BC6743">
            <w:pPr>
              <w:spacing w:before="100" w:after="100"/>
              <w:jc w:val="center"/>
              <w:rPr>
                <w:b/>
                <w:bCs/>
                <w:lang w:eastAsia="en-AU"/>
              </w:rPr>
            </w:pPr>
            <w:r>
              <w:rPr>
                <w:b/>
                <w:bCs/>
                <w:lang w:eastAsia="en-AU"/>
              </w:rPr>
              <w:t>$</w:t>
            </w:r>
            <w:r w:rsidR="00C2747F">
              <w:rPr>
                <w:b/>
                <w:bCs/>
                <w:lang w:eastAsia="en-AU"/>
              </w:rPr>
              <w:t>70 293</w:t>
            </w:r>
          </w:p>
        </w:tc>
      </w:tr>
      <w:tr w:rsidR="00362698" w:rsidRPr="0067749C" w14:paraId="312F3386" w14:textId="77777777" w:rsidTr="00066D93">
        <w:trPr>
          <w:trHeight w:val="315"/>
        </w:trPr>
        <w:tc>
          <w:tcPr>
            <w:tcW w:w="2780" w:type="dxa"/>
            <w:shd w:val="clear" w:color="auto" w:fill="auto"/>
            <w:noWrap/>
            <w:vAlign w:val="bottom"/>
            <w:hideMark/>
          </w:tcPr>
          <w:p w14:paraId="67E024DA" w14:textId="42268696" w:rsidR="00362698" w:rsidRPr="0067749C" w:rsidRDefault="00362698" w:rsidP="00BC6743">
            <w:pPr>
              <w:spacing w:before="100" w:after="100"/>
              <w:rPr>
                <w:lang w:eastAsia="en-AU"/>
              </w:rPr>
            </w:pPr>
            <w:r w:rsidRPr="0067749C">
              <w:rPr>
                <w:lang w:eastAsia="en-AU"/>
              </w:rPr>
              <w:t>1/10/201</w:t>
            </w:r>
            <w:r w:rsidR="0039397D">
              <w:rPr>
                <w:lang w:eastAsia="en-AU"/>
              </w:rPr>
              <w:t>9</w:t>
            </w:r>
          </w:p>
        </w:tc>
        <w:tc>
          <w:tcPr>
            <w:tcW w:w="3613" w:type="dxa"/>
            <w:shd w:val="clear" w:color="auto" w:fill="auto"/>
            <w:noWrap/>
            <w:vAlign w:val="bottom"/>
            <w:hideMark/>
          </w:tcPr>
          <w:p w14:paraId="1CF29ECE" w14:textId="5B061237" w:rsidR="00362698" w:rsidRPr="0067749C" w:rsidRDefault="00362698" w:rsidP="00BC6743">
            <w:pPr>
              <w:spacing w:before="100" w:after="100"/>
              <w:jc w:val="center"/>
              <w:rPr>
                <w:lang w:eastAsia="en-AU"/>
              </w:rPr>
            </w:pPr>
            <w:r w:rsidRPr="0067749C">
              <w:rPr>
                <w:lang w:eastAsia="en-AU"/>
              </w:rPr>
              <w:t>$</w:t>
            </w:r>
            <w:r w:rsidR="0039397D">
              <w:rPr>
                <w:lang w:eastAsia="en-AU"/>
              </w:rPr>
              <w:t>7</w:t>
            </w:r>
            <w:r w:rsidRPr="0067749C">
              <w:rPr>
                <w:lang w:eastAsia="en-AU"/>
              </w:rPr>
              <w:t>5 000</w:t>
            </w:r>
          </w:p>
        </w:tc>
        <w:tc>
          <w:tcPr>
            <w:tcW w:w="3915" w:type="dxa"/>
            <w:shd w:val="clear" w:color="auto" w:fill="auto"/>
            <w:noWrap/>
            <w:vAlign w:val="bottom"/>
            <w:hideMark/>
          </w:tcPr>
          <w:p w14:paraId="22C315FC" w14:textId="12F5AD23" w:rsidR="00362698" w:rsidRPr="0067749C" w:rsidRDefault="00362698" w:rsidP="00BC6743">
            <w:pPr>
              <w:spacing w:before="100" w:after="100"/>
              <w:jc w:val="center"/>
              <w:rPr>
                <w:b/>
                <w:bCs/>
                <w:lang w:eastAsia="en-AU"/>
              </w:rPr>
            </w:pPr>
            <w:r w:rsidRPr="0067749C">
              <w:rPr>
                <w:b/>
                <w:bCs/>
                <w:lang w:eastAsia="en-AU"/>
              </w:rPr>
              <w:t>$</w:t>
            </w:r>
            <w:r w:rsidR="00C2747F">
              <w:rPr>
                <w:b/>
                <w:bCs/>
                <w:lang w:eastAsia="en-AU"/>
              </w:rPr>
              <w:t>75 205</w:t>
            </w:r>
          </w:p>
        </w:tc>
      </w:tr>
      <w:tr w:rsidR="00362698" w:rsidRPr="0067749C" w14:paraId="4EC61604" w14:textId="77777777" w:rsidTr="00066D93">
        <w:trPr>
          <w:trHeight w:val="315"/>
        </w:trPr>
        <w:tc>
          <w:tcPr>
            <w:tcW w:w="2780" w:type="dxa"/>
            <w:shd w:val="clear" w:color="auto" w:fill="auto"/>
            <w:noWrap/>
            <w:vAlign w:val="bottom"/>
            <w:hideMark/>
          </w:tcPr>
          <w:p w14:paraId="7AD86063" w14:textId="75FFD36E" w:rsidR="00362698" w:rsidRPr="0067749C" w:rsidRDefault="00362698" w:rsidP="00BC6743">
            <w:pPr>
              <w:spacing w:before="100" w:after="100"/>
              <w:rPr>
                <w:lang w:eastAsia="en-AU"/>
              </w:rPr>
            </w:pPr>
            <w:r w:rsidRPr="0067749C">
              <w:rPr>
                <w:lang w:eastAsia="en-AU"/>
              </w:rPr>
              <w:t>1/10/20</w:t>
            </w:r>
            <w:r w:rsidR="0039397D">
              <w:rPr>
                <w:lang w:eastAsia="en-AU"/>
              </w:rPr>
              <w:t>20</w:t>
            </w:r>
          </w:p>
        </w:tc>
        <w:tc>
          <w:tcPr>
            <w:tcW w:w="3613" w:type="dxa"/>
            <w:shd w:val="clear" w:color="auto" w:fill="auto"/>
            <w:noWrap/>
            <w:vAlign w:val="bottom"/>
            <w:hideMark/>
          </w:tcPr>
          <w:p w14:paraId="59F6A575" w14:textId="725F1A3E" w:rsidR="00362698" w:rsidRPr="0067749C" w:rsidRDefault="00362698" w:rsidP="00BC6743">
            <w:pPr>
              <w:spacing w:before="100" w:after="100"/>
              <w:jc w:val="center"/>
              <w:rPr>
                <w:lang w:eastAsia="en-AU"/>
              </w:rPr>
            </w:pPr>
            <w:r w:rsidRPr="0067749C">
              <w:rPr>
                <w:lang w:eastAsia="en-AU"/>
              </w:rPr>
              <w:t>$</w:t>
            </w:r>
            <w:r w:rsidR="0039397D">
              <w:rPr>
                <w:lang w:eastAsia="en-AU"/>
              </w:rPr>
              <w:t>8</w:t>
            </w:r>
            <w:r w:rsidRPr="0067749C">
              <w:rPr>
                <w:lang w:eastAsia="en-AU"/>
              </w:rPr>
              <w:t>0 000</w:t>
            </w:r>
          </w:p>
        </w:tc>
        <w:tc>
          <w:tcPr>
            <w:tcW w:w="3915" w:type="dxa"/>
            <w:shd w:val="clear" w:color="auto" w:fill="auto"/>
            <w:noWrap/>
            <w:vAlign w:val="bottom"/>
            <w:hideMark/>
          </w:tcPr>
          <w:p w14:paraId="66365E21" w14:textId="457EC352" w:rsidR="00362698" w:rsidRPr="0067749C" w:rsidRDefault="00362698" w:rsidP="00BC6743">
            <w:pPr>
              <w:spacing w:before="100" w:after="100"/>
              <w:jc w:val="center"/>
              <w:rPr>
                <w:b/>
                <w:bCs/>
                <w:lang w:eastAsia="en-AU"/>
              </w:rPr>
            </w:pPr>
            <w:r w:rsidRPr="0067749C">
              <w:rPr>
                <w:b/>
                <w:bCs/>
                <w:lang w:eastAsia="en-AU"/>
              </w:rPr>
              <w:t>$</w:t>
            </w:r>
            <w:r w:rsidR="00C2747F">
              <w:rPr>
                <w:b/>
                <w:bCs/>
                <w:lang w:eastAsia="en-AU"/>
              </w:rPr>
              <w:t>80 103</w:t>
            </w:r>
          </w:p>
        </w:tc>
      </w:tr>
      <w:tr w:rsidR="00362698" w:rsidRPr="0067749C" w14:paraId="1A316014" w14:textId="77777777" w:rsidTr="00066D93">
        <w:trPr>
          <w:trHeight w:val="300"/>
        </w:trPr>
        <w:tc>
          <w:tcPr>
            <w:tcW w:w="2780" w:type="dxa"/>
            <w:shd w:val="clear" w:color="auto" w:fill="auto"/>
            <w:noWrap/>
            <w:vAlign w:val="bottom"/>
          </w:tcPr>
          <w:p w14:paraId="2047853A" w14:textId="77777777" w:rsidR="00362698" w:rsidRPr="0067749C" w:rsidRDefault="00362698" w:rsidP="00BC6743">
            <w:pPr>
              <w:spacing w:before="100" w:after="100"/>
              <w:rPr>
                <w:lang w:eastAsia="en-AU"/>
              </w:rPr>
            </w:pPr>
          </w:p>
        </w:tc>
        <w:tc>
          <w:tcPr>
            <w:tcW w:w="3613" w:type="dxa"/>
            <w:shd w:val="clear" w:color="auto" w:fill="auto"/>
            <w:noWrap/>
            <w:vAlign w:val="bottom"/>
          </w:tcPr>
          <w:p w14:paraId="72CEB984" w14:textId="77777777" w:rsidR="00362698" w:rsidRPr="0067749C" w:rsidRDefault="00362698" w:rsidP="00BC6743">
            <w:pPr>
              <w:spacing w:before="100" w:after="100"/>
              <w:jc w:val="center"/>
              <w:rPr>
                <w:lang w:eastAsia="en-AU"/>
              </w:rPr>
            </w:pPr>
            <w:r w:rsidRPr="0067749C">
              <w:rPr>
                <w:lang w:eastAsia="en-AU"/>
              </w:rPr>
              <w:t>Actual Average</w:t>
            </w:r>
          </w:p>
        </w:tc>
        <w:tc>
          <w:tcPr>
            <w:tcW w:w="3915" w:type="dxa"/>
            <w:shd w:val="clear" w:color="auto" w:fill="auto"/>
            <w:noWrap/>
            <w:vAlign w:val="bottom"/>
          </w:tcPr>
          <w:p w14:paraId="7FAFE6AC" w14:textId="77777777" w:rsidR="00362698" w:rsidRPr="0067749C" w:rsidRDefault="00362698" w:rsidP="00BC6743">
            <w:pPr>
              <w:spacing w:before="100" w:after="100"/>
              <w:jc w:val="center"/>
              <w:rPr>
                <w:lang w:eastAsia="en-AU"/>
              </w:rPr>
            </w:pPr>
            <w:r w:rsidRPr="0067749C">
              <w:rPr>
                <w:lang w:eastAsia="en-AU"/>
              </w:rPr>
              <w:t>Indexed Average</w:t>
            </w:r>
          </w:p>
        </w:tc>
      </w:tr>
      <w:tr w:rsidR="00362698" w:rsidRPr="0067749C" w14:paraId="3C7F327E" w14:textId="77777777" w:rsidTr="00066D93">
        <w:trPr>
          <w:trHeight w:val="300"/>
        </w:trPr>
        <w:tc>
          <w:tcPr>
            <w:tcW w:w="2780" w:type="dxa"/>
            <w:shd w:val="clear" w:color="auto" w:fill="auto"/>
            <w:noWrap/>
            <w:vAlign w:val="bottom"/>
            <w:hideMark/>
          </w:tcPr>
          <w:p w14:paraId="733FA206" w14:textId="77777777" w:rsidR="00362698" w:rsidRPr="0067749C" w:rsidRDefault="00362698" w:rsidP="00BC6743">
            <w:pPr>
              <w:spacing w:before="100" w:after="100"/>
              <w:rPr>
                <w:lang w:eastAsia="en-AU"/>
              </w:rPr>
            </w:pPr>
          </w:p>
        </w:tc>
        <w:tc>
          <w:tcPr>
            <w:tcW w:w="3613" w:type="dxa"/>
            <w:shd w:val="clear" w:color="auto" w:fill="auto"/>
            <w:noWrap/>
            <w:vAlign w:val="bottom"/>
            <w:hideMark/>
          </w:tcPr>
          <w:p w14:paraId="6B37BA4F" w14:textId="2B17F1F0" w:rsidR="00362698" w:rsidRPr="0067749C" w:rsidRDefault="00362698" w:rsidP="00BC6743">
            <w:pPr>
              <w:spacing w:before="100" w:after="100"/>
              <w:jc w:val="center"/>
              <w:rPr>
                <w:lang w:eastAsia="en-AU"/>
              </w:rPr>
            </w:pPr>
            <w:r w:rsidRPr="0067749C">
              <w:rPr>
                <w:lang w:eastAsia="en-AU"/>
              </w:rPr>
              <w:t>$</w:t>
            </w:r>
            <w:r w:rsidR="0039397D">
              <w:rPr>
                <w:lang w:eastAsia="en-AU"/>
              </w:rPr>
              <w:t>7</w:t>
            </w:r>
            <w:r w:rsidRPr="0067749C">
              <w:rPr>
                <w:lang w:eastAsia="en-AU"/>
              </w:rPr>
              <w:t>5 000</w:t>
            </w:r>
          </w:p>
        </w:tc>
        <w:tc>
          <w:tcPr>
            <w:tcW w:w="3915" w:type="dxa"/>
            <w:shd w:val="clear" w:color="auto" w:fill="auto"/>
            <w:noWrap/>
            <w:vAlign w:val="bottom"/>
            <w:hideMark/>
          </w:tcPr>
          <w:p w14:paraId="53F36BE6" w14:textId="0AE836F8" w:rsidR="00362698" w:rsidRPr="00D02C9C" w:rsidRDefault="00362698">
            <w:pPr>
              <w:spacing w:before="100" w:after="100"/>
              <w:jc w:val="center"/>
              <w:rPr>
                <w:b/>
                <w:lang w:eastAsia="en-AU"/>
              </w:rPr>
            </w:pPr>
            <w:r w:rsidRPr="00D02C9C">
              <w:rPr>
                <w:b/>
                <w:lang w:eastAsia="en-AU"/>
              </w:rPr>
              <w:t>$</w:t>
            </w:r>
            <w:r w:rsidR="00E510B1">
              <w:rPr>
                <w:b/>
                <w:lang w:eastAsia="en-AU"/>
              </w:rPr>
              <w:t xml:space="preserve">75 </w:t>
            </w:r>
            <w:r w:rsidR="00C2747F">
              <w:rPr>
                <w:b/>
                <w:lang w:eastAsia="en-AU"/>
              </w:rPr>
              <w:t>200</w:t>
            </w:r>
          </w:p>
        </w:tc>
      </w:tr>
    </w:tbl>
    <w:p w14:paraId="76C0E0BD" w14:textId="56B793C4" w:rsidR="00362698" w:rsidRPr="00037FC7" w:rsidRDefault="00362698" w:rsidP="00BC6743">
      <w:pPr>
        <w:pStyle w:val="Footnote"/>
        <w:ind w:left="567"/>
      </w:pPr>
      <w:r w:rsidRPr="00037FC7">
        <w:t xml:space="preserve">1 Indexed contribution salary calculated using the AWE index factor compounded </w:t>
      </w:r>
      <w:r w:rsidR="00555F66">
        <w:t xml:space="preserve">from annual review </w:t>
      </w:r>
      <w:r w:rsidR="00E02534">
        <w:t xml:space="preserve">date </w:t>
      </w:r>
      <w:r w:rsidR="00555F66">
        <w:t>to exit date</w:t>
      </w:r>
      <w:r w:rsidRPr="00037FC7">
        <w:t>.</w:t>
      </w:r>
    </w:p>
    <w:p w14:paraId="5E0FDB53" w14:textId="6C281DB2" w:rsidR="00362698" w:rsidRDefault="00362698" w:rsidP="00362698">
      <w:r w:rsidRPr="00362698">
        <w:t>In this example the resulting benefit salary of $</w:t>
      </w:r>
      <w:r w:rsidR="00E510B1">
        <w:t xml:space="preserve">75 </w:t>
      </w:r>
      <w:r w:rsidR="00C2747F">
        <w:t>200</w:t>
      </w:r>
      <w:r w:rsidR="00E510B1">
        <w:t xml:space="preserve"> </w:t>
      </w:r>
      <w:r w:rsidRPr="00362698">
        <w:t>is higher than the simple average salary of $</w:t>
      </w:r>
      <w:r w:rsidR="00E510B1">
        <w:t>7</w:t>
      </w:r>
      <w:r w:rsidRPr="00362698">
        <w:t xml:space="preserve">5 000. </w:t>
      </w:r>
    </w:p>
    <w:p w14:paraId="5A08217C" w14:textId="27905ED3" w:rsidR="008E3029" w:rsidRPr="00362698" w:rsidRDefault="008E3029" w:rsidP="00362698">
      <w:r>
        <w:t xml:space="preserve">However, if the application of the </w:t>
      </w:r>
      <w:r w:rsidR="007F5617">
        <w:t>i</w:t>
      </w:r>
      <w:r w:rsidR="00E67565">
        <w:t>ndex factor result</w:t>
      </w:r>
      <w:r w:rsidR="007F5617">
        <w:t xml:space="preserve">s </w:t>
      </w:r>
      <w:r w:rsidR="00E67565">
        <w:t xml:space="preserve">in an indexed average less than the actual average, then the actual average </w:t>
      </w:r>
      <w:r w:rsidR="007F5617">
        <w:t>is to be applied</w:t>
      </w:r>
      <w:r w:rsidR="00E67565">
        <w:t xml:space="preserve">. </w:t>
      </w:r>
    </w:p>
    <w:p w14:paraId="4B89D130" w14:textId="77777777" w:rsidR="00362698" w:rsidRPr="00D868AD" w:rsidRDefault="00362698" w:rsidP="00362698">
      <w:pPr>
        <w:pStyle w:val="Heading1"/>
      </w:pPr>
      <w:r w:rsidRPr="00D868AD">
        <w:t>Why is my benefit salary lower than last year?</w:t>
      </w:r>
    </w:p>
    <w:p w14:paraId="012B0B76" w14:textId="77777777" w:rsidR="00362698" w:rsidRPr="00362698" w:rsidRDefault="00362698" w:rsidP="00362698">
      <w:r w:rsidRPr="00362698">
        <w:t>There are a few contributing factors.</w:t>
      </w:r>
    </w:p>
    <w:p w14:paraId="6B636C5B" w14:textId="77777777" w:rsidR="00362698" w:rsidRPr="00362698" w:rsidRDefault="00362698" w:rsidP="00B72A57">
      <w:pPr>
        <w:pStyle w:val="ClauseLevel1"/>
        <w:spacing w:before="0"/>
      </w:pPr>
      <w:r w:rsidRPr="00362698">
        <w:t xml:space="preserve">The NTGPASS benefit salary uses the average of your previous three full time equivalent contribution salaries set on 1 October. </w:t>
      </w:r>
    </w:p>
    <w:p w14:paraId="6040CBA1" w14:textId="54529430" w:rsidR="00362698" w:rsidRDefault="00362698" w:rsidP="00B72A57">
      <w:pPr>
        <w:spacing w:after="120"/>
        <w:ind w:left="720"/>
      </w:pPr>
      <w:r w:rsidRPr="003A7451">
        <w:t xml:space="preserve">You may have had a higher salary in </w:t>
      </w:r>
      <w:r w:rsidR="00E02534">
        <w:t>a previous year,</w:t>
      </w:r>
      <w:r w:rsidR="00E02534" w:rsidRPr="003A7451">
        <w:t xml:space="preserve"> </w:t>
      </w:r>
      <w:r w:rsidRPr="003A7451">
        <w:t xml:space="preserve">which is no longer included in the </w:t>
      </w:r>
      <w:r w:rsidR="00E02534">
        <w:t xml:space="preserve">current </w:t>
      </w:r>
      <w:r w:rsidRPr="003A7451">
        <w:t xml:space="preserve">average.  Salaries can reduce due to demotion, </w:t>
      </w:r>
      <w:r w:rsidR="003331FC">
        <w:t>changing</w:t>
      </w:r>
      <w:r w:rsidR="003331FC" w:rsidRPr="003A7451">
        <w:t xml:space="preserve"> </w:t>
      </w:r>
      <w:r w:rsidRPr="003A7451">
        <w:t xml:space="preserve">shift penalties, </w:t>
      </w:r>
      <w:r w:rsidR="003331FC">
        <w:t xml:space="preserve">ceasing </w:t>
      </w:r>
      <w:r w:rsidRPr="003A7451">
        <w:t xml:space="preserve">higher </w:t>
      </w:r>
      <w:r>
        <w:t>d</w:t>
      </w:r>
      <w:r w:rsidRPr="003A7451">
        <w:t>uties or other allowances no longer meet</w:t>
      </w:r>
      <w:r w:rsidR="003331FC">
        <w:t>ing</w:t>
      </w:r>
      <w:r w:rsidRPr="003A7451">
        <w:t xml:space="preserve"> the qualifying criteria. </w:t>
      </w:r>
    </w:p>
    <w:p w14:paraId="09DF1037" w14:textId="56642FF3" w:rsidR="006D1770" w:rsidRDefault="00362698" w:rsidP="00B72A57">
      <w:pPr>
        <w:spacing w:after="120"/>
        <w:ind w:left="720"/>
      </w:pPr>
      <w:r w:rsidRPr="003A7451">
        <w:t xml:space="preserve">You </w:t>
      </w:r>
      <w:r>
        <w:t>can apply to maintain a previous</w:t>
      </w:r>
      <w:r w:rsidRPr="003A7451">
        <w:t xml:space="preserve"> higher contribution salary </w:t>
      </w:r>
      <w:r>
        <w:t>as part of the</w:t>
      </w:r>
      <w:r w:rsidRPr="003A7451">
        <w:t xml:space="preserve"> Annual Review </w:t>
      </w:r>
      <w:r>
        <w:t xml:space="preserve">process </w:t>
      </w:r>
      <w:r w:rsidRPr="003A7451">
        <w:t>each year</w:t>
      </w:r>
      <w:r>
        <w:t>. For this to</w:t>
      </w:r>
      <w:r w:rsidRPr="003A7451">
        <w:t xml:space="preserve"> occur </w:t>
      </w:r>
      <w:r>
        <w:t xml:space="preserve">you must complete an </w:t>
      </w:r>
      <w:r w:rsidRPr="00B72A57">
        <w:rPr>
          <w:i/>
        </w:rPr>
        <w:t>Application to Maintain Higher Contribution Salary</w:t>
      </w:r>
      <w:r w:rsidRPr="003A7451">
        <w:t xml:space="preserve"> </w:t>
      </w:r>
      <w:r>
        <w:t>prior to the Annual Review date and have it approved by the Commissioner of Superannuation</w:t>
      </w:r>
      <w:r w:rsidRPr="003A7451">
        <w:t>.</w:t>
      </w:r>
      <w:r w:rsidR="002D5EC1">
        <w:t xml:space="preserve"> </w:t>
      </w:r>
      <w:r w:rsidR="006D1770">
        <w:t xml:space="preserve"> </w:t>
      </w:r>
    </w:p>
    <w:p w14:paraId="729EF7D5" w14:textId="040A3DBC" w:rsidR="00362698" w:rsidRPr="00310EC1" w:rsidRDefault="00362698" w:rsidP="00B72A57">
      <w:pPr>
        <w:pStyle w:val="ClauseLevel1"/>
        <w:spacing w:before="0"/>
      </w:pPr>
      <w:r w:rsidRPr="00310EC1">
        <w:t xml:space="preserve">Your salaries are brought up to current values using the most recent </w:t>
      </w:r>
      <w:r w:rsidR="003331FC">
        <w:t xml:space="preserve">AWOTE </w:t>
      </w:r>
      <w:r w:rsidRPr="00310EC1">
        <w:t>index factor, which fluctuates over time, being lower in some time periods and higher in others.</w:t>
      </w:r>
      <w:r w:rsidR="006D1770">
        <w:t xml:space="preserve"> </w:t>
      </w:r>
      <w:r w:rsidRPr="00310EC1">
        <w:t xml:space="preserve">For example, the indexation factor used when calculating the benefit salary for </w:t>
      </w:r>
      <w:r w:rsidR="00BC470A">
        <w:t xml:space="preserve">the </w:t>
      </w:r>
      <w:r w:rsidRPr="00310EC1">
        <w:t>30 June 20</w:t>
      </w:r>
      <w:r w:rsidR="006D1770">
        <w:t>21</w:t>
      </w:r>
      <w:r w:rsidRPr="00310EC1">
        <w:t xml:space="preserve"> Member Information Statement was 1.</w:t>
      </w:r>
      <w:r w:rsidR="006D1770">
        <w:t>01821182</w:t>
      </w:r>
      <w:r w:rsidRPr="00310EC1">
        <w:t xml:space="preserve"> </w:t>
      </w:r>
      <w:r w:rsidRPr="00555F66">
        <w:t>(</w:t>
      </w:r>
      <w:r w:rsidR="00EB7A29" w:rsidRPr="00B72A57">
        <w:t>1.821182</w:t>
      </w:r>
      <w:r w:rsidRPr="00555F66">
        <w:t>%).</w:t>
      </w:r>
      <w:r w:rsidRPr="00310EC1">
        <w:t xml:space="preserve"> </w:t>
      </w:r>
      <w:r w:rsidR="0035095C">
        <w:t xml:space="preserve">Whereas, </w:t>
      </w:r>
      <w:r w:rsidR="00BC470A">
        <w:t>the</w:t>
      </w:r>
      <w:r w:rsidRPr="00310EC1">
        <w:t xml:space="preserve"> index factor used for </w:t>
      </w:r>
      <w:r w:rsidR="00BC470A">
        <w:t>quotes and benefit payments from 19 August 2021 is 1.0014484</w:t>
      </w:r>
      <w:r w:rsidRPr="00310EC1">
        <w:t xml:space="preserve"> </w:t>
      </w:r>
      <w:r w:rsidRPr="00555F66">
        <w:t>(</w:t>
      </w:r>
      <w:r w:rsidR="00EB7A29" w:rsidRPr="00B72A57">
        <w:t>0.14484</w:t>
      </w:r>
      <w:r w:rsidRPr="00555F66">
        <w:t>%)</w:t>
      </w:r>
      <w:r w:rsidR="00BC470A" w:rsidRPr="00555F66">
        <w:t xml:space="preserve">. </w:t>
      </w:r>
    </w:p>
    <w:p w14:paraId="5796AE26" w14:textId="41BCC35A" w:rsidR="00362698" w:rsidRDefault="00362698" w:rsidP="00BC6743">
      <w:pPr>
        <w:spacing w:after="0"/>
      </w:pPr>
      <w:r w:rsidRPr="00362698">
        <w:t>If the index factor used in your most recent member statement or benefit estimate is lower than the factor used in a previous estimate or member statement, this may result in a lower benefit salary</w:t>
      </w:r>
      <w:r w:rsidR="003331FC">
        <w:t>, even though contribution salaries have not changed</w:t>
      </w:r>
      <w:r w:rsidRPr="00362698">
        <w:t xml:space="preserve">. This is because your contribution salaries are being indexed by a smaller factor. Alternatively, where the index factor applied is higher than the previous, a higher benefit salary may result. </w:t>
      </w:r>
    </w:p>
    <w:p w14:paraId="1D550D32" w14:textId="77777777" w:rsidR="00BC470A" w:rsidRPr="00362698" w:rsidRDefault="00BC470A" w:rsidP="00BC6743">
      <w:pPr>
        <w:spacing w:after="0"/>
      </w:pPr>
    </w:p>
    <w:p w14:paraId="080C1FD3" w14:textId="489DA0B0" w:rsidR="00362698" w:rsidRPr="00362698" w:rsidRDefault="00362698" w:rsidP="00B72A57">
      <w:pPr>
        <w:spacing w:after="0"/>
      </w:pPr>
      <w:r w:rsidRPr="00362698">
        <w:lastRenderedPageBreak/>
        <w:t xml:space="preserve">It is important to note that your NTGPASS employer benefit advised on your information statement or benefit estimate is a notional amount. </w:t>
      </w:r>
      <w:r w:rsidR="00EB7A29">
        <w:t>T</w:t>
      </w:r>
      <w:r w:rsidRPr="00362698">
        <w:t xml:space="preserve">he NTGPASS employer benefit is not paid until you cease membership and claim your benefit. It will be calculated based on the </w:t>
      </w:r>
      <w:r w:rsidR="003331FC">
        <w:t>index factor</w:t>
      </w:r>
      <w:r w:rsidR="003331FC" w:rsidRPr="00362698">
        <w:t xml:space="preserve"> </w:t>
      </w:r>
      <w:r w:rsidRPr="00362698">
        <w:t xml:space="preserve">applicable at </w:t>
      </w:r>
      <w:r w:rsidR="003331FC">
        <w:t>the</w:t>
      </w:r>
      <w:r w:rsidR="003331FC" w:rsidRPr="00362698">
        <w:t xml:space="preserve"> </w:t>
      </w:r>
      <w:r w:rsidRPr="00362698">
        <w:t>date</w:t>
      </w:r>
      <w:r w:rsidR="003331FC">
        <w:t xml:space="preserve"> of your cessation</w:t>
      </w:r>
      <w:r w:rsidRPr="00362698">
        <w:t>.</w:t>
      </w:r>
    </w:p>
    <w:p w14:paraId="542D88FD" w14:textId="77777777" w:rsidR="00362698" w:rsidRDefault="00362698" w:rsidP="00362698">
      <w:pPr>
        <w:pStyle w:val="Heading1"/>
      </w:pPr>
      <w:r w:rsidRPr="008C0F20">
        <w:t>Disclaimer</w:t>
      </w:r>
    </w:p>
    <w:p w14:paraId="71ED399C" w14:textId="77777777" w:rsidR="00362698" w:rsidRPr="00362698" w:rsidRDefault="00362698" w:rsidP="00362698">
      <w:r w:rsidRPr="00362698">
        <w:t>The material in this fact sheet is provided for information purposes only. It does not take into account your personal circumstances and should not be relied upon for making financial commitments.</w:t>
      </w:r>
    </w:p>
    <w:p w14:paraId="34C7FE7F" w14:textId="77777777" w:rsidR="00362698" w:rsidRPr="00362698" w:rsidRDefault="00362698" w:rsidP="00362698">
      <w:r w:rsidRPr="00362698">
        <w:t>The Commissioner of Superannuation and the Northern Territory of Australia accept no responsibility for any losses arising from any use or reliance upon the information or conclusions reached using the information.</w:t>
      </w:r>
    </w:p>
    <w:sectPr w:rsidR="00362698" w:rsidRPr="00362698" w:rsidSect="008E30A5">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CD8F8" w14:textId="77777777" w:rsidR="004A2067" w:rsidRDefault="004A2067" w:rsidP="007332FF">
      <w:r>
        <w:separator/>
      </w:r>
    </w:p>
  </w:endnote>
  <w:endnote w:type="continuationSeparator" w:id="0">
    <w:p w14:paraId="79084630" w14:textId="77777777" w:rsidR="004A2067" w:rsidRDefault="004A206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MT Std Cond">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F9F2"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6DC3C0F" w14:textId="77777777" w:rsidTr="00D47DC7">
      <w:trPr>
        <w:cantSplit/>
        <w:trHeight w:hRule="exact" w:val="850"/>
      </w:trPr>
      <w:tc>
        <w:tcPr>
          <w:tcW w:w="10318" w:type="dxa"/>
          <w:vAlign w:val="bottom"/>
        </w:tcPr>
        <w:p w14:paraId="225C84F8"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44AF3">
                <w:rPr>
                  <w:rStyle w:val="PageNumber"/>
                  <w:b/>
                </w:rPr>
                <w:t>TREASURY AND FINANCE</w:t>
              </w:r>
            </w:sdtContent>
          </w:sdt>
        </w:p>
        <w:p w14:paraId="5265DF95" w14:textId="553E4973" w:rsidR="00D47DC7" w:rsidRPr="00CE6614" w:rsidRDefault="004A2067"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10-03T00:00:00Z">
                <w:dateFormat w:val="d MMMM yyyy"/>
                <w:lid w:val="en-AU"/>
                <w:storeMappedDataAs w:val="dateTime"/>
                <w:calendar w:val="gregorian"/>
              </w:date>
            </w:sdtPr>
            <w:sdtEndPr>
              <w:rPr>
                <w:rStyle w:val="PageNumber"/>
              </w:rPr>
            </w:sdtEndPr>
            <w:sdtContent>
              <w:r w:rsidR="003331FC">
                <w:rPr>
                  <w:rStyle w:val="PageNumber"/>
                </w:rPr>
                <w:t>3 October 2022</w:t>
              </w:r>
            </w:sdtContent>
          </w:sdt>
          <w:r w:rsidR="00D47DC7" w:rsidRPr="00CE6614">
            <w:rPr>
              <w:rStyle w:val="PageNumber"/>
            </w:rPr>
            <w:t xml:space="preserve"> </w:t>
          </w:r>
          <w:r w:rsidR="009C2990" w:rsidRPr="00CE6614">
            <w:rPr>
              <w:rStyle w:val="PageNumber"/>
            </w:rPr>
            <w:t xml:space="preserve">| </w:t>
          </w:r>
          <w:r w:rsidR="00BC6743" w:rsidRPr="00BC6743">
            <w:rPr>
              <w:spacing w:val="-3"/>
              <w:sz w:val="19"/>
              <w:szCs w:val="19"/>
            </w:rPr>
            <w:t>NTG-P34-V0</w:t>
          </w:r>
          <w:r w:rsidR="0044752D">
            <w:rPr>
              <w:spacing w:val="-3"/>
              <w:sz w:val="19"/>
              <w:szCs w:val="19"/>
            </w:rPr>
            <w:t>4</w:t>
          </w:r>
        </w:p>
        <w:p w14:paraId="293F2787" w14:textId="71571F79"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13E2B">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13E2B">
            <w:rPr>
              <w:rStyle w:val="PageNumber"/>
              <w:noProof/>
            </w:rPr>
            <w:t>4</w:t>
          </w:r>
          <w:r w:rsidRPr="00AC4488">
            <w:rPr>
              <w:rStyle w:val="PageNumber"/>
            </w:rPr>
            <w:fldChar w:fldCharType="end"/>
          </w:r>
        </w:p>
      </w:tc>
    </w:tr>
  </w:tbl>
  <w:p w14:paraId="79F8F95E"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7718"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39E71B2B" w14:textId="77777777" w:rsidTr="008921B4">
      <w:trPr>
        <w:cantSplit/>
        <w:trHeight w:hRule="exact" w:val="1134"/>
      </w:trPr>
      <w:tc>
        <w:tcPr>
          <w:tcW w:w="7767" w:type="dxa"/>
          <w:vAlign w:val="bottom"/>
        </w:tcPr>
        <w:p w14:paraId="0871C504" w14:textId="77777777" w:rsidR="00D47DC7" w:rsidRDefault="00D47DC7" w:rsidP="00D47DC7">
          <w:pPr>
            <w:spacing w:after="0"/>
            <w:rPr>
              <w:rStyle w:val="PageNumber"/>
              <w:b/>
            </w:rPr>
          </w:pPr>
          <w:r>
            <w:rPr>
              <w:rStyle w:val="PageNumber"/>
            </w:rPr>
            <w:t xml:space="preserve">Department of </w:t>
          </w:r>
          <w:sdt>
            <w:sdtPr>
              <w:rPr>
                <w:b/>
                <w:sz w:val="19"/>
                <w:szCs w:val="20"/>
              </w:rPr>
              <w:alias w:val="Company"/>
              <w:tag w:val=""/>
              <w:id w:val="-1550452142"/>
              <w:dataBinding w:prefixMappings="xmlns:ns0='http://schemas.openxmlformats.org/officeDocument/2006/extended-properties' " w:xpath="/ns0:Properties[1]/ns0:Company[1]" w:storeItemID="{6668398D-A668-4E3E-A5EB-62B293D839F1}"/>
              <w:text w:multiLine="1"/>
            </w:sdtPr>
            <w:sdtEndPr/>
            <w:sdtContent>
              <w:r w:rsidR="00644AF3" w:rsidRPr="00644AF3">
                <w:rPr>
                  <w:b/>
                  <w:sz w:val="19"/>
                  <w:szCs w:val="20"/>
                </w:rPr>
                <w:t>TREASURY AND FINANCE</w:t>
              </w:r>
            </w:sdtContent>
          </w:sdt>
        </w:p>
        <w:p w14:paraId="0F9FDBAF" w14:textId="08B0FC07" w:rsidR="00D47DC7" w:rsidRPr="00CE6614" w:rsidRDefault="004A2067"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0-03T00:00:00Z">
                <w:dateFormat w:val="d MMMM yyyy"/>
                <w:lid w:val="en-AU"/>
                <w:storeMappedDataAs w:val="dateTime"/>
                <w:calendar w:val="gregorian"/>
              </w:date>
            </w:sdtPr>
            <w:sdtEndPr>
              <w:rPr>
                <w:rStyle w:val="PageNumber"/>
              </w:rPr>
            </w:sdtEndPr>
            <w:sdtContent>
              <w:r w:rsidR="003331FC">
                <w:rPr>
                  <w:rStyle w:val="PageNumber"/>
                </w:rPr>
                <w:t>3 October 2022</w:t>
              </w:r>
            </w:sdtContent>
          </w:sdt>
          <w:r w:rsidR="00D47DC7" w:rsidRPr="00CE6614">
            <w:rPr>
              <w:rStyle w:val="PageNumber"/>
            </w:rPr>
            <w:t xml:space="preserve"> | </w:t>
          </w:r>
          <w:r w:rsidR="00BC6743" w:rsidRPr="00BC6743">
            <w:rPr>
              <w:spacing w:val="-3"/>
              <w:sz w:val="19"/>
              <w:szCs w:val="19"/>
            </w:rPr>
            <w:t>NTG-P34-V0</w:t>
          </w:r>
          <w:r w:rsidR="0044752D">
            <w:rPr>
              <w:spacing w:val="-3"/>
              <w:sz w:val="19"/>
              <w:szCs w:val="19"/>
            </w:rPr>
            <w:t>4</w:t>
          </w:r>
        </w:p>
        <w:p w14:paraId="02BB8904" w14:textId="6CE61C84"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13E2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13E2B">
            <w:rPr>
              <w:rStyle w:val="PageNumber"/>
              <w:noProof/>
            </w:rPr>
            <w:t>4</w:t>
          </w:r>
          <w:r w:rsidRPr="00AC4488">
            <w:rPr>
              <w:rStyle w:val="PageNumber"/>
            </w:rPr>
            <w:fldChar w:fldCharType="end"/>
          </w:r>
        </w:p>
      </w:tc>
      <w:tc>
        <w:tcPr>
          <w:tcW w:w="2551" w:type="dxa"/>
          <w:vAlign w:val="bottom"/>
        </w:tcPr>
        <w:p w14:paraId="6F841A05" w14:textId="77777777" w:rsidR="0071700C" w:rsidRPr="001E14EB" w:rsidRDefault="0071700C" w:rsidP="0071700C">
          <w:pPr>
            <w:spacing w:after="0"/>
            <w:jc w:val="right"/>
          </w:pPr>
          <w:r>
            <w:rPr>
              <w:noProof/>
              <w:lang w:eastAsia="en-AU"/>
            </w:rPr>
            <w:drawing>
              <wp:inline distT="0" distB="0" distL="0" distR="0" wp14:anchorId="38840EB0" wp14:editId="3D3456D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20A1A02"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B0F57" w14:textId="77777777" w:rsidR="004A2067" w:rsidRDefault="004A2067" w:rsidP="007332FF">
      <w:r>
        <w:separator/>
      </w:r>
    </w:p>
  </w:footnote>
  <w:footnote w:type="continuationSeparator" w:id="0">
    <w:p w14:paraId="2DFDD11D" w14:textId="77777777" w:rsidR="004A2067" w:rsidRDefault="004A206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81F1D" w14:textId="3BB7A9A5" w:rsidR="00983000" w:rsidRPr="00162207" w:rsidRDefault="004A2067"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DC2C10">
          <w:t>Average weekly earnings and the NTGPASS benefit salary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5177F09E" w14:textId="30246C62" w:rsidR="00E54F9E" w:rsidRPr="00DA3827" w:rsidRDefault="00662126" w:rsidP="00362698">
        <w:pPr>
          <w:pStyle w:val="Title"/>
        </w:pPr>
        <w:r>
          <w:t>Average weekly earnings and the NTGPASS benefit salary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4"/>
    <w:multiLevelType w:val="hybridMultilevel"/>
    <w:tmpl w:val="45F89E88"/>
    <w:lvl w:ilvl="0" w:tplc="34CA892C">
      <w:start w:val="1"/>
      <w:numFmt w:val="bullet"/>
      <w:pStyle w:val="Bulletlistlv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AB6B94"/>
    <w:multiLevelType w:val="hybridMultilevel"/>
    <w:tmpl w:val="BD363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3B1686D"/>
    <w:multiLevelType w:val="hybridMultilevel"/>
    <w:tmpl w:val="E326C50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A63A0"/>
    <w:multiLevelType w:val="hybridMultilevel"/>
    <w:tmpl w:val="7A987A58"/>
    <w:lvl w:ilvl="0" w:tplc="ACB2A246">
      <w:start w:val="1"/>
      <w:numFmt w:val="bullet"/>
      <w:lvlText w:val=""/>
      <w:lvlJc w:val="left"/>
      <w:pPr>
        <w:tabs>
          <w:tab w:val="num" w:pos="644"/>
        </w:tabs>
        <w:ind w:left="644"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2F325CA4"/>
    <w:multiLevelType w:val="hybridMultilevel"/>
    <w:tmpl w:val="9C5ABF0C"/>
    <w:lvl w:ilvl="0" w:tplc="0C09000F">
      <w:start w:val="1"/>
      <w:numFmt w:val="decimal"/>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027048B"/>
    <w:multiLevelType w:val="hybridMultilevel"/>
    <w:tmpl w:val="0CDEEFD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18132D8"/>
    <w:multiLevelType w:val="hybridMultilevel"/>
    <w:tmpl w:val="10CE2384"/>
    <w:lvl w:ilvl="0" w:tplc="618EF9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AF7B1F"/>
    <w:multiLevelType w:val="hybridMultilevel"/>
    <w:tmpl w:val="44B42F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DB2C9D"/>
    <w:multiLevelType w:val="multilevel"/>
    <w:tmpl w:val="B600ACF0"/>
    <w:lvl w:ilvl="0">
      <w:start w:val="1"/>
      <w:numFmt w:val="decimal"/>
      <w:lvlText w:val="%1."/>
      <w:lvlJc w:val="left"/>
      <w:pPr>
        <w:tabs>
          <w:tab w:val="num" w:pos="851"/>
        </w:tabs>
        <w:ind w:left="851" w:hanging="851"/>
      </w:pPr>
      <w:rPr>
        <w:rFonts w:hint="default"/>
      </w:rPr>
    </w:lvl>
    <w:lvl w:ilvl="1">
      <w:start w:val="1"/>
      <w:numFmt w:val="lowerLetter"/>
      <w:lvlRestart w:val="0"/>
      <w:lvlText w:val="%2)"/>
      <w:lvlJc w:val="left"/>
      <w:pPr>
        <w:tabs>
          <w:tab w:val="num" w:pos="1418"/>
        </w:tabs>
        <w:ind w:left="1418" w:hanging="567"/>
      </w:pPr>
      <w:rPr>
        <w:rFonts w:hint="default"/>
      </w:rPr>
    </w:lvl>
    <w:lvl w:ilvl="2">
      <w:start w:val="1"/>
      <w:numFmt w:val="lowerRoman"/>
      <w:lvlText w:val="%3)"/>
      <w:lvlJc w:val="left"/>
      <w:pPr>
        <w:tabs>
          <w:tab w:val="num" w:pos="2138"/>
        </w:tabs>
        <w:ind w:left="1985" w:hanging="567"/>
      </w:pPr>
      <w:rPr>
        <w:rFonts w:hint="default"/>
      </w:rPr>
    </w:lvl>
    <w:lvl w:ilvl="3">
      <w:start w:val="1"/>
      <w:numFmt w:val="decimal"/>
      <w:pStyle w:val="Orders"/>
      <w:lvlText w:val="(%4)"/>
      <w:lvlJc w:val="left"/>
      <w:pPr>
        <w:tabs>
          <w:tab w:val="num" w:pos="1418"/>
        </w:tabs>
        <w:ind w:left="1418" w:hanging="567"/>
      </w:pPr>
      <w:rPr>
        <w:rFonts w:hint="default"/>
      </w:rPr>
    </w:lvl>
    <w:lvl w:ilvl="4">
      <w:start w:val="5"/>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3A64489"/>
    <w:multiLevelType w:val="hybridMultilevel"/>
    <w:tmpl w:val="2C4E1B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423AFD"/>
    <w:multiLevelType w:val="multilevel"/>
    <w:tmpl w:val="DEBA0708"/>
    <w:lvl w:ilvl="0">
      <w:start w:val="1"/>
      <w:numFmt w:val="decimal"/>
      <w:pStyle w:val="ClauseLevel1"/>
      <w:lvlText w:val="%1."/>
      <w:lvlJc w:val="left"/>
      <w:pPr>
        <w:tabs>
          <w:tab w:val="num" w:pos="720"/>
        </w:tabs>
        <w:ind w:left="720" w:hanging="720"/>
      </w:pPr>
      <w:rPr>
        <w:rFonts w:ascii="Arial" w:hAnsi="Arial" w:cs="Arial" w:hint="default"/>
        <w:b w:val="0"/>
        <w:i w:val="0"/>
        <w:sz w:val="20"/>
        <w:szCs w:val="20"/>
      </w:rPr>
    </w:lvl>
    <w:lvl w:ilvl="1">
      <w:start w:val="1"/>
      <w:numFmt w:val="upperRoman"/>
      <w:pStyle w:val="ClauseLevel2"/>
      <w:lvlText w:val="%2."/>
      <w:lvlJc w:val="right"/>
      <w:pPr>
        <w:tabs>
          <w:tab w:val="num" w:pos="1418"/>
        </w:tabs>
        <w:ind w:left="1418" w:hanging="698"/>
      </w:pPr>
      <w:rPr>
        <w:rFonts w:hint="default"/>
      </w:rPr>
    </w:lvl>
    <w:lvl w:ilvl="2">
      <w:start w:val="1"/>
      <w:numFmt w:val="decimal"/>
      <w:pStyle w:val="ClauseLevel3"/>
      <w:lvlText w:val="%1.%2.%3"/>
      <w:lvlJc w:val="left"/>
      <w:pPr>
        <w:tabs>
          <w:tab w:val="num" w:pos="2211"/>
        </w:tabs>
        <w:ind w:left="2211" w:hanging="79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5E053A52"/>
    <w:multiLevelType w:val="hybridMultilevel"/>
    <w:tmpl w:val="4A423C9A"/>
    <w:lvl w:ilvl="0" w:tplc="088EA924">
      <w:start w:val="12"/>
      <w:numFmt w:val="bullet"/>
      <w:lvlText w:val=""/>
      <w:lvlJc w:val="left"/>
      <w:pPr>
        <w:tabs>
          <w:tab w:val="num" w:pos="360"/>
        </w:tabs>
        <w:ind w:left="360" w:hanging="360"/>
      </w:pPr>
      <w:rPr>
        <w:rFonts w:ascii="Symbol" w:hAnsi="Symbol" w:cs="Times New Roman"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0"/>
        </w:tabs>
        <w:ind w:left="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1440"/>
        </w:tabs>
        <w:ind w:left="1440" w:hanging="360"/>
      </w:pPr>
      <w:rPr>
        <w:rFonts w:ascii="Courier New" w:hAnsi="Courier New" w:cs="Courier New" w:hint="default"/>
      </w:rPr>
    </w:lvl>
    <w:lvl w:ilvl="5" w:tplc="0C090005" w:tentative="1">
      <w:start w:val="1"/>
      <w:numFmt w:val="bullet"/>
      <w:lvlText w:val=""/>
      <w:lvlJc w:val="left"/>
      <w:pPr>
        <w:tabs>
          <w:tab w:val="num" w:pos="2160"/>
        </w:tabs>
        <w:ind w:left="2160" w:hanging="360"/>
      </w:pPr>
      <w:rPr>
        <w:rFonts w:ascii="Wingdings" w:hAnsi="Wingdings" w:hint="default"/>
      </w:rPr>
    </w:lvl>
    <w:lvl w:ilvl="6" w:tplc="0C090001" w:tentative="1">
      <w:start w:val="1"/>
      <w:numFmt w:val="bullet"/>
      <w:lvlText w:val=""/>
      <w:lvlJc w:val="left"/>
      <w:pPr>
        <w:tabs>
          <w:tab w:val="num" w:pos="2880"/>
        </w:tabs>
        <w:ind w:left="2880" w:hanging="360"/>
      </w:pPr>
      <w:rPr>
        <w:rFonts w:ascii="Symbol" w:hAnsi="Symbol" w:hint="default"/>
      </w:rPr>
    </w:lvl>
    <w:lvl w:ilvl="7" w:tplc="0C090003" w:tentative="1">
      <w:start w:val="1"/>
      <w:numFmt w:val="bullet"/>
      <w:lvlText w:val="o"/>
      <w:lvlJc w:val="left"/>
      <w:pPr>
        <w:tabs>
          <w:tab w:val="num" w:pos="3600"/>
        </w:tabs>
        <w:ind w:left="3600" w:hanging="360"/>
      </w:pPr>
      <w:rPr>
        <w:rFonts w:ascii="Courier New" w:hAnsi="Courier New" w:cs="Courier New" w:hint="default"/>
      </w:rPr>
    </w:lvl>
    <w:lvl w:ilvl="8" w:tplc="0C090005" w:tentative="1">
      <w:start w:val="1"/>
      <w:numFmt w:val="bullet"/>
      <w:lvlText w:val=""/>
      <w:lvlJc w:val="left"/>
      <w:pPr>
        <w:tabs>
          <w:tab w:val="num" w:pos="4320"/>
        </w:tabs>
        <w:ind w:left="4320" w:hanging="360"/>
      </w:pPr>
      <w:rPr>
        <w:rFonts w:ascii="Wingdings" w:hAnsi="Wingdings" w:hint="default"/>
      </w:rPr>
    </w:lvl>
  </w:abstractNum>
  <w:abstractNum w:abstractNumId="42" w15:restartNumberingAfterBreak="0">
    <w:nsid w:val="67394B34"/>
    <w:multiLevelType w:val="hybridMultilevel"/>
    <w:tmpl w:val="09209572"/>
    <w:lvl w:ilvl="0" w:tplc="14A8B0D8">
      <w:start w:val="1"/>
      <w:numFmt w:val="bullet"/>
      <w:lvlText w:val=""/>
      <w:lvlJc w:val="left"/>
      <w:pPr>
        <w:tabs>
          <w:tab w:val="num" w:pos="464"/>
        </w:tabs>
        <w:ind w:left="464" w:hanging="284"/>
      </w:pPr>
      <w:rPr>
        <w:rFonts w:ascii="Symbol" w:hAnsi="Symbol" w:hint="default"/>
      </w:rPr>
    </w:lvl>
    <w:lvl w:ilvl="1" w:tplc="0C09000F">
      <w:start w:val="1"/>
      <w:numFmt w:val="decimal"/>
      <w:lvlText w:val="%2."/>
      <w:lvlJc w:val="left"/>
      <w:pPr>
        <w:tabs>
          <w:tab w:val="num" w:pos="1620"/>
        </w:tabs>
        <w:ind w:left="1620" w:hanging="360"/>
      </w:pPr>
      <w:rPr>
        <w:rFonts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A0E5B12"/>
    <w:multiLevelType w:val="hybridMultilevel"/>
    <w:tmpl w:val="F25A13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A90AA3"/>
    <w:multiLevelType w:val="hybridMultilevel"/>
    <w:tmpl w:val="88F82A5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6E8413A7"/>
    <w:multiLevelType w:val="hybridMultilevel"/>
    <w:tmpl w:val="2954E03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F252E9"/>
    <w:multiLevelType w:val="hybridMultilevel"/>
    <w:tmpl w:val="0672AFC0"/>
    <w:lvl w:ilvl="0" w:tplc="0C09000F">
      <w:start w:val="1"/>
      <w:numFmt w:val="decimal"/>
      <w:lvlText w:val="%1."/>
      <w:lvlJc w:val="left"/>
      <w:pPr>
        <w:ind w:left="720" w:hanging="360"/>
      </w:pPr>
      <w:rPr>
        <w:rFonts w:hint="default"/>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102B65"/>
    <w:multiLevelType w:val="hybridMultilevel"/>
    <w:tmpl w:val="8A78B714"/>
    <w:lvl w:ilvl="0" w:tplc="1214D04A">
      <w:start w:val="1"/>
      <w:numFmt w:val="decimal"/>
      <w:pStyle w:val="Heading"/>
      <w:lvlText w:val="%1."/>
      <w:lvlJc w:val="left"/>
      <w:pPr>
        <w:tabs>
          <w:tab w:val="num" w:pos="357"/>
        </w:tabs>
        <w:ind w:left="357" w:hanging="35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7C756D5D"/>
    <w:multiLevelType w:val="hybridMultilevel"/>
    <w:tmpl w:val="B25E32C8"/>
    <w:lvl w:ilvl="0" w:tplc="14A8B0D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7FF81063"/>
    <w:multiLevelType w:val="hybridMultilevel"/>
    <w:tmpl w:val="CBB80E54"/>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num w:numId="1">
    <w:abstractNumId w:val="25"/>
  </w:num>
  <w:num w:numId="2">
    <w:abstractNumId w:val="13"/>
  </w:num>
  <w:num w:numId="3">
    <w:abstractNumId w:val="51"/>
  </w:num>
  <w:num w:numId="4">
    <w:abstractNumId w:val="31"/>
  </w:num>
  <w:num w:numId="5">
    <w:abstractNumId w:val="19"/>
  </w:num>
  <w:num w:numId="6">
    <w:abstractNumId w:val="8"/>
  </w:num>
  <w:num w:numId="7">
    <w:abstractNumId w:val="33"/>
  </w:num>
  <w:num w:numId="8">
    <w:abstractNumId w:val="18"/>
  </w:num>
  <w:num w:numId="9">
    <w:abstractNumId w:val="0"/>
  </w:num>
  <w:num w:numId="10">
    <w:abstractNumId w:val="41"/>
  </w:num>
  <w:num w:numId="11">
    <w:abstractNumId w:val="48"/>
  </w:num>
  <w:num w:numId="12">
    <w:abstractNumId w:val="28"/>
  </w:num>
  <w:num w:numId="13">
    <w:abstractNumId w:val="52"/>
  </w:num>
  <w:num w:numId="14">
    <w:abstractNumId w:val="29"/>
  </w:num>
  <w:num w:numId="15">
    <w:abstractNumId w:val="35"/>
  </w:num>
  <w:num w:numId="16">
    <w:abstractNumId w:val="45"/>
  </w:num>
  <w:num w:numId="17">
    <w:abstractNumId w:val="22"/>
  </w:num>
  <w:num w:numId="18">
    <w:abstractNumId w:val="14"/>
  </w:num>
  <w:num w:numId="19">
    <w:abstractNumId w:val="46"/>
  </w:num>
  <w:num w:numId="20">
    <w:abstractNumId w:val="47"/>
  </w:num>
  <w:num w:numId="21">
    <w:abstractNumId w:val="42"/>
  </w:num>
  <w:num w:numId="22">
    <w:abstractNumId w:val="54"/>
  </w:num>
  <w:num w:numId="23">
    <w:abstractNumId w:val="15"/>
  </w:num>
  <w:num w:numId="24">
    <w:abstractNumId w:val="44"/>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5"/>
  </w:num>
  <w:num w:numId="28">
    <w:abstractNumId w:val="34"/>
  </w:num>
  <w:num w:numId="2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D7"/>
    <w:rsid w:val="00001DDF"/>
    <w:rsid w:val="0000322D"/>
    <w:rsid w:val="00007670"/>
    <w:rsid w:val="00010665"/>
    <w:rsid w:val="0002393A"/>
    <w:rsid w:val="00027DB8"/>
    <w:rsid w:val="00031A96"/>
    <w:rsid w:val="000363A2"/>
    <w:rsid w:val="00040BF3"/>
    <w:rsid w:val="0004211C"/>
    <w:rsid w:val="00046C59"/>
    <w:rsid w:val="00051362"/>
    <w:rsid w:val="00051F45"/>
    <w:rsid w:val="00052953"/>
    <w:rsid w:val="0005341A"/>
    <w:rsid w:val="00056DEF"/>
    <w:rsid w:val="00056EDC"/>
    <w:rsid w:val="0006635A"/>
    <w:rsid w:val="00066D93"/>
    <w:rsid w:val="00067601"/>
    <w:rsid w:val="000720BE"/>
    <w:rsid w:val="0007259C"/>
    <w:rsid w:val="000801B3"/>
    <w:rsid w:val="00080202"/>
    <w:rsid w:val="00080DCD"/>
    <w:rsid w:val="00080E22"/>
    <w:rsid w:val="00082573"/>
    <w:rsid w:val="000840A3"/>
    <w:rsid w:val="00085062"/>
    <w:rsid w:val="00086A5F"/>
    <w:rsid w:val="00086D35"/>
    <w:rsid w:val="000911EF"/>
    <w:rsid w:val="000962C5"/>
    <w:rsid w:val="00097865"/>
    <w:rsid w:val="000A4317"/>
    <w:rsid w:val="000A559C"/>
    <w:rsid w:val="000B2CA1"/>
    <w:rsid w:val="000C20EE"/>
    <w:rsid w:val="000D1F29"/>
    <w:rsid w:val="000D633D"/>
    <w:rsid w:val="000E0617"/>
    <w:rsid w:val="000E342B"/>
    <w:rsid w:val="000E3ED2"/>
    <w:rsid w:val="000E5DD2"/>
    <w:rsid w:val="000F2958"/>
    <w:rsid w:val="000F3850"/>
    <w:rsid w:val="000F604F"/>
    <w:rsid w:val="00104E7F"/>
    <w:rsid w:val="001137EC"/>
    <w:rsid w:val="001152F5"/>
    <w:rsid w:val="00117743"/>
    <w:rsid w:val="00117F5B"/>
    <w:rsid w:val="001236E3"/>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63A5"/>
    <w:rsid w:val="001D01C4"/>
    <w:rsid w:val="001D312F"/>
    <w:rsid w:val="001D4F99"/>
    <w:rsid w:val="001D52B0"/>
    <w:rsid w:val="001D5A18"/>
    <w:rsid w:val="001D7CA4"/>
    <w:rsid w:val="001E057F"/>
    <w:rsid w:val="001E14EB"/>
    <w:rsid w:val="001F59E6"/>
    <w:rsid w:val="00203F1C"/>
    <w:rsid w:val="00206936"/>
    <w:rsid w:val="00206C6F"/>
    <w:rsid w:val="00206FBD"/>
    <w:rsid w:val="00207746"/>
    <w:rsid w:val="0022708A"/>
    <w:rsid w:val="00230031"/>
    <w:rsid w:val="00235C01"/>
    <w:rsid w:val="002436DB"/>
    <w:rsid w:val="00247343"/>
    <w:rsid w:val="00265C56"/>
    <w:rsid w:val="00270F0F"/>
    <w:rsid w:val="002716CD"/>
    <w:rsid w:val="00272E37"/>
    <w:rsid w:val="00274D4B"/>
    <w:rsid w:val="002806F5"/>
    <w:rsid w:val="00281577"/>
    <w:rsid w:val="00287D73"/>
    <w:rsid w:val="002926BC"/>
    <w:rsid w:val="00293A72"/>
    <w:rsid w:val="002A0160"/>
    <w:rsid w:val="002A30C3"/>
    <w:rsid w:val="002A6F6A"/>
    <w:rsid w:val="002A7712"/>
    <w:rsid w:val="002B0894"/>
    <w:rsid w:val="002B2ED7"/>
    <w:rsid w:val="002B38F7"/>
    <w:rsid w:val="002B4F50"/>
    <w:rsid w:val="002B5591"/>
    <w:rsid w:val="002B6AA4"/>
    <w:rsid w:val="002C1FE9"/>
    <w:rsid w:val="002C21E4"/>
    <w:rsid w:val="002C7055"/>
    <w:rsid w:val="002D3A57"/>
    <w:rsid w:val="002D5EC1"/>
    <w:rsid w:val="002D6524"/>
    <w:rsid w:val="002D7D05"/>
    <w:rsid w:val="002E20C8"/>
    <w:rsid w:val="002E4290"/>
    <w:rsid w:val="002E4F83"/>
    <w:rsid w:val="002E66A6"/>
    <w:rsid w:val="002F0DB1"/>
    <w:rsid w:val="002F2885"/>
    <w:rsid w:val="002F45A1"/>
    <w:rsid w:val="0030203D"/>
    <w:rsid w:val="003037F9"/>
    <w:rsid w:val="0030583E"/>
    <w:rsid w:val="00307FE1"/>
    <w:rsid w:val="003164BA"/>
    <w:rsid w:val="003231C9"/>
    <w:rsid w:val="003258E6"/>
    <w:rsid w:val="003331FC"/>
    <w:rsid w:val="0034120C"/>
    <w:rsid w:val="00342283"/>
    <w:rsid w:val="00343A87"/>
    <w:rsid w:val="00344A36"/>
    <w:rsid w:val="003456F4"/>
    <w:rsid w:val="00347FB6"/>
    <w:rsid w:val="003504FD"/>
    <w:rsid w:val="00350881"/>
    <w:rsid w:val="0035095C"/>
    <w:rsid w:val="00357D55"/>
    <w:rsid w:val="00362698"/>
    <w:rsid w:val="00363513"/>
    <w:rsid w:val="003657E5"/>
    <w:rsid w:val="0036589C"/>
    <w:rsid w:val="00371312"/>
    <w:rsid w:val="00371DC7"/>
    <w:rsid w:val="00377B21"/>
    <w:rsid w:val="00381C76"/>
    <w:rsid w:val="00382A7F"/>
    <w:rsid w:val="003858FF"/>
    <w:rsid w:val="00390862"/>
    <w:rsid w:val="00390BCC"/>
    <w:rsid w:val="00390CE3"/>
    <w:rsid w:val="0039397D"/>
    <w:rsid w:val="00394876"/>
    <w:rsid w:val="00394AAF"/>
    <w:rsid w:val="00394CE5"/>
    <w:rsid w:val="003951A7"/>
    <w:rsid w:val="003A6341"/>
    <w:rsid w:val="003B67FD"/>
    <w:rsid w:val="003B6A61"/>
    <w:rsid w:val="003C2198"/>
    <w:rsid w:val="003C4941"/>
    <w:rsid w:val="003C68A5"/>
    <w:rsid w:val="003D0F63"/>
    <w:rsid w:val="003D42C0"/>
    <w:rsid w:val="003D4A8F"/>
    <w:rsid w:val="003D5B29"/>
    <w:rsid w:val="003D7818"/>
    <w:rsid w:val="003D7D0F"/>
    <w:rsid w:val="003E2445"/>
    <w:rsid w:val="003E2F16"/>
    <w:rsid w:val="003E3BB2"/>
    <w:rsid w:val="003F5B58"/>
    <w:rsid w:val="0040222A"/>
    <w:rsid w:val="004047BC"/>
    <w:rsid w:val="004100F7"/>
    <w:rsid w:val="00414CB3"/>
    <w:rsid w:val="0041563D"/>
    <w:rsid w:val="00426E25"/>
    <w:rsid w:val="00427D9C"/>
    <w:rsid w:val="00427E7E"/>
    <w:rsid w:val="0043465D"/>
    <w:rsid w:val="00435082"/>
    <w:rsid w:val="00443B6E"/>
    <w:rsid w:val="0044752D"/>
    <w:rsid w:val="00450636"/>
    <w:rsid w:val="00453568"/>
    <w:rsid w:val="0045420A"/>
    <w:rsid w:val="00454FC2"/>
    <w:rsid w:val="004554D4"/>
    <w:rsid w:val="00461744"/>
    <w:rsid w:val="00466185"/>
    <w:rsid w:val="00466303"/>
    <w:rsid w:val="004668A7"/>
    <w:rsid w:val="00466D96"/>
    <w:rsid w:val="00467747"/>
    <w:rsid w:val="00470017"/>
    <w:rsid w:val="0047105A"/>
    <w:rsid w:val="00471111"/>
    <w:rsid w:val="00473C98"/>
    <w:rsid w:val="00474965"/>
    <w:rsid w:val="00482DF8"/>
    <w:rsid w:val="004864DE"/>
    <w:rsid w:val="00494BE5"/>
    <w:rsid w:val="004A0EBA"/>
    <w:rsid w:val="004A2067"/>
    <w:rsid w:val="004A2538"/>
    <w:rsid w:val="004A331E"/>
    <w:rsid w:val="004B0C15"/>
    <w:rsid w:val="004B35EA"/>
    <w:rsid w:val="004B65DF"/>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4689"/>
    <w:rsid w:val="00555F66"/>
    <w:rsid w:val="00556113"/>
    <w:rsid w:val="00563B8D"/>
    <w:rsid w:val="00564C12"/>
    <w:rsid w:val="005654B8"/>
    <w:rsid w:val="00565A31"/>
    <w:rsid w:val="00570D94"/>
    <w:rsid w:val="005762CC"/>
    <w:rsid w:val="00582D3D"/>
    <w:rsid w:val="00590040"/>
    <w:rsid w:val="005929E8"/>
    <w:rsid w:val="00595386"/>
    <w:rsid w:val="00597234"/>
    <w:rsid w:val="005A4AC0"/>
    <w:rsid w:val="005A539B"/>
    <w:rsid w:val="005A5FDF"/>
    <w:rsid w:val="005B0FB7"/>
    <w:rsid w:val="005B122A"/>
    <w:rsid w:val="005B1FCB"/>
    <w:rsid w:val="005B5AC2"/>
    <w:rsid w:val="005C2833"/>
    <w:rsid w:val="005C7609"/>
    <w:rsid w:val="005E144D"/>
    <w:rsid w:val="005E1500"/>
    <w:rsid w:val="005E3A43"/>
    <w:rsid w:val="005F0B17"/>
    <w:rsid w:val="005F6602"/>
    <w:rsid w:val="005F77C7"/>
    <w:rsid w:val="00613E2B"/>
    <w:rsid w:val="00620675"/>
    <w:rsid w:val="00622910"/>
    <w:rsid w:val="006254B6"/>
    <w:rsid w:val="0062683D"/>
    <w:rsid w:val="00627FC8"/>
    <w:rsid w:val="006314DB"/>
    <w:rsid w:val="006433C3"/>
    <w:rsid w:val="00644AF3"/>
    <w:rsid w:val="00650F5B"/>
    <w:rsid w:val="00662126"/>
    <w:rsid w:val="00665476"/>
    <w:rsid w:val="00665A3A"/>
    <w:rsid w:val="006670D7"/>
    <w:rsid w:val="006719EA"/>
    <w:rsid w:val="00671F13"/>
    <w:rsid w:val="00672E25"/>
    <w:rsid w:val="0067400A"/>
    <w:rsid w:val="006847AD"/>
    <w:rsid w:val="0069114B"/>
    <w:rsid w:val="006944C1"/>
    <w:rsid w:val="006A756A"/>
    <w:rsid w:val="006C0EC2"/>
    <w:rsid w:val="006C4365"/>
    <w:rsid w:val="006C4E1B"/>
    <w:rsid w:val="006D07B4"/>
    <w:rsid w:val="006D1770"/>
    <w:rsid w:val="006D66F7"/>
    <w:rsid w:val="006E2FDF"/>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55660"/>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B7DF8"/>
    <w:rsid w:val="007C0966"/>
    <w:rsid w:val="007C19E7"/>
    <w:rsid w:val="007C5CFD"/>
    <w:rsid w:val="007C6D9F"/>
    <w:rsid w:val="007D19DE"/>
    <w:rsid w:val="007D1C1D"/>
    <w:rsid w:val="007D4893"/>
    <w:rsid w:val="007E70CF"/>
    <w:rsid w:val="007E74A4"/>
    <w:rsid w:val="007F1B6F"/>
    <w:rsid w:val="007F263F"/>
    <w:rsid w:val="007F5617"/>
    <w:rsid w:val="008015A8"/>
    <w:rsid w:val="0080766E"/>
    <w:rsid w:val="00811169"/>
    <w:rsid w:val="00815297"/>
    <w:rsid w:val="008170DB"/>
    <w:rsid w:val="008176C2"/>
    <w:rsid w:val="00817BA1"/>
    <w:rsid w:val="00823022"/>
    <w:rsid w:val="0082634E"/>
    <w:rsid w:val="008313C4"/>
    <w:rsid w:val="00835434"/>
    <w:rsid w:val="008358C0"/>
    <w:rsid w:val="00842838"/>
    <w:rsid w:val="00854EC1"/>
    <w:rsid w:val="0085797F"/>
    <w:rsid w:val="00861DC3"/>
    <w:rsid w:val="00867019"/>
    <w:rsid w:val="00871011"/>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08ED"/>
    <w:rsid w:val="008B529E"/>
    <w:rsid w:val="008C17FB"/>
    <w:rsid w:val="008C70BB"/>
    <w:rsid w:val="008D1B00"/>
    <w:rsid w:val="008D57B8"/>
    <w:rsid w:val="008E03FC"/>
    <w:rsid w:val="008E2AE8"/>
    <w:rsid w:val="008E3029"/>
    <w:rsid w:val="008E30A5"/>
    <w:rsid w:val="008E510B"/>
    <w:rsid w:val="008F7E1E"/>
    <w:rsid w:val="00900ADF"/>
    <w:rsid w:val="00902B13"/>
    <w:rsid w:val="00911941"/>
    <w:rsid w:val="0092024D"/>
    <w:rsid w:val="00925146"/>
    <w:rsid w:val="00925F0F"/>
    <w:rsid w:val="00932F6B"/>
    <w:rsid w:val="00940FEA"/>
    <w:rsid w:val="009444F0"/>
    <w:rsid w:val="009468BC"/>
    <w:rsid w:val="00947FAE"/>
    <w:rsid w:val="009616DF"/>
    <w:rsid w:val="0096542F"/>
    <w:rsid w:val="009672A6"/>
    <w:rsid w:val="00967FA7"/>
    <w:rsid w:val="00971645"/>
    <w:rsid w:val="00977919"/>
    <w:rsid w:val="00983000"/>
    <w:rsid w:val="009870FA"/>
    <w:rsid w:val="009921C3"/>
    <w:rsid w:val="0099551D"/>
    <w:rsid w:val="009A5897"/>
    <w:rsid w:val="009A5F24"/>
    <w:rsid w:val="009A7FF6"/>
    <w:rsid w:val="009B0B3E"/>
    <w:rsid w:val="009B1913"/>
    <w:rsid w:val="009B6657"/>
    <w:rsid w:val="009B6966"/>
    <w:rsid w:val="009C2990"/>
    <w:rsid w:val="009D0EB5"/>
    <w:rsid w:val="009D14F9"/>
    <w:rsid w:val="009D2B74"/>
    <w:rsid w:val="009D63FF"/>
    <w:rsid w:val="009E175D"/>
    <w:rsid w:val="009E3CC2"/>
    <w:rsid w:val="009E6954"/>
    <w:rsid w:val="009E6E5D"/>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3322"/>
    <w:rsid w:val="00A45005"/>
    <w:rsid w:val="00A567EE"/>
    <w:rsid w:val="00A70DD8"/>
    <w:rsid w:val="00A71B67"/>
    <w:rsid w:val="00A739BF"/>
    <w:rsid w:val="00A76790"/>
    <w:rsid w:val="00A85D0C"/>
    <w:rsid w:val="00A925EC"/>
    <w:rsid w:val="00A929AA"/>
    <w:rsid w:val="00A92B6B"/>
    <w:rsid w:val="00AA320C"/>
    <w:rsid w:val="00AA541E"/>
    <w:rsid w:val="00AC334E"/>
    <w:rsid w:val="00AC41F9"/>
    <w:rsid w:val="00AD0DA4"/>
    <w:rsid w:val="00AD4169"/>
    <w:rsid w:val="00AE25C6"/>
    <w:rsid w:val="00AE306C"/>
    <w:rsid w:val="00AE719D"/>
    <w:rsid w:val="00AF28C1"/>
    <w:rsid w:val="00B02EF1"/>
    <w:rsid w:val="00B07C97"/>
    <w:rsid w:val="00B11C67"/>
    <w:rsid w:val="00B11ED8"/>
    <w:rsid w:val="00B14257"/>
    <w:rsid w:val="00B15754"/>
    <w:rsid w:val="00B16002"/>
    <w:rsid w:val="00B2046E"/>
    <w:rsid w:val="00B20E8B"/>
    <w:rsid w:val="00B257E1"/>
    <w:rsid w:val="00B2599A"/>
    <w:rsid w:val="00B27AC4"/>
    <w:rsid w:val="00B343CC"/>
    <w:rsid w:val="00B5084A"/>
    <w:rsid w:val="00B515AC"/>
    <w:rsid w:val="00B606A1"/>
    <w:rsid w:val="00B614F7"/>
    <w:rsid w:val="00B61B26"/>
    <w:rsid w:val="00B65E6B"/>
    <w:rsid w:val="00B675B2"/>
    <w:rsid w:val="00B72A57"/>
    <w:rsid w:val="00B73DEE"/>
    <w:rsid w:val="00B81261"/>
    <w:rsid w:val="00B8223E"/>
    <w:rsid w:val="00B832AE"/>
    <w:rsid w:val="00B86678"/>
    <w:rsid w:val="00B92F9B"/>
    <w:rsid w:val="00B941B3"/>
    <w:rsid w:val="00B96513"/>
    <w:rsid w:val="00BA1496"/>
    <w:rsid w:val="00BA1D47"/>
    <w:rsid w:val="00BA66F0"/>
    <w:rsid w:val="00BB2239"/>
    <w:rsid w:val="00BB2AE7"/>
    <w:rsid w:val="00BB6464"/>
    <w:rsid w:val="00BC1BB8"/>
    <w:rsid w:val="00BC470A"/>
    <w:rsid w:val="00BC6743"/>
    <w:rsid w:val="00BD2E76"/>
    <w:rsid w:val="00BD7FE1"/>
    <w:rsid w:val="00BE37CA"/>
    <w:rsid w:val="00BE6144"/>
    <w:rsid w:val="00BE635A"/>
    <w:rsid w:val="00BF17E9"/>
    <w:rsid w:val="00BF2ABB"/>
    <w:rsid w:val="00BF5099"/>
    <w:rsid w:val="00C00272"/>
    <w:rsid w:val="00C10B5E"/>
    <w:rsid w:val="00C10F10"/>
    <w:rsid w:val="00C15D4D"/>
    <w:rsid w:val="00C175DC"/>
    <w:rsid w:val="00C2747F"/>
    <w:rsid w:val="00C30171"/>
    <w:rsid w:val="00C309D8"/>
    <w:rsid w:val="00C43519"/>
    <w:rsid w:val="00C45263"/>
    <w:rsid w:val="00C51537"/>
    <w:rsid w:val="00C52BC3"/>
    <w:rsid w:val="00C5631E"/>
    <w:rsid w:val="00C61AFA"/>
    <w:rsid w:val="00C61D64"/>
    <w:rsid w:val="00C62099"/>
    <w:rsid w:val="00C62A34"/>
    <w:rsid w:val="00C64EA3"/>
    <w:rsid w:val="00C72867"/>
    <w:rsid w:val="00C756A0"/>
    <w:rsid w:val="00C75E81"/>
    <w:rsid w:val="00C83BB6"/>
    <w:rsid w:val="00C86609"/>
    <w:rsid w:val="00C92B4C"/>
    <w:rsid w:val="00C954F6"/>
    <w:rsid w:val="00CA36A0"/>
    <w:rsid w:val="00CA6BC5"/>
    <w:rsid w:val="00CC571B"/>
    <w:rsid w:val="00CC61CD"/>
    <w:rsid w:val="00CC6C02"/>
    <w:rsid w:val="00CC737B"/>
    <w:rsid w:val="00CD5011"/>
    <w:rsid w:val="00CE3511"/>
    <w:rsid w:val="00CE640F"/>
    <w:rsid w:val="00CE76BC"/>
    <w:rsid w:val="00CF540E"/>
    <w:rsid w:val="00D02F07"/>
    <w:rsid w:val="00D12B1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827"/>
    <w:rsid w:val="00DA5285"/>
    <w:rsid w:val="00DA7F72"/>
    <w:rsid w:val="00DB191D"/>
    <w:rsid w:val="00DB4F91"/>
    <w:rsid w:val="00DB6D0A"/>
    <w:rsid w:val="00DC06BE"/>
    <w:rsid w:val="00DC1F0F"/>
    <w:rsid w:val="00DC2C10"/>
    <w:rsid w:val="00DC3117"/>
    <w:rsid w:val="00DC4E2A"/>
    <w:rsid w:val="00DC5DD9"/>
    <w:rsid w:val="00DC650A"/>
    <w:rsid w:val="00DC6D2D"/>
    <w:rsid w:val="00DD4E59"/>
    <w:rsid w:val="00DD7234"/>
    <w:rsid w:val="00DE33B5"/>
    <w:rsid w:val="00DE5E18"/>
    <w:rsid w:val="00DF0487"/>
    <w:rsid w:val="00DF5EA4"/>
    <w:rsid w:val="00E02534"/>
    <w:rsid w:val="00E02681"/>
    <w:rsid w:val="00E02792"/>
    <w:rsid w:val="00E034D8"/>
    <w:rsid w:val="00E03B60"/>
    <w:rsid w:val="00E04CC0"/>
    <w:rsid w:val="00E15816"/>
    <w:rsid w:val="00E160D5"/>
    <w:rsid w:val="00E239FF"/>
    <w:rsid w:val="00E27D7B"/>
    <w:rsid w:val="00E27EFC"/>
    <w:rsid w:val="00E30556"/>
    <w:rsid w:val="00E30981"/>
    <w:rsid w:val="00E33136"/>
    <w:rsid w:val="00E34D7C"/>
    <w:rsid w:val="00E3723D"/>
    <w:rsid w:val="00E44C89"/>
    <w:rsid w:val="00E457A6"/>
    <w:rsid w:val="00E510B1"/>
    <w:rsid w:val="00E51D1B"/>
    <w:rsid w:val="00E54F9E"/>
    <w:rsid w:val="00E61BA2"/>
    <w:rsid w:val="00E63864"/>
    <w:rsid w:val="00E6403F"/>
    <w:rsid w:val="00E67565"/>
    <w:rsid w:val="00E74942"/>
    <w:rsid w:val="00E75451"/>
    <w:rsid w:val="00E75EA9"/>
    <w:rsid w:val="00E76AD6"/>
    <w:rsid w:val="00E770C4"/>
    <w:rsid w:val="00E84C5A"/>
    <w:rsid w:val="00E861DB"/>
    <w:rsid w:val="00E908F1"/>
    <w:rsid w:val="00E93406"/>
    <w:rsid w:val="00E93C38"/>
    <w:rsid w:val="00E956C5"/>
    <w:rsid w:val="00E95C39"/>
    <w:rsid w:val="00EA2C39"/>
    <w:rsid w:val="00EB0A3C"/>
    <w:rsid w:val="00EB0A96"/>
    <w:rsid w:val="00EB77F9"/>
    <w:rsid w:val="00EB7A29"/>
    <w:rsid w:val="00EC5769"/>
    <w:rsid w:val="00EC7D00"/>
    <w:rsid w:val="00ED0304"/>
    <w:rsid w:val="00ED4FF7"/>
    <w:rsid w:val="00ED5B7B"/>
    <w:rsid w:val="00EE38FA"/>
    <w:rsid w:val="00EE3E2C"/>
    <w:rsid w:val="00EE5D23"/>
    <w:rsid w:val="00EE750D"/>
    <w:rsid w:val="00EF3CA4"/>
    <w:rsid w:val="00EF49A8"/>
    <w:rsid w:val="00EF7859"/>
    <w:rsid w:val="00F00C1F"/>
    <w:rsid w:val="00F014DA"/>
    <w:rsid w:val="00F02591"/>
    <w:rsid w:val="00F120F7"/>
    <w:rsid w:val="00F127B0"/>
    <w:rsid w:val="00F22176"/>
    <w:rsid w:val="00F30AE1"/>
    <w:rsid w:val="00F5696E"/>
    <w:rsid w:val="00F60EFF"/>
    <w:rsid w:val="00F66875"/>
    <w:rsid w:val="00F67D2D"/>
    <w:rsid w:val="00F858F2"/>
    <w:rsid w:val="00F860CC"/>
    <w:rsid w:val="00F94398"/>
    <w:rsid w:val="00FB2B56"/>
    <w:rsid w:val="00FB55D5"/>
    <w:rsid w:val="00FC12BF"/>
    <w:rsid w:val="00FC2C60"/>
    <w:rsid w:val="00FC5425"/>
    <w:rsid w:val="00FC656F"/>
    <w:rsid w:val="00FD3E6F"/>
    <w:rsid w:val="00FD51B9"/>
    <w:rsid w:val="00FD5849"/>
    <w:rsid w:val="00FE03E4"/>
    <w:rsid w:val="00FE2A39"/>
    <w:rsid w:val="00FE78CC"/>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0FCD7"/>
  <w15:docId w15:val="{83C0A1D0-5C70-4D25-9140-D554837E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0A5"/>
    <w:pPr>
      <w:spacing w:line="276" w:lineRule="auto"/>
    </w:pPr>
    <w:rPr>
      <w:rFonts w:asciiTheme="minorHAnsi" w:eastAsiaTheme="minorHAnsi" w:hAnsiTheme="minorHAnsi" w:cstheme="minorBidi"/>
    </w:rPr>
  </w:style>
  <w:style w:type="paragraph" w:styleId="Heading1">
    <w:name w:val="heading 1"/>
    <w:basedOn w:val="Normal"/>
    <w:next w:val="Normal"/>
    <w:link w:val="Heading1Char"/>
    <w:uiPriority w:val="2"/>
    <w:qFormat/>
    <w:rsid w:val="00FE78CC"/>
    <w:pPr>
      <w:keepNext/>
      <w:keepLines/>
      <w:spacing w:before="200" w:after="12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FE78CC"/>
    <w:pPr>
      <w:keepNext/>
      <w:keepLines/>
      <w:spacing w:before="200" w:after="12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FE78CC"/>
    <w:rPr>
      <w:rFonts w:ascii="Lato Semibold" w:eastAsia="Times New Roman" w:hAnsi="Lato Semibold" w:cstheme="minorBidi"/>
      <w:color w:val="1F1F5F"/>
      <w:kern w:val="32"/>
      <w:sz w:val="36"/>
      <w:szCs w:val="32"/>
    </w:rPr>
  </w:style>
  <w:style w:type="character" w:customStyle="1" w:styleId="Heading2Char">
    <w:name w:val="Heading 2 Char"/>
    <w:basedOn w:val="DefaultParagraphFont"/>
    <w:link w:val="Heading2"/>
    <w:uiPriority w:val="2"/>
    <w:rsid w:val="00FE78CC"/>
    <w:rPr>
      <w:rFonts w:ascii="Lato Semibold" w:eastAsia="Times New Roman" w:hAnsi="Lato Semibold" w:cstheme="minorBidi"/>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Theme="minorHAnsi" w:eastAsiaTheme="minorHAnsi" w:hAnsiTheme="minorHAnsi" w:cstheme="minorBidi"/>
      <w:b/>
      <w:color w:val="1F1F5F" w:themeColor="text1"/>
    </w:rPr>
  </w:style>
  <w:style w:type="character" w:customStyle="1" w:styleId="Heading6Char">
    <w:name w:val="Heading 6 Char"/>
    <w:basedOn w:val="DefaultParagraphFont"/>
    <w:link w:val="Heading6"/>
    <w:uiPriority w:val="2"/>
    <w:semiHidden/>
    <w:rsid w:val="00EE750D"/>
    <w:rPr>
      <w:rFonts w:asciiTheme="minorHAnsi" w:eastAsiaTheme="minorHAnsi" w:hAnsiTheme="minorHAnsi" w:cstheme="minorBidi"/>
      <w:b/>
      <w:color w:val="606060"/>
    </w:rPr>
  </w:style>
  <w:style w:type="character" w:customStyle="1" w:styleId="Heading7Char">
    <w:name w:val="Heading 7 Char"/>
    <w:basedOn w:val="DefaultParagraphFont"/>
    <w:link w:val="Heading7"/>
    <w:uiPriority w:val="2"/>
    <w:semiHidden/>
    <w:rsid w:val="00EE750D"/>
    <w:rPr>
      <w:rFonts w:asciiTheme="minorHAnsi" w:eastAsiaTheme="minorHAnsi" w:hAnsiTheme="minorHAnsi" w:cstheme="minorBidi"/>
      <w:b/>
      <w:color w:val="1F1F5F" w:themeColor="text1"/>
    </w:rPr>
  </w:style>
  <w:style w:type="character" w:customStyle="1" w:styleId="Heading8Char">
    <w:name w:val="Heading 8 Char"/>
    <w:basedOn w:val="DefaultParagraphFont"/>
    <w:link w:val="Heading8"/>
    <w:uiPriority w:val="2"/>
    <w:semiHidden/>
    <w:rsid w:val="00EE750D"/>
    <w:rPr>
      <w:rFonts w:asciiTheme="minorHAnsi" w:eastAsiaTheme="minorHAnsi" w:hAnsiTheme="minorHAnsi" w:cstheme="minorBidi"/>
      <w:b/>
      <w:color w:val="606060"/>
    </w:rPr>
  </w:style>
  <w:style w:type="character" w:customStyle="1" w:styleId="Heading9Char">
    <w:name w:val="Heading 9 Char"/>
    <w:basedOn w:val="DefaultParagraphFont"/>
    <w:link w:val="Heading9"/>
    <w:uiPriority w:val="2"/>
    <w:semiHidden/>
    <w:rsid w:val="00EE750D"/>
    <w:rPr>
      <w:rFonts w:asciiTheme="minorHAnsi" w:eastAsiaTheme="minorHAnsi" w:hAnsiTheme="minorHAnsi" w:cstheme="minorBidi"/>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FC656F"/>
    <w:rPr>
      <w:color w:val="0563C1" w:themeColor="hyperlink"/>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List2">
    <w:name w:val="List 2"/>
    <w:basedOn w:val="Normal"/>
    <w:uiPriority w:val="99"/>
    <w:unhideWhenUsed/>
    <w:rsid w:val="00C5631E"/>
    <w:pPr>
      <w:ind w:left="993" w:hanging="426"/>
      <w:contextualSpacing/>
    </w:pPr>
  </w:style>
  <w:style w:type="paragraph" w:customStyle="1" w:styleId="Bulletlistlv1">
    <w:name w:val="Bullet list lv 1"/>
    <w:basedOn w:val="Normal"/>
    <w:qFormat/>
    <w:rsid w:val="00C5631E"/>
    <w:pPr>
      <w:numPr>
        <w:numId w:val="9"/>
      </w:numPr>
    </w:pPr>
  </w:style>
  <w:style w:type="character" w:customStyle="1" w:styleId="ParagraphChar">
    <w:name w:val="Paragraph Char"/>
    <w:basedOn w:val="DefaultParagraphFont"/>
    <w:link w:val="Paragraph"/>
    <w:rsid w:val="00554689"/>
    <w:rPr>
      <w:rFonts w:ascii="Helvetica" w:hAnsi="Helvetica"/>
      <w:sz w:val="24"/>
      <w:szCs w:val="24"/>
    </w:rPr>
  </w:style>
  <w:style w:type="paragraph" w:customStyle="1" w:styleId="Paragraph">
    <w:name w:val="Paragraph"/>
    <w:basedOn w:val="Normal"/>
    <w:link w:val="ParagraphChar"/>
    <w:rsid w:val="00554689"/>
    <w:pPr>
      <w:widowControl w:val="0"/>
      <w:spacing w:after="240" w:line="240" w:lineRule="auto"/>
      <w:ind w:left="1667" w:hanging="567"/>
      <w:jc w:val="both"/>
    </w:pPr>
    <w:rPr>
      <w:rFonts w:ascii="Helvetica" w:eastAsia="Calibri" w:hAnsi="Helvetica" w:cs="Times New Roman"/>
      <w:sz w:val="24"/>
      <w:szCs w:val="24"/>
    </w:rPr>
  </w:style>
  <w:style w:type="paragraph" w:customStyle="1" w:styleId="Footnote">
    <w:name w:val="Footnote"/>
    <w:basedOn w:val="List2"/>
    <w:qFormat/>
    <w:rsid w:val="003231C9"/>
    <w:rPr>
      <w:sz w:val="16"/>
    </w:rPr>
  </w:style>
  <w:style w:type="character" w:styleId="CommentReference">
    <w:name w:val="annotation reference"/>
    <w:basedOn w:val="DefaultParagraphFont"/>
    <w:uiPriority w:val="99"/>
    <w:semiHidden/>
    <w:unhideWhenUsed/>
    <w:rsid w:val="00871011"/>
    <w:rPr>
      <w:sz w:val="16"/>
      <w:szCs w:val="16"/>
    </w:rPr>
  </w:style>
  <w:style w:type="paragraph" w:styleId="CommentText">
    <w:name w:val="annotation text"/>
    <w:basedOn w:val="Normal"/>
    <w:link w:val="CommentTextChar"/>
    <w:uiPriority w:val="99"/>
    <w:semiHidden/>
    <w:unhideWhenUsed/>
    <w:rsid w:val="00871011"/>
    <w:pPr>
      <w:spacing w:line="240" w:lineRule="auto"/>
    </w:pPr>
    <w:rPr>
      <w:sz w:val="20"/>
      <w:szCs w:val="20"/>
    </w:rPr>
  </w:style>
  <w:style w:type="character" w:customStyle="1" w:styleId="CommentTextChar">
    <w:name w:val="Comment Text Char"/>
    <w:basedOn w:val="DefaultParagraphFont"/>
    <w:link w:val="CommentText"/>
    <w:uiPriority w:val="99"/>
    <w:semiHidden/>
    <w:rsid w:val="00871011"/>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71011"/>
    <w:rPr>
      <w:b/>
      <w:bCs/>
    </w:rPr>
  </w:style>
  <w:style w:type="character" w:customStyle="1" w:styleId="CommentSubjectChar">
    <w:name w:val="Comment Subject Char"/>
    <w:basedOn w:val="CommentTextChar"/>
    <w:link w:val="CommentSubject"/>
    <w:uiPriority w:val="99"/>
    <w:semiHidden/>
    <w:rsid w:val="00871011"/>
    <w:rPr>
      <w:rFonts w:asciiTheme="minorHAnsi" w:eastAsiaTheme="minorHAnsi" w:hAnsiTheme="minorHAnsi" w:cstheme="minorBidi"/>
      <w:b/>
      <w:bCs/>
      <w:sz w:val="20"/>
      <w:szCs w:val="20"/>
    </w:rPr>
  </w:style>
  <w:style w:type="paragraph" w:customStyle="1" w:styleId="Heading">
    <w:name w:val="Heading"/>
    <w:basedOn w:val="Normal"/>
    <w:rsid w:val="00DA3827"/>
    <w:pPr>
      <w:numPr>
        <w:numId w:val="11"/>
      </w:numPr>
      <w:spacing w:before="180" w:after="0" w:line="240" w:lineRule="auto"/>
    </w:pPr>
    <w:rPr>
      <w:rFonts w:ascii="Arial MT Std Cond" w:eastAsia="Times New Roman" w:hAnsi="Arial MT Std Cond" w:cs="Times New Roman"/>
      <w:color w:val="FF6600"/>
      <w:sz w:val="28"/>
      <w:szCs w:val="20"/>
      <w:lang w:eastAsia="en-AU"/>
    </w:rPr>
  </w:style>
  <w:style w:type="paragraph" w:customStyle="1" w:styleId="Orders">
    <w:name w:val="Orders"/>
    <w:basedOn w:val="Normal"/>
    <w:rsid w:val="00DA3827"/>
    <w:pPr>
      <w:numPr>
        <w:ilvl w:val="3"/>
        <w:numId w:val="14"/>
      </w:numPr>
      <w:spacing w:after="240" w:line="360" w:lineRule="exact"/>
      <w:jc w:val="both"/>
    </w:pPr>
    <w:rPr>
      <w:rFonts w:ascii="Times New Roman" w:eastAsia="Times New Roman" w:hAnsi="Times New Roman" w:cs="Times New Roman"/>
      <w:sz w:val="26"/>
      <w:szCs w:val="26"/>
      <w:lang w:val="en-US" w:eastAsia="zh-CN"/>
    </w:rPr>
  </w:style>
  <w:style w:type="paragraph" w:customStyle="1" w:styleId="ClauseLevel1">
    <w:name w:val="Clause Level 1"/>
    <w:basedOn w:val="Normal"/>
    <w:rsid w:val="00362698"/>
    <w:pPr>
      <w:numPr>
        <w:numId w:val="15"/>
      </w:numPr>
      <w:spacing w:before="120" w:after="120" w:line="240" w:lineRule="auto"/>
    </w:pPr>
    <w:rPr>
      <w:rFonts w:eastAsia="Times New Roman" w:cs="Arial"/>
      <w:color w:val="000000"/>
      <w:szCs w:val="20"/>
    </w:rPr>
  </w:style>
  <w:style w:type="paragraph" w:customStyle="1" w:styleId="ClauseLevel2">
    <w:name w:val="Clause Level 2"/>
    <w:basedOn w:val="ClauseLevel1"/>
    <w:rsid w:val="00DA3827"/>
    <w:pPr>
      <w:numPr>
        <w:ilvl w:val="1"/>
      </w:numPr>
    </w:pPr>
  </w:style>
  <w:style w:type="paragraph" w:customStyle="1" w:styleId="ClauseLevel3">
    <w:name w:val="Clause Level 3"/>
    <w:basedOn w:val="ClauseLevel2"/>
    <w:rsid w:val="00DA3827"/>
    <w:pPr>
      <w:numPr>
        <w:ilvl w:val="2"/>
      </w:numPr>
    </w:pPr>
  </w:style>
  <w:style w:type="paragraph" w:styleId="BodyTextIndent">
    <w:name w:val="Body Text Indent"/>
    <w:basedOn w:val="Normal"/>
    <w:link w:val="BodyTextIndentChar"/>
    <w:uiPriority w:val="99"/>
    <w:semiHidden/>
    <w:unhideWhenUsed/>
    <w:rsid w:val="005929E8"/>
    <w:pPr>
      <w:spacing w:after="120"/>
      <w:ind w:left="283"/>
    </w:pPr>
  </w:style>
  <w:style w:type="character" w:customStyle="1" w:styleId="BodyTextIndentChar">
    <w:name w:val="Body Text Indent Char"/>
    <w:basedOn w:val="DefaultParagraphFont"/>
    <w:link w:val="BodyTextIndent"/>
    <w:uiPriority w:val="99"/>
    <w:semiHidden/>
    <w:rsid w:val="005929E8"/>
    <w:rPr>
      <w:rFonts w:asciiTheme="minorHAnsi" w:eastAsiaTheme="minorHAnsi" w:hAnsiTheme="minorHAnsi" w:cstheme="minorBidi"/>
    </w:rPr>
  </w:style>
  <w:style w:type="character" w:customStyle="1" w:styleId="Questionlabel">
    <w:name w:val="Question label"/>
    <w:basedOn w:val="DefaultParagraphFont"/>
    <w:uiPriority w:val="3"/>
    <w:qFormat/>
    <w:rsid w:val="00CE3511"/>
    <w:rPr>
      <w:rFonts w:ascii="Lato" w:hAnsi="Lato"/>
      <w:b/>
      <w:bCs/>
      <w:sz w:val="22"/>
    </w:rPr>
  </w:style>
  <w:style w:type="paragraph" w:customStyle="1" w:styleId="NTTBodyText">
    <w:name w:val="NTT Body Text"/>
    <w:rsid w:val="00362698"/>
    <w:pPr>
      <w:spacing w:after="120" w:line="300" w:lineRule="exact"/>
    </w:pPr>
    <w:rPr>
      <w:rFonts w:eastAsia="Times New Roman"/>
      <w:szCs w:val="24"/>
      <w:lang w:eastAsia="en-AU"/>
    </w:rPr>
  </w:style>
  <w:style w:type="paragraph" w:styleId="NormalIndent">
    <w:name w:val="Normal Indent"/>
    <w:basedOn w:val="Normal"/>
    <w:uiPriority w:val="99"/>
    <w:unhideWhenUsed/>
    <w:rsid w:val="008B08ED"/>
    <w:pPr>
      <w:spacing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bs.gov.au/statistics/labour/earnings-and-work-hours/average-weekly-earnings-australia/latest-releas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A02EED-FA82-42F0-B625-3E91BD22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Average weekly earnings and the NTGPASS benefit salary</vt:lpstr>
    </vt:vector>
  </TitlesOfParts>
  <Company>TREASURY AND FINANCE</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Average weekly earnings and the NTGPASS benefit salary</dc:title>
  <dc:creator>Northern Territory Government</dc:creator>
  <cp:lastModifiedBy>Marlene Woods</cp:lastModifiedBy>
  <cp:revision>4</cp:revision>
  <cp:lastPrinted>2019-07-29T01:45:00Z</cp:lastPrinted>
  <dcterms:created xsi:type="dcterms:W3CDTF">2022-10-03T02:57:00Z</dcterms:created>
  <dcterms:modified xsi:type="dcterms:W3CDTF">2022-10-04T01:19:00Z</dcterms:modified>
</cp:coreProperties>
</file>