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12632" w:rsidP="0001099F">
      <w:pPr>
        <w:pStyle w:val="HeadingOne"/>
        <w:spacing w:before="120"/>
      </w:pPr>
      <w:r>
        <w:t>N</w:t>
      </w:r>
      <w:r w:rsidR="00F333D3">
        <w:t xml:space="preserve">ORTHERN </w:t>
      </w:r>
      <w:r>
        <w:t>T</w:t>
      </w:r>
      <w:r w:rsidR="00F333D3">
        <w:t>ERRITORY</w:t>
      </w:r>
      <w:r>
        <w:t xml:space="preserve"> </w:t>
      </w:r>
      <w:r w:rsidR="003713B5">
        <w:t>PETROLEUM</w:t>
      </w:r>
      <w:r w:rsidR="00C27A0A" w:rsidRPr="00C27A0A">
        <w:t xml:space="preserve"> </w:t>
      </w:r>
      <w:r>
        <w:t>ROYALTY</w:t>
      </w:r>
      <w:r w:rsidR="006034B6">
        <w:t xml:space="preserve"> </w:t>
      </w:r>
    </w:p>
    <w:p w:rsidR="00C27A0A" w:rsidRPr="001913AD" w:rsidRDefault="001913AD" w:rsidP="00863620">
      <w:pPr>
        <w:pStyle w:val="HeadingOne"/>
        <w:rPr>
          <w:szCs w:val="32"/>
        </w:rPr>
      </w:pPr>
      <w:r w:rsidRPr="001913AD">
        <w:rPr>
          <w:szCs w:val="32"/>
        </w:rPr>
        <w:t>OVERVIEW</w:t>
      </w:r>
    </w:p>
    <w:p w:rsidR="00F66ABB" w:rsidRPr="009C7EEA" w:rsidRDefault="00F66ABB" w:rsidP="00863620">
      <w:pPr>
        <w:pStyle w:val="HeadingTwo"/>
      </w:pPr>
      <w:r w:rsidRPr="009C7EEA">
        <w:t>Purpose</w:t>
      </w:r>
    </w:p>
    <w:p w:rsidR="00F66ABB" w:rsidRDefault="00F66ABB" w:rsidP="002278D1">
      <w:pPr>
        <w:pStyle w:val="BlockText"/>
        <w:tabs>
          <w:tab w:val="clear" w:pos="851"/>
          <w:tab w:val="clear" w:pos="1276"/>
          <w:tab w:val="clear" w:pos="1701"/>
        </w:tabs>
      </w:pPr>
      <w:r w:rsidRPr="009C7EEA">
        <w:t xml:space="preserve">This </w:t>
      </w:r>
      <w:r w:rsidR="009A4B8A">
        <w:t>Overview</w:t>
      </w:r>
      <w:r w:rsidRPr="009C7EEA">
        <w:t xml:space="preserve"> outlines the </w:t>
      </w:r>
      <w:r>
        <w:t xml:space="preserve">administrative arrangements relating to the </w:t>
      </w:r>
      <w:r w:rsidR="007E15AA">
        <w:t xml:space="preserve">establishment, calculation and </w:t>
      </w:r>
      <w:r w:rsidR="00FD588C">
        <w:t>collection of</w:t>
      </w:r>
      <w:r>
        <w:t xml:space="preserve"> royalties </w:t>
      </w:r>
      <w:r w:rsidR="00FD588C">
        <w:t xml:space="preserve">under the </w:t>
      </w:r>
      <w:r w:rsidR="00FD588C" w:rsidRPr="002278D1">
        <w:rPr>
          <w:i/>
        </w:rPr>
        <w:t>Petroleum</w:t>
      </w:r>
      <w:r w:rsidRPr="002278D1">
        <w:rPr>
          <w:i/>
        </w:rPr>
        <w:t xml:space="preserve"> Act </w:t>
      </w:r>
      <w:r w:rsidR="00FD588C" w:rsidRPr="002278D1">
        <w:rPr>
          <w:i/>
        </w:rPr>
        <w:t>1984</w:t>
      </w:r>
      <w:r w:rsidR="00801EAC" w:rsidRPr="002278D1">
        <w:rPr>
          <w:i/>
        </w:rPr>
        <w:t xml:space="preserve"> </w:t>
      </w:r>
      <w:r w:rsidR="00801EAC" w:rsidRPr="00963A68">
        <w:t>(NT)</w:t>
      </w:r>
      <w:r w:rsidR="00D8720D">
        <w:t xml:space="preserve"> (the Act)</w:t>
      </w:r>
      <w:r w:rsidRPr="002278D1">
        <w:rPr>
          <w:i/>
        </w:rPr>
        <w:t xml:space="preserve">. </w:t>
      </w:r>
    </w:p>
    <w:p w:rsidR="00F66ABB" w:rsidRPr="002F05C5" w:rsidRDefault="00F66ABB" w:rsidP="00A5666F">
      <w:pPr>
        <w:pStyle w:val="BlockText"/>
        <w:tabs>
          <w:tab w:val="clear" w:pos="567"/>
          <w:tab w:val="clear" w:pos="851"/>
          <w:tab w:val="clear" w:pos="1276"/>
          <w:tab w:val="clear" w:pos="1701"/>
        </w:tabs>
        <w:spacing w:after="0"/>
      </w:pPr>
      <w:r>
        <w:t xml:space="preserve">This </w:t>
      </w:r>
      <w:r w:rsidR="009A4B8A">
        <w:t>Overview</w:t>
      </w:r>
      <w:r w:rsidR="00414E76">
        <w:t xml:space="preserve"> </w:t>
      </w:r>
      <w:r w:rsidR="000102BA">
        <w:t xml:space="preserve">is </w:t>
      </w:r>
      <w:r>
        <w:t>for general guidance purposes only</w:t>
      </w:r>
      <w:r w:rsidR="00414E76">
        <w:t xml:space="preserve">. </w:t>
      </w:r>
    </w:p>
    <w:p w:rsidR="00F66ABB" w:rsidRPr="0034059F" w:rsidRDefault="00F66ABB" w:rsidP="00395E76">
      <w:pPr>
        <w:pStyle w:val="HeadingTwo"/>
        <w:spacing w:before="240"/>
        <w:jc w:val="both"/>
      </w:pPr>
      <w:r w:rsidRPr="0034059F">
        <w:t>Introduction</w:t>
      </w:r>
    </w:p>
    <w:p w:rsidR="00FD588C" w:rsidRPr="00FD588C" w:rsidRDefault="00FD588C" w:rsidP="00FD588C">
      <w:pPr>
        <w:pStyle w:val="BlockText"/>
        <w:tabs>
          <w:tab w:val="clear" w:pos="567"/>
          <w:tab w:val="clear" w:pos="851"/>
          <w:tab w:val="clear" w:pos="1276"/>
          <w:tab w:val="clear" w:pos="1701"/>
        </w:tabs>
      </w:pPr>
      <w:r w:rsidRPr="00216FAF">
        <w:rPr>
          <w:szCs w:val="22"/>
        </w:rPr>
        <w:t>Royalties are payments made to the Northern Territory Government (the Territory), as the owner of the petroleum, in consideration of a right granted to extract and remove petroleum and are calculated at the rate of 10</w:t>
      </w:r>
      <w:r w:rsidR="00D253F3">
        <w:rPr>
          <w:szCs w:val="22"/>
        </w:rPr>
        <w:t xml:space="preserve"> per cent</w:t>
      </w:r>
      <w:r w:rsidR="00D253F3" w:rsidRPr="00216FAF">
        <w:rPr>
          <w:szCs w:val="22"/>
        </w:rPr>
        <w:t xml:space="preserve"> </w:t>
      </w:r>
      <w:r w:rsidRPr="00216FAF">
        <w:rPr>
          <w:szCs w:val="22"/>
        </w:rPr>
        <w:t>of gross value at the wellhead on petroleum production. They are not a tax.</w:t>
      </w:r>
    </w:p>
    <w:p w:rsidR="00FD588C" w:rsidRPr="00216FAF" w:rsidRDefault="00FD588C" w:rsidP="00FD588C">
      <w:pPr>
        <w:pStyle w:val="BlockText"/>
        <w:tabs>
          <w:tab w:val="clear" w:pos="567"/>
          <w:tab w:val="clear" w:pos="851"/>
          <w:tab w:val="clear" w:pos="1276"/>
          <w:tab w:val="clear" w:pos="1701"/>
        </w:tabs>
        <w:spacing w:before="120" w:after="60"/>
        <w:rPr>
          <w:szCs w:val="22"/>
        </w:rPr>
      </w:pPr>
      <w:r w:rsidRPr="00216FAF">
        <w:rPr>
          <w:szCs w:val="22"/>
        </w:rPr>
        <w:t xml:space="preserve">Royalties are collected under </w:t>
      </w:r>
      <w:r w:rsidR="004E7FA0">
        <w:rPr>
          <w:szCs w:val="22"/>
        </w:rPr>
        <w:t>the Act</w:t>
      </w:r>
      <w:r w:rsidR="00D8720D">
        <w:rPr>
          <w:szCs w:val="22"/>
        </w:rPr>
        <w:t>.</w:t>
      </w:r>
    </w:p>
    <w:p w:rsidR="00FD588C" w:rsidRPr="00216FAF" w:rsidRDefault="00FD588C" w:rsidP="00FD588C">
      <w:pPr>
        <w:pStyle w:val="BlockText"/>
        <w:tabs>
          <w:tab w:val="clear" w:pos="567"/>
          <w:tab w:val="clear" w:pos="851"/>
          <w:tab w:val="clear" w:pos="1276"/>
          <w:tab w:val="clear" w:pos="1701"/>
        </w:tabs>
        <w:spacing w:before="120" w:after="60"/>
        <w:rPr>
          <w:szCs w:val="22"/>
        </w:rPr>
      </w:pPr>
      <w:r w:rsidRPr="00216FAF">
        <w:rPr>
          <w:szCs w:val="22"/>
        </w:rPr>
        <w:t>The Territory’s royalty regime encourages present and future exploration and development of petroleum resources. At the same time, it compensates the Northern Territory community for allowing the private extraction of the Northern Territory’s non-renewable resources.</w:t>
      </w:r>
    </w:p>
    <w:p w:rsidR="00FD588C" w:rsidRPr="00216FAF" w:rsidRDefault="00FD588C" w:rsidP="008E6C72">
      <w:pPr>
        <w:pStyle w:val="BlockText"/>
        <w:tabs>
          <w:tab w:val="clear" w:pos="567"/>
          <w:tab w:val="clear" w:pos="851"/>
          <w:tab w:val="clear" w:pos="1276"/>
          <w:tab w:val="clear" w:pos="1701"/>
        </w:tabs>
        <w:spacing w:before="120" w:after="60"/>
        <w:rPr>
          <w:szCs w:val="22"/>
        </w:rPr>
      </w:pPr>
      <w:r w:rsidRPr="00216FAF">
        <w:rPr>
          <w:szCs w:val="22"/>
        </w:rPr>
        <w:t xml:space="preserve">The Department of Mines and Energy issues titles under Territory petroleum legislation for the right to produce petroleum within the territorial boundary of the Northern Territory (including coastal waters). When titleholders (commonly known as licence holders or </w:t>
      </w:r>
      <w:r w:rsidR="00F24077">
        <w:rPr>
          <w:szCs w:val="22"/>
        </w:rPr>
        <w:t>licensees</w:t>
      </w:r>
      <w:r w:rsidRPr="00216FAF">
        <w:rPr>
          <w:szCs w:val="22"/>
        </w:rPr>
        <w:t>) obtain a title</w:t>
      </w:r>
      <w:r w:rsidR="004E7FA0">
        <w:rPr>
          <w:szCs w:val="22"/>
        </w:rPr>
        <w:t>,</w:t>
      </w:r>
      <w:r w:rsidRPr="00216FAF">
        <w:rPr>
          <w:szCs w:val="22"/>
        </w:rPr>
        <w:t xml:space="preserve"> they undertake to pay royalties. This Overview outlines the royalty requirements and sets out the obligations of the </w:t>
      </w:r>
      <w:r w:rsidR="00F24077">
        <w:rPr>
          <w:szCs w:val="22"/>
        </w:rPr>
        <w:t>licensees</w:t>
      </w:r>
      <w:r w:rsidRPr="00216FAF">
        <w:rPr>
          <w:szCs w:val="22"/>
        </w:rPr>
        <w:t xml:space="preserve"> in this regard.</w:t>
      </w:r>
    </w:p>
    <w:p w:rsidR="00FD588C" w:rsidRPr="002278D1" w:rsidRDefault="00FD588C" w:rsidP="002278D1">
      <w:pPr>
        <w:pStyle w:val="BlockText"/>
        <w:tabs>
          <w:tab w:val="clear" w:pos="851"/>
          <w:tab w:val="clear" w:pos="1276"/>
          <w:tab w:val="clear" w:pos="1701"/>
        </w:tabs>
        <w:spacing w:before="120" w:after="60"/>
        <w:rPr>
          <w:vanish/>
          <w:szCs w:val="22"/>
          <w:specVanish/>
        </w:rPr>
      </w:pPr>
      <w:r w:rsidRPr="002278D1">
        <w:rPr>
          <w:szCs w:val="22"/>
        </w:rPr>
        <w:t xml:space="preserve">The payment of royalties is governed by Division 5 of Part III of the </w:t>
      </w:r>
      <w:r w:rsidRPr="00A951BA">
        <w:rPr>
          <w:szCs w:val="22"/>
        </w:rPr>
        <w:t>Act</w:t>
      </w:r>
      <w:r w:rsidR="00361264">
        <w:rPr>
          <w:szCs w:val="22"/>
        </w:rPr>
        <w:t>,</w:t>
      </w:r>
      <w:r w:rsidRPr="00E47E3D">
        <w:rPr>
          <w:rStyle w:val="FootnoteReference"/>
          <w:szCs w:val="22"/>
        </w:rPr>
        <w:footnoteReference w:id="1"/>
      </w:r>
      <w:r w:rsidRPr="002278D1">
        <w:rPr>
          <w:szCs w:val="22"/>
        </w:rPr>
        <w:t xml:space="preserve"> coupled with a legally enforceable written agreement between a licensee and the Treasurer (as the responsible Minister for administering the royalty provisions of the Act) on behalf of the Territory or, in the absence of a legally enforceable agreement, a binding determination made by the Treasurer. A failure to pay royalties can result in cancellation of a retention licence or production licence.</w:t>
      </w:r>
    </w:p>
    <w:p w:rsidR="002278D1" w:rsidRPr="00395E76" w:rsidRDefault="00FD588C" w:rsidP="008E6C72">
      <w:pPr>
        <w:pStyle w:val="BlockText"/>
        <w:tabs>
          <w:tab w:val="clear" w:pos="567"/>
          <w:tab w:val="clear" w:pos="851"/>
          <w:tab w:val="clear" w:pos="1276"/>
          <w:tab w:val="clear" w:pos="1701"/>
        </w:tabs>
        <w:spacing w:before="120" w:after="60"/>
      </w:pPr>
      <w:r>
        <w:rPr>
          <w:szCs w:val="22"/>
        </w:rPr>
        <w:t xml:space="preserve"> </w:t>
      </w:r>
    </w:p>
    <w:p w:rsidR="00FD588C" w:rsidRDefault="00395E76" w:rsidP="008E6C72">
      <w:pPr>
        <w:pStyle w:val="BlockText"/>
        <w:numPr>
          <w:ilvl w:val="0"/>
          <w:numId w:val="0"/>
        </w:numPr>
        <w:spacing w:before="120" w:after="0"/>
        <w:ind w:left="567" w:hanging="567"/>
      </w:pPr>
      <w:r>
        <w:t>8.</w:t>
      </w:r>
      <w:r>
        <w:tab/>
      </w:r>
      <w:r w:rsidR="00FD588C">
        <w:t xml:space="preserve">The </w:t>
      </w:r>
      <w:r w:rsidR="00C7301A">
        <w:t xml:space="preserve">annual </w:t>
      </w:r>
      <w:r w:rsidR="00FD588C" w:rsidRPr="00216FAF">
        <w:t xml:space="preserve">royalty return required to be lodged </w:t>
      </w:r>
      <w:r w:rsidR="00E47E3D">
        <w:t>provide</w:t>
      </w:r>
      <w:r w:rsidR="00F24077">
        <w:t>s</w:t>
      </w:r>
      <w:r w:rsidR="00FD588C" w:rsidRPr="00216FAF">
        <w:t xml:space="preserve"> the Commissioner of Territory Revenue with information to enable calculation of the royalty, including the gross value of the petroleum and any </w:t>
      </w:r>
      <w:r w:rsidR="000F49B7">
        <w:t xml:space="preserve">applicable </w:t>
      </w:r>
      <w:r w:rsidR="004E7FA0">
        <w:t xml:space="preserve">allowable </w:t>
      </w:r>
      <w:r w:rsidR="000F49B7">
        <w:t>deductions.</w:t>
      </w:r>
    </w:p>
    <w:p w:rsidR="00793282" w:rsidRDefault="00C23580" w:rsidP="00395E76">
      <w:pPr>
        <w:pStyle w:val="HeadingTwo"/>
        <w:spacing w:before="240"/>
        <w:jc w:val="both"/>
      </w:pPr>
      <w:r>
        <w:t xml:space="preserve">Substances </w:t>
      </w:r>
      <w:r w:rsidR="006B184A">
        <w:t>s</w:t>
      </w:r>
      <w:r w:rsidR="00793282">
        <w:t xml:space="preserve">ubject to the </w:t>
      </w:r>
      <w:r w:rsidR="007537FE" w:rsidRPr="00A951BA">
        <w:t>Act</w:t>
      </w:r>
    </w:p>
    <w:p w:rsidR="00DA2F06" w:rsidRPr="00DA2F06" w:rsidRDefault="00DA2F06" w:rsidP="00DA2F06">
      <w:pPr>
        <w:pStyle w:val="BlockText"/>
        <w:tabs>
          <w:tab w:val="clear" w:pos="567"/>
          <w:tab w:val="clear" w:pos="851"/>
          <w:tab w:val="clear" w:pos="1276"/>
          <w:tab w:val="clear" w:pos="1701"/>
        </w:tabs>
      </w:pPr>
      <w:r w:rsidRPr="00216FAF">
        <w:rPr>
          <w:szCs w:val="22"/>
        </w:rPr>
        <w:t xml:space="preserve">Subject to the terms of </w:t>
      </w:r>
      <w:r w:rsidR="003713B5">
        <w:rPr>
          <w:szCs w:val="22"/>
        </w:rPr>
        <w:t xml:space="preserve">the </w:t>
      </w:r>
      <w:r w:rsidRPr="00A951BA">
        <w:rPr>
          <w:szCs w:val="22"/>
        </w:rPr>
        <w:t>Act</w:t>
      </w:r>
      <w:r w:rsidRPr="00216FAF">
        <w:rPr>
          <w:szCs w:val="22"/>
        </w:rPr>
        <w:t xml:space="preserve">, royalties are payable on all petroleum (in the sense described in the </w:t>
      </w:r>
      <w:r w:rsidRPr="00A951BA">
        <w:rPr>
          <w:szCs w:val="22"/>
        </w:rPr>
        <w:t>Act</w:t>
      </w:r>
      <w:r w:rsidRPr="00216FAF">
        <w:rPr>
          <w:szCs w:val="22"/>
        </w:rPr>
        <w:t>) except for a substance which, in its naturally occurring state, is not recoverable from a well by conventional means.</w:t>
      </w:r>
    </w:p>
    <w:p w:rsidR="00DA2F06" w:rsidRPr="00216FAF" w:rsidRDefault="00896A09" w:rsidP="00DA2F06">
      <w:pPr>
        <w:pStyle w:val="BlockText"/>
        <w:tabs>
          <w:tab w:val="clear" w:pos="567"/>
          <w:tab w:val="clear" w:pos="851"/>
          <w:tab w:val="clear" w:pos="1276"/>
          <w:tab w:val="clear" w:pos="1701"/>
        </w:tabs>
        <w:spacing w:before="120" w:after="60"/>
        <w:rPr>
          <w:szCs w:val="22"/>
        </w:rPr>
      </w:pPr>
      <w:r>
        <w:rPr>
          <w:szCs w:val="22"/>
        </w:rPr>
        <w:t>“</w:t>
      </w:r>
      <w:r w:rsidR="00DA2F06" w:rsidRPr="00216FAF">
        <w:rPr>
          <w:szCs w:val="22"/>
        </w:rPr>
        <w:t>Petroleum</w:t>
      </w:r>
      <w:r>
        <w:rPr>
          <w:szCs w:val="22"/>
        </w:rPr>
        <w:t>”</w:t>
      </w:r>
      <w:r w:rsidR="00DA2F06" w:rsidRPr="00216FAF">
        <w:rPr>
          <w:szCs w:val="22"/>
        </w:rPr>
        <w:t xml:space="preserve"> is defined as:</w:t>
      </w:r>
    </w:p>
    <w:p w:rsidR="00DA2F06" w:rsidRPr="00216FAF" w:rsidRDefault="00DA2F06" w:rsidP="003C7D38">
      <w:pPr>
        <w:pStyle w:val="BlockText"/>
        <w:numPr>
          <w:ilvl w:val="0"/>
          <w:numId w:val="2"/>
        </w:numPr>
        <w:tabs>
          <w:tab w:val="clear" w:pos="851"/>
          <w:tab w:val="clear" w:pos="1276"/>
          <w:tab w:val="clear" w:pos="1701"/>
        </w:tabs>
        <w:spacing w:before="120" w:after="60"/>
        <w:rPr>
          <w:szCs w:val="22"/>
        </w:rPr>
      </w:pPr>
      <w:r w:rsidRPr="00216FAF">
        <w:rPr>
          <w:szCs w:val="22"/>
        </w:rPr>
        <w:t>any naturally occurring hydrocarbon, whether in gaseous, liquid or solid state;</w:t>
      </w:r>
    </w:p>
    <w:p w:rsidR="00DA2F06" w:rsidRPr="00216FAF" w:rsidRDefault="00DA2F06" w:rsidP="003C7D38">
      <w:pPr>
        <w:pStyle w:val="BlockText"/>
        <w:numPr>
          <w:ilvl w:val="1"/>
          <w:numId w:val="2"/>
        </w:numPr>
        <w:tabs>
          <w:tab w:val="clear" w:pos="851"/>
          <w:tab w:val="clear" w:pos="1276"/>
          <w:tab w:val="clear" w:pos="1701"/>
          <w:tab w:val="clear" w:pos="2520"/>
          <w:tab w:val="num" w:pos="1440"/>
        </w:tabs>
        <w:spacing w:before="120" w:after="60"/>
        <w:ind w:left="1440" w:hanging="360"/>
        <w:rPr>
          <w:szCs w:val="22"/>
        </w:rPr>
      </w:pPr>
      <w:r w:rsidRPr="00216FAF">
        <w:rPr>
          <w:szCs w:val="22"/>
        </w:rPr>
        <w:lastRenderedPageBreak/>
        <w:t>any naturally occurring mixture of hydrocarbons, whether in gaseous, liquid or solid state;</w:t>
      </w:r>
    </w:p>
    <w:p w:rsidR="00DA2F06" w:rsidRPr="00216FAF" w:rsidRDefault="00DA2F06" w:rsidP="003C7D38">
      <w:pPr>
        <w:pStyle w:val="BlockText"/>
        <w:numPr>
          <w:ilvl w:val="1"/>
          <w:numId w:val="2"/>
        </w:numPr>
        <w:tabs>
          <w:tab w:val="clear" w:pos="851"/>
          <w:tab w:val="clear" w:pos="1276"/>
          <w:tab w:val="clear" w:pos="1701"/>
          <w:tab w:val="clear" w:pos="2520"/>
          <w:tab w:val="num" w:pos="1440"/>
        </w:tabs>
        <w:spacing w:before="120" w:after="60"/>
        <w:ind w:left="1440" w:hanging="360"/>
        <w:rPr>
          <w:szCs w:val="22"/>
        </w:rPr>
      </w:pPr>
      <w:r w:rsidRPr="00216FAF">
        <w:rPr>
          <w:szCs w:val="22"/>
        </w:rPr>
        <w:t>any naturally occurring mixture of one or more hydrocarbons, whether in gaseous, liquid or solid state, and one or more of the following: hydrogen-sulphide, nitrogen, helium and carbon dioxide or any combination thereof; and</w:t>
      </w:r>
    </w:p>
    <w:p w:rsidR="00DA2F06" w:rsidRPr="00DA2F06" w:rsidRDefault="00DA2F06" w:rsidP="003C7D38">
      <w:pPr>
        <w:pStyle w:val="BlockText"/>
        <w:numPr>
          <w:ilvl w:val="1"/>
          <w:numId w:val="2"/>
        </w:numPr>
        <w:tabs>
          <w:tab w:val="clear" w:pos="851"/>
          <w:tab w:val="clear" w:pos="1276"/>
          <w:tab w:val="clear" w:pos="1701"/>
          <w:tab w:val="clear" w:pos="2520"/>
          <w:tab w:val="num" w:pos="1440"/>
        </w:tabs>
        <w:spacing w:before="120" w:after="60"/>
        <w:ind w:left="1440" w:hanging="360"/>
        <w:rPr>
          <w:szCs w:val="22"/>
        </w:rPr>
      </w:pPr>
      <w:r w:rsidRPr="00216FAF">
        <w:rPr>
          <w:szCs w:val="22"/>
        </w:rPr>
        <w:t>any petroleum as defined in (i), (ii) or (iii) that has been returned to a natural reservoir.</w:t>
      </w:r>
    </w:p>
    <w:p w:rsidR="00F66ABB" w:rsidRPr="00DF1F9B" w:rsidRDefault="00F66ABB" w:rsidP="00395E76">
      <w:pPr>
        <w:pStyle w:val="HeadingTwo"/>
        <w:spacing w:before="240" w:after="60"/>
        <w:jc w:val="both"/>
      </w:pPr>
      <w:r w:rsidRPr="00DF1F9B">
        <w:t>Royalties</w:t>
      </w:r>
    </w:p>
    <w:p w:rsidR="002A6AD4" w:rsidRPr="00766ED0" w:rsidRDefault="00332FB4" w:rsidP="003C7D38">
      <w:pPr>
        <w:pStyle w:val="BlockText"/>
        <w:tabs>
          <w:tab w:val="clear" w:pos="851"/>
          <w:tab w:val="clear" w:pos="1276"/>
          <w:tab w:val="clear" w:pos="1701"/>
        </w:tabs>
        <w:spacing w:before="120" w:after="60"/>
        <w:rPr>
          <w:szCs w:val="22"/>
        </w:rPr>
      </w:pPr>
      <w:r w:rsidRPr="00766ED0">
        <w:rPr>
          <w:szCs w:val="22"/>
        </w:rPr>
        <w:t xml:space="preserve">Royalties </w:t>
      </w:r>
      <w:r w:rsidR="00C7301A" w:rsidRPr="00766ED0">
        <w:rPr>
          <w:szCs w:val="22"/>
        </w:rPr>
        <w:t xml:space="preserve">on petroleum </w:t>
      </w:r>
      <w:r w:rsidRPr="00766ED0">
        <w:rPr>
          <w:szCs w:val="22"/>
        </w:rPr>
        <w:t xml:space="preserve">within the scope of the </w:t>
      </w:r>
      <w:r w:rsidRPr="00766ED0">
        <w:rPr>
          <w:iCs/>
          <w:color w:val="000000"/>
          <w:szCs w:val="22"/>
        </w:rPr>
        <w:t>Act</w:t>
      </w:r>
      <w:r w:rsidRPr="00766ED0">
        <w:rPr>
          <w:color w:val="000000"/>
          <w:szCs w:val="22"/>
        </w:rPr>
        <w:t xml:space="preserve"> </w:t>
      </w:r>
      <w:r w:rsidRPr="00766ED0">
        <w:rPr>
          <w:iCs/>
          <w:szCs w:val="22"/>
        </w:rPr>
        <w:t xml:space="preserve">are charged on </w:t>
      </w:r>
      <w:r w:rsidRPr="00766ED0">
        <w:rPr>
          <w:color w:val="000000"/>
          <w:szCs w:val="22"/>
        </w:rPr>
        <w:t xml:space="preserve">an </w:t>
      </w:r>
      <w:r w:rsidRPr="00766ED0">
        <w:rPr>
          <w:i/>
          <w:iCs/>
          <w:szCs w:val="22"/>
        </w:rPr>
        <w:t xml:space="preserve">ad valorem </w:t>
      </w:r>
      <w:r w:rsidRPr="00766ED0">
        <w:rPr>
          <w:iCs/>
          <w:szCs w:val="22"/>
        </w:rPr>
        <w:t>basis</w:t>
      </w:r>
      <w:r w:rsidR="00B4598B" w:rsidRPr="00766ED0">
        <w:rPr>
          <w:iCs/>
          <w:szCs w:val="22"/>
        </w:rPr>
        <w:t xml:space="preserve"> (not a profit-based or net value approach)</w:t>
      </w:r>
      <w:r w:rsidRPr="00766ED0">
        <w:rPr>
          <w:szCs w:val="22"/>
        </w:rPr>
        <w:t xml:space="preserve"> which is applied to the recovery of all petroleum within the boundary of the geographical area of the Northern Territory (including coastal waters) that is subject to a retention licence or production licence (described as the </w:t>
      </w:r>
      <w:r w:rsidR="00395E76" w:rsidRPr="00766ED0">
        <w:rPr>
          <w:szCs w:val="22"/>
        </w:rPr>
        <w:t>“</w:t>
      </w:r>
      <w:r w:rsidRPr="00766ED0">
        <w:rPr>
          <w:szCs w:val="22"/>
        </w:rPr>
        <w:t>licence area</w:t>
      </w:r>
      <w:r w:rsidR="00395E76" w:rsidRPr="00766ED0">
        <w:rPr>
          <w:szCs w:val="22"/>
        </w:rPr>
        <w:t>”</w:t>
      </w:r>
      <w:r w:rsidRPr="00766ED0">
        <w:rPr>
          <w:szCs w:val="22"/>
        </w:rPr>
        <w:t xml:space="preserve"> in the Act). </w:t>
      </w:r>
    </w:p>
    <w:p w:rsidR="00766ED0" w:rsidRPr="00F94CCF" w:rsidRDefault="00766ED0" w:rsidP="003C7D38">
      <w:pPr>
        <w:pStyle w:val="BlockText"/>
        <w:tabs>
          <w:tab w:val="clear" w:pos="567"/>
          <w:tab w:val="clear" w:pos="851"/>
          <w:tab w:val="clear" w:pos="1276"/>
          <w:tab w:val="clear" w:pos="1701"/>
        </w:tabs>
        <w:spacing w:before="120" w:after="60"/>
      </w:pPr>
      <w:r>
        <w:t xml:space="preserve">The inherent nature of the Territory’s petroleum royalty scheme is that petroleum products </w:t>
      </w:r>
      <w:r w:rsidRPr="003C7D38">
        <w:t>(“petroleum”)</w:t>
      </w:r>
      <w:r>
        <w:t xml:space="preserve"> have a value at the wellhead and that a royalty will always be payable on petroleum production under the ad valorem scheme.   </w:t>
      </w:r>
    </w:p>
    <w:p w:rsidR="002A2487" w:rsidRPr="0001099F" w:rsidRDefault="00332FB4" w:rsidP="001913AD">
      <w:pPr>
        <w:pStyle w:val="BlockText"/>
        <w:tabs>
          <w:tab w:val="clear" w:pos="567"/>
          <w:tab w:val="clear" w:pos="851"/>
          <w:tab w:val="clear" w:pos="1276"/>
          <w:tab w:val="clear" w:pos="1701"/>
        </w:tabs>
        <w:spacing w:before="120" w:after="60"/>
      </w:pPr>
      <w:r w:rsidRPr="000F49B7">
        <w:rPr>
          <w:szCs w:val="22"/>
        </w:rPr>
        <w:t xml:space="preserve">Under the </w:t>
      </w:r>
      <w:r w:rsidRPr="00A951BA">
        <w:rPr>
          <w:szCs w:val="22"/>
        </w:rPr>
        <w:t>Act</w:t>
      </w:r>
      <w:r w:rsidRPr="000F49B7">
        <w:rPr>
          <w:szCs w:val="22"/>
        </w:rPr>
        <w:t xml:space="preserve">, royalty applies to petroleum derived from the licence area. </w:t>
      </w:r>
      <w:r w:rsidR="00D253F3">
        <w:rPr>
          <w:szCs w:val="22"/>
        </w:rPr>
        <w:t>R</w:t>
      </w:r>
      <w:r w:rsidRPr="000F49B7">
        <w:rPr>
          <w:szCs w:val="22"/>
        </w:rPr>
        <w:t xml:space="preserve">ing-fencing principles apply and each of the </w:t>
      </w:r>
      <w:r w:rsidR="00F24077" w:rsidRPr="000F49B7">
        <w:rPr>
          <w:szCs w:val="22"/>
        </w:rPr>
        <w:t xml:space="preserve">licensee’s </w:t>
      </w:r>
      <w:r w:rsidRPr="000F49B7">
        <w:rPr>
          <w:szCs w:val="22"/>
        </w:rPr>
        <w:t xml:space="preserve">operations are treated independently, for royalty purposes, from all of the </w:t>
      </w:r>
      <w:r w:rsidR="00F24077" w:rsidRPr="00390560">
        <w:rPr>
          <w:szCs w:val="22"/>
        </w:rPr>
        <w:t xml:space="preserve">licensee’s </w:t>
      </w:r>
      <w:r w:rsidRPr="00390560">
        <w:rPr>
          <w:szCs w:val="22"/>
        </w:rPr>
        <w:t>other operations (including operations on distinct and separate licence areas). Accordingly, the accounts from the individual field or project the subject of a retention licence or production licence may not be mixed with the accounts for activities outside th</w:t>
      </w:r>
      <w:r w:rsidRPr="00BA47EB">
        <w:rPr>
          <w:szCs w:val="22"/>
        </w:rPr>
        <w:t xml:space="preserve">e field or project. There is no ability to aggregate income or revenue and expenses from all operations carried on by the </w:t>
      </w:r>
      <w:r w:rsidR="00F24077" w:rsidRPr="0022698D">
        <w:rPr>
          <w:szCs w:val="22"/>
        </w:rPr>
        <w:t>licensee</w:t>
      </w:r>
      <w:r w:rsidR="00F24077" w:rsidRPr="00A404B1">
        <w:rPr>
          <w:szCs w:val="22"/>
        </w:rPr>
        <w:t xml:space="preserve"> </w:t>
      </w:r>
      <w:r w:rsidRPr="00F94CCF">
        <w:rPr>
          <w:szCs w:val="22"/>
        </w:rPr>
        <w:t>within the Northern Territory.</w:t>
      </w:r>
    </w:p>
    <w:p w:rsidR="00332FB4" w:rsidRPr="00216FAF" w:rsidRDefault="00332FB4" w:rsidP="001913AD">
      <w:pPr>
        <w:pStyle w:val="BlockText"/>
        <w:tabs>
          <w:tab w:val="clear" w:pos="567"/>
          <w:tab w:val="clear" w:pos="851"/>
          <w:tab w:val="clear" w:pos="1276"/>
          <w:tab w:val="clear" w:pos="1701"/>
        </w:tabs>
        <w:spacing w:before="120" w:after="60"/>
        <w:rPr>
          <w:szCs w:val="22"/>
        </w:rPr>
      </w:pPr>
      <w:r w:rsidRPr="00216FAF">
        <w:rPr>
          <w:szCs w:val="22"/>
        </w:rPr>
        <w:t xml:space="preserve">The </w:t>
      </w:r>
      <w:r w:rsidR="00F24077">
        <w:rPr>
          <w:szCs w:val="22"/>
        </w:rPr>
        <w:t>licensee</w:t>
      </w:r>
      <w:r w:rsidRPr="00216FAF">
        <w:rPr>
          <w:szCs w:val="22"/>
        </w:rPr>
        <w:t>(s) is</w:t>
      </w:r>
      <w:r w:rsidR="00F24077">
        <w:rPr>
          <w:szCs w:val="22"/>
        </w:rPr>
        <w:t>/are</w:t>
      </w:r>
      <w:r w:rsidRPr="00216FAF">
        <w:rPr>
          <w:szCs w:val="22"/>
        </w:rPr>
        <w:t xml:space="preserve"> the royalty payer for the purposes of the </w:t>
      </w:r>
      <w:r w:rsidRPr="00A951BA">
        <w:rPr>
          <w:szCs w:val="22"/>
        </w:rPr>
        <w:t>Act</w:t>
      </w:r>
      <w:r w:rsidRPr="00216FAF">
        <w:rPr>
          <w:szCs w:val="22"/>
        </w:rPr>
        <w:t xml:space="preserve">. Accordingly, </w:t>
      </w:r>
      <w:r w:rsidR="00F24077" w:rsidRPr="00216FAF">
        <w:rPr>
          <w:szCs w:val="22"/>
        </w:rPr>
        <w:t>the</w:t>
      </w:r>
      <w:r w:rsidR="00F24077">
        <w:rPr>
          <w:szCs w:val="22"/>
        </w:rPr>
        <w:t xml:space="preserve"> </w:t>
      </w:r>
      <w:r w:rsidR="008C5596">
        <w:rPr>
          <w:szCs w:val="22"/>
        </w:rPr>
        <w:t>licensee</w:t>
      </w:r>
      <w:r w:rsidR="00F24077" w:rsidRPr="00216FAF">
        <w:rPr>
          <w:szCs w:val="22"/>
        </w:rPr>
        <w:t xml:space="preserve"> </w:t>
      </w:r>
      <w:r w:rsidR="00F24077">
        <w:rPr>
          <w:szCs w:val="22"/>
        </w:rPr>
        <w:t>is</w:t>
      </w:r>
      <w:r w:rsidR="00F24077" w:rsidRPr="00216FAF">
        <w:rPr>
          <w:szCs w:val="22"/>
        </w:rPr>
        <w:t xml:space="preserve"> </w:t>
      </w:r>
      <w:r w:rsidRPr="00216FAF">
        <w:rPr>
          <w:szCs w:val="22"/>
        </w:rPr>
        <w:t>responsible for the lodgement of royalty returns and payment of royalties.</w:t>
      </w:r>
    </w:p>
    <w:p w:rsidR="00332FB4" w:rsidRPr="00216FAF" w:rsidRDefault="00332FB4" w:rsidP="00C821FA">
      <w:pPr>
        <w:pStyle w:val="HeadingThree"/>
        <w:spacing w:before="240" w:after="60"/>
        <w:jc w:val="both"/>
        <w:rPr>
          <w:rFonts w:cs="Arial"/>
          <w:szCs w:val="22"/>
        </w:rPr>
      </w:pPr>
      <w:r w:rsidRPr="00216FAF">
        <w:rPr>
          <w:rFonts w:cs="Arial"/>
          <w:iCs w:val="0"/>
          <w:szCs w:val="22"/>
        </w:rPr>
        <w:t>Ad valorem</w:t>
      </w:r>
      <w:r w:rsidRPr="00216FAF">
        <w:rPr>
          <w:rFonts w:cs="Arial"/>
          <w:i w:val="0"/>
          <w:iCs w:val="0"/>
          <w:szCs w:val="22"/>
        </w:rPr>
        <w:t xml:space="preserve"> </w:t>
      </w:r>
      <w:r w:rsidRPr="00216FAF">
        <w:rPr>
          <w:rFonts w:cs="Arial"/>
          <w:szCs w:val="22"/>
        </w:rPr>
        <w:t>royalty</w:t>
      </w:r>
    </w:p>
    <w:p w:rsidR="00332FB4" w:rsidRPr="00216FAF" w:rsidRDefault="00332FB4" w:rsidP="00332FB4">
      <w:pPr>
        <w:pStyle w:val="BlockText"/>
        <w:tabs>
          <w:tab w:val="clear" w:pos="567"/>
          <w:tab w:val="clear" w:pos="851"/>
          <w:tab w:val="clear" w:pos="1276"/>
          <w:tab w:val="clear" w:pos="1701"/>
        </w:tabs>
        <w:spacing w:before="120" w:after="60"/>
        <w:rPr>
          <w:iCs/>
          <w:szCs w:val="22"/>
        </w:rPr>
      </w:pPr>
      <w:r w:rsidRPr="00216FAF">
        <w:rPr>
          <w:szCs w:val="22"/>
        </w:rPr>
        <w:t xml:space="preserve">The imposition and assessment of royalty on petroleum recovered in the Northern Territory is governed by the </w:t>
      </w:r>
      <w:r w:rsidRPr="00A951BA">
        <w:rPr>
          <w:szCs w:val="22"/>
        </w:rPr>
        <w:t>Act</w:t>
      </w:r>
      <w:r w:rsidRPr="00D253F3">
        <w:rPr>
          <w:szCs w:val="22"/>
        </w:rPr>
        <w:t xml:space="preserve"> </w:t>
      </w:r>
      <w:r w:rsidRPr="00216FAF">
        <w:rPr>
          <w:szCs w:val="22"/>
        </w:rPr>
        <w:t>coupled with a legally enforceable written agreement or, in the absence of a legally enforceable agreement, a binding determination made by the Treasurer.</w:t>
      </w:r>
    </w:p>
    <w:p w:rsidR="00332FB4" w:rsidRPr="00216FAF" w:rsidRDefault="00332FB4" w:rsidP="00332FB4">
      <w:pPr>
        <w:pStyle w:val="BlockText"/>
        <w:tabs>
          <w:tab w:val="clear" w:pos="567"/>
          <w:tab w:val="clear" w:pos="851"/>
          <w:tab w:val="clear" w:pos="1276"/>
          <w:tab w:val="clear" w:pos="1701"/>
        </w:tabs>
        <w:spacing w:before="120" w:after="60"/>
        <w:rPr>
          <w:szCs w:val="22"/>
        </w:rPr>
      </w:pPr>
      <w:r w:rsidRPr="00216FAF">
        <w:rPr>
          <w:szCs w:val="22"/>
        </w:rPr>
        <w:t xml:space="preserve">Under section 84 of the </w:t>
      </w:r>
      <w:r w:rsidRPr="00A951BA">
        <w:rPr>
          <w:szCs w:val="22"/>
        </w:rPr>
        <w:t>Act</w:t>
      </w:r>
      <w:r w:rsidRPr="00216FAF">
        <w:rPr>
          <w:szCs w:val="22"/>
        </w:rPr>
        <w:t xml:space="preserve">, royalty is payable to the Territory and liability for royalty is a joint and several liability of the </w:t>
      </w:r>
      <w:r w:rsidR="00F24077">
        <w:rPr>
          <w:szCs w:val="22"/>
        </w:rPr>
        <w:t>licensee</w:t>
      </w:r>
      <w:r w:rsidRPr="00216FAF">
        <w:rPr>
          <w:szCs w:val="22"/>
        </w:rPr>
        <w:t>(s).</w:t>
      </w:r>
    </w:p>
    <w:p w:rsidR="00332FB4" w:rsidRPr="00216FAF" w:rsidRDefault="00332FB4" w:rsidP="00A951BA">
      <w:pPr>
        <w:pStyle w:val="BlockText"/>
        <w:tabs>
          <w:tab w:val="clear" w:pos="567"/>
          <w:tab w:val="clear" w:pos="851"/>
          <w:tab w:val="clear" w:pos="1276"/>
          <w:tab w:val="clear" w:pos="1701"/>
        </w:tabs>
        <w:spacing w:before="120" w:after="60"/>
        <w:rPr>
          <w:szCs w:val="22"/>
        </w:rPr>
      </w:pPr>
      <w:r w:rsidRPr="007537FE">
        <w:rPr>
          <w:szCs w:val="22"/>
        </w:rPr>
        <w:t>Under section 84, the royalty rate is 10 per cent of gross value at the wellhead.</w:t>
      </w:r>
      <w:r w:rsidRPr="007537FE">
        <w:rPr>
          <w:rStyle w:val="FootnoteReference"/>
          <w:szCs w:val="22"/>
        </w:rPr>
        <w:footnoteReference w:id="2"/>
      </w:r>
      <w:r w:rsidRPr="007537FE">
        <w:rPr>
          <w:szCs w:val="22"/>
        </w:rPr>
        <w:t> The term “wellhead” has a well</w:t>
      </w:r>
      <w:r w:rsidR="00361264">
        <w:rPr>
          <w:szCs w:val="22"/>
        </w:rPr>
        <w:t>-</w:t>
      </w:r>
      <w:r w:rsidRPr="007537FE">
        <w:rPr>
          <w:szCs w:val="22"/>
        </w:rPr>
        <w:t>established common business usage or practice in the Australian (and, indeed the world) petroleum recovery industry.</w:t>
      </w:r>
      <w:r w:rsidRPr="007537FE">
        <w:rPr>
          <w:rStyle w:val="FootnoteReference"/>
          <w:szCs w:val="22"/>
        </w:rPr>
        <w:footnoteReference w:id="3"/>
      </w:r>
      <w:r w:rsidRPr="007537FE">
        <w:rPr>
          <w:szCs w:val="22"/>
        </w:rPr>
        <w:t xml:space="preserve"> The term refers to the top of the well casing</w:t>
      </w:r>
      <w:r w:rsidRPr="00216FAF">
        <w:rPr>
          <w:szCs w:val="22"/>
        </w:rPr>
        <w:t xml:space="preserve"> and/or equipment at the top of the well casing, including outlets and values, designed to control the production of petroleum (commonly known in the industry as the “Christmas tree” being an assembly of valves mounted on the casing head through which petroleum </w:t>
      </w:r>
      <w:r w:rsidR="007537FE">
        <w:rPr>
          <w:szCs w:val="22"/>
        </w:rPr>
        <w:t>is</w:t>
      </w:r>
      <w:r w:rsidR="007537FE" w:rsidRPr="00216FAF">
        <w:rPr>
          <w:szCs w:val="22"/>
        </w:rPr>
        <w:t xml:space="preserve"> </w:t>
      </w:r>
      <w:r w:rsidRPr="00216FAF">
        <w:rPr>
          <w:szCs w:val="22"/>
        </w:rPr>
        <w:t>produced</w:t>
      </w:r>
      <w:r w:rsidR="00D253F3">
        <w:rPr>
          <w:szCs w:val="22"/>
        </w:rPr>
        <w:t>.</w:t>
      </w:r>
      <w:r w:rsidRPr="00216FAF">
        <w:rPr>
          <w:szCs w:val="22"/>
        </w:rPr>
        <w:t xml:space="preserve"> </w:t>
      </w:r>
      <w:r w:rsidR="00D253F3">
        <w:rPr>
          <w:szCs w:val="22"/>
        </w:rPr>
        <w:t>T</w:t>
      </w:r>
      <w:r w:rsidRPr="00216FAF">
        <w:rPr>
          <w:szCs w:val="22"/>
        </w:rPr>
        <w:t>he Christmas tree also contains valves for testing the well and for shutting it down if necessary</w:t>
      </w:r>
      <w:r w:rsidR="00504481">
        <w:rPr>
          <w:szCs w:val="22"/>
        </w:rPr>
        <w:t>)</w:t>
      </w:r>
      <w:r w:rsidRPr="00216FAF">
        <w:rPr>
          <w:szCs w:val="22"/>
        </w:rPr>
        <w:t xml:space="preserve">.  </w:t>
      </w:r>
    </w:p>
    <w:p w:rsidR="00C821FA" w:rsidRDefault="00332FB4" w:rsidP="0001099F">
      <w:pPr>
        <w:pStyle w:val="BlockText"/>
        <w:tabs>
          <w:tab w:val="clear" w:pos="567"/>
          <w:tab w:val="clear" w:pos="851"/>
          <w:tab w:val="clear" w:pos="1276"/>
          <w:tab w:val="clear" w:pos="1701"/>
        </w:tabs>
        <w:spacing w:before="120"/>
        <w:rPr>
          <w:szCs w:val="22"/>
        </w:rPr>
      </w:pPr>
      <w:r w:rsidRPr="00216FAF">
        <w:rPr>
          <w:szCs w:val="22"/>
        </w:rPr>
        <w:t>The point</w:t>
      </w:r>
      <w:r w:rsidR="00395E76">
        <w:rPr>
          <w:szCs w:val="22"/>
        </w:rPr>
        <w:t xml:space="preserve"> </w:t>
      </w:r>
      <w:r w:rsidRPr="00216FAF">
        <w:rPr>
          <w:szCs w:val="22"/>
        </w:rPr>
        <w:t xml:space="preserve">at which a </w:t>
      </w:r>
      <w:r w:rsidR="00F24077">
        <w:rPr>
          <w:szCs w:val="22"/>
        </w:rPr>
        <w:t>licensee</w:t>
      </w:r>
      <w:r w:rsidR="00F24077" w:rsidRPr="00216FAF">
        <w:rPr>
          <w:szCs w:val="22"/>
        </w:rPr>
        <w:t xml:space="preserve"> </w:t>
      </w:r>
      <w:r w:rsidRPr="00216FAF">
        <w:rPr>
          <w:szCs w:val="22"/>
        </w:rPr>
        <w:t xml:space="preserve">is required to bring to account the gross value of the petroleum for the purposes of calculating the royalty in respect of, or determining the consequent royalty implications arising from the recovery of the petroleum from, the relevant area of the retention licence or production licence is fixed by the terms of section 84(1) of the </w:t>
      </w:r>
      <w:r w:rsidRPr="00D253F3">
        <w:rPr>
          <w:iCs/>
          <w:szCs w:val="22"/>
        </w:rPr>
        <w:t>Act</w:t>
      </w:r>
      <w:r w:rsidRPr="00216FAF">
        <w:rPr>
          <w:szCs w:val="22"/>
        </w:rPr>
        <w:t xml:space="preserve"> (see also section 84(5) of </w:t>
      </w:r>
      <w:r w:rsidR="00D253F3" w:rsidRPr="00216FAF">
        <w:rPr>
          <w:szCs w:val="22"/>
        </w:rPr>
        <w:t>th</w:t>
      </w:r>
      <w:r w:rsidR="00D253F3">
        <w:rPr>
          <w:szCs w:val="22"/>
        </w:rPr>
        <w:t>e</w:t>
      </w:r>
      <w:r w:rsidR="00D253F3" w:rsidRPr="00216FAF">
        <w:rPr>
          <w:szCs w:val="22"/>
        </w:rPr>
        <w:t xml:space="preserve"> </w:t>
      </w:r>
      <w:r w:rsidRPr="00216FAF">
        <w:rPr>
          <w:szCs w:val="22"/>
        </w:rPr>
        <w:t xml:space="preserve">Act). The precise time at which the gross value of the petroleum has </w:t>
      </w:r>
      <w:r w:rsidRPr="00216FAF">
        <w:rPr>
          <w:szCs w:val="22"/>
        </w:rPr>
        <w:lastRenderedPageBreak/>
        <w:t xml:space="preserve">to </w:t>
      </w:r>
      <w:r w:rsidR="00E47E3D">
        <w:rPr>
          <w:szCs w:val="22"/>
        </w:rPr>
        <w:t>be determined</w:t>
      </w:r>
      <w:r w:rsidRPr="00216FAF">
        <w:rPr>
          <w:szCs w:val="22"/>
        </w:rPr>
        <w:t xml:space="preserve"> </w:t>
      </w:r>
      <w:r w:rsidR="00F24077">
        <w:rPr>
          <w:szCs w:val="22"/>
        </w:rPr>
        <w:t xml:space="preserve">is </w:t>
      </w:r>
      <w:r w:rsidRPr="00216FAF">
        <w:rPr>
          <w:szCs w:val="22"/>
        </w:rPr>
        <w:t xml:space="preserve">at the wellhead (see also sections 5(1) (definition of “well”) and 6(2) of the </w:t>
      </w:r>
      <w:r w:rsidRPr="00A951BA">
        <w:rPr>
          <w:iCs/>
          <w:szCs w:val="22"/>
        </w:rPr>
        <w:t>Act</w:t>
      </w:r>
      <w:r w:rsidRPr="00216FAF">
        <w:rPr>
          <w:szCs w:val="22"/>
        </w:rPr>
        <w:t>).</w:t>
      </w:r>
    </w:p>
    <w:p w:rsidR="00332FB4" w:rsidRDefault="00C821FA" w:rsidP="0001099F">
      <w:pPr>
        <w:pStyle w:val="BlockText"/>
        <w:rPr>
          <w:szCs w:val="22"/>
        </w:rPr>
      </w:pPr>
      <w:r w:rsidRPr="00C821FA">
        <w:rPr>
          <w:szCs w:val="22"/>
        </w:rPr>
        <w:t>For the purposes of calculating the amount of royalty payable, petroleum is deemed not to have been produced in the period to which the royalty calculation relates if, during that period, that petroleum is unavoidably lost</w:t>
      </w:r>
      <w:r w:rsidR="000D255A">
        <w:rPr>
          <w:szCs w:val="22"/>
        </w:rPr>
        <w:t>,</w:t>
      </w:r>
      <w:r w:rsidRPr="00C821FA">
        <w:rPr>
          <w:szCs w:val="22"/>
        </w:rPr>
        <w:t xml:space="preserve"> returned to the natural reservoir, flared or vented in accordance with good oilfield practice or used by the licensee for the purposes of approved mining operations or any incidental purposes (including the heating and lighting of the dwellings of employees engaged by the licensee in connection with the work of production and the heating and lighting of buildings maintained to provide social amenities for those employees, workers and their families).</w:t>
      </w:r>
      <w:r w:rsidR="00332FB4" w:rsidRPr="00C821FA">
        <w:rPr>
          <w:szCs w:val="22"/>
        </w:rPr>
        <w:t xml:space="preserve">  </w:t>
      </w:r>
    </w:p>
    <w:p w:rsidR="00C821FA" w:rsidRPr="0001099F" w:rsidRDefault="00C821FA" w:rsidP="0001099F">
      <w:pPr>
        <w:pStyle w:val="BlockText"/>
        <w:numPr>
          <w:ilvl w:val="0"/>
          <w:numId w:val="0"/>
        </w:numPr>
        <w:spacing w:before="240"/>
        <w:rPr>
          <w:i/>
          <w:szCs w:val="22"/>
          <w:u w:val="single"/>
        </w:rPr>
      </w:pPr>
      <w:r w:rsidRPr="0001099F">
        <w:rPr>
          <w:i/>
          <w:szCs w:val="22"/>
          <w:u w:val="single"/>
        </w:rPr>
        <w:t>Methods for determining gross value</w:t>
      </w:r>
    </w:p>
    <w:p w:rsidR="008B1217" w:rsidRDefault="00B4598B" w:rsidP="00C821FA">
      <w:pPr>
        <w:pStyle w:val="BlockText"/>
        <w:tabs>
          <w:tab w:val="clear" w:pos="567"/>
          <w:tab w:val="clear" w:pos="851"/>
          <w:tab w:val="clear" w:pos="1276"/>
          <w:tab w:val="clear" w:pos="1701"/>
        </w:tabs>
        <w:spacing w:before="120" w:after="60"/>
        <w:rPr>
          <w:szCs w:val="22"/>
        </w:rPr>
      </w:pPr>
      <w:r>
        <w:rPr>
          <w:szCs w:val="22"/>
        </w:rPr>
        <w:t xml:space="preserve">There are </w:t>
      </w:r>
      <w:r w:rsidR="00C821FA">
        <w:rPr>
          <w:szCs w:val="22"/>
        </w:rPr>
        <w:t xml:space="preserve">generally </w:t>
      </w:r>
      <w:r>
        <w:rPr>
          <w:szCs w:val="22"/>
        </w:rPr>
        <w:t>three</w:t>
      </w:r>
      <w:r w:rsidR="008B1217">
        <w:rPr>
          <w:szCs w:val="22"/>
        </w:rPr>
        <w:t xml:space="preserve"> methods used to determine “</w:t>
      </w:r>
      <w:r w:rsidR="008B1217" w:rsidRPr="007537FE">
        <w:rPr>
          <w:szCs w:val="22"/>
        </w:rPr>
        <w:t>gross value at the wellhead</w:t>
      </w:r>
      <w:r w:rsidR="008B1217">
        <w:rPr>
          <w:szCs w:val="22"/>
        </w:rPr>
        <w:t>”. First,</w:t>
      </w:r>
      <w:r w:rsidRPr="00B4598B">
        <w:rPr>
          <w:szCs w:val="22"/>
        </w:rPr>
        <w:t xml:space="preserve"> </w:t>
      </w:r>
      <w:r>
        <w:rPr>
          <w:szCs w:val="22"/>
        </w:rPr>
        <w:t xml:space="preserve">the most desirable method is to refer to the actual </w:t>
      </w:r>
      <w:r w:rsidR="00164F5A">
        <w:rPr>
          <w:szCs w:val="22"/>
        </w:rPr>
        <w:t xml:space="preserve">arm’s length </w:t>
      </w:r>
      <w:r>
        <w:rPr>
          <w:szCs w:val="22"/>
        </w:rPr>
        <w:t>sales</w:t>
      </w:r>
      <w:r w:rsidR="00896A09">
        <w:rPr>
          <w:szCs w:val="22"/>
        </w:rPr>
        <w:t xml:space="preserve"> to unrelated parties</w:t>
      </w:r>
      <w:r w:rsidR="00B31DF8">
        <w:rPr>
          <w:szCs w:val="22"/>
        </w:rPr>
        <w:t xml:space="preserve"> </w:t>
      </w:r>
      <w:r>
        <w:rPr>
          <w:szCs w:val="22"/>
        </w:rPr>
        <w:t xml:space="preserve">of the petroleum at the wellhead. The second method, used only when there is no </w:t>
      </w:r>
      <w:r w:rsidR="00341D76">
        <w:rPr>
          <w:szCs w:val="22"/>
        </w:rPr>
        <w:t xml:space="preserve">actual </w:t>
      </w:r>
      <w:r>
        <w:rPr>
          <w:szCs w:val="22"/>
        </w:rPr>
        <w:t>sale</w:t>
      </w:r>
      <w:r w:rsidR="00341D76">
        <w:rPr>
          <w:szCs w:val="22"/>
        </w:rPr>
        <w:t>s</w:t>
      </w:r>
      <w:r>
        <w:rPr>
          <w:szCs w:val="22"/>
        </w:rPr>
        <w:t xml:space="preserve"> of petroleum at the wellhead, is </w:t>
      </w:r>
      <w:r w:rsidR="008B1217">
        <w:rPr>
          <w:szCs w:val="22"/>
        </w:rPr>
        <w:t>comparable sales (i.e.</w:t>
      </w:r>
      <w:r w:rsidR="008B1217" w:rsidRPr="008B1217">
        <w:rPr>
          <w:szCs w:val="22"/>
        </w:rPr>
        <w:t xml:space="preserve"> </w:t>
      </w:r>
      <w:r w:rsidR="008B1217">
        <w:rPr>
          <w:szCs w:val="22"/>
        </w:rPr>
        <w:t>sales comparable in time, quality, quantity and availability of market outlets).</w:t>
      </w:r>
      <w:r>
        <w:rPr>
          <w:szCs w:val="22"/>
        </w:rPr>
        <w:t xml:space="preserve"> The third</w:t>
      </w:r>
      <w:r w:rsidR="008B1217">
        <w:rPr>
          <w:szCs w:val="22"/>
        </w:rPr>
        <w:t xml:space="preserve"> method</w:t>
      </w:r>
      <w:r w:rsidR="00951F54">
        <w:rPr>
          <w:szCs w:val="22"/>
        </w:rPr>
        <w:t xml:space="preserve">, used only when </w:t>
      </w:r>
      <w:r w:rsidR="00766ED0">
        <w:rPr>
          <w:szCs w:val="22"/>
        </w:rPr>
        <w:t xml:space="preserve">actual sales or </w:t>
      </w:r>
      <w:r w:rsidR="00951F54">
        <w:rPr>
          <w:szCs w:val="22"/>
        </w:rPr>
        <w:t>comparable sales are not available, is the net-back or wor</w:t>
      </w:r>
      <w:r w:rsidR="00F50109">
        <w:rPr>
          <w:szCs w:val="22"/>
        </w:rPr>
        <w:t>k</w:t>
      </w:r>
      <w:r w:rsidR="00951F54">
        <w:rPr>
          <w:szCs w:val="22"/>
        </w:rPr>
        <w:t>-back method</w:t>
      </w:r>
      <w:r w:rsidR="002A6AD4" w:rsidRPr="003C7D38">
        <w:rPr>
          <w:szCs w:val="22"/>
        </w:rPr>
        <w:t>;</w:t>
      </w:r>
      <w:r w:rsidR="00EE6B6D" w:rsidRPr="003C7D38">
        <w:rPr>
          <w:rStyle w:val="FootnoteReference"/>
          <w:szCs w:val="22"/>
        </w:rPr>
        <w:footnoteReference w:id="4"/>
      </w:r>
      <w:r w:rsidR="000D255A">
        <w:rPr>
          <w:szCs w:val="22"/>
        </w:rPr>
        <w:t xml:space="preserve"> </w:t>
      </w:r>
      <w:r w:rsidR="00302E21" w:rsidRPr="003C7D38">
        <w:rPr>
          <w:szCs w:val="22"/>
        </w:rPr>
        <w:t>i.e.</w:t>
      </w:r>
      <w:r w:rsidR="002A6AD4">
        <w:rPr>
          <w:szCs w:val="22"/>
        </w:rPr>
        <w:t xml:space="preserve"> </w:t>
      </w:r>
      <w:r w:rsidR="00C16DF1">
        <w:rPr>
          <w:szCs w:val="22"/>
        </w:rPr>
        <w:t>subject to one qualification or limitation</w:t>
      </w:r>
      <w:r w:rsidR="00302E21">
        <w:rPr>
          <w:szCs w:val="22"/>
        </w:rPr>
        <w:t xml:space="preserve"> </w:t>
      </w:r>
      <w:r w:rsidR="00302E21" w:rsidRPr="003C7D38">
        <w:rPr>
          <w:szCs w:val="22"/>
        </w:rPr>
        <w:t xml:space="preserve">(refer to paragraph </w:t>
      </w:r>
      <w:r w:rsidR="001913AD" w:rsidRPr="003C7D38">
        <w:rPr>
          <w:szCs w:val="22"/>
        </w:rPr>
        <w:t>2</w:t>
      </w:r>
      <w:r w:rsidR="001913AD">
        <w:rPr>
          <w:szCs w:val="22"/>
        </w:rPr>
        <w:t>6</w:t>
      </w:r>
      <w:r w:rsidR="00302E21" w:rsidRPr="003C7D38">
        <w:rPr>
          <w:szCs w:val="22"/>
        </w:rPr>
        <w:t>)</w:t>
      </w:r>
      <w:r w:rsidR="00C16DF1" w:rsidRPr="003C7D38">
        <w:rPr>
          <w:szCs w:val="22"/>
        </w:rPr>
        <w:t>,</w:t>
      </w:r>
      <w:r w:rsidR="00C16DF1">
        <w:rPr>
          <w:szCs w:val="22"/>
        </w:rPr>
        <w:t xml:space="preserve"> </w:t>
      </w:r>
      <w:r w:rsidR="002A6AD4">
        <w:rPr>
          <w:szCs w:val="22"/>
        </w:rPr>
        <w:t>the subtraction of reasonable post-wellhead costs from the actual sales price/</w:t>
      </w:r>
      <w:r w:rsidR="00341D76">
        <w:rPr>
          <w:szCs w:val="22"/>
        </w:rPr>
        <w:t>market value</w:t>
      </w:r>
      <w:r w:rsidR="002A6AD4">
        <w:rPr>
          <w:szCs w:val="22"/>
        </w:rPr>
        <w:t xml:space="preserve"> </w:t>
      </w:r>
      <w:r w:rsidR="00B31DF8">
        <w:rPr>
          <w:szCs w:val="22"/>
        </w:rPr>
        <w:t xml:space="preserve">(i.e. the arm’s length price achieved or achievable between unrelated parties) </w:t>
      </w:r>
      <w:r w:rsidR="002A6AD4">
        <w:rPr>
          <w:szCs w:val="22"/>
        </w:rPr>
        <w:t>at the first point of sale</w:t>
      </w:r>
      <w:r w:rsidR="00951F54">
        <w:rPr>
          <w:szCs w:val="22"/>
        </w:rPr>
        <w:t>.</w:t>
      </w:r>
      <w:r w:rsidR="00EA615A">
        <w:rPr>
          <w:szCs w:val="22"/>
        </w:rPr>
        <w:t xml:space="preserve"> </w:t>
      </w:r>
    </w:p>
    <w:p w:rsidR="00B60EB8" w:rsidRDefault="00332FB4" w:rsidP="00332FB4">
      <w:pPr>
        <w:pStyle w:val="BlockText"/>
        <w:tabs>
          <w:tab w:val="clear" w:pos="567"/>
          <w:tab w:val="clear" w:pos="851"/>
          <w:tab w:val="clear" w:pos="1276"/>
          <w:tab w:val="clear" w:pos="1701"/>
        </w:tabs>
        <w:spacing w:before="120" w:after="60"/>
        <w:rPr>
          <w:szCs w:val="22"/>
        </w:rPr>
      </w:pPr>
      <w:r w:rsidRPr="00216FAF">
        <w:rPr>
          <w:szCs w:val="22"/>
        </w:rPr>
        <w:t>Where there is no sale of petroleum at the wellhead</w:t>
      </w:r>
      <w:r w:rsidR="00B4598B">
        <w:rPr>
          <w:szCs w:val="22"/>
        </w:rPr>
        <w:t xml:space="preserve"> or comparable sales</w:t>
      </w:r>
      <w:r w:rsidRPr="00216FAF">
        <w:rPr>
          <w:szCs w:val="22"/>
        </w:rPr>
        <w:t xml:space="preserve">, </w:t>
      </w:r>
      <w:r w:rsidR="001E654F">
        <w:rPr>
          <w:szCs w:val="22"/>
        </w:rPr>
        <w:t>to enhance</w:t>
      </w:r>
      <w:r w:rsidRPr="00216FAF">
        <w:rPr>
          <w:szCs w:val="22"/>
        </w:rPr>
        <w:t xml:space="preserve"> administrative simplicity and to negate or minimise the potential for difficulties and uncertainties in valuing the petroleum at that precise point of time, a general practice has been adopted to determine the gross value of the recovered petroleum by taking the value at the point where the value of the petroleum can be independently established (this is generally the first point of sale) and deducting from this value, post-wellhead costs directly </w:t>
      </w:r>
      <w:r w:rsidR="00B60EB8">
        <w:rPr>
          <w:szCs w:val="22"/>
        </w:rPr>
        <w:t>attributable to</w:t>
      </w:r>
      <w:r w:rsidRPr="00216FAF">
        <w:rPr>
          <w:szCs w:val="22"/>
        </w:rPr>
        <w:t xml:space="preserve"> the production of petroleum </w:t>
      </w:r>
      <w:r w:rsidR="00B60EB8">
        <w:rPr>
          <w:szCs w:val="22"/>
        </w:rPr>
        <w:t>from the licen</w:t>
      </w:r>
      <w:r w:rsidR="008843F1">
        <w:rPr>
          <w:szCs w:val="22"/>
        </w:rPr>
        <w:t>c</w:t>
      </w:r>
      <w:r w:rsidR="00B60EB8">
        <w:rPr>
          <w:szCs w:val="22"/>
        </w:rPr>
        <w:t>e area</w:t>
      </w:r>
      <w:r w:rsidR="00CF726A">
        <w:rPr>
          <w:szCs w:val="22"/>
        </w:rPr>
        <w:t>.</w:t>
      </w:r>
    </w:p>
    <w:p w:rsidR="00757320" w:rsidRDefault="00E31FB8" w:rsidP="00981BA8">
      <w:pPr>
        <w:pStyle w:val="BlockText"/>
        <w:spacing w:before="120" w:after="60"/>
      </w:pPr>
      <w:r w:rsidRPr="00E31FB8">
        <w:rPr>
          <w:szCs w:val="22"/>
        </w:rPr>
        <w:t>Depending on the specific circumstances</w:t>
      </w:r>
      <w:r>
        <w:rPr>
          <w:szCs w:val="22"/>
        </w:rPr>
        <w:t xml:space="preserve">, </w:t>
      </w:r>
      <w:r w:rsidRPr="00E31FB8">
        <w:rPr>
          <w:szCs w:val="22"/>
        </w:rPr>
        <w:t xml:space="preserve">an alternative method or formula </w:t>
      </w:r>
      <w:r>
        <w:rPr>
          <w:szCs w:val="22"/>
        </w:rPr>
        <w:t>(other than the methodologies stated above)</w:t>
      </w:r>
      <w:r w:rsidR="00756075">
        <w:rPr>
          <w:szCs w:val="22"/>
        </w:rPr>
        <w:t>, the application of which results in an amount</w:t>
      </w:r>
      <w:r>
        <w:rPr>
          <w:szCs w:val="22"/>
        </w:rPr>
        <w:t xml:space="preserve"> </w:t>
      </w:r>
      <w:r w:rsidRPr="00E31FB8">
        <w:rPr>
          <w:szCs w:val="22"/>
        </w:rPr>
        <w:t xml:space="preserve">that </w:t>
      </w:r>
      <w:r w:rsidR="0070261B">
        <w:rPr>
          <w:szCs w:val="22"/>
        </w:rPr>
        <w:t xml:space="preserve">fairly </w:t>
      </w:r>
      <w:r w:rsidRPr="00E31FB8">
        <w:rPr>
          <w:szCs w:val="22"/>
        </w:rPr>
        <w:t>reflects the gross value concept and simplifies royalty calculations</w:t>
      </w:r>
      <w:r w:rsidR="00756075">
        <w:rPr>
          <w:szCs w:val="22"/>
        </w:rPr>
        <w:t>,</w:t>
      </w:r>
      <w:r>
        <w:rPr>
          <w:szCs w:val="22"/>
        </w:rPr>
        <w:t xml:space="preserve"> may also be considered.</w:t>
      </w:r>
    </w:p>
    <w:p w:rsidR="00757320" w:rsidRDefault="00757320" w:rsidP="00757320">
      <w:pPr>
        <w:pStyle w:val="BlockText"/>
        <w:spacing w:before="120" w:after="60"/>
      </w:pPr>
      <w:r>
        <w:rPr>
          <w:color w:val="000000"/>
        </w:rPr>
        <w:t>To allow for an alternative method to be considered</w:t>
      </w:r>
      <w:r w:rsidR="00A10848" w:rsidRPr="00A10848">
        <w:rPr>
          <w:color w:val="000000"/>
        </w:rPr>
        <w:t xml:space="preserve"> </w:t>
      </w:r>
      <w:r w:rsidR="00A10848">
        <w:rPr>
          <w:color w:val="000000"/>
        </w:rPr>
        <w:t>as part of the agreement process</w:t>
      </w:r>
      <w:r>
        <w:rPr>
          <w:color w:val="000000"/>
        </w:rPr>
        <w:t>,</w:t>
      </w:r>
      <w:r w:rsidR="00A10848">
        <w:rPr>
          <w:color w:val="000000"/>
        </w:rPr>
        <w:t xml:space="preserve"> </w:t>
      </w:r>
      <w:r>
        <w:rPr>
          <w:color w:val="000000"/>
        </w:rPr>
        <w:t>a</w:t>
      </w:r>
      <w:r w:rsidRPr="00757320">
        <w:rPr>
          <w:color w:val="000000"/>
        </w:rPr>
        <w:t xml:space="preserve"> written application or claim should be made to the </w:t>
      </w:r>
      <w:r>
        <w:rPr>
          <w:color w:val="000000"/>
        </w:rPr>
        <w:t xml:space="preserve">Commissioner of Territory Revenue </w:t>
      </w:r>
      <w:r w:rsidRPr="00757320">
        <w:rPr>
          <w:color w:val="000000"/>
        </w:rPr>
        <w:t xml:space="preserve">setting out a statement of reasons to establish and substantiate </w:t>
      </w:r>
      <w:r w:rsidR="00D50933" w:rsidRPr="003C7D38">
        <w:rPr>
          <w:color w:val="000000"/>
        </w:rPr>
        <w:t xml:space="preserve">to the Commissioner that </w:t>
      </w:r>
      <w:r w:rsidRPr="003C7D38">
        <w:rPr>
          <w:color w:val="000000"/>
        </w:rPr>
        <w:t>the alternative method</w:t>
      </w:r>
      <w:r w:rsidR="00D50933" w:rsidRPr="003C7D38">
        <w:rPr>
          <w:color w:val="000000"/>
        </w:rPr>
        <w:t xml:space="preserve"> accurately re</w:t>
      </w:r>
      <w:r w:rsidR="00914B3F" w:rsidRPr="003C7D38">
        <w:rPr>
          <w:color w:val="000000"/>
        </w:rPr>
        <w:t xml:space="preserve">presents </w:t>
      </w:r>
      <w:r w:rsidR="00D50933" w:rsidRPr="003C7D38">
        <w:rPr>
          <w:color w:val="000000"/>
        </w:rPr>
        <w:t>the gross value of the petroleum produced (or to be produced) from a licence area</w:t>
      </w:r>
      <w:r w:rsidRPr="003C7D38">
        <w:rPr>
          <w:color w:val="000000"/>
        </w:rPr>
        <w:t>.</w:t>
      </w:r>
      <w:r w:rsidRPr="00757320">
        <w:rPr>
          <w:color w:val="000000"/>
        </w:rPr>
        <w:t xml:space="preserve"> The reasons </w:t>
      </w:r>
      <w:r>
        <w:t>should be sufficiently explicit to identify and direct the Commissioner’s attention to the particular aspects upon which it is contended that the amount should be determined as the gross value of petroleum for the purposes of the Act.</w:t>
      </w:r>
    </w:p>
    <w:p w:rsidR="000C7E26" w:rsidRDefault="009228D0" w:rsidP="00981BA8">
      <w:pPr>
        <w:pStyle w:val="BlockText"/>
        <w:spacing w:before="120" w:after="60"/>
      </w:pPr>
      <w:r>
        <w:t xml:space="preserve">In circumstances </w:t>
      </w:r>
      <w:r w:rsidR="000C7E26">
        <w:t xml:space="preserve">where the sale or transaction </w:t>
      </w:r>
      <w:r w:rsidR="00302E21" w:rsidRPr="003C7D38">
        <w:t xml:space="preserve">involves a transfer pricing arrangement </w:t>
      </w:r>
      <w:r w:rsidR="000C7E26" w:rsidRPr="003C7D38">
        <w:t>between related parties</w:t>
      </w:r>
      <w:r w:rsidR="00302E21" w:rsidRPr="003C7D38">
        <w:t>, the licensee must</w:t>
      </w:r>
      <w:r w:rsidR="000C7E26" w:rsidRPr="003C7D38">
        <w:t xml:space="preserve"> establish and substantiate </w:t>
      </w:r>
      <w:r w:rsidR="00302E21" w:rsidRPr="003C7D38">
        <w:t>an alternate</w:t>
      </w:r>
      <w:r w:rsidR="000C7E26" w:rsidRPr="003C7D38">
        <w:t xml:space="preserve"> value</w:t>
      </w:r>
      <w:r w:rsidR="00D50933" w:rsidRPr="003C7D38">
        <w:t xml:space="preserve"> </w:t>
      </w:r>
      <w:r w:rsidRPr="003C7D38">
        <w:t>for petroleum royalty purposes.</w:t>
      </w:r>
      <w:r w:rsidR="00914B3F" w:rsidRPr="003C7D38">
        <w:t xml:space="preserve"> Generally, the alternate value should be determined i</w:t>
      </w:r>
      <w:r w:rsidR="00914B3F">
        <w:t xml:space="preserve">n conformity with the concepts, principles and rules identified and described in the </w:t>
      </w:r>
      <w:r w:rsidR="00914B3F" w:rsidRPr="003C7D38">
        <w:rPr>
          <w:i/>
        </w:rPr>
        <w:t>Mineral Royalty Act 1982</w:t>
      </w:r>
      <w:r w:rsidR="00914B3F">
        <w:t xml:space="preserve"> (NT)</w:t>
      </w:r>
      <w:r w:rsidR="000D255A">
        <w:t xml:space="preserve">. </w:t>
      </w:r>
    </w:p>
    <w:p w:rsidR="000C7E26" w:rsidRPr="001913AD" w:rsidRDefault="000C7E26" w:rsidP="001913AD">
      <w:pPr>
        <w:pStyle w:val="BlockText"/>
        <w:spacing w:before="120" w:after="60"/>
        <w:rPr>
          <w:szCs w:val="22"/>
        </w:rPr>
      </w:pPr>
      <w:r>
        <w:t xml:space="preserve">The </w:t>
      </w:r>
      <w:r w:rsidR="009228D0">
        <w:t>Commissioner of Territory Revenue</w:t>
      </w:r>
      <w:r>
        <w:t xml:space="preserve"> considers parties to be related where they are “related bodies corporate”, as defined in section 50 of the </w:t>
      </w:r>
      <w:r w:rsidRPr="000C7E26">
        <w:rPr>
          <w:i/>
        </w:rPr>
        <w:t>Corporations Act 2001</w:t>
      </w:r>
      <w:r>
        <w:t xml:space="preserve"> (Cth). This </w:t>
      </w:r>
      <w:r>
        <w:lastRenderedPageBreak/>
        <w:t>includes companies in a parent/subsidiary relationship and subsidiaries of the same parent company.</w:t>
      </w:r>
    </w:p>
    <w:p w:rsidR="002A7F42" w:rsidRPr="0001099F" w:rsidRDefault="005A5FB1" w:rsidP="0001099F">
      <w:pPr>
        <w:pStyle w:val="BlockText"/>
        <w:numPr>
          <w:ilvl w:val="0"/>
          <w:numId w:val="0"/>
        </w:numPr>
        <w:tabs>
          <w:tab w:val="clear" w:pos="851"/>
          <w:tab w:val="clear" w:pos="1276"/>
          <w:tab w:val="clear" w:pos="1701"/>
        </w:tabs>
        <w:spacing w:before="240" w:after="60"/>
        <w:rPr>
          <w:i/>
          <w:szCs w:val="22"/>
        </w:rPr>
      </w:pPr>
      <w:r>
        <w:rPr>
          <w:i/>
          <w:szCs w:val="22"/>
        </w:rPr>
        <w:t xml:space="preserve">Deductible </w:t>
      </w:r>
      <w:r w:rsidR="00E26002">
        <w:rPr>
          <w:i/>
          <w:szCs w:val="22"/>
        </w:rPr>
        <w:t>p</w:t>
      </w:r>
      <w:r w:rsidR="002A7F42" w:rsidRPr="0001099F">
        <w:rPr>
          <w:i/>
          <w:szCs w:val="22"/>
        </w:rPr>
        <w:t>ost-wellhead costs</w:t>
      </w:r>
      <w:r w:rsidR="0001099F" w:rsidRPr="0001099F">
        <w:rPr>
          <w:i/>
          <w:szCs w:val="22"/>
        </w:rPr>
        <w:t xml:space="preserve"> </w:t>
      </w:r>
      <w:r w:rsidR="002A7F42" w:rsidRPr="0001099F">
        <w:rPr>
          <w:i/>
          <w:szCs w:val="22"/>
        </w:rPr>
        <w:t xml:space="preserve">under a net-back </w:t>
      </w:r>
      <w:r w:rsidR="00E915A4">
        <w:rPr>
          <w:i/>
          <w:szCs w:val="22"/>
        </w:rPr>
        <w:t>method</w:t>
      </w:r>
    </w:p>
    <w:p w:rsidR="00CF726A" w:rsidRPr="0001099F" w:rsidRDefault="00CF726A" w:rsidP="008E6C72">
      <w:pPr>
        <w:pStyle w:val="BlockText"/>
        <w:tabs>
          <w:tab w:val="clear" w:pos="567"/>
          <w:tab w:val="clear" w:pos="851"/>
          <w:tab w:val="clear" w:pos="1276"/>
          <w:tab w:val="clear" w:pos="1701"/>
        </w:tabs>
        <w:spacing w:before="120" w:after="60"/>
        <w:rPr>
          <w:szCs w:val="22"/>
        </w:rPr>
      </w:pPr>
      <w:r w:rsidRPr="00CF726A">
        <w:rPr>
          <w:szCs w:val="22"/>
        </w:rPr>
        <w:t xml:space="preserve">As the royalties on petroleum within the scope of the </w:t>
      </w:r>
      <w:r w:rsidRPr="00A951BA">
        <w:rPr>
          <w:iCs/>
          <w:color w:val="000000"/>
          <w:szCs w:val="22"/>
        </w:rPr>
        <w:t>Act</w:t>
      </w:r>
      <w:r w:rsidRPr="00CF726A">
        <w:rPr>
          <w:color w:val="000000"/>
          <w:szCs w:val="22"/>
        </w:rPr>
        <w:t xml:space="preserve"> </w:t>
      </w:r>
      <w:r w:rsidRPr="00CF726A">
        <w:rPr>
          <w:iCs/>
          <w:szCs w:val="22"/>
        </w:rPr>
        <w:t xml:space="preserve">are charged on </w:t>
      </w:r>
      <w:r w:rsidRPr="00CF726A">
        <w:rPr>
          <w:color w:val="000000"/>
          <w:szCs w:val="22"/>
        </w:rPr>
        <w:t xml:space="preserve">an </w:t>
      </w:r>
      <w:r w:rsidRPr="00CF726A">
        <w:rPr>
          <w:i/>
          <w:iCs/>
          <w:szCs w:val="22"/>
        </w:rPr>
        <w:t xml:space="preserve">ad valorem </w:t>
      </w:r>
      <w:r w:rsidRPr="00CF726A">
        <w:rPr>
          <w:iCs/>
          <w:szCs w:val="22"/>
        </w:rPr>
        <w:t xml:space="preserve">basis (not a profit-based or net value approach), </w:t>
      </w:r>
      <w:r w:rsidR="0001099F">
        <w:rPr>
          <w:iCs/>
          <w:szCs w:val="22"/>
        </w:rPr>
        <w:t>where a net-ba</w:t>
      </w:r>
      <w:r w:rsidR="001D1411">
        <w:rPr>
          <w:iCs/>
          <w:szCs w:val="22"/>
        </w:rPr>
        <w:t>c</w:t>
      </w:r>
      <w:r w:rsidR="0001099F">
        <w:rPr>
          <w:iCs/>
          <w:szCs w:val="22"/>
        </w:rPr>
        <w:t xml:space="preserve">k method is used, </w:t>
      </w:r>
      <w:r w:rsidR="007E630D" w:rsidRPr="003C7D38">
        <w:rPr>
          <w:iCs/>
          <w:szCs w:val="22"/>
        </w:rPr>
        <w:t>generally</w:t>
      </w:r>
      <w:r w:rsidR="007E630D">
        <w:rPr>
          <w:iCs/>
          <w:szCs w:val="22"/>
        </w:rPr>
        <w:t xml:space="preserve"> </w:t>
      </w:r>
      <w:r w:rsidRPr="00CF726A">
        <w:rPr>
          <w:iCs/>
          <w:szCs w:val="22"/>
        </w:rPr>
        <w:t xml:space="preserve">a limit on post-wellhead costs up to 50 per cent of the gross value for petroleum production </w:t>
      </w:r>
      <w:r w:rsidR="00A93EF2" w:rsidRPr="003C7D38">
        <w:rPr>
          <w:iCs/>
          <w:szCs w:val="22"/>
        </w:rPr>
        <w:t>will</w:t>
      </w:r>
      <w:r w:rsidRPr="00CF726A">
        <w:rPr>
          <w:iCs/>
          <w:szCs w:val="22"/>
        </w:rPr>
        <w:t xml:space="preserve"> be incorporated into the written agreement or determination. Any deduction in excess of this limit may be carried forward to the next royalty period without adjustment for inflation.</w:t>
      </w:r>
      <w:r w:rsidR="008843F1">
        <w:rPr>
          <w:iCs/>
          <w:szCs w:val="22"/>
        </w:rPr>
        <w:t xml:space="preserve"> </w:t>
      </w:r>
      <w:r w:rsidRPr="00CF726A">
        <w:rPr>
          <w:iCs/>
          <w:szCs w:val="22"/>
        </w:rPr>
        <w:t xml:space="preserve">This limitation acknowledges the inherent nature of the petroleum royalty scheme and ensures that deductions will never exceed sales value and that the Territory will always receive a royalty on production under the </w:t>
      </w:r>
      <w:r w:rsidRPr="00CF726A">
        <w:rPr>
          <w:i/>
          <w:iCs/>
          <w:szCs w:val="22"/>
        </w:rPr>
        <w:t>ad valorem</w:t>
      </w:r>
      <w:r w:rsidRPr="00CF726A">
        <w:rPr>
          <w:iCs/>
          <w:szCs w:val="22"/>
        </w:rPr>
        <w:t xml:space="preserve"> scheme.</w:t>
      </w:r>
    </w:p>
    <w:p w:rsidR="00E26002" w:rsidRDefault="00E26002" w:rsidP="00981BA8">
      <w:pPr>
        <w:pStyle w:val="BlockText"/>
        <w:spacing w:before="120" w:after="60"/>
        <w:rPr>
          <w:szCs w:val="22"/>
        </w:rPr>
      </w:pPr>
      <w:r w:rsidRPr="00E26002">
        <w:rPr>
          <w:szCs w:val="22"/>
        </w:rPr>
        <w:t xml:space="preserve">While revenue and costs are calculated on a field by field basis, depending on its specific circumstances, “post-wellhead costs” are normal operating costs which are reasonable in amount and are directly attributable to the production, maintenance for the purpose of production or the marketing or sale of petroleum products from the licence area. These will generally include field gathering costs (i.e. costs of running the petroleum from the well(s) into processing facilities), processing, storage and pipeline tariffs or transportation costs (i.e. costs of transporting the petroleum to the refinery or the first point of sale). </w:t>
      </w:r>
    </w:p>
    <w:p w:rsidR="00E26002" w:rsidRPr="00E26002" w:rsidRDefault="00D50933" w:rsidP="0070261B">
      <w:pPr>
        <w:pStyle w:val="BlockText"/>
        <w:spacing w:before="120" w:after="60"/>
        <w:rPr>
          <w:szCs w:val="22"/>
        </w:rPr>
      </w:pPr>
      <w:r>
        <w:rPr>
          <w:szCs w:val="22"/>
        </w:rPr>
        <w:t>L</w:t>
      </w:r>
      <w:r w:rsidR="00E26002" w:rsidRPr="00E26002">
        <w:rPr>
          <w:szCs w:val="22"/>
        </w:rPr>
        <w:t xml:space="preserve">abour, office and management costs are </w:t>
      </w:r>
      <w:r w:rsidR="007E630D" w:rsidRPr="003C7D38">
        <w:rPr>
          <w:szCs w:val="22"/>
        </w:rPr>
        <w:t>generally</w:t>
      </w:r>
      <w:r w:rsidR="007E630D">
        <w:rPr>
          <w:szCs w:val="22"/>
        </w:rPr>
        <w:t xml:space="preserve"> </w:t>
      </w:r>
      <w:r w:rsidR="00E26002" w:rsidRPr="00E26002">
        <w:rPr>
          <w:szCs w:val="22"/>
        </w:rPr>
        <w:t xml:space="preserve">deductible if the work was performed solely in the Northern Territory and was directly attributable to the </w:t>
      </w:r>
      <w:r w:rsidR="007E630D" w:rsidRPr="003C7D38">
        <w:rPr>
          <w:szCs w:val="22"/>
        </w:rPr>
        <w:t>petroleum</w:t>
      </w:r>
      <w:r w:rsidR="007E630D">
        <w:rPr>
          <w:szCs w:val="22"/>
        </w:rPr>
        <w:t xml:space="preserve"> </w:t>
      </w:r>
      <w:r w:rsidR="00E26002" w:rsidRPr="00E26002">
        <w:rPr>
          <w:szCs w:val="22"/>
        </w:rPr>
        <w:t>operations conducted on the licence area.</w:t>
      </w:r>
    </w:p>
    <w:p w:rsidR="00E26002" w:rsidRDefault="00E26002" w:rsidP="0070261B">
      <w:pPr>
        <w:pStyle w:val="BlockText"/>
        <w:spacing w:before="120" w:after="60"/>
        <w:rPr>
          <w:szCs w:val="22"/>
        </w:rPr>
      </w:pPr>
      <w:r w:rsidRPr="00E26002">
        <w:rPr>
          <w:szCs w:val="22"/>
        </w:rPr>
        <w:t xml:space="preserve">In relation to field production assets (i.e. assets located on the licence area) used for petroleum production, </w:t>
      </w:r>
      <w:r>
        <w:rPr>
          <w:szCs w:val="22"/>
        </w:rPr>
        <w:t>deductions</w:t>
      </w:r>
      <w:r w:rsidRPr="00E26002">
        <w:rPr>
          <w:szCs w:val="22"/>
        </w:rPr>
        <w:t xml:space="preserve"> will </w:t>
      </w:r>
      <w:r>
        <w:rPr>
          <w:szCs w:val="22"/>
        </w:rPr>
        <w:t xml:space="preserve">generally </w:t>
      </w:r>
      <w:r w:rsidRPr="00E26002">
        <w:rPr>
          <w:szCs w:val="22"/>
        </w:rPr>
        <w:t xml:space="preserve">be allowed for depreciation in conformity with the income tax treatment of the asset and any gain or loss on the sale of eligible field assets will be included as part of the allowable deduction calculation. </w:t>
      </w:r>
    </w:p>
    <w:p w:rsidR="00E26002" w:rsidRPr="0001099F" w:rsidRDefault="007E630D" w:rsidP="0001099F">
      <w:pPr>
        <w:pStyle w:val="BlockText"/>
        <w:numPr>
          <w:ilvl w:val="0"/>
          <w:numId w:val="0"/>
        </w:numPr>
        <w:spacing w:before="240"/>
        <w:rPr>
          <w:i/>
          <w:szCs w:val="22"/>
        </w:rPr>
      </w:pPr>
      <w:r w:rsidRPr="003C7D38">
        <w:rPr>
          <w:i/>
          <w:szCs w:val="22"/>
        </w:rPr>
        <w:t>Non-deductible</w:t>
      </w:r>
      <w:r>
        <w:rPr>
          <w:i/>
          <w:szCs w:val="22"/>
        </w:rPr>
        <w:t xml:space="preserve"> c</w:t>
      </w:r>
      <w:r w:rsidR="00CE74E0" w:rsidRPr="0001099F">
        <w:rPr>
          <w:i/>
          <w:szCs w:val="22"/>
        </w:rPr>
        <w:t>osts under a net-back method</w:t>
      </w:r>
    </w:p>
    <w:p w:rsidR="00C821FA" w:rsidRPr="00216FAF" w:rsidRDefault="00C821FA" w:rsidP="00C821FA">
      <w:pPr>
        <w:pStyle w:val="BlockText"/>
        <w:tabs>
          <w:tab w:val="clear" w:pos="567"/>
          <w:tab w:val="clear" w:pos="851"/>
          <w:tab w:val="clear" w:pos="1276"/>
          <w:tab w:val="clear" w:pos="1701"/>
        </w:tabs>
        <w:spacing w:before="120" w:after="60"/>
        <w:rPr>
          <w:szCs w:val="22"/>
        </w:rPr>
      </w:pPr>
      <w:r w:rsidRPr="00216FAF">
        <w:rPr>
          <w:szCs w:val="22"/>
        </w:rPr>
        <w:t>The concept or notion of “gross value” clearly prohibits the deduction of pre-wellhead costs such as exploration costs (i.e. costs incurred in</w:t>
      </w:r>
      <w:r>
        <w:rPr>
          <w:szCs w:val="22"/>
        </w:rPr>
        <w:t xml:space="preserve"> </w:t>
      </w:r>
      <w:r w:rsidRPr="00216FAF">
        <w:rPr>
          <w:szCs w:val="22"/>
        </w:rPr>
        <w:t xml:space="preserve">exploring and prospecting for petroleum and outlays on plant and other items of capital equipment required to develop petroleum from a well), lifting costs (being the costs of bringing petroleum to the surface), reservoir maintenance costs and overhead costs relating to pre-wellhead activities. </w:t>
      </w:r>
    </w:p>
    <w:p w:rsidR="00332FB4" w:rsidRPr="00216FAF" w:rsidRDefault="00332FB4" w:rsidP="008E6C72">
      <w:pPr>
        <w:pStyle w:val="BlockText"/>
        <w:tabs>
          <w:tab w:val="clear" w:pos="567"/>
          <w:tab w:val="clear" w:pos="851"/>
          <w:tab w:val="clear" w:pos="1276"/>
          <w:tab w:val="clear" w:pos="1701"/>
        </w:tabs>
        <w:spacing w:before="120" w:after="60"/>
        <w:rPr>
          <w:szCs w:val="22"/>
        </w:rPr>
      </w:pPr>
      <w:r w:rsidRPr="00216FAF">
        <w:rPr>
          <w:szCs w:val="22"/>
        </w:rPr>
        <w:t>Where a field or project ceases production as a result of a permanent shut down or a field or project ceases production and its operation is placed in care and maintenance for an indefinite period (as a result of a temporary shut down), mothballing costs (however described such as care and maintenance or abandonment costs) - even if mothballing costs may be required to maintain plant and gathering systems to facilitate the safe re</w:t>
      </w:r>
      <w:r w:rsidR="008C5596">
        <w:rPr>
          <w:szCs w:val="22"/>
        </w:rPr>
        <w:noBreakHyphen/>
      </w:r>
      <w:r w:rsidRPr="00216FAF">
        <w:rPr>
          <w:szCs w:val="22"/>
        </w:rPr>
        <w:t xml:space="preserve">commencement of production at some future period of time - are considered not </w:t>
      </w:r>
      <w:r w:rsidR="00AA7342">
        <w:rPr>
          <w:szCs w:val="22"/>
        </w:rPr>
        <w:t xml:space="preserve">to </w:t>
      </w:r>
      <w:r w:rsidRPr="00216FAF">
        <w:rPr>
          <w:szCs w:val="22"/>
        </w:rPr>
        <w:t xml:space="preserve">be directly attributable to the production of petroleum from the field. Consequently, that expenditure is not eligible to be claimed as post-wellhead costs. </w:t>
      </w:r>
    </w:p>
    <w:p w:rsidR="00332FB4" w:rsidRDefault="00332FB4" w:rsidP="00332FB4">
      <w:pPr>
        <w:pStyle w:val="BlockText"/>
        <w:tabs>
          <w:tab w:val="clear" w:pos="567"/>
          <w:tab w:val="clear" w:pos="851"/>
          <w:tab w:val="clear" w:pos="1276"/>
          <w:tab w:val="clear" w:pos="1701"/>
        </w:tabs>
        <w:spacing w:before="120" w:after="60"/>
        <w:rPr>
          <w:szCs w:val="22"/>
        </w:rPr>
      </w:pPr>
      <w:r w:rsidRPr="00216FAF">
        <w:rPr>
          <w:szCs w:val="22"/>
        </w:rPr>
        <w:t>Similarly, deferred or post</w:t>
      </w:r>
      <w:r w:rsidR="0002298B">
        <w:rPr>
          <w:szCs w:val="22"/>
        </w:rPr>
        <w:t>-</w:t>
      </w:r>
      <w:r w:rsidRPr="00216FAF">
        <w:rPr>
          <w:szCs w:val="22"/>
        </w:rPr>
        <w:t>production rehabilitation expenditure (i.e. expenditure incurred subsequent to the cessation of production and, accordingly, not directly attributable to the production of petroleum from the field) is not eligible to be claimed as post-wellhead costs.</w:t>
      </w:r>
    </w:p>
    <w:p w:rsidR="00CE74E0" w:rsidRPr="0001099F" w:rsidRDefault="00CE74E0" w:rsidP="0001099F">
      <w:pPr>
        <w:pStyle w:val="BlockText"/>
        <w:tabs>
          <w:tab w:val="clear" w:pos="567"/>
          <w:tab w:val="clear" w:pos="851"/>
          <w:tab w:val="clear" w:pos="1276"/>
          <w:tab w:val="clear" w:pos="1701"/>
        </w:tabs>
        <w:spacing w:before="120" w:after="60"/>
        <w:rPr>
          <w:szCs w:val="22"/>
        </w:rPr>
      </w:pPr>
      <w:r>
        <w:rPr>
          <w:rFonts w:eastAsia="Calibri"/>
          <w:szCs w:val="22"/>
        </w:rPr>
        <w:t xml:space="preserve">In addition, any gains/losses from </w:t>
      </w:r>
      <w:r w:rsidRPr="00BA47EB">
        <w:rPr>
          <w:rFonts w:eastAsia="Calibri"/>
          <w:szCs w:val="22"/>
        </w:rPr>
        <w:t xml:space="preserve">foreign exchange </w:t>
      </w:r>
      <w:r>
        <w:rPr>
          <w:rFonts w:eastAsia="Calibri"/>
          <w:szCs w:val="22"/>
        </w:rPr>
        <w:t xml:space="preserve">dealings </w:t>
      </w:r>
      <w:r w:rsidRPr="00BA47EB">
        <w:rPr>
          <w:rFonts w:eastAsia="Calibri"/>
          <w:szCs w:val="22"/>
        </w:rPr>
        <w:t xml:space="preserve">and asset revaluation </w:t>
      </w:r>
      <w:r>
        <w:rPr>
          <w:rFonts w:eastAsia="Calibri"/>
          <w:szCs w:val="22"/>
        </w:rPr>
        <w:t>adjustments will not be recognised for royalty purposes.</w:t>
      </w:r>
    </w:p>
    <w:p w:rsidR="00E915A4" w:rsidRPr="0001099F" w:rsidRDefault="00E915A4" w:rsidP="0001099F">
      <w:pPr>
        <w:pStyle w:val="BlockText"/>
        <w:numPr>
          <w:ilvl w:val="0"/>
          <w:numId w:val="0"/>
        </w:numPr>
        <w:tabs>
          <w:tab w:val="clear" w:pos="851"/>
          <w:tab w:val="clear" w:pos="1276"/>
          <w:tab w:val="clear" w:pos="1701"/>
        </w:tabs>
        <w:spacing w:before="240" w:after="60"/>
        <w:rPr>
          <w:i/>
          <w:szCs w:val="22"/>
          <w:u w:val="single"/>
        </w:rPr>
      </w:pPr>
      <w:r w:rsidRPr="0001099F">
        <w:rPr>
          <w:i/>
          <w:szCs w:val="22"/>
          <w:u w:val="single"/>
        </w:rPr>
        <w:t>Royalty agreements with the Treasurer</w:t>
      </w:r>
    </w:p>
    <w:p w:rsidR="002A7F42" w:rsidRPr="00332FB4" w:rsidRDefault="002A7F42" w:rsidP="0070261B">
      <w:pPr>
        <w:pStyle w:val="BlockText"/>
        <w:tabs>
          <w:tab w:val="clear" w:pos="567"/>
          <w:tab w:val="clear" w:pos="851"/>
          <w:tab w:val="left" w:pos="540"/>
          <w:tab w:val="left" w:pos="7380"/>
        </w:tabs>
        <w:spacing w:before="120" w:after="60"/>
        <w:rPr>
          <w:szCs w:val="22"/>
        </w:rPr>
      </w:pPr>
      <w:r w:rsidRPr="00216FAF">
        <w:rPr>
          <w:szCs w:val="22"/>
        </w:rPr>
        <w:t xml:space="preserve">For the purposes of entering into a written agreement with the Treasurer under section 84 of the </w:t>
      </w:r>
      <w:r w:rsidRPr="00A951BA">
        <w:rPr>
          <w:szCs w:val="22"/>
        </w:rPr>
        <w:t>Act</w:t>
      </w:r>
      <w:r w:rsidRPr="00D8720D">
        <w:rPr>
          <w:szCs w:val="22"/>
        </w:rPr>
        <w:t xml:space="preserve"> </w:t>
      </w:r>
      <w:r w:rsidRPr="00216FAF">
        <w:rPr>
          <w:szCs w:val="22"/>
        </w:rPr>
        <w:t xml:space="preserve">and to ensure that any future royalty (in relation to petroleum produced from an area that is subject to a retention licence or production licence) is correctly accounted for and paid in a timely manner, it is important that a prospective </w:t>
      </w:r>
      <w:r>
        <w:rPr>
          <w:szCs w:val="22"/>
        </w:rPr>
        <w:t xml:space="preserve">licensee </w:t>
      </w:r>
      <w:r w:rsidRPr="00216FAF">
        <w:rPr>
          <w:szCs w:val="22"/>
        </w:rPr>
        <w:t xml:space="preserve">notifies, and commences discussions with, the Territory Revenue Office (being the office responsible for administration </w:t>
      </w:r>
      <w:r w:rsidRPr="00216FAF">
        <w:rPr>
          <w:szCs w:val="22"/>
        </w:rPr>
        <w:lastRenderedPageBreak/>
        <w:t xml:space="preserve">and enforcement of the royalty provisions of the </w:t>
      </w:r>
      <w:r w:rsidRPr="00A951BA">
        <w:rPr>
          <w:szCs w:val="22"/>
        </w:rPr>
        <w:t>Act</w:t>
      </w:r>
      <w:r w:rsidRPr="00216FAF">
        <w:rPr>
          <w:szCs w:val="22"/>
        </w:rPr>
        <w:t>), when an application for a retention licence or a production licence is submitted to the Department of Mines and Energy.</w:t>
      </w:r>
    </w:p>
    <w:p w:rsidR="00332FB4" w:rsidRPr="00216FAF" w:rsidRDefault="00332FB4" w:rsidP="00332FB4">
      <w:pPr>
        <w:pStyle w:val="BlockText"/>
        <w:tabs>
          <w:tab w:val="clear" w:pos="567"/>
          <w:tab w:val="clear" w:pos="851"/>
          <w:tab w:val="clear" w:pos="1276"/>
          <w:tab w:val="clear" w:pos="1701"/>
        </w:tabs>
        <w:spacing w:before="120" w:after="60"/>
        <w:rPr>
          <w:szCs w:val="22"/>
        </w:rPr>
      </w:pPr>
      <w:r w:rsidRPr="00216FAF">
        <w:rPr>
          <w:szCs w:val="22"/>
        </w:rPr>
        <w:t xml:space="preserve">Subject to all of the particular circumstances of the prospective field or project and the ultimate views and </w:t>
      </w:r>
      <w:r w:rsidR="00F24077">
        <w:rPr>
          <w:szCs w:val="22"/>
        </w:rPr>
        <w:t>consent</w:t>
      </w:r>
      <w:r w:rsidR="00F24077" w:rsidRPr="00216FAF">
        <w:rPr>
          <w:szCs w:val="22"/>
        </w:rPr>
        <w:t xml:space="preserve"> </w:t>
      </w:r>
      <w:r w:rsidRPr="00216FAF">
        <w:rPr>
          <w:szCs w:val="22"/>
        </w:rPr>
        <w:t xml:space="preserve">of the Treasurer, the terms of any legally enforceable written agreement between a licensee and the Treasurer </w:t>
      </w:r>
      <w:r w:rsidR="00E915A4">
        <w:rPr>
          <w:szCs w:val="22"/>
        </w:rPr>
        <w:t xml:space="preserve">will generally align with the principles set out in this Overview and </w:t>
      </w:r>
      <w:r w:rsidRPr="00216FAF">
        <w:rPr>
          <w:szCs w:val="22"/>
        </w:rPr>
        <w:t>may include:</w:t>
      </w:r>
    </w:p>
    <w:p w:rsidR="00332FB4" w:rsidRDefault="002A2487" w:rsidP="00A951BA">
      <w:pPr>
        <w:spacing w:before="120" w:after="60"/>
        <w:ind w:left="1134" w:hanging="567"/>
        <w:jc w:val="both"/>
        <w:rPr>
          <w:color w:val="000000"/>
          <w:szCs w:val="22"/>
        </w:rPr>
      </w:pPr>
      <w:r>
        <w:rPr>
          <w:szCs w:val="22"/>
        </w:rPr>
        <w:t>(1)</w:t>
      </w:r>
      <w:r>
        <w:rPr>
          <w:szCs w:val="22"/>
        </w:rPr>
        <w:tab/>
      </w:r>
      <w:r w:rsidR="00332FB4" w:rsidRPr="00216FAF">
        <w:rPr>
          <w:szCs w:val="22"/>
        </w:rPr>
        <w:t>an appropriate or reliable net-back method or approach to determine the gross value of all the petroleum recovered at the wellhead</w:t>
      </w:r>
      <w:r w:rsidR="00EE6B6D">
        <w:rPr>
          <w:szCs w:val="22"/>
        </w:rPr>
        <w:t xml:space="preserve"> </w:t>
      </w:r>
      <w:r w:rsidR="00332FB4" w:rsidRPr="00216FAF">
        <w:rPr>
          <w:szCs w:val="22"/>
        </w:rPr>
        <w:t xml:space="preserve">from the actual downstream sales value of </w:t>
      </w:r>
      <w:r w:rsidR="00332FB4" w:rsidRPr="00216FAF">
        <w:rPr>
          <w:color w:val="000000"/>
          <w:szCs w:val="22"/>
        </w:rPr>
        <w:t>petroleum or, in the alternative, v</w:t>
      </w:r>
      <w:r w:rsidR="00332FB4">
        <w:rPr>
          <w:color w:val="000000"/>
          <w:szCs w:val="22"/>
        </w:rPr>
        <w:t>alue added products such as LNG</w:t>
      </w:r>
      <w:r w:rsidR="00332FB4" w:rsidRPr="00216FAF">
        <w:rPr>
          <w:color w:val="000000"/>
          <w:szCs w:val="22"/>
        </w:rPr>
        <w:t>; and</w:t>
      </w:r>
    </w:p>
    <w:p w:rsidR="002A2487" w:rsidRPr="00216FAF" w:rsidRDefault="002A2487" w:rsidP="00A951BA">
      <w:pPr>
        <w:spacing w:before="120" w:after="60"/>
        <w:ind w:left="1134" w:hanging="567"/>
        <w:jc w:val="both"/>
        <w:rPr>
          <w:color w:val="000000"/>
          <w:szCs w:val="22"/>
        </w:rPr>
      </w:pPr>
      <w:r>
        <w:rPr>
          <w:color w:val="000000"/>
          <w:szCs w:val="22"/>
        </w:rPr>
        <w:t>(2)</w:t>
      </w:r>
      <w:r>
        <w:rPr>
          <w:color w:val="000000"/>
          <w:szCs w:val="22"/>
        </w:rPr>
        <w:tab/>
      </w:r>
      <w:r w:rsidRPr="00216FAF">
        <w:rPr>
          <w:szCs w:val="22"/>
        </w:rPr>
        <w:t xml:space="preserve">relevant </w:t>
      </w:r>
      <w:r w:rsidR="00E915A4">
        <w:rPr>
          <w:szCs w:val="22"/>
        </w:rPr>
        <w:t xml:space="preserve">deductible </w:t>
      </w:r>
      <w:r w:rsidRPr="00216FAF">
        <w:rPr>
          <w:szCs w:val="22"/>
        </w:rPr>
        <w:t>post</w:t>
      </w:r>
      <w:r w:rsidR="004B73B5">
        <w:rPr>
          <w:szCs w:val="22"/>
        </w:rPr>
        <w:t>-</w:t>
      </w:r>
      <w:r w:rsidRPr="00216FAF">
        <w:rPr>
          <w:szCs w:val="22"/>
        </w:rPr>
        <w:t>wellhead costs (including capital costs) directly attributable to the production of petroleum from the field or project - which are reasonable in amount (i.e. the amount expended must represent the fair and realistic value of the activities carried out).</w:t>
      </w:r>
    </w:p>
    <w:p w:rsidR="00F66ABB" w:rsidRDefault="00870B16" w:rsidP="00395E76">
      <w:pPr>
        <w:pStyle w:val="HeadingTwo"/>
        <w:spacing w:before="240"/>
        <w:jc w:val="both"/>
      </w:pPr>
      <w:r>
        <w:t>Lodgement</w:t>
      </w:r>
      <w:r w:rsidR="00F66ABB">
        <w:t xml:space="preserve"> of </w:t>
      </w:r>
      <w:r w:rsidR="00052714">
        <w:t>r</w:t>
      </w:r>
      <w:r w:rsidR="00F66ABB">
        <w:t xml:space="preserve">oyalty </w:t>
      </w:r>
      <w:r w:rsidR="00052714">
        <w:t>r</w:t>
      </w:r>
      <w:r w:rsidR="00F66ABB">
        <w:t>eturns</w:t>
      </w:r>
    </w:p>
    <w:p w:rsidR="00332FB4" w:rsidRPr="00332FB4" w:rsidRDefault="00332FB4" w:rsidP="0070261B">
      <w:pPr>
        <w:pStyle w:val="BlockText"/>
        <w:tabs>
          <w:tab w:val="clear" w:pos="567"/>
          <w:tab w:val="clear" w:pos="851"/>
          <w:tab w:val="clear" w:pos="1276"/>
          <w:tab w:val="clear" w:pos="1701"/>
        </w:tabs>
        <w:spacing w:before="120" w:after="60"/>
      </w:pPr>
      <w:r w:rsidRPr="00216FAF">
        <w:rPr>
          <w:szCs w:val="22"/>
        </w:rPr>
        <w:t xml:space="preserve">Annual royalty returns are required to be lodged in circumstances where the production of </w:t>
      </w:r>
      <w:r w:rsidR="007537FE" w:rsidRPr="00216FAF">
        <w:rPr>
          <w:szCs w:val="22"/>
        </w:rPr>
        <w:t>petroleum</w:t>
      </w:r>
      <w:r w:rsidRPr="00216FAF">
        <w:rPr>
          <w:szCs w:val="22"/>
        </w:rPr>
        <w:t xml:space="preserve"> has commenced. The returns are to be lodged within three months after the expiration of a royalty year or such longer period as the Commissioner of Territory Revenue permits.</w:t>
      </w:r>
    </w:p>
    <w:p w:rsidR="00332FB4" w:rsidRPr="00216FAF" w:rsidRDefault="00332FB4" w:rsidP="00332FB4">
      <w:pPr>
        <w:pStyle w:val="BlockText"/>
        <w:tabs>
          <w:tab w:val="clear" w:pos="567"/>
          <w:tab w:val="clear" w:pos="851"/>
          <w:tab w:val="clear" w:pos="1276"/>
          <w:tab w:val="clear" w:pos="1701"/>
        </w:tabs>
        <w:spacing w:before="120" w:after="60"/>
        <w:rPr>
          <w:szCs w:val="22"/>
        </w:rPr>
      </w:pPr>
      <w:r w:rsidRPr="00216FAF">
        <w:rPr>
          <w:szCs w:val="22"/>
        </w:rPr>
        <w:t xml:space="preserve">The </w:t>
      </w:r>
      <w:r w:rsidR="008C5596">
        <w:rPr>
          <w:szCs w:val="22"/>
        </w:rPr>
        <w:t>licensee</w:t>
      </w:r>
      <w:r w:rsidRPr="00216FAF">
        <w:rPr>
          <w:szCs w:val="22"/>
        </w:rPr>
        <w:t xml:space="preserve"> must ensure that:</w:t>
      </w:r>
    </w:p>
    <w:p w:rsidR="00332FB4" w:rsidRPr="00216FAF" w:rsidRDefault="00332FB4" w:rsidP="003C7D38">
      <w:pPr>
        <w:pStyle w:val="BlockText"/>
        <w:numPr>
          <w:ilvl w:val="1"/>
          <w:numId w:val="1"/>
        </w:numPr>
        <w:tabs>
          <w:tab w:val="clear" w:pos="851"/>
          <w:tab w:val="clear" w:pos="1134"/>
          <w:tab w:val="clear" w:pos="1276"/>
          <w:tab w:val="clear" w:pos="1701"/>
        </w:tabs>
        <w:spacing w:before="120" w:after="60"/>
        <w:rPr>
          <w:szCs w:val="22"/>
        </w:rPr>
      </w:pPr>
      <w:r w:rsidRPr="00216FAF">
        <w:rPr>
          <w:szCs w:val="22"/>
        </w:rPr>
        <w:t xml:space="preserve">information relating to </w:t>
      </w:r>
      <w:r w:rsidR="00192623">
        <w:rPr>
          <w:szCs w:val="22"/>
        </w:rPr>
        <w:t>its</w:t>
      </w:r>
      <w:r w:rsidR="00192623" w:rsidRPr="00216FAF">
        <w:rPr>
          <w:szCs w:val="22"/>
        </w:rPr>
        <w:t xml:space="preserve"> </w:t>
      </w:r>
      <w:r w:rsidRPr="00216FAF">
        <w:rPr>
          <w:szCs w:val="22"/>
        </w:rPr>
        <w:t>field or project is accurate and up</w:t>
      </w:r>
      <w:r w:rsidR="0002298B">
        <w:rPr>
          <w:szCs w:val="22"/>
        </w:rPr>
        <w:t xml:space="preserve"> </w:t>
      </w:r>
      <w:r w:rsidRPr="00216FAF">
        <w:rPr>
          <w:szCs w:val="22"/>
        </w:rPr>
        <w:t>to</w:t>
      </w:r>
      <w:r w:rsidR="0002298B">
        <w:rPr>
          <w:szCs w:val="22"/>
        </w:rPr>
        <w:t xml:space="preserve"> </w:t>
      </w:r>
      <w:r w:rsidRPr="00216FAF">
        <w:rPr>
          <w:szCs w:val="22"/>
        </w:rPr>
        <w:t>date; and</w:t>
      </w:r>
    </w:p>
    <w:p w:rsidR="00332FB4" w:rsidRPr="00216FAF" w:rsidRDefault="00332FB4" w:rsidP="003C7D38">
      <w:pPr>
        <w:pStyle w:val="BlockText"/>
        <w:numPr>
          <w:ilvl w:val="1"/>
          <w:numId w:val="1"/>
        </w:numPr>
        <w:tabs>
          <w:tab w:val="clear" w:pos="851"/>
          <w:tab w:val="clear" w:pos="1134"/>
          <w:tab w:val="clear" w:pos="1276"/>
          <w:tab w:val="clear" w:pos="1701"/>
        </w:tabs>
        <w:spacing w:before="120" w:after="60"/>
        <w:rPr>
          <w:szCs w:val="22"/>
        </w:rPr>
      </w:pPr>
      <w:r w:rsidRPr="00216FAF">
        <w:rPr>
          <w:szCs w:val="22"/>
        </w:rPr>
        <w:t xml:space="preserve">completed and signed returns are lodged with the Commissioner of Territory Revenue covering all details set out in </w:t>
      </w:r>
      <w:r w:rsidR="00A5666F">
        <w:rPr>
          <w:szCs w:val="22"/>
        </w:rPr>
        <w:t xml:space="preserve">the return </w:t>
      </w:r>
      <w:r w:rsidRPr="00216FAF">
        <w:rPr>
          <w:szCs w:val="22"/>
        </w:rPr>
        <w:t xml:space="preserve">together with working papers supporting </w:t>
      </w:r>
      <w:r w:rsidR="0002298B">
        <w:rPr>
          <w:szCs w:val="22"/>
        </w:rPr>
        <w:t xml:space="preserve">the </w:t>
      </w:r>
      <w:r w:rsidRPr="00216FAF">
        <w:rPr>
          <w:szCs w:val="22"/>
        </w:rPr>
        <w:t xml:space="preserve">royalty calculations. </w:t>
      </w:r>
    </w:p>
    <w:p w:rsidR="00332FB4" w:rsidRDefault="00332FB4" w:rsidP="00332FB4">
      <w:pPr>
        <w:pStyle w:val="BlockText"/>
        <w:tabs>
          <w:tab w:val="clear" w:pos="567"/>
          <w:tab w:val="clear" w:pos="851"/>
          <w:tab w:val="clear" w:pos="1276"/>
          <w:tab w:val="clear" w:pos="1701"/>
        </w:tabs>
        <w:spacing w:before="120" w:after="60"/>
        <w:rPr>
          <w:szCs w:val="22"/>
        </w:rPr>
      </w:pPr>
      <w:r w:rsidRPr="00216FAF">
        <w:t>For convenience, a temp</w:t>
      </w:r>
      <w:r w:rsidR="00504481">
        <w:t>late royalty return will shortly be made available by the</w:t>
      </w:r>
      <w:r w:rsidRPr="00216FAF">
        <w:t xml:space="preserve"> Territor</w:t>
      </w:r>
      <w:r w:rsidR="00504481">
        <w:t>y Revenue Office</w:t>
      </w:r>
      <w:r w:rsidRPr="00216FAF">
        <w:t>.</w:t>
      </w:r>
    </w:p>
    <w:p w:rsidR="001863BC" w:rsidRPr="00332FB4" w:rsidRDefault="001863BC" w:rsidP="008E6C72">
      <w:pPr>
        <w:pStyle w:val="BlockText"/>
        <w:numPr>
          <w:ilvl w:val="0"/>
          <w:numId w:val="0"/>
        </w:numPr>
        <w:tabs>
          <w:tab w:val="clear" w:pos="851"/>
          <w:tab w:val="clear" w:pos="1276"/>
          <w:tab w:val="clear" w:pos="1701"/>
        </w:tabs>
        <w:spacing w:before="240" w:after="60"/>
        <w:rPr>
          <w:szCs w:val="22"/>
        </w:rPr>
      </w:pPr>
      <w:r w:rsidRPr="00505730">
        <w:rPr>
          <w:b/>
          <w:i/>
        </w:rPr>
        <w:t>Records required when royalty return lodged</w:t>
      </w:r>
    </w:p>
    <w:p w:rsidR="00332FB4" w:rsidRPr="00332FB4" w:rsidRDefault="00332FB4" w:rsidP="0070261B">
      <w:pPr>
        <w:pStyle w:val="BlockText"/>
        <w:tabs>
          <w:tab w:val="clear" w:pos="567"/>
          <w:tab w:val="clear" w:pos="851"/>
          <w:tab w:val="clear" w:pos="1276"/>
          <w:tab w:val="clear" w:pos="1701"/>
        </w:tabs>
        <w:spacing w:before="120" w:after="60"/>
      </w:pPr>
      <w:r w:rsidRPr="00216FAF">
        <w:rPr>
          <w:szCs w:val="22"/>
        </w:rPr>
        <w:t>To facilitate the audit and assessment process, the following is a list of some of the information required to be submitted with the royalty return:</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(1)</w:t>
      </w:r>
      <w:r w:rsidRPr="00216FAF">
        <w:rPr>
          <w:szCs w:val="22"/>
        </w:rPr>
        <w:tab/>
        <w:t>a statement showing -</w:t>
      </w:r>
    </w:p>
    <w:p w:rsidR="00332FB4" w:rsidRPr="00216FAF" w:rsidRDefault="00332FB4" w:rsidP="003C7D38">
      <w:pPr>
        <w:numPr>
          <w:ilvl w:val="0"/>
          <w:numId w:val="3"/>
        </w:numPr>
        <w:autoSpaceDE w:val="0"/>
        <w:autoSpaceDN w:val="0"/>
        <w:adjustRightInd w:val="0"/>
        <w:spacing w:before="120" w:after="60"/>
        <w:jc w:val="both"/>
        <w:rPr>
          <w:szCs w:val="22"/>
        </w:rPr>
      </w:pPr>
      <w:r w:rsidRPr="00216FAF">
        <w:rPr>
          <w:szCs w:val="22"/>
        </w:rPr>
        <w:t xml:space="preserve">the quantity; and </w:t>
      </w:r>
    </w:p>
    <w:p w:rsidR="00332FB4" w:rsidRPr="00216FAF" w:rsidRDefault="00332FB4" w:rsidP="003C7D38">
      <w:pPr>
        <w:numPr>
          <w:ilvl w:val="0"/>
          <w:numId w:val="3"/>
        </w:numPr>
        <w:autoSpaceDE w:val="0"/>
        <w:autoSpaceDN w:val="0"/>
        <w:adjustRightInd w:val="0"/>
        <w:spacing w:before="120" w:after="60"/>
        <w:jc w:val="both"/>
        <w:rPr>
          <w:szCs w:val="22"/>
        </w:rPr>
      </w:pPr>
      <w:r w:rsidRPr="00216FAF">
        <w:rPr>
          <w:szCs w:val="22"/>
        </w:rPr>
        <w:t xml:space="preserve">gross value as determined in accordance with section 84 of the </w:t>
      </w:r>
      <w:r w:rsidRPr="00A951BA">
        <w:rPr>
          <w:szCs w:val="22"/>
        </w:rPr>
        <w:t>Act</w:t>
      </w:r>
      <w:r w:rsidRPr="00D8720D">
        <w:rPr>
          <w:szCs w:val="22"/>
        </w:rPr>
        <w:t>;</w:t>
      </w:r>
    </w:p>
    <w:p w:rsidR="00332FB4" w:rsidRPr="00216FAF" w:rsidRDefault="00332FB4" w:rsidP="00332FB4">
      <w:pPr>
        <w:autoSpaceDE w:val="0"/>
        <w:autoSpaceDN w:val="0"/>
        <w:adjustRightInd w:val="0"/>
        <w:spacing w:before="120" w:after="60"/>
        <w:ind w:left="1134"/>
        <w:jc w:val="both"/>
        <w:rPr>
          <w:szCs w:val="22"/>
        </w:rPr>
      </w:pPr>
      <w:r w:rsidRPr="00216FAF">
        <w:rPr>
          <w:szCs w:val="22"/>
        </w:rPr>
        <w:t xml:space="preserve">of all petroleum produced from the licence area and in respect </w:t>
      </w:r>
      <w:r w:rsidR="0053117D" w:rsidRPr="00216FAF">
        <w:rPr>
          <w:szCs w:val="22"/>
        </w:rPr>
        <w:t>of which</w:t>
      </w:r>
      <w:r w:rsidRPr="00216FAF">
        <w:rPr>
          <w:szCs w:val="22"/>
        </w:rPr>
        <w:t xml:space="preserve"> royalty is payable under the </w:t>
      </w:r>
      <w:r w:rsidRPr="00A951BA">
        <w:rPr>
          <w:szCs w:val="22"/>
        </w:rPr>
        <w:t>Act</w:t>
      </w:r>
      <w:r w:rsidRPr="00216FAF">
        <w:rPr>
          <w:szCs w:val="22"/>
        </w:rPr>
        <w:t>;</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(2)</w:t>
      </w:r>
      <w:r w:rsidRPr="00216FAF">
        <w:rPr>
          <w:szCs w:val="22"/>
        </w:rPr>
        <w:tab/>
        <w:t>the licensee’s method of determining the quantity and gross value;</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(3)</w:t>
      </w:r>
      <w:r w:rsidRPr="00216FAF">
        <w:rPr>
          <w:szCs w:val="22"/>
        </w:rPr>
        <w:tab/>
        <w:t>a list of expenditure claimed</w:t>
      </w:r>
      <w:r w:rsidR="00896A09">
        <w:rPr>
          <w:szCs w:val="22"/>
        </w:rPr>
        <w:t xml:space="preserve"> (if applicable)</w:t>
      </w:r>
      <w:r w:rsidRPr="00216FAF">
        <w:rPr>
          <w:szCs w:val="22"/>
        </w:rPr>
        <w:t xml:space="preserve">; </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(4)</w:t>
      </w:r>
      <w:r w:rsidRPr="00216FAF">
        <w:rPr>
          <w:szCs w:val="22"/>
        </w:rPr>
        <w:tab/>
        <w:t xml:space="preserve">an explanation for any increase/decrease </w:t>
      </w:r>
      <w:r w:rsidR="00896A09">
        <w:rPr>
          <w:szCs w:val="22"/>
        </w:rPr>
        <w:t>in revenue or</w:t>
      </w:r>
      <w:r w:rsidR="00896A09" w:rsidRPr="00216FAF">
        <w:rPr>
          <w:szCs w:val="22"/>
        </w:rPr>
        <w:t xml:space="preserve"> </w:t>
      </w:r>
      <w:r w:rsidRPr="00216FAF">
        <w:rPr>
          <w:szCs w:val="22"/>
        </w:rPr>
        <w:t xml:space="preserve">expenditure in comparison with the amounts </w:t>
      </w:r>
      <w:r w:rsidR="00896A09">
        <w:rPr>
          <w:szCs w:val="22"/>
        </w:rPr>
        <w:t>declared</w:t>
      </w:r>
      <w:r w:rsidR="00896A09" w:rsidRPr="00216FAF">
        <w:rPr>
          <w:szCs w:val="22"/>
        </w:rPr>
        <w:t xml:space="preserve"> </w:t>
      </w:r>
      <w:r w:rsidRPr="00216FAF">
        <w:rPr>
          <w:szCs w:val="22"/>
        </w:rPr>
        <w:t>in the previous royalty return; and</w:t>
      </w:r>
    </w:p>
    <w:p w:rsidR="00332FB4" w:rsidRPr="00332FB4" w:rsidRDefault="00332FB4" w:rsidP="00332FB4">
      <w:pPr>
        <w:autoSpaceDE w:val="0"/>
        <w:autoSpaceDN w:val="0"/>
        <w:adjustRightInd w:val="0"/>
        <w:spacing w:before="120" w:after="60"/>
        <w:ind w:left="1134" w:hanging="567"/>
        <w:jc w:val="both"/>
        <w:rPr>
          <w:szCs w:val="22"/>
        </w:rPr>
      </w:pPr>
      <w:r w:rsidRPr="00216FAF">
        <w:t>(5)</w:t>
      </w:r>
      <w:r w:rsidRPr="00216FAF">
        <w:tab/>
        <w:t>any other relevant information which may facilitate the audit of the royalty return.</w:t>
      </w:r>
      <w:r w:rsidRPr="00216FAF">
        <w:rPr>
          <w:color w:val="000080"/>
        </w:rPr>
        <w:tab/>
      </w:r>
    </w:p>
    <w:p w:rsidR="00881EC3" w:rsidRDefault="00052714" w:rsidP="008E6C72">
      <w:pPr>
        <w:pStyle w:val="HeadingTwo"/>
        <w:spacing w:before="240"/>
        <w:jc w:val="both"/>
      </w:pPr>
      <w:r>
        <w:t>Audit and assessment of r</w:t>
      </w:r>
      <w:r w:rsidR="00881EC3">
        <w:t>oyalty</w:t>
      </w:r>
    </w:p>
    <w:p w:rsidR="00332FB4" w:rsidRPr="00216FAF" w:rsidRDefault="00332FB4" w:rsidP="00332FB4">
      <w:pPr>
        <w:pStyle w:val="BlockText"/>
        <w:tabs>
          <w:tab w:val="clear" w:pos="567"/>
          <w:tab w:val="clear" w:pos="851"/>
          <w:tab w:val="clear" w:pos="1276"/>
          <w:tab w:val="clear" w:pos="1701"/>
        </w:tabs>
      </w:pPr>
      <w:r w:rsidRPr="00216FAF">
        <w:t xml:space="preserve">The terms of the </w:t>
      </w:r>
      <w:r w:rsidRPr="00A951BA">
        <w:rPr>
          <w:iCs/>
        </w:rPr>
        <w:t>Act</w:t>
      </w:r>
      <w:r w:rsidRPr="00216FAF">
        <w:t xml:space="preserve"> coupled with the </w:t>
      </w:r>
      <w:r w:rsidR="0002298B">
        <w:t>a</w:t>
      </w:r>
      <w:r w:rsidR="0002298B" w:rsidRPr="00216FAF">
        <w:t xml:space="preserve">greement </w:t>
      </w:r>
      <w:r w:rsidRPr="00216FAF">
        <w:t xml:space="preserve">or Treasurer’s </w:t>
      </w:r>
      <w:r w:rsidR="00896A09">
        <w:t>d</w:t>
      </w:r>
      <w:r w:rsidRPr="00216FAF">
        <w:t xml:space="preserve">etermination </w:t>
      </w:r>
      <w:r w:rsidR="00D8720D">
        <w:t>depend</w:t>
      </w:r>
      <w:r w:rsidRPr="00216FAF">
        <w:t xml:space="preserve"> upon the issuance and delivery of an assessment by the Commissioner of Territory Revenue stating the amount of royalty payable by the </w:t>
      </w:r>
      <w:r w:rsidR="00A5666F">
        <w:t>licensee</w:t>
      </w:r>
      <w:r w:rsidRPr="00216FAF">
        <w:t>.</w:t>
      </w:r>
    </w:p>
    <w:p w:rsidR="00332FB4" w:rsidRPr="00985108" w:rsidRDefault="00332FB4" w:rsidP="00985108">
      <w:pPr>
        <w:pStyle w:val="BlockText"/>
        <w:autoSpaceDE w:val="0"/>
        <w:autoSpaceDN w:val="0"/>
        <w:adjustRightInd w:val="0"/>
        <w:spacing w:before="120" w:after="60"/>
        <w:rPr>
          <w:szCs w:val="22"/>
        </w:rPr>
      </w:pPr>
      <w:r w:rsidRPr="00AA7342">
        <w:rPr>
          <w:szCs w:val="22"/>
        </w:rPr>
        <w:t xml:space="preserve">An assessment is made of the royalty payable. A </w:t>
      </w:r>
      <w:r w:rsidR="00A5666F" w:rsidRPr="00985108">
        <w:rPr>
          <w:szCs w:val="22"/>
        </w:rPr>
        <w:t>licensee’s</w:t>
      </w:r>
      <w:r w:rsidRPr="00985108">
        <w:rPr>
          <w:szCs w:val="22"/>
        </w:rPr>
        <w:t xml:space="preserve"> liability for royalty is not determined until an assessment has been issued.</w:t>
      </w:r>
    </w:p>
    <w:p w:rsidR="00332FB4" w:rsidRPr="00216FAF" w:rsidRDefault="00332FB4" w:rsidP="00981BA8">
      <w:pPr>
        <w:pStyle w:val="BlockText"/>
        <w:autoSpaceDE w:val="0"/>
        <w:autoSpaceDN w:val="0"/>
        <w:adjustRightInd w:val="0"/>
        <w:spacing w:before="120" w:after="60"/>
        <w:rPr>
          <w:szCs w:val="22"/>
        </w:rPr>
      </w:pPr>
      <w:r w:rsidRPr="00216FAF">
        <w:rPr>
          <w:szCs w:val="22"/>
        </w:rPr>
        <w:lastRenderedPageBreak/>
        <w:t>To make an assessment, an audit may be conducted to verify information disclosed in the royalty return.</w:t>
      </w:r>
    </w:p>
    <w:p w:rsidR="00332FB4" w:rsidRPr="00216FAF" w:rsidRDefault="00332FB4" w:rsidP="00981BA8">
      <w:pPr>
        <w:pStyle w:val="BlockText"/>
        <w:autoSpaceDE w:val="0"/>
        <w:autoSpaceDN w:val="0"/>
        <w:adjustRightInd w:val="0"/>
        <w:spacing w:before="120" w:after="60"/>
        <w:rPr>
          <w:szCs w:val="22"/>
        </w:rPr>
      </w:pPr>
      <w:r w:rsidRPr="00216FAF">
        <w:rPr>
          <w:szCs w:val="22"/>
        </w:rPr>
        <w:t xml:space="preserve">The audit may be carried out on the </w:t>
      </w:r>
      <w:r w:rsidR="00A5666F">
        <w:rPr>
          <w:szCs w:val="22"/>
        </w:rPr>
        <w:t>licensee</w:t>
      </w:r>
      <w:r w:rsidRPr="00216FAF">
        <w:rPr>
          <w:szCs w:val="22"/>
        </w:rPr>
        <w:t xml:space="preserve">’s </w:t>
      </w:r>
      <w:r w:rsidR="000733BD">
        <w:rPr>
          <w:szCs w:val="22"/>
        </w:rPr>
        <w:t xml:space="preserve">licence area or </w:t>
      </w:r>
      <w:r w:rsidRPr="00216FAF">
        <w:rPr>
          <w:szCs w:val="22"/>
        </w:rPr>
        <w:t>premises</w:t>
      </w:r>
      <w:r w:rsidR="008C5596">
        <w:rPr>
          <w:szCs w:val="22"/>
        </w:rPr>
        <w:t>,</w:t>
      </w:r>
      <w:r w:rsidRPr="00216FAF">
        <w:rPr>
          <w:szCs w:val="22"/>
        </w:rPr>
        <w:t xml:space="preserve"> or the </w:t>
      </w:r>
      <w:r w:rsidR="00A5666F">
        <w:rPr>
          <w:szCs w:val="22"/>
        </w:rPr>
        <w:t>licensee</w:t>
      </w:r>
      <w:r w:rsidRPr="00216FAF">
        <w:rPr>
          <w:szCs w:val="22"/>
        </w:rPr>
        <w:t xml:space="preserve"> may be requested to provide further information to substantiate the royalty return. To facilitate the audit process, </w:t>
      </w:r>
      <w:r w:rsidR="00A5666F">
        <w:rPr>
          <w:szCs w:val="22"/>
        </w:rPr>
        <w:t>licensees</w:t>
      </w:r>
      <w:r w:rsidRPr="00216FAF">
        <w:rPr>
          <w:szCs w:val="22"/>
        </w:rPr>
        <w:t xml:space="preserve"> need to ensure that all records requested by </w:t>
      </w:r>
      <w:r w:rsidR="000733BD">
        <w:rPr>
          <w:szCs w:val="22"/>
        </w:rPr>
        <w:t>t</w:t>
      </w:r>
      <w:r w:rsidRPr="00216FAF">
        <w:rPr>
          <w:szCs w:val="22"/>
        </w:rPr>
        <w:t xml:space="preserve">he Commissioner of Territory Revenue or </w:t>
      </w:r>
      <w:r w:rsidR="00566AB0">
        <w:rPr>
          <w:szCs w:val="22"/>
        </w:rPr>
        <w:t>a</w:t>
      </w:r>
      <w:r w:rsidRPr="00216FAF">
        <w:rPr>
          <w:szCs w:val="22"/>
        </w:rPr>
        <w:t xml:space="preserve"> </w:t>
      </w:r>
      <w:r w:rsidR="000733BD">
        <w:rPr>
          <w:szCs w:val="22"/>
        </w:rPr>
        <w:t>person appointed or authorised by the Commissioner (“</w:t>
      </w:r>
      <w:r w:rsidRPr="00216FAF">
        <w:rPr>
          <w:szCs w:val="22"/>
        </w:rPr>
        <w:t>authorised officer</w:t>
      </w:r>
      <w:r w:rsidR="000733BD">
        <w:rPr>
          <w:szCs w:val="22"/>
        </w:rPr>
        <w:t>”)</w:t>
      </w:r>
      <w:r w:rsidRPr="00216FAF">
        <w:rPr>
          <w:szCs w:val="22"/>
        </w:rPr>
        <w:t xml:space="preserve"> are submitted and available for examination in a timely manner.   </w:t>
      </w:r>
    </w:p>
    <w:p w:rsidR="00332FB4" w:rsidRPr="00216FAF" w:rsidRDefault="00332FB4" w:rsidP="00981BA8">
      <w:pPr>
        <w:pStyle w:val="BlockText"/>
        <w:autoSpaceDE w:val="0"/>
        <w:autoSpaceDN w:val="0"/>
        <w:adjustRightInd w:val="0"/>
        <w:spacing w:before="120" w:after="60"/>
        <w:rPr>
          <w:szCs w:val="22"/>
        </w:rPr>
      </w:pPr>
      <w:r w:rsidRPr="00216FAF">
        <w:rPr>
          <w:szCs w:val="22"/>
        </w:rPr>
        <w:t>Once the audit is completed, an assessment is issued incorporating any necessary adjustments arising from the audit.</w:t>
      </w:r>
    </w:p>
    <w:p w:rsidR="00332FB4" w:rsidRPr="00216FAF" w:rsidRDefault="00332FB4" w:rsidP="00981BA8">
      <w:pPr>
        <w:pStyle w:val="BlockText"/>
        <w:autoSpaceDE w:val="0"/>
        <w:autoSpaceDN w:val="0"/>
        <w:adjustRightInd w:val="0"/>
        <w:spacing w:before="120" w:after="60"/>
        <w:rPr>
          <w:szCs w:val="22"/>
        </w:rPr>
      </w:pPr>
      <w:r w:rsidRPr="00216FAF">
        <w:rPr>
          <w:szCs w:val="22"/>
        </w:rPr>
        <w:t xml:space="preserve">The </w:t>
      </w:r>
      <w:r w:rsidR="000733BD">
        <w:rPr>
          <w:szCs w:val="22"/>
        </w:rPr>
        <w:t>Commissioner of Territory Revenue</w:t>
      </w:r>
      <w:r w:rsidRPr="00216FAF">
        <w:rPr>
          <w:szCs w:val="22"/>
        </w:rPr>
        <w:t xml:space="preserve"> has the ability to issue amended assessments in certain circumstances.</w:t>
      </w:r>
    </w:p>
    <w:p w:rsidR="00332FB4" w:rsidRPr="00216FAF" w:rsidRDefault="00332FB4" w:rsidP="008E6C72">
      <w:pPr>
        <w:keepNext/>
        <w:autoSpaceDE w:val="0"/>
        <w:autoSpaceDN w:val="0"/>
        <w:adjustRightInd w:val="0"/>
        <w:spacing w:before="240" w:after="60"/>
        <w:jc w:val="both"/>
        <w:rPr>
          <w:b/>
          <w:bCs/>
          <w:i/>
          <w:iCs/>
          <w:szCs w:val="22"/>
        </w:rPr>
      </w:pPr>
      <w:r w:rsidRPr="00216FAF">
        <w:rPr>
          <w:b/>
          <w:bCs/>
          <w:i/>
          <w:iCs/>
          <w:szCs w:val="22"/>
        </w:rPr>
        <w:t>Authorised officer’s powers in conducting an audit</w:t>
      </w:r>
    </w:p>
    <w:p w:rsidR="00332FB4" w:rsidRPr="00216FAF" w:rsidRDefault="00332FB4" w:rsidP="00981BA8">
      <w:pPr>
        <w:pStyle w:val="BlockText"/>
        <w:autoSpaceDE w:val="0"/>
        <w:autoSpaceDN w:val="0"/>
        <w:adjustRightInd w:val="0"/>
        <w:spacing w:before="120" w:after="60"/>
        <w:rPr>
          <w:szCs w:val="22"/>
        </w:rPr>
      </w:pPr>
      <w:r w:rsidRPr="00216FAF">
        <w:rPr>
          <w:szCs w:val="22"/>
        </w:rPr>
        <w:t xml:space="preserve">Under the </w:t>
      </w:r>
      <w:r w:rsidRPr="00A951BA">
        <w:rPr>
          <w:iCs/>
          <w:szCs w:val="22"/>
        </w:rPr>
        <w:t>Act</w:t>
      </w:r>
      <w:r w:rsidR="00981BA8">
        <w:rPr>
          <w:iCs/>
          <w:szCs w:val="22"/>
        </w:rPr>
        <w:t xml:space="preserve"> </w:t>
      </w:r>
      <w:r w:rsidR="00981BA8" w:rsidRPr="003C7D38">
        <w:rPr>
          <w:iCs/>
          <w:szCs w:val="22"/>
        </w:rPr>
        <w:t>and the terms of an agreement</w:t>
      </w:r>
      <w:r w:rsidRPr="00216FAF">
        <w:rPr>
          <w:szCs w:val="22"/>
        </w:rPr>
        <w:t>, for the purposes of the administration and enforcement, an authorised officer is permitted to, amongst other things:</w:t>
      </w:r>
    </w:p>
    <w:p w:rsidR="00332FB4" w:rsidRPr="00216FAF" w:rsidRDefault="00566AB0" w:rsidP="00332FB4">
      <w:pPr>
        <w:autoSpaceDE w:val="0"/>
        <w:autoSpaceDN w:val="0"/>
        <w:adjustRightInd w:val="0"/>
        <w:spacing w:before="120" w:after="60"/>
        <w:ind w:left="1134" w:hanging="567"/>
        <w:jc w:val="both"/>
        <w:rPr>
          <w:szCs w:val="22"/>
        </w:rPr>
      </w:pPr>
      <w:r>
        <w:rPr>
          <w:szCs w:val="22"/>
        </w:rPr>
        <w:t>(1)</w:t>
      </w:r>
      <w:r>
        <w:rPr>
          <w:szCs w:val="22"/>
        </w:rPr>
        <w:tab/>
        <w:t>gain access to the licence area</w:t>
      </w:r>
      <w:r w:rsidR="00332FB4" w:rsidRPr="00216FAF">
        <w:rPr>
          <w:szCs w:val="22"/>
        </w:rPr>
        <w:t xml:space="preserve"> or premises where records are kept;</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(2)</w:t>
      </w:r>
      <w:r w:rsidRPr="00216FAF">
        <w:rPr>
          <w:szCs w:val="22"/>
        </w:rPr>
        <w:tab/>
        <w:t>inspect, examine, make and retain copies of documents or records;</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(3)</w:t>
      </w:r>
      <w:r w:rsidRPr="00216FAF">
        <w:rPr>
          <w:szCs w:val="22"/>
        </w:rPr>
        <w:tab/>
        <w:t>test a device referred to in section 84(5) of the</w:t>
      </w:r>
      <w:r w:rsidRPr="00216FAF">
        <w:rPr>
          <w:i/>
          <w:iCs/>
          <w:szCs w:val="22"/>
        </w:rPr>
        <w:t xml:space="preserve"> </w:t>
      </w:r>
      <w:r w:rsidRPr="00A951BA">
        <w:rPr>
          <w:iCs/>
          <w:szCs w:val="22"/>
        </w:rPr>
        <w:t>Act</w:t>
      </w:r>
      <w:r w:rsidRPr="00216FAF">
        <w:rPr>
          <w:szCs w:val="22"/>
        </w:rPr>
        <w:t xml:space="preserve"> and make and retain records associated with or produced by the device;</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(4)</w:t>
      </w:r>
      <w:r w:rsidRPr="00216FAF">
        <w:rPr>
          <w:szCs w:val="22"/>
        </w:rPr>
        <w:tab/>
        <w:t>require a person to produce records; and</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(5)</w:t>
      </w:r>
      <w:r w:rsidRPr="00216FAF">
        <w:rPr>
          <w:szCs w:val="22"/>
        </w:rPr>
        <w:tab/>
        <w:t>require a person to answer questions and provide information.</w:t>
      </w:r>
    </w:p>
    <w:p w:rsidR="00332FB4" w:rsidRPr="00216FAF" w:rsidRDefault="00332FB4" w:rsidP="008E6C72">
      <w:pPr>
        <w:keepNext/>
        <w:autoSpaceDE w:val="0"/>
        <w:autoSpaceDN w:val="0"/>
        <w:adjustRightInd w:val="0"/>
        <w:spacing w:before="240" w:after="60"/>
        <w:jc w:val="both"/>
        <w:rPr>
          <w:b/>
          <w:bCs/>
          <w:i/>
          <w:iCs/>
          <w:szCs w:val="22"/>
        </w:rPr>
      </w:pPr>
      <w:r w:rsidRPr="00216FAF">
        <w:rPr>
          <w:b/>
          <w:bCs/>
          <w:i/>
          <w:iCs/>
          <w:szCs w:val="22"/>
        </w:rPr>
        <w:t>Your rights in respect of an audit</w:t>
      </w:r>
    </w:p>
    <w:p w:rsidR="00332FB4" w:rsidRPr="00216FAF" w:rsidRDefault="00332FB4" w:rsidP="00981BA8">
      <w:pPr>
        <w:pStyle w:val="BlockText"/>
        <w:autoSpaceDE w:val="0"/>
        <w:autoSpaceDN w:val="0"/>
        <w:adjustRightInd w:val="0"/>
        <w:spacing w:before="120" w:after="60"/>
        <w:rPr>
          <w:szCs w:val="22"/>
        </w:rPr>
      </w:pPr>
      <w:r w:rsidRPr="00216FAF">
        <w:rPr>
          <w:szCs w:val="22"/>
        </w:rPr>
        <w:t>In relation to the audit process you should expect:</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(1)</w:t>
      </w:r>
      <w:r w:rsidRPr="00216FAF">
        <w:rPr>
          <w:szCs w:val="22"/>
        </w:rPr>
        <w:tab/>
        <w:t>the authorised officer to be professional and courteous;</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(2)</w:t>
      </w:r>
      <w:r w:rsidRPr="00216FAF">
        <w:rPr>
          <w:szCs w:val="22"/>
        </w:rPr>
        <w:tab/>
        <w:t>the audit to be completed in a timely manner;</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(3)</w:t>
      </w:r>
      <w:r w:rsidRPr="00216FAF">
        <w:rPr>
          <w:szCs w:val="22"/>
        </w:rPr>
        <w:tab/>
        <w:t>your affairs to be treated with strict confidentiality;</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(4)</w:t>
      </w:r>
      <w:r w:rsidRPr="00216FAF">
        <w:rPr>
          <w:szCs w:val="22"/>
        </w:rPr>
        <w:tab/>
        <w:t>to be given a receipt for records or other materials the authorised officer removes from your premises;</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(5)</w:t>
      </w:r>
      <w:r w:rsidRPr="00216FAF">
        <w:rPr>
          <w:szCs w:val="22"/>
        </w:rPr>
        <w:tab/>
        <w:t>to be given an opportunity to discuss any aspect of the findings with the authorised officer;</w:t>
      </w:r>
    </w:p>
    <w:p w:rsidR="00332FB4" w:rsidRPr="00216FAF" w:rsidRDefault="00332FB4" w:rsidP="00504481">
      <w:pPr>
        <w:autoSpaceDE w:val="0"/>
        <w:autoSpaceDN w:val="0"/>
        <w:adjustRightInd w:val="0"/>
        <w:spacing w:before="120" w:after="60"/>
        <w:ind w:left="1134" w:hanging="594"/>
        <w:jc w:val="both"/>
        <w:rPr>
          <w:szCs w:val="22"/>
        </w:rPr>
      </w:pPr>
      <w:r w:rsidRPr="00216FAF">
        <w:rPr>
          <w:szCs w:val="22"/>
        </w:rPr>
        <w:t>(6)</w:t>
      </w:r>
      <w:r w:rsidRPr="00216FAF">
        <w:rPr>
          <w:szCs w:val="22"/>
        </w:rPr>
        <w:tab/>
        <w:t>to be given the opportunity to explain the reasons for any irregularities and discrepancies; and</w:t>
      </w:r>
    </w:p>
    <w:p w:rsidR="00332FB4" w:rsidRPr="00216FAF" w:rsidRDefault="00332FB4" w:rsidP="00504481">
      <w:pPr>
        <w:autoSpaceDE w:val="0"/>
        <w:autoSpaceDN w:val="0"/>
        <w:adjustRightInd w:val="0"/>
        <w:spacing w:before="120" w:after="60"/>
        <w:ind w:left="1080" w:hanging="540"/>
        <w:jc w:val="both"/>
        <w:rPr>
          <w:szCs w:val="22"/>
        </w:rPr>
      </w:pPr>
      <w:r w:rsidRPr="00216FAF">
        <w:rPr>
          <w:szCs w:val="22"/>
        </w:rPr>
        <w:t>(7)</w:t>
      </w:r>
      <w:r w:rsidRPr="00216FAF">
        <w:rPr>
          <w:szCs w:val="22"/>
        </w:rPr>
        <w:tab/>
        <w:t>to receive an explanation of the results or findings.</w:t>
      </w:r>
    </w:p>
    <w:p w:rsidR="00332FB4" w:rsidRPr="00216FAF" w:rsidRDefault="00332FB4" w:rsidP="008E6C72">
      <w:pPr>
        <w:keepNext/>
        <w:autoSpaceDE w:val="0"/>
        <w:autoSpaceDN w:val="0"/>
        <w:adjustRightInd w:val="0"/>
        <w:spacing w:before="240" w:after="60"/>
        <w:jc w:val="both"/>
        <w:rPr>
          <w:b/>
          <w:bCs/>
          <w:i/>
          <w:iCs/>
          <w:szCs w:val="22"/>
        </w:rPr>
      </w:pPr>
      <w:r w:rsidRPr="00216FAF">
        <w:rPr>
          <w:b/>
          <w:bCs/>
          <w:i/>
          <w:iCs/>
          <w:szCs w:val="22"/>
        </w:rPr>
        <w:t>Your obligations in respect of an audit</w:t>
      </w:r>
    </w:p>
    <w:p w:rsidR="00332FB4" w:rsidRPr="00216FAF" w:rsidRDefault="00332FB4" w:rsidP="00981BA8">
      <w:pPr>
        <w:pStyle w:val="BlockText"/>
        <w:autoSpaceDE w:val="0"/>
        <w:autoSpaceDN w:val="0"/>
        <w:adjustRightInd w:val="0"/>
        <w:spacing w:before="120" w:after="60"/>
        <w:rPr>
          <w:szCs w:val="22"/>
        </w:rPr>
      </w:pPr>
      <w:r w:rsidRPr="00216FAF">
        <w:rPr>
          <w:szCs w:val="22"/>
        </w:rPr>
        <w:t>Throughout the audit, you are obliged to:</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(1)</w:t>
      </w:r>
      <w:r w:rsidRPr="00216FAF">
        <w:rPr>
          <w:szCs w:val="22"/>
        </w:rPr>
        <w:tab/>
        <w:t>disclose any discrepancies, errors and undeclared royalty liabilities;</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(2)</w:t>
      </w:r>
      <w:r w:rsidRPr="00216FAF">
        <w:rPr>
          <w:szCs w:val="22"/>
        </w:rPr>
        <w:tab/>
        <w:t>provide the authorised officer reasonable assistance and facilities;</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(3)</w:t>
      </w:r>
      <w:r w:rsidRPr="00216FAF">
        <w:rPr>
          <w:szCs w:val="22"/>
        </w:rPr>
        <w:tab/>
        <w:t>provide complete and honest answers and explanations to questions;</w:t>
      </w:r>
    </w:p>
    <w:p w:rsidR="00332FB4" w:rsidRPr="00216FAF" w:rsidRDefault="00332FB4" w:rsidP="00332FB4">
      <w:pPr>
        <w:autoSpaceDE w:val="0"/>
        <w:autoSpaceDN w:val="0"/>
        <w:adjustRightInd w:val="0"/>
        <w:spacing w:before="120" w:after="60"/>
        <w:ind w:left="1134" w:hanging="567"/>
        <w:jc w:val="both"/>
        <w:rPr>
          <w:szCs w:val="22"/>
        </w:rPr>
      </w:pPr>
      <w:r w:rsidRPr="00216FAF">
        <w:rPr>
          <w:szCs w:val="22"/>
        </w:rPr>
        <w:t>(4)</w:t>
      </w:r>
      <w:r w:rsidRPr="00216FAF">
        <w:rPr>
          <w:szCs w:val="22"/>
        </w:rPr>
        <w:tab/>
        <w:t>provide prompt, full and free access to all relevant information, records, documents, data and systems as required; and</w:t>
      </w:r>
    </w:p>
    <w:p w:rsidR="003713B5" w:rsidRPr="00216FAF" w:rsidRDefault="00332FB4" w:rsidP="00395E76">
      <w:pPr>
        <w:autoSpaceDE w:val="0"/>
        <w:autoSpaceDN w:val="0"/>
        <w:adjustRightInd w:val="0"/>
        <w:spacing w:before="120" w:after="60"/>
        <w:ind w:left="1134" w:hanging="567"/>
        <w:jc w:val="both"/>
        <w:rPr>
          <w:szCs w:val="22"/>
        </w:rPr>
      </w:pPr>
      <w:r w:rsidRPr="00216FAF">
        <w:rPr>
          <w:szCs w:val="22"/>
        </w:rPr>
        <w:t>(5)</w:t>
      </w:r>
      <w:r w:rsidRPr="00216FAF">
        <w:rPr>
          <w:szCs w:val="22"/>
        </w:rPr>
        <w:tab/>
        <w:t xml:space="preserve">ensure accounting records and books of accounts are properly kept and complete. </w:t>
      </w:r>
    </w:p>
    <w:p w:rsidR="00F66ABB" w:rsidRPr="00CC4291" w:rsidRDefault="00F66ABB" w:rsidP="00395E76">
      <w:pPr>
        <w:pStyle w:val="HeadingTwo"/>
        <w:spacing w:before="240"/>
        <w:jc w:val="both"/>
      </w:pPr>
      <w:r w:rsidRPr="00216307">
        <w:lastRenderedPageBreak/>
        <w:t>Payment</w:t>
      </w:r>
      <w:r w:rsidRPr="00CC4291">
        <w:t xml:space="preserve"> of </w:t>
      </w:r>
      <w:r w:rsidR="00C167CE">
        <w:t>r</w:t>
      </w:r>
      <w:r w:rsidRPr="00CC4291">
        <w:t>oyalty</w:t>
      </w:r>
    </w:p>
    <w:p w:rsidR="003713B5" w:rsidRPr="00216FAF" w:rsidRDefault="00896A09" w:rsidP="003C7D38">
      <w:pPr>
        <w:pStyle w:val="BlockText"/>
        <w:autoSpaceDE w:val="0"/>
        <w:autoSpaceDN w:val="0"/>
        <w:adjustRightInd w:val="0"/>
        <w:spacing w:before="120" w:after="60"/>
      </w:pPr>
      <w:r>
        <w:t>Provisional r</w:t>
      </w:r>
      <w:r w:rsidR="003713B5" w:rsidRPr="00216FAF">
        <w:t xml:space="preserve">oyalty payments are </w:t>
      </w:r>
      <w:r w:rsidR="00C005C1">
        <w:t xml:space="preserve">generally </w:t>
      </w:r>
      <w:r w:rsidR="003713B5" w:rsidRPr="00216FAF">
        <w:t>made monthly. However, further payment</w:t>
      </w:r>
      <w:r w:rsidR="00C7301A">
        <w:t>s</w:t>
      </w:r>
      <w:r w:rsidR="003713B5" w:rsidRPr="00216FAF">
        <w:t xml:space="preserve"> may be made at the end of the royalty year.</w:t>
      </w:r>
    </w:p>
    <w:p w:rsidR="003713B5" w:rsidRPr="00216FAF" w:rsidRDefault="003713B5" w:rsidP="00981BA8">
      <w:pPr>
        <w:pStyle w:val="BlockText"/>
        <w:autoSpaceDE w:val="0"/>
        <w:autoSpaceDN w:val="0"/>
        <w:adjustRightInd w:val="0"/>
        <w:spacing w:before="120" w:after="60"/>
        <w:rPr>
          <w:szCs w:val="22"/>
        </w:rPr>
      </w:pPr>
      <w:r w:rsidRPr="00216FAF">
        <w:rPr>
          <w:szCs w:val="22"/>
        </w:rPr>
        <w:t>Payment of royalty is</w:t>
      </w:r>
      <w:r w:rsidR="00C005C1">
        <w:rPr>
          <w:szCs w:val="22"/>
        </w:rPr>
        <w:t xml:space="preserve"> generally </w:t>
      </w:r>
      <w:r w:rsidRPr="00216FAF">
        <w:rPr>
          <w:szCs w:val="22"/>
        </w:rPr>
        <w:t>required to be made:</w:t>
      </w:r>
    </w:p>
    <w:p w:rsidR="003713B5" w:rsidRDefault="003713B5" w:rsidP="003713B5">
      <w:pPr>
        <w:autoSpaceDE w:val="0"/>
        <w:autoSpaceDN w:val="0"/>
        <w:adjustRightInd w:val="0"/>
        <w:spacing w:before="120" w:after="60"/>
        <w:ind w:left="1134" w:hanging="567"/>
        <w:jc w:val="both"/>
        <w:rPr>
          <w:szCs w:val="22"/>
        </w:rPr>
      </w:pPr>
      <w:r w:rsidRPr="00216FAF">
        <w:rPr>
          <w:szCs w:val="22"/>
        </w:rPr>
        <w:t>(1)</w:t>
      </w:r>
      <w:r w:rsidRPr="00216FAF">
        <w:rPr>
          <w:szCs w:val="22"/>
        </w:rPr>
        <w:tab/>
        <w:t xml:space="preserve">in the case of </w:t>
      </w:r>
      <w:r w:rsidRPr="00216FAF">
        <w:rPr>
          <w:b/>
          <w:bCs/>
          <w:szCs w:val="22"/>
        </w:rPr>
        <w:t xml:space="preserve">monthly </w:t>
      </w:r>
      <w:r w:rsidR="00896A09">
        <w:rPr>
          <w:b/>
          <w:bCs/>
          <w:szCs w:val="22"/>
        </w:rPr>
        <w:t xml:space="preserve">provisional </w:t>
      </w:r>
      <w:r w:rsidRPr="00216FAF">
        <w:rPr>
          <w:b/>
          <w:bCs/>
          <w:szCs w:val="22"/>
        </w:rPr>
        <w:t>payments</w:t>
      </w:r>
      <w:r w:rsidRPr="00216FAF">
        <w:rPr>
          <w:szCs w:val="22"/>
        </w:rPr>
        <w:t xml:space="preserve"> (which are to be accompanied by </w:t>
      </w:r>
      <w:r w:rsidR="008C5596">
        <w:rPr>
          <w:szCs w:val="22"/>
        </w:rPr>
        <w:t xml:space="preserve">a </w:t>
      </w:r>
      <w:r w:rsidRPr="00216FAF">
        <w:rPr>
          <w:szCs w:val="22"/>
        </w:rPr>
        <w:t>statement), not later than 15 days after the commencement of each month</w:t>
      </w:r>
      <w:r w:rsidR="00E00DD1">
        <w:rPr>
          <w:szCs w:val="22"/>
        </w:rPr>
        <w:t>;</w:t>
      </w:r>
    </w:p>
    <w:p w:rsidR="00E00DD1" w:rsidRPr="00216FAF" w:rsidRDefault="00E00DD1" w:rsidP="002E576F">
      <w:pPr>
        <w:tabs>
          <w:tab w:val="left" w:pos="1134"/>
        </w:tabs>
        <w:autoSpaceDE w:val="0"/>
        <w:autoSpaceDN w:val="0"/>
        <w:adjustRightInd w:val="0"/>
        <w:spacing w:before="120" w:after="60"/>
        <w:ind w:left="1134" w:hanging="567"/>
        <w:jc w:val="both"/>
        <w:rPr>
          <w:szCs w:val="22"/>
        </w:rPr>
      </w:pPr>
      <w:r>
        <w:rPr>
          <w:szCs w:val="22"/>
        </w:rPr>
        <w:t>(2)</w:t>
      </w:r>
      <w:r w:rsidR="002E576F">
        <w:rPr>
          <w:szCs w:val="22"/>
        </w:rPr>
        <w:tab/>
        <w:t>i</w:t>
      </w:r>
      <w:r>
        <w:rPr>
          <w:szCs w:val="22"/>
        </w:rPr>
        <w:t xml:space="preserve">n the case of </w:t>
      </w:r>
      <w:r w:rsidR="00C7301A">
        <w:rPr>
          <w:szCs w:val="22"/>
        </w:rPr>
        <w:t xml:space="preserve">a </w:t>
      </w:r>
      <w:r w:rsidRPr="00A5666F">
        <w:rPr>
          <w:b/>
          <w:szCs w:val="22"/>
        </w:rPr>
        <w:t>residual payment</w:t>
      </w:r>
      <w:r>
        <w:rPr>
          <w:szCs w:val="22"/>
        </w:rPr>
        <w:t xml:space="preserve"> </w:t>
      </w:r>
      <w:r w:rsidR="00C7301A">
        <w:t xml:space="preserve">(i.e. the difference between the sum of the monthly payments and the total amount calculated as payable in the royalty return) </w:t>
      </w:r>
      <w:r>
        <w:rPr>
          <w:szCs w:val="22"/>
        </w:rPr>
        <w:t xml:space="preserve">for a royalty year, at the same time the royalty return is lodged, which must be within </w:t>
      </w:r>
      <w:r w:rsidR="00E231AD">
        <w:rPr>
          <w:szCs w:val="22"/>
        </w:rPr>
        <w:t>three</w:t>
      </w:r>
      <w:r>
        <w:rPr>
          <w:szCs w:val="22"/>
        </w:rPr>
        <w:t xml:space="preserve"> months of the end of the royalty year; and</w:t>
      </w:r>
    </w:p>
    <w:p w:rsidR="003713B5" w:rsidRDefault="003713B5" w:rsidP="009E2ADB">
      <w:pPr>
        <w:autoSpaceDE w:val="0"/>
        <w:autoSpaceDN w:val="0"/>
        <w:adjustRightInd w:val="0"/>
        <w:spacing w:before="120" w:after="60"/>
        <w:ind w:left="1134" w:hanging="567"/>
        <w:jc w:val="both"/>
      </w:pPr>
      <w:r w:rsidRPr="00216FAF">
        <w:rPr>
          <w:szCs w:val="22"/>
        </w:rPr>
        <w:t>(</w:t>
      </w:r>
      <w:r w:rsidR="002E576F">
        <w:rPr>
          <w:szCs w:val="22"/>
        </w:rPr>
        <w:t>3</w:t>
      </w:r>
      <w:r w:rsidRPr="00216FAF">
        <w:rPr>
          <w:szCs w:val="22"/>
        </w:rPr>
        <w:t>)</w:t>
      </w:r>
      <w:r w:rsidRPr="00216FAF">
        <w:rPr>
          <w:szCs w:val="22"/>
        </w:rPr>
        <w:tab/>
        <w:t xml:space="preserve">in the case of any </w:t>
      </w:r>
      <w:r w:rsidRPr="00216FAF">
        <w:rPr>
          <w:b/>
          <w:bCs/>
          <w:szCs w:val="22"/>
        </w:rPr>
        <w:t>shortfall</w:t>
      </w:r>
      <w:r w:rsidRPr="00216FAF">
        <w:rPr>
          <w:szCs w:val="22"/>
        </w:rPr>
        <w:t xml:space="preserve"> between royalty assessed in an assessment and the sum of the </w:t>
      </w:r>
      <w:r w:rsidRPr="00216FAF">
        <w:rPr>
          <w:b/>
          <w:bCs/>
          <w:szCs w:val="22"/>
        </w:rPr>
        <w:t>monthly</w:t>
      </w:r>
      <w:r w:rsidR="00C7301A">
        <w:rPr>
          <w:b/>
          <w:bCs/>
          <w:szCs w:val="22"/>
        </w:rPr>
        <w:t xml:space="preserve"> </w:t>
      </w:r>
      <w:r w:rsidR="00896A09">
        <w:rPr>
          <w:b/>
          <w:bCs/>
          <w:szCs w:val="22"/>
        </w:rPr>
        <w:t xml:space="preserve">provisional payments </w:t>
      </w:r>
      <w:r w:rsidR="00C7301A" w:rsidRPr="009E2ADB">
        <w:rPr>
          <w:bCs/>
          <w:szCs w:val="22"/>
        </w:rPr>
        <w:t>and</w:t>
      </w:r>
      <w:r w:rsidR="00C7301A">
        <w:rPr>
          <w:b/>
          <w:bCs/>
          <w:szCs w:val="22"/>
        </w:rPr>
        <w:t xml:space="preserve"> residual</w:t>
      </w:r>
      <w:r w:rsidRPr="00216FAF">
        <w:rPr>
          <w:b/>
          <w:bCs/>
          <w:szCs w:val="22"/>
        </w:rPr>
        <w:t xml:space="preserve"> payment</w:t>
      </w:r>
      <w:r w:rsidRPr="00216FAF">
        <w:rPr>
          <w:szCs w:val="22"/>
        </w:rPr>
        <w:t xml:space="preserve">, on the date specified in the notice of assessment (generally within 30 days of the issue of the assessment). </w:t>
      </w:r>
    </w:p>
    <w:p w:rsidR="003713B5" w:rsidRPr="00216FAF" w:rsidRDefault="003713B5" w:rsidP="008E6C72">
      <w:pPr>
        <w:keepNext/>
        <w:autoSpaceDE w:val="0"/>
        <w:autoSpaceDN w:val="0"/>
        <w:adjustRightInd w:val="0"/>
        <w:spacing w:before="240" w:after="60"/>
        <w:jc w:val="both"/>
        <w:rPr>
          <w:b/>
          <w:bCs/>
          <w:i/>
          <w:iCs/>
          <w:szCs w:val="22"/>
        </w:rPr>
      </w:pPr>
      <w:r w:rsidRPr="00216FAF">
        <w:rPr>
          <w:b/>
          <w:bCs/>
          <w:i/>
          <w:iCs/>
          <w:szCs w:val="22"/>
        </w:rPr>
        <w:t>Unpaid royalties and interest charges</w:t>
      </w:r>
    </w:p>
    <w:p w:rsidR="003713B5" w:rsidRPr="00216FAF" w:rsidRDefault="003713B5" w:rsidP="00981BA8">
      <w:pPr>
        <w:pStyle w:val="BlockText"/>
        <w:autoSpaceDE w:val="0"/>
        <w:autoSpaceDN w:val="0"/>
        <w:adjustRightInd w:val="0"/>
        <w:spacing w:before="120" w:after="60"/>
        <w:rPr>
          <w:szCs w:val="22"/>
        </w:rPr>
      </w:pPr>
      <w:r w:rsidRPr="00216FAF">
        <w:rPr>
          <w:szCs w:val="22"/>
        </w:rPr>
        <w:t>Royalties not paid by the due date incur an interest charge. The interest rate is fixed at 0.33</w:t>
      </w:r>
      <w:r w:rsidR="00A951BA">
        <w:rPr>
          <w:szCs w:val="22"/>
        </w:rPr>
        <w:t> </w:t>
      </w:r>
      <w:r w:rsidR="009A0EF8">
        <w:rPr>
          <w:szCs w:val="22"/>
        </w:rPr>
        <w:t>per cent</w:t>
      </w:r>
      <w:r w:rsidR="009A0EF8" w:rsidRPr="00216FAF">
        <w:rPr>
          <w:szCs w:val="22"/>
        </w:rPr>
        <w:t xml:space="preserve"> </w:t>
      </w:r>
      <w:r w:rsidRPr="00216FAF">
        <w:rPr>
          <w:szCs w:val="22"/>
        </w:rPr>
        <w:t xml:space="preserve">per day. </w:t>
      </w:r>
    </w:p>
    <w:p w:rsidR="003713B5" w:rsidRDefault="003713B5" w:rsidP="00981BA8">
      <w:pPr>
        <w:pStyle w:val="BlockText"/>
        <w:autoSpaceDE w:val="0"/>
        <w:autoSpaceDN w:val="0"/>
        <w:adjustRightInd w:val="0"/>
        <w:spacing w:before="120" w:after="60"/>
        <w:rPr>
          <w:szCs w:val="22"/>
        </w:rPr>
      </w:pPr>
      <w:r w:rsidRPr="00216FAF">
        <w:rPr>
          <w:szCs w:val="22"/>
        </w:rPr>
        <w:t>Interest charges apply in all cases upon the amount of royalty from time to time remaining unpaid, to be computed from the time such royalty became payable until it is paid. In exceptional circumstances, some or all of the interest may be remitted.</w:t>
      </w:r>
    </w:p>
    <w:p w:rsidR="003713B5" w:rsidRPr="00216FAF" w:rsidRDefault="003713B5" w:rsidP="00395E76">
      <w:pPr>
        <w:pStyle w:val="HeadingTwo"/>
        <w:spacing w:before="240" w:after="60"/>
        <w:jc w:val="both"/>
        <w:rPr>
          <w:rFonts w:cs="Arial"/>
          <w:szCs w:val="22"/>
        </w:rPr>
      </w:pPr>
      <w:r w:rsidRPr="00216FAF">
        <w:rPr>
          <w:rFonts w:cs="Arial"/>
          <w:szCs w:val="22"/>
        </w:rPr>
        <w:t>Record keeping requirements</w:t>
      </w:r>
    </w:p>
    <w:p w:rsidR="003713B5" w:rsidRPr="00216FAF" w:rsidRDefault="00A5666F" w:rsidP="003C7D38">
      <w:pPr>
        <w:pStyle w:val="BlockText"/>
        <w:autoSpaceDE w:val="0"/>
        <w:autoSpaceDN w:val="0"/>
        <w:adjustRightInd w:val="0"/>
        <w:spacing w:before="120" w:after="60"/>
        <w:rPr>
          <w:szCs w:val="22"/>
        </w:rPr>
      </w:pPr>
      <w:r>
        <w:rPr>
          <w:szCs w:val="22"/>
        </w:rPr>
        <w:t>Licensees</w:t>
      </w:r>
      <w:r w:rsidR="003713B5" w:rsidRPr="00216FAF">
        <w:rPr>
          <w:szCs w:val="22"/>
        </w:rPr>
        <w:t xml:space="preserve"> are required to maintain proper and accurate records relating to petroleum recovered and which substantiate details contained in royalty returns. The records are to be kept at the </w:t>
      </w:r>
      <w:r w:rsidR="00566AB0">
        <w:rPr>
          <w:szCs w:val="22"/>
        </w:rPr>
        <w:t>licence area</w:t>
      </w:r>
      <w:r w:rsidR="003713B5" w:rsidRPr="00216FAF">
        <w:rPr>
          <w:szCs w:val="22"/>
        </w:rPr>
        <w:t xml:space="preserve"> or at some other place in Australia as agreed between the </w:t>
      </w:r>
      <w:r>
        <w:rPr>
          <w:szCs w:val="22"/>
        </w:rPr>
        <w:t>licensee</w:t>
      </w:r>
      <w:r w:rsidR="003713B5" w:rsidRPr="00216FAF">
        <w:rPr>
          <w:szCs w:val="22"/>
        </w:rPr>
        <w:t xml:space="preserve"> and the Commissioner of Territory Revenue. </w:t>
      </w:r>
    </w:p>
    <w:p w:rsidR="003713B5" w:rsidRDefault="003713B5" w:rsidP="003C7D38">
      <w:pPr>
        <w:pStyle w:val="BlockText"/>
        <w:autoSpaceDE w:val="0"/>
        <w:autoSpaceDN w:val="0"/>
        <w:adjustRightInd w:val="0"/>
        <w:spacing w:before="120" w:after="60"/>
        <w:rPr>
          <w:szCs w:val="22"/>
        </w:rPr>
      </w:pPr>
      <w:r w:rsidRPr="00216FAF">
        <w:rPr>
          <w:szCs w:val="22"/>
        </w:rPr>
        <w:t xml:space="preserve">The Commissioner of Territory Revenue or any authorised </w:t>
      </w:r>
      <w:r w:rsidR="00566AB0">
        <w:rPr>
          <w:szCs w:val="22"/>
        </w:rPr>
        <w:t>officer</w:t>
      </w:r>
      <w:r w:rsidRPr="00216FAF">
        <w:rPr>
          <w:szCs w:val="22"/>
        </w:rPr>
        <w:t xml:space="preserve"> is to have access to accounts, books, documents and other records relating to the field or project. </w:t>
      </w:r>
    </w:p>
    <w:p w:rsidR="003713B5" w:rsidRPr="00216FAF" w:rsidRDefault="003713B5" w:rsidP="008E6C72">
      <w:pPr>
        <w:pStyle w:val="HeadingTwo"/>
        <w:spacing w:before="240" w:after="60"/>
        <w:jc w:val="both"/>
        <w:rPr>
          <w:rFonts w:cs="Arial"/>
          <w:szCs w:val="22"/>
        </w:rPr>
      </w:pPr>
      <w:r w:rsidRPr="00216FAF">
        <w:rPr>
          <w:rFonts w:cs="Arial"/>
          <w:szCs w:val="22"/>
        </w:rPr>
        <w:t xml:space="preserve">Confidentiality </w:t>
      </w:r>
    </w:p>
    <w:p w:rsidR="003713B5" w:rsidRPr="00216FAF" w:rsidRDefault="003713B5" w:rsidP="003C7D38">
      <w:pPr>
        <w:pStyle w:val="BlockText"/>
        <w:autoSpaceDE w:val="0"/>
        <w:autoSpaceDN w:val="0"/>
        <w:adjustRightInd w:val="0"/>
        <w:spacing w:before="120" w:after="60"/>
        <w:rPr>
          <w:szCs w:val="22"/>
        </w:rPr>
      </w:pPr>
      <w:r w:rsidRPr="00216FAF">
        <w:rPr>
          <w:szCs w:val="22"/>
        </w:rPr>
        <w:t xml:space="preserve">Information collected by the Commissioner of Territory Revenue </w:t>
      </w:r>
      <w:r w:rsidR="00566AB0">
        <w:rPr>
          <w:szCs w:val="22"/>
        </w:rPr>
        <w:t>or any authorised officer</w:t>
      </w:r>
      <w:r w:rsidRPr="00216FAF">
        <w:rPr>
          <w:szCs w:val="22"/>
        </w:rPr>
        <w:t xml:space="preserve"> for the purposes of royalty is used only for the purpose of administering and enforcing the royalty provisions of the </w:t>
      </w:r>
      <w:r w:rsidRPr="00A951BA">
        <w:rPr>
          <w:szCs w:val="22"/>
        </w:rPr>
        <w:t>Act</w:t>
      </w:r>
      <w:r w:rsidRPr="00216FAF">
        <w:rPr>
          <w:i/>
          <w:szCs w:val="22"/>
        </w:rPr>
        <w:t>.</w:t>
      </w:r>
    </w:p>
    <w:p w:rsidR="003713B5" w:rsidRPr="00FB49C5" w:rsidRDefault="003713B5" w:rsidP="003C7D38">
      <w:pPr>
        <w:pStyle w:val="BlockText"/>
        <w:autoSpaceDE w:val="0"/>
        <w:autoSpaceDN w:val="0"/>
        <w:adjustRightInd w:val="0"/>
        <w:spacing w:before="120" w:after="60"/>
        <w:rPr>
          <w:szCs w:val="22"/>
        </w:rPr>
      </w:pPr>
      <w:r w:rsidRPr="00216FAF">
        <w:t>The confidentiality of this information is strictly maintained and any disclosure will only be made if consistent with the confidentiality requirements, or whe</w:t>
      </w:r>
      <w:r>
        <w:t>n required or authorised by law.</w:t>
      </w:r>
    </w:p>
    <w:p w:rsidR="00285E2E" w:rsidRDefault="00285E2E" w:rsidP="00285E2E"/>
    <w:p w:rsidR="00364D5F" w:rsidRDefault="00CC035D" w:rsidP="00863620">
      <w:r>
        <w:rPr>
          <w:noProof/>
        </w:rPr>
        <w:drawing>
          <wp:inline distT="0" distB="0" distL="0" distR="0">
            <wp:extent cx="1847850" cy="352425"/>
            <wp:effectExtent l="0" t="0" r="0" b="9525"/>
            <wp:docPr id="1" name="Picture 4" descr="Image: Grant Parsons electronic signature" title="Image: Grant Parsons electronic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7850" cy="352425"/>
                    </a:xfrm>
                    <a:prstGeom prst="rect">
                      <a:avLst/>
                    </a:prstGeom>
                    <a:noFill/>
                    <a:ln>
                      <a:noFill/>
                    </a:ln>
                  </pic:spPr>
                </pic:pic>
              </a:graphicData>
            </a:graphic>
          </wp:inline>
        </w:drawing>
      </w:r>
    </w:p>
    <w:p w:rsidR="00B400CF" w:rsidRDefault="00B400CF" w:rsidP="00863620"/>
    <w:p w:rsidR="00264613" w:rsidRDefault="003713B5" w:rsidP="00863620">
      <w:r>
        <w:t>Grant Parsons</w:t>
      </w:r>
    </w:p>
    <w:p w:rsidR="006034B6" w:rsidRDefault="003713B5" w:rsidP="00863620">
      <w:r>
        <w:t>Commissioner of Territory Revenue</w:t>
      </w:r>
    </w:p>
    <w:p w:rsidR="006034B6" w:rsidRDefault="006034B6" w:rsidP="00863620"/>
    <w:p w:rsidR="002B4BE7" w:rsidRDefault="006034B6" w:rsidP="00863620">
      <w:r>
        <w:t>Date of Issue:</w:t>
      </w:r>
      <w:r w:rsidR="008B3D31">
        <w:t xml:space="preserve"> </w:t>
      </w:r>
      <w:r w:rsidR="00636F7D">
        <w:t xml:space="preserve">3 </w:t>
      </w:r>
      <w:r w:rsidR="00716A22">
        <w:t xml:space="preserve">March </w:t>
      </w:r>
      <w:r w:rsidR="00D8720D">
        <w:t>2014</w:t>
      </w:r>
    </w:p>
    <w:p w:rsidR="006034B6" w:rsidRDefault="006034B6" w:rsidP="00863620"/>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Tr="00415073">
        <w:tc>
          <w:tcPr>
            <w:tcW w:w="9854" w:type="dxa"/>
            <w:gridSpan w:val="2"/>
          </w:tcPr>
          <w:p w:rsidR="006034B6" w:rsidRDefault="006034B6" w:rsidP="00863620">
            <w:r>
              <w:t>For further information please contact the Territory Revenue Office:</w:t>
            </w:r>
          </w:p>
        </w:tc>
      </w:tr>
      <w:tr w:rsidR="006034B6" w:rsidTr="00415073">
        <w:tc>
          <w:tcPr>
            <w:tcW w:w="4927" w:type="dxa"/>
          </w:tcPr>
          <w:p w:rsidR="006034B6" w:rsidRDefault="006034B6" w:rsidP="00863620">
            <w:r>
              <w:t>GPO Box 154</w:t>
            </w:r>
          </w:p>
          <w:p w:rsidR="006034B6" w:rsidRDefault="006034B6" w:rsidP="00863620">
            <w:r>
              <w:t>Darwin  NT  0801</w:t>
            </w:r>
          </w:p>
          <w:p w:rsidR="006034B6" w:rsidRDefault="006034B6" w:rsidP="00863620">
            <w:r>
              <w:t xml:space="preserve">Email: </w:t>
            </w:r>
            <w:hyperlink r:id="rId10" w:history="1">
              <w:r w:rsidR="00716A22" w:rsidRPr="00716A22">
                <w:rPr>
                  <w:rStyle w:val="Hyperlink"/>
                </w:rPr>
                <w:t>ntrevenue@nt.gov.au</w:t>
              </w:r>
            </w:hyperlink>
          </w:p>
        </w:tc>
        <w:tc>
          <w:tcPr>
            <w:tcW w:w="4927" w:type="dxa"/>
          </w:tcPr>
          <w:p w:rsidR="006034B6" w:rsidRDefault="006034B6" w:rsidP="00863620">
            <w:r>
              <w:t>Phone: 1300 305 353</w:t>
            </w:r>
          </w:p>
          <w:p w:rsidR="006034B6" w:rsidRDefault="006034B6" w:rsidP="00863620">
            <w:r>
              <w:t>Fax: 08 8999 5577</w:t>
            </w:r>
          </w:p>
          <w:p w:rsidR="006034B6" w:rsidRDefault="006034B6" w:rsidP="00395E76">
            <w:r>
              <w:t xml:space="preserve">Website: </w:t>
            </w:r>
            <w:hyperlink r:id="rId11" w:history="1">
              <w:r w:rsidRPr="009369D6">
                <w:rPr>
                  <w:rStyle w:val="Hyperlink"/>
                </w:rPr>
                <w:t>www.revenue.nt.gov.au</w:t>
              </w:r>
            </w:hyperlink>
          </w:p>
        </w:tc>
      </w:tr>
    </w:tbl>
    <w:p w:rsidR="006034B6" w:rsidRPr="00285E2E" w:rsidRDefault="006034B6" w:rsidP="00285E2E">
      <w:pPr>
        <w:tabs>
          <w:tab w:val="left" w:pos="3990"/>
        </w:tabs>
      </w:pPr>
    </w:p>
    <w:sectPr w:rsidR="006034B6" w:rsidRPr="00285E2E" w:rsidSect="00C27A0A">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567"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5F3" w:rsidRDefault="00A815F3">
      <w:r>
        <w:separator/>
      </w:r>
    </w:p>
  </w:endnote>
  <w:endnote w:type="continuationSeparator" w:id="0">
    <w:p w:rsidR="00A815F3" w:rsidRDefault="00A8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pitch w:val="variable"/>
    <w:sig w:usb0="E1002EFF" w:usb1="C000605B" w:usb2="00000029" w:usb3="00000000" w:csb0="000101FF" w:csb1="00000000"/>
  </w:font>
  <w:font w:name="CG Times (W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D05" w:rsidRDefault="005E6D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580" w:rsidRDefault="00C23580" w:rsidP="00364D5F">
    <w:pPr>
      <w:pStyle w:val="Footer"/>
      <w:tabs>
        <w:tab w:val="clear" w:pos="4153"/>
        <w:tab w:val="clear" w:pos="8306"/>
        <w:tab w:val="right" w:pos="9720"/>
      </w:tabs>
      <w:rPr>
        <w:sz w:val="16"/>
        <w:szCs w:val="16"/>
      </w:rPr>
    </w:pPr>
  </w:p>
  <w:p w:rsidR="00C23580" w:rsidRPr="00364D5F" w:rsidRDefault="00C23580"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0E7519">
      <w:rPr>
        <w:noProof/>
        <w:sz w:val="16"/>
        <w:szCs w:val="16"/>
      </w:rPr>
      <w:t>2</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0E7519">
      <w:rPr>
        <w:noProof/>
        <w:sz w:val="16"/>
        <w:szCs w:val="16"/>
      </w:rPr>
      <w:t>7</w:t>
    </w:r>
    <w:r w:rsidRPr="006034B6">
      <w:rPr>
        <w:sz w:val="16"/>
        <w:szCs w:val="16"/>
      </w:rPr>
      <w:fldChar w:fldCharType="end"/>
    </w:r>
    <w:r>
      <w:rPr>
        <w:sz w:val="16"/>
        <w:szCs w:val="16"/>
      </w:rPr>
      <w:tab/>
    </w:r>
    <w:r w:rsidR="00D12632">
      <w:rPr>
        <w:sz w:val="16"/>
        <w:szCs w:val="16"/>
      </w:rPr>
      <w:t xml:space="preserve">NT </w:t>
    </w:r>
    <w:r>
      <w:rPr>
        <w:sz w:val="16"/>
        <w:szCs w:val="16"/>
      </w:rPr>
      <w:t xml:space="preserve">Petroleum </w:t>
    </w:r>
    <w:r w:rsidR="00D12632">
      <w:rPr>
        <w:sz w:val="16"/>
        <w:szCs w:val="16"/>
      </w:rPr>
      <w:t xml:space="preserve">Royalty </w:t>
    </w:r>
    <w:r>
      <w:rPr>
        <w:sz w:val="16"/>
        <w:szCs w:val="16"/>
      </w:rPr>
      <w:t>Overview</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580" w:rsidRDefault="00C23580" w:rsidP="00863620">
    <w:pPr>
      <w:pStyle w:val="Footer"/>
      <w:tabs>
        <w:tab w:val="clear" w:pos="4153"/>
        <w:tab w:val="clear" w:pos="8306"/>
        <w:tab w:val="left" w:pos="1065"/>
        <w:tab w:val="right" w:pos="9720"/>
      </w:tabs>
      <w:rPr>
        <w:sz w:val="16"/>
        <w:szCs w:val="16"/>
      </w:rPr>
    </w:pPr>
  </w:p>
  <w:p w:rsidR="00C23580" w:rsidRPr="006034B6" w:rsidRDefault="00C23580" w:rsidP="00863620">
    <w:pPr>
      <w:pStyle w:val="Footer"/>
      <w:tabs>
        <w:tab w:val="clear" w:pos="4153"/>
        <w:tab w:val="clear" w:pos="8306"/>
        <w:tab w:val="left" w:pos="1065"/>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0E7519">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0E7519">
      <w:rPr>
        <w:noProof/>
        <w:sz w:val="16"/>
        <w:szCs w:val="16"/>
      </w:rPr>
      <w:t>7</w:t>
    </w:r>
    <w:r w:rsidRPr="006034B6">
      <w:rPr>
        <w:sz w:val="16"/>
        <w:szCs w:val="16"/>
      </w:rPr>
      <w:fldChar w:fldCharType="end"/>
    </w:r>
    <w:r>
      <w:rPr>
        <w:sz w:val="16"/>
        <w:szCs w:val="16"/>
      </w:rPr>
      <w:tab/>
    </w:r>
    <w:r>
      <w:rPr>
        <w:sz w:val="16"/>
        <w:szCs w:val="16"/>
      </w:rPr>
      <w:tab/>
    </w:r>
    <w:r w:rsidR="00D12632">
      <w:rPr>
        <w:sz w:val="16"/>
        <w:szCs w:val="16"/>
      </w:rPr>
      <w:t xml:space="preserve">NT </w:t>
    </w:r>
    <w:r>
      <w:rPr>
        <w:sz w:val="16"/>
        <w:szCs w:val="16"/>
      </w:rPr>
      <w:t xml:space="preserve">Petroleum </w:t>
    </w:r>
    <w:r w:rsidR="00D12632">
      <w:rPr>
        <w:sz w:val="16"/>
        <w:szCs w:val="16"/>
      </w:rPr>
      <w:t xml:space="preserve">Royalty </w:t>
    </w:r>
    <w:r>
      <w:rPr>
        <w:sz w:val="16"/>
        <w:szCs w:val="16"/>
      </w:rPr>
      <w:t>Overview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5F3" w:rsidRDefault="00A815F3">
      <w:r>
        <w:separator/>
      </w:r>
    </w:p>
  </w:footnote>
  <w:footnote w:type="continuationSeparator" w:id="0">
    <w:p w:rsidR="00A815F3" w:rsidRDefault="00A815F3">
      <w:r>
        <w:continuationSeparator/>
      </w:r>
    </w:p>
  </w:footnote>
  <w:footnote w:id="1">
    <w:p w:rsidR="00C23580" w:rsidRPr="00A3358A" w:rsidRDefault="00C23580" w:rsidP="00FD588C">
      <w:pPr>
        <w:autoSpaceDE w:val="0"/>
        <w:autoSpaceDN w:val="0"/>
        <w:adjustRightInd w:val="0"/>
        <w:jc w:val="both"/>
        <w:rPr>
          <w:sz w:val="20"/>
        </w:rPr>
      </w:pPr>
      <w:bookmarkStart w:id="0" w:name="_GoBack"/>
      <w:bookmarkEnd w:id="0"/>
      <w:r w:rsidRPr="00A3358A">
        <w:rPr>
          <w:rStyle w:val="FootnoteReference"/>
          <w:sz w:val="20"/>
        </w:rPr>
        <w:footnoteRef/>
      </w:r>
      <w:r w:rsidRPr="00A3358A">
        <w:rPr>
          <w:sz w:val="20"/>
        </w:rPr>
        <w:t xml:space="preserve"> </w:t>
      </w:r>
      <w:r>
        <w:rPr>
          <w:sz w:val="20"/>
        </w:rPr>
        <w:t>Section 119</w:t>
      </w:r>
      <w:r w:rsidR="00F24077">
        <w:rPr>
          <w:sz w:val="20"/>
        </w:rPr>
        <w:t>(2)</w:t>
      </w:r>
      <w:r w:rsidRPr="008D7EA5">
        <w:rPr>
          <w:sz w:val="20"/>
        </w:rPr>
        <w:t xml:space="preserve"> of the </w:t>
      </w:r>
      <w:r w:rsidRPr="008D7EA5">
        <w:rPr>
          <w:i/>
          <w:sz w:val="20"/>
        </w:rPr>
        <w:t>Petroleum Act</w:t>
      </w:r>
      <w:r w:rsidRPr="008D7EA5">
        <w:rPr>
          <w:sz w:val="20"/>
        </w:rPr>
        <w:t xml:space="preserve"> (being a transitional</w:t>
      </w:r>
      <w:r>
        <w:rPr>
          <w:sz w:val="20"/>
        </w:rPr>
        <w:t xml:space="preserve"> or savings</w:t>
      </w:r>
      <w:r w:rsidRPr="008D7EA5">
        <w:rPr>
          <w:sz w:val="20"/>
        </w:rPr>
        <w:t xml:space="preserve"> provision) expressly ensures that Division 5 of Part III of the </w:t>
      </w:r>
      <w:r w:rsidRPr="008D7EA5">
        <w:rPr>
          <w:i/>
          <w:sz w:val="20"/>
        </w:rPr>
        <w:t>Petroleum Act</w:t>
      </w:r>
      <w:r>
        <w:rPr>
          <w:sz w:val="20"/>
        </w:rPr>
        <w:t xml:space="preserve"> applies to a lease granted or renewed under the now repealed </w:t>
      </w:r>
      <w:r w:rsidRPr="004E410F">
        <w:rPr>
          <w:i/>
          <w:sz w:val="20"/>
        </w:rPr>
        <w:t>Petroleum (Prospecting and Mining) Act</w:t>
      </w:r>
      <w:r>
        <w:rPr>
          <w:sz w:val="20"/>
        </w:rPr>
        <w:t xml:space="preserve"> </w:t>
      </w:r>
      <w:r w:rsidRPr="00A951BA">
        <w:rPr>
          <w:i/>
          <w:sz w:val="20"/>
        </w:rPr>
        <w:t>1954</w:t>
      </w:r>
      <w:r>
        <w:rPr>
          <w:sz w:val="20"/>
        </w:rPr>
        <w:t xml:space="preserve"> (NT) which is </w:t>
      </w:r>
      <w:r w:rsidRPr="00A3358A">
        <w:rPr>
          <w:sz w:val="20"/>
        </w:rPr>
        <w:t>continue</w:t>
      </w:r>
      <w:r>
        <w:rPr>
          <w:sz w:val="20"/>
        </w:rPr>
        <w:t>d</w:t>
      </w:r>
      <w:r w:rsidRPr="00A3358A">
        <w:rPr>
          <w:sz w:val="20"/>
        </w:rPr>
        <w:t xml:space="preserve"> in force (as if the law remained the same as it was at the time immediately before the </w:t>
      </w:r>
      <w:r>
        <w:rPr>
          <w:i/>
          <w:sz w:val="20"/>
        </w:rPr>
        <w:t>Petroleum</w:t>
      </w:r>
      <w:r w:rsidRPr="00A3358A">
        <w:rPr>
          <w:sz w:val="20"/>
        </w:rPr>
        <w:t xml:space="preserve"> </w:t>
      </w:r>
      <w:r w:rsidRPr="00A3358A">
        <w:rPr>
          <w:i/>
          <w:sz w:val="20"/>
        </w:rPr>
        <w:t>Act</w:t>
      </w:r>
      <w:r w:rsidRPr="00A3358A">
        <w:rPr>
          <w:sz w:val="20"/>
        </w:rPr>
        <w:t xml:space="preserve"> commence</w:t>
      </w:r>
      <w:r>
        <w:rPr>
          <w:sz w:val="20"/>
        </w:rPr>
        <w:t>d operation on 15 October 1984)</w:t>
      </w:r>
      <w:r w:rsidRPr="00A3358A">
        <w:rPr>
          <w:sz w:val="20"/>
        </w:rPr>
        <w:t>.</w:t>
      </w:r>
    </w:p>
    <w:p w:rsidR="00C23580" w:rsidRPr="008D7EA5" w:rsidRDefault="00C23580" w:rsidP="00FD588C">
      <w:pPr>
        <w:autoSpaceDE w:val="0"/>
        <w:autoSpaceDN w:val="0"/>
        <w:adjustRightInd w:val="0"/>
        <w:jc w:val="both"/>
        <w:rPr>
          <w:sz w:val="20"/>
        </w:rPr>
      </w:pPr>
    </w:p>
    <w:p w:rsidR="00C23580" w:rsidRDefault="00C23580" w:rsidP="00FD588C">
      <w:pPr>
        <w:pStyle w:val="FootnoteText"/>
      </w:pPr>
    </w:p>
  </w:footnote>
  <w:footnote w:id="2">
    <w:p w:rsidR="00C23580" w:rsidRPr="007537FE" w:rsidRDefault="00C23580" w:rsidP="00332FB4">
      <w:pPr>
        <w:pStyle w:val="BlockText"/>
        <w:numPr>
          <w:ilvl w:val="0"/>
          <w:numId w:val="0"/>
        </w:numPr>
        <w:spacing w:after="0"/>
        <w:rPr>
          <w:sz w:val="20"/>
        </w:rPr>
      </w:pPr>
      <w:r w:rsidRPr="004E410F">
        <w:rPr>
          <w:rStyle w:val="FootnoteReference"/>
          <w:sz w:val="20"/>
        </w:rPr>
        <w:footnoteRef/>
      </w:r>
      <w:r w:rsidRPr="004E410F">
        <w:rPr>
          <w:sz w:val="20"/>
        </w:rPr>
        <w:t xml:space="preserve"> There is provision to reduce the royalty in exceptional circumstances such as if the production becomes </w:t>
      </w:r>
      <w:r w:rsidRPr="007537FE">
        <w:rPr>
          <w:sz w:val="20"/>
        </w:rPr>
        <w:t>uneconomic at the fixed rate (section 86).</w:t>
      </w:r>
    </w:p>
  </w:footnote>
  <w:footnote w:id="3">
    <w:p w:rsidR="00C23580" w:rsidRPr="004E410F" w:rsidRDefault="00C23580" w:rsidP="00332FB4">
      <w:pPr>
        <w:pStyle w:val="FootnoteText"/>
        <w:jc w:val="both"/>
        <w:rPr>
          <w:rFonts w:ascii="Arial" w:hAnsi="Arial" w:cs="Arial"/>
        </w:rPr>
      </w:pPr>
      <w:r w:rsidRPr="007537FE">
        <w:rPr>
          <w:rStyle w:val="FootnoteReference"/>
          <w:rFonts w:ascii="Arial" w:hAnsi="Arial" w:cs="Arial"/>
        </w:rPr>
        <w:footnoteRef/>
      </w:r>
      <w:r w:rsidRPr="007537FE">
        <w:rPr>
          <w:rFonts w:ascii="Arial" w:hAnsi="Arial" w:cs="Arial"/>
        </w:rPr>
        <w:t xml:space="preserve"> </w:t>
      </w:r>
      <w:r w:rsidRPr="007537FE">
        <w:rPr>
          <w:rFonts w:ascii="Arial" w:hAnsi="Arial" w:cs="Arial"/>
          <w:iCs/>
        </w:rPr>
        <w:t xml:space="preserve">See </w:t>
      </w:r>
      <w:r w:rsidRPr="007537FE">
        <w:rPr>
          <w:rFonts w:ascii="Arial" w:hAnsi="Arial" w:cs="Arial"/>
          <w:i/>
          <w:iCs/>
        </w:rPr>
        <w:t>BHP</w:t>
      </w:r>
      <w:r w:rsidRPr="007537FE">
        <w:rPr>
          <w:rFonts w:ascii="Arial" w:hAnsi="Arial" w:cs="Arial"/>
          <w:iCs/>
        </w:rPr>
        <w:t xml:space="preserve"> </w:t>
      </w:r>
      <w:r w:rsidRPr="007537FE">
        <w:rPr>
          <w:rFonts w:ascii="Arial" w:hAnsi="Arial" w:cs="Arial"/>
          <w:i/>
          <w:iCs/>
        </w:rPr>
        <w:t>Petroleum Pty Ltd v Balfour</w:t>
      </w:r>
      <w:r w:rsidRPr="007537FE">
        <w:rPr>
          <w:rFonts w:ascii="Arial" w:hAnsi="Arial" w:cs="Arial"/>
        </w:rPr>
        <w:t xml:space="preserve"> (Unreported, Supreme Court of Victoria, Marks J, 8 February 1985); </w:t>
      </w:r>
      <w:r w:rsidRPr="007537FE">
        <w:rPr>
          <w:rFonts w:ascii="Arial" w:hAnsi="Arial" w:cs="Arial"/>
          <w:i/>
          <w:iCs/>
        </w:rPr>
        <w:t>BHP</w:t>
      </w:r>
      <w:r w:rsidRPr="007537FE">
        <w:rPr>
          <w:rFonts w:ascii="Arial" w:hAnsi="Arial" w:cs="Arial"/>
        </w:rPr>
        <w:t xml:space="preserve"> </w:t>
      </w:r>
      <w:r w:rsidRPr="007537FE">
        <w:rPr>
          <w:rFonts w:ascii="Arial" w:hAnsi="Arial" w:cs="Arial"/>
          <w:i/>
          <w:iCs/>
        </w:rPr>
        <w:t>Petroleum</w:t>
      </w:r>
      <w:r w:rsidRPr="007537FE">
        <w:rPr>
          <w:rFonts w:ascii="Arial" w:hAnsi="Arial" w:cs="Arial"/>
        </w:rPr>
        <w:t xml:space="preserve"> </w:t>
      </w:r>
      <w:r w:rsidRPr="007537FE">
        <w:rPr>
          <w:rFonts w:ascii="Arial" w:hAnsi="Arial" w:cs="Arial"/>
          <w:i/>
          <w:iCs/>
        </w:rPr>
        <w:t>Pty</w:t>
      </w:r>
      <w:r w:rsidRPr="007537FE">
        <w:rPr>
          <w:rFonts w:ascii="Arial" w:hAnsi="Arial" w:cs="Arial"/>
        </w:rPr>
        <w:t xml:space="preserve"> </w:t>
      </w:r>
      <w:r w:rsidRPr="007537FE">
        <w:rPr>
          <w:rFonts w:ascii="Arial" w:hAnsi="Arial" w:cs="Arial"/>
          <w:i/>
          <w:iCs/>
        </w:rPr>
        <w:t>Ltd</w:t>
      </w:r>
      <w:r w:rsidRPr="007537FE">
        <w:rPr>
          <w:rFonts w:ascii="Arial" w:hAnsi="Arial" w:cs="Arial"/>
        </w:rPr>
        <w:t xml:space="preserve"> </w:t>
      </w:r>
      <w:r w:rsidRPr="007537FE">
        <w:rPr>
          <w:rFonts w:ascii="Arial" w:hAnsi="Arial" w:cs="Arial"/>
          <w:i/>
          <w:iCs/>
        </w:rPr>
        <w:t>v</w:t>
      </w:r>
      <w:r w:rsidRPr="007537FE">
        <w:rPr>
          <w:rFonts w:ascii="Arial" w:hAnsi="Arial" w:cs="Arial"/>
        </w:rPr>
        <w:t xml:space="preserve"> </w:t>
      </w:r>
      <w:r w:rsidRPr="007537FE">
        <w:rPr>
          <w:rFonts w:ascii="Arial" w:hAnsi="Arial" w:cs="Arial"/>
          <w:i/>
          <w:iCs/>
        </w:rPr>
        <w:t>Balfour</w:t>
      </w:r>
      <w:r w:rsidRPr="007537FE">
        <w:rPr>
          <w:rFonts w:ascii="Arial" w:hAnsi="Arial" w:cs="Arial"/>
        </w:rPr>
        <w:t xml:space="preserve"> (1994) 180 CLR 474</w:t>
      </w:r>
      <w:r w:rsidR="00951F54">
        <w:rPr>
          <w:rFonts w:ascii="Arial" w:hAnsi="Arial" w:cs="Arial"/>
        </w:rPr>
        <w:t xml:space="preserve">; </w:t>
      </w:r>
      <w:r w:rsidR="00951F54" w:rsidRPr="00A951BA">
        <w:rPr>
          <w:rFonts w:ascii="Arial" w:hAnsi="Arial" w:cs="Arial"/>
          <w:i/>
        </w:rPr>
        <w:t>Schroeder v Terra Energy Ltd</w:t>
      </w:r>
      <w:r w:rsidR="00951F54">
        <w:rPr>
          <w:rFonts w:ascii="Arial" w:hAnsi="Arial" w:cs="Arial"/>
        </w:rPr>
        <w:t xml:space="preserve"> 565 N.W.2d 887,890 (Mich. App. 1997)</w:t>
      </w:r>
      <w:r w:rsidRPr="007537FE">
        <w:rPr>
          <w:rFonts w:ascii="Arial" w:hAnsi="Arial" w:cs="Arial"/>
        </w:rPr>
        <w:t>.</w:t>
      </w:r>
    </w:p>
  </w:footnote>
  <w:footnote w:id="4">
    <w:p w:rsidR="00EE6B6D" w:rsidRPr="00A951BA" w:rsidRDefault="00EE6B6D" w:rsidP="00A951BA">
      <w:pPr>
        <w:pStyle w:val="FootnoteText"/>
        <w:jc w:val="both"/>
        <w:rPr>
          <w:rFonts w:ascii="Arial" w:hAnsi="Arial" w:cs="Arial"/>
        </w:rPr>
      </w:pPr>
      <w:r w:rsidRPr="00A951BA">
        <w:rPr>
          <w:rStyle w:val="FootnoteReference"/>
          <w:rFonts w:ascii="Arial" w:hAnsi="Arial" w:cs="Arial"/>
        </w:rPr>
        <w:footnoteRef/>
      </w:r>
      <w:r w:rsidRPr="00A951BA">
        <w:rPr>
          <w:rFonts w:ascii="Arial" w:hAnsi="Arial" w:cs="Arial"/>
        </w:rPr>
        <w:t xml:space="preserve"> </w:t>
      </w:r>
      <w:r w:rsidRPr="00EE6B6D">
        <w:rPr>
          <w:rFonts w:ascii="Arial" w:hAnsi="Arial" w:cs="Arial"/>
          <w:iCs/>
        </w:rPr>
        <w:t xml:space="preserve">The authorities of </w:t>
      </w:r>
      <w:r w:rsidRPr="00EE6B6D">
        <w:rPr>
          <w:rFonts w:ascii="Arial" w:hAnsi="Arial" w:cs="Arial"/>
          <w:i/>
          <w:iCs/>
        </w:rPr>
        <w:t>Oil Basins Limited v</w:t>
      </w:r>
      <w:r w:rsidRPr="00EE6B6D">
        <w:rPr>
          <w:rFonts w:ascii="Arial" w:hAnsi="Arial" w:cs="Arial"/>
        </w:rPr>
        <w:t xml:space="preserve"> </w:t>
      </w:r>
      <w:r w:rsidRPr="00EE6B6D">
        <w:rPr>
          <w:rFonts w:ascii="Arial" w:hAnsi="Arial" w:cs="Arial"/>
          <w:i/>
          <w:iCs/>
        </w:rPr>
        <w:t>BHP Petroleum Pty Limited</w:t>
      </w:r>
      <w:r w:rsidRPr="00EE6B6D">
        <w:rPr>
          <w:rFonts w:ascii="Arial" w:hAnsi="Arial" w:cs="Arial"/>
        </w:rPr>
        <w:t xml:space="preserve"> [1988] VicSC 247 and </w:t>
      </w:r>
      <w:r w:rsidRPr="00EE6B6D">
        <w:rPr>
          <w:rFonts w:ascii="Arial" w:hAnsi="Arial" w:cs="Arial"/>
          <w:i/>
          <w:iCs/>
        </w:rPr>
        <w:t>Australian Energy Limited v Lennard Oil NL</w:t>
      </w:r>
      <w:r w:rsidRPr="00EE6B6D">
        <w:rPr>
          <w:rFonts w:ascii="Arial" w:hAnsi="Arial" w:cs="Arial"/>
        </w:rPr>
        <w:t xml:space="preserve"> (Unreported, QSC, MacPherson J, 6 February 1985); [1986] 2 Qd R 216 support that it is appropriate to ascertain the wellhead gross value by using the net</w:t>
      </w:r>
      <w:r w:rsidR="008843F1">
        <w:rPr>
          <w:rFonts w:ascii="Arial" w:hAnsi="Arial" w:cs="Arial"/>
        </w:rPr>
        <w:t>-</w:t>
      </w:r>
      <w:r w:rsidRPr="00EE6B6D">
        <w:rPr>
          <w:rFonts w:ascii="Arial" w:hAnsi="Arial" w:cs="Arial"/>
        </w:rPr>
        <w:t xml:space="preserve">back approach; i.e. it is an appropriate method of deducing from actual downstream sales the gross value at the point of production upstream of those actual sales (see </w:t>
      </w:r>
      <w:r w:rsidRPr="00EE6B6D">
        <w:rPr>
          <w:rFonts w:ascii="Arial" w:hAnsi="Arial" w:cs="Arial"/>
          <w:iCs/>
        </w:rPr>
        <w:t>also</w:t>
      </w:r>
      <w:r w:rsidRPr="00EE6B6D">
        <w:rPr>
          <w:rFonts w:ascii="Arial" w:hAnsi="Arial" w:cs="Arial"/>
        </w:rPr>
        <w:t xml:space="preserve"> </w:t>
      </w:r>
      <w:r w:rsidRPr="00EE6B6D">
        <w:rPr>
          <w:rFonts w:ascii="Arial" w:hAnsi="Arial" w:cs="Arial"/>
          <w:i/>
          <w:iCs/>
        </w:rPr>
        <w:t>Bob Jane T-Marts Pty Ltd v Commissioner of Taxation</w:t>
      </w:r>
      <w:r w:rsidRPr="00EE6B6D">
        <w:rPr>
          <w:rFonts w:ascii="Arial" w:hAnsi="Arial" w:cs="Arial"/>
        </w:rPr>
        <w:t xml:space="preserve"> [1999] FCA 415 at [92]-[93]</w:t>
      </w:r>
      <w:r w:rsidR="00896A09">
        <w:rPr>
          <w:rFonts w:ascii="Arial" w:hAnsi="Arial" w:cs="Arial"/>
        </w:rPr>
        <w:t>;</w:t>
      </w:r>
      <w:r w:rsidRPr="00A951BA">
        <w:rPr>
          <w:rFonts w:ascii="Arial" w:hAnsi="Arial" w:cs="Arial"/>
        </w:rPr>
        <w:t xml:space="preserve"> </w:t>
      </w:r>
      <w:r w:rsidRPr="00EE6B6D">
        <w:rPr>
          <w:rFonts w:ascii="Arial" w:hAnsi="Arial" w:cs="Arial"/>
          <w:i/>
        </w:rPr>
        <w:t xml:space="preserve">Howell v Texaco </w:t>
      </w:r>
      <w:proofErr w:type="spellStart"/>
      <w:r w:rsidRPr="00EE6B6D">
        <w:rPr>
          <w:rFonts w:ascii="Arial" w:hAnsi="Arial" w:cs="Arial"/>
          <w:i/>
        </w:rPr>
        <w:t>Inc</w:t>
      </w:r>
      <w:proofErr w:type="spellEnd"/>
      <w:r w:rsidRPr="00EE6B6D">
        <w:rPr>
          <w:rFonts w:ascii="Arial" w:hAnsi="Arial" w:cs="Arial"/>
        </w:rPr>
        <w:t xml:space="preserve"> 112 P.3d 1154, 1159 (Okla. 2004); </w:t>
      </w:r>
      <w:r w:rsidRPr="00A951BA">
        <w:rPr>
          <w:rFonts w:ascii="Arial" w:hAnsi="Arial" w:cs="Arial"/>
          <w:i/>
        </w:rPr>
        <w:t>Ramming v Natural Gas Pipeline Co</w:t>
      </w:r>
      <w:r w:rsidR="00645FFE">
        <w:rPr>
          <w:rFonts w:ascii="Arial" w:hAnsi="Arial" w:cs="Arial"/>
          <w:i/>
        </w:rPr>
        <w:t>mpany of America</w:t>
      </w:r>
      <w:r w:rsidR="00645FFE">
        <w:rPr>
          <w:rFonts w:ascii="Arial" w:hAnsi="Arial" w:cs="Arial"/>
        </w:rPr>
        <w:t xml:space="preserve"> </w:t>
      </w:r>
      <w:r w:rsidRPr="00EE6B6D">
        <w:rPr>
          <w:rFonts w:ascii="Arial" w:hAnsi="Arial" w:cs="Arial"/>
        </w:rPr>
        <w:t>390 F.3d 366, 372 (5</w:t>
      </w:r>
      <w:r w:rsidRPr="00A951BA">
        <w:rPr>
          <w:rFonts w:ascii="Arial" w:hAnsi="Arial" w:cs="Arial"/>
          <w:vertAlign w:val="superscript"/>
        </w:rPr>
        <w:t>th</w:t>
      </w:r>
      <w:r w:rsidRPr="00EE6B6D">
        <w:rPr>
          <w:rFonts w:ascii="Arial" w:hAnsi="Arial" w:cs="Arial"/>
        </w:rPr>
        <w:t>,</w:t>
      </w:r>
      <w:r>
        <w:rPr>
          <w:rFonts w:ascii="Arial" w:hAnsi="Arial" w:cs="Arial"/>
        </w:rPr>
        <w:t xml:space="preserve"> C</w:t>
      </w:r>
      <w:r w:rsidRPr="00EE6B6D">
        <w:rPr>
          <w:rFonts w:ascii="Arial" w:hAnsi="Arial" w:cs="Arial"/>
        </w:rPr>
        <w:t>ir. 2004)</w:t>
      </w:r>
      <w:r w:rsidR="00896A09">
        <w:rPr>
          <w:rFonts w:ascii="Arial" w:hAnsi="Arial" w:cs="Arial"/>
        </w:rPr>
        <w:t>)</w:t>
      </w:r>
      <w:r w:rsidRPr="00EE6B6D">
        <w:rPr>
          <w:rFonts w:ascii="Arial" w:hAnsi="Arial" w:cs="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580" w:rsidRDefault="00C23580"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23580" w:rsidRDefault="00C235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580" w:rsidRPr="003765CD" w:rsidRDefault="00C23580"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580" w:rsidRDefault="00CC035D" w:rsidP="0019571B">
    <w:pPr>
      <w:pStyle w:val="NTTHeaderInfo"/>
      <w:rPr>
        <w:b/>
        <w:noProof/>
      </w:rPr>
    </w:pPr>
    <w:r>
      <w:rPr>
        <w:b/>
        <w:noProof/>
      </w:rPr>
      <w:drawing>
        <wp:anchor distT="0" distB="0" distL="114300" distR="114300" simplePos="0" relativeHeight="251658240" behindDoc="1" locked="0" layoutInCell="0" allowOverlap="1">
          <wp:simplePos x="0" y="0"/>
          <wp:positionH relativeFrom="page">
            <wp:posOffset>180340</wp:posOffset>
          </wp:positionH>
          <wp:positionV relativeFrom="page">
            <wp:posOffset>180340</wp:posOffset>
          </wp:positionV>
          <wp:extent cx="7239635" cy="931545"/>
          <wp:effectExtent l="0" t="0" r="0" b="1905"/>
          <wp:wrapNone/>
          <wp:docPr id="10" name="Picture 10"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TG logo and department nam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635" cy="931545"/>
                  </a:xfrm>
                  <a:prstGeom prst="rect">
                    <a:avLst/>
                  </a:prstGeom>
                  <a:noFill/>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7216" behindDoc="1" locked="0" layoutInCell="0" allowOverlap="1">
          <wp:simplePos x="0" y="0"/>
          <wp:positionH relativeFrom="page">
            <wp:posOffset>180340</wp:posOffset>
          </wp:positionH>
          <wp:positionV relativeFrom="page">
            <wp:posOffset>180340</wp:posOffset>
          </wp:positionV>
          <wp:extent cx="7179945" cy="931545"/>
          <wp:effectExtent l="0" t="0" r="1905" b="1905"/>
          <wp:wrapNone/>
          <wp:docPr id="4" name="Picture 4" descr="200807 tro doc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807 tro doc head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79945" cy="931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580" w:rsidRDefault="00C23580" w:rsidP="0019571B">
    <w:pPr>
      <w:pStyle w:val="NTTHeaderInfo"/>
      <w:rPr>
        <w:b/>
        <w:noProof/>
      </w:rPr>
    </w:pPr>
  </w:p>
  <w:p w:rsidR="00C23580" w:rsidRDefault="00C23580" w:rsidP="0019571B">
    <w:pPr>
      <w:pStyle w:val="NTTHeaderInfo"/>
      <w:rPr>
        <w:b/>
        <w:noProof/>
      </w:rPr>
    </w:pPr>
  </w:p>
  <w:p w:rsidR="00C23580" w:rsidRDefault="00C23580">
    <w:pPr>
      <w:pStyle w:val="Header"/>
    </w:pPr>
  </w:p>
  <w:p w:rsidR="00C23580" w:rsidRDefault="00C23580">
    <w:pPr>
      <w:pStyle w:val="Header"/>
    </w:pPr>
  </w:p>
  <w:p w:rsidR="00C23580" w:rsidRDefault="00C235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03CE7"/>
    <w:multiLevelType w:val="multilevel"/>
    <w:tmpl w:val="A03467FE"/>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nsid w:val="2F3A6E13"/>
    <w:multiLevelType w:val="hybridMultilevel"/>
    <w:tmpl w:val="29064192"/>
    <w:name w:val="AGSDash"/>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53C20718"/>
    <w:multiLevelType w:val="hybridMultilevel"/>
    <w:tmpl w:val="D96A74BE"/>
    <w:lvl w:ilvl="0" w:tplc="B1801E60">
      <w:start w:val="9"/>
      <w:numFmt w:val="lowerLetter"/>
      <w:lvlText w:val="(%1)"/>
      <w:lvlJc w:val="left"/>
      <w:pPr>
        <w:tabs>
          <w:tab w:val="num" w:pos="1440"/>
        </w:tabs>
        <w:ind w:left="1440" w:hanging="360"/>
      </w:pPr>
      <w:rPr>
        <w:rFonts w:hint="default"/>
      </w:rPr>
    </w:lvl>
    <w:lvl w:ilvl="1" w:tplc="1E66A318">
      <w:start w:val="2"/>
      <w:numFmt w:val="lowerRoman"/>
      <w:lvlText w:val="(%2)"/>
      <w:lvlJc w:val="left"/>
      <w:pPr>
        <w:tabs>
          <w:tab w:val="num" w:pos="2520"/>
        </w:tabs>
        <w:ind w:left="2520" w:hanging="720"/>
      </w:pPr>
      <w:rPr>
        <w:rFonts w:hint="default"/>
      </w:rPr>
    </w:lvl>
    <w:lvl w:ilvl="2" w:tplc="FCFCEF8C">
      <w:start w:val="39"/>
      <w:numFmt w:val="decimal"/>
      <w:lvlText w:val="%3."/>
      <w:lvlJc w:val="left"/>
      <w:pPr>
        <w:tabs>
          <w:tab w:val="num" w:pos="3060"/>
        </w:tabs>
        <w:ind w:left="3060" w:hanging="360"/>
      </w:pPr>
      <w:rPr>
        <w:rFonts w:hint="default"/>
      </w:r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3">
    <w:nsid w:val="79B56074"/>
    <w:multiLevelType w:val="hybridMultilevel"/>
    <w:tmpl w:val="2B90A320"/>
    <w:lvl w:ilvl="0" w:tplc="0C090017">
      <w:start w:val="1"/>
      <w:numFmt w:val="lowerLetter"/>
      <w:lvlText w:val="%1)"/>
      <w:lvlJc w:val="left"/>
      <w:pPr>
        <w:tabs>
          <w:tab w:val="num" w:pos="1854"/>
        </w:tabs>
        <w:ind w:left="1854" w:hanging="360"/>
      </w:pPr>
      <w:rPr>
        <w:rFonts w:hint="default"/>
      </w:rPr>
    </w:lvl>
    <w:lvl w:ilvl="1" w:tplc="0C090003">
      <w:start w:val="1"/>
      <w:numFmt w:val="bullet"/>
      <w:lvlText w:val="o"/>
      <w:lvlJc w:val="left"/>
      <w:pPr>
        <w:tabs>
          <w:tab w:val="num" w:pos="2574"/>
        </w:tabs>
        <w:ind w:left="2574" w:hanging="360"/>
      </w:pPr>
      <w:rPr>
        <w:rFonts w:ascii="Courier New" w:hAnsi="Courier New" w:cs="Courier New" w:hint="default"/>
      </w:rPr>
    </w:lvl>
    <w:lvl w:ilvl="2" w:tplc="0C090005" w:tentative="1">
      <w:start w:val="1"/>
      <w:numFmt w:val="bullet"/>
      <w:lvlText w:val=""/>
      <w:lvlJc w:val="left"/>
      <w:pPr>
        <w:tabs>
          <w:tab w:val="num" w:pos="3294"/>
        </w:tabs>
        <w:ind w:left="3294" w:hanging="360"/>
      </w:pPr>
      <w:rPr>
        <w:rFonts w:ascii="Wingdings" w:hAnsi="Wingdings" w:hint="default"/>
      </w:rPr>
    </w:lvl>
    <w:lvl w:ilvl="3" w:tplc="0C090001" w:tentative="1">
      <w:start w:val="1"/>
      <w:numFmt w:val="bullet"/>
      <w:lvlText w:val=""/>
      <w:lvlJc w:val="left"/>
      <w:pPr>
        <w:tabs>
          <w:tab w:val="num" w:pos="4014"/>
        </w:tabs>
        <w:ind w:left="4014" w:hanging="360"/>
      </w:pPr>
      <w:rPr>
        <w:rFonts w:ascii="Symbol" w:hAnsi="Symbol" w:hint="default"/>
      </w:rPr>
    </w:lvl>
    <w:lvl w:ilvl="4" w:tplc="0C090003" w:tentative="1">
      <w:start w:val="1"/>
      <w:numFmt w:val="bullet"/>
      <w:lvlText w:val="o"/>
      <w:lvlJc w:val="left"/>
      <w:pPr>
        <w:tabs>
          <w:tab w:val="num" w:pos="4734"/>
        </w:tabs>
        <w:ind w:left="4734" w:hanging="360"/>
      </w:pPr>
      <w:rPr>
        <w:rFonts w:ascii="Courier New" w:hAnsi="Courier New" w:cs="Courier New" w:hint="default"/>
      </w:rPr>
    </w:lvl>
    <w:lvl w:ilvl="5" w:tplc="0C090005" w:tentative="1">
      <w:start w:val="1"/>
      <w:numFmt w:val="bullet"/>
      <w:lvlText w:val=""/>
      <w:lvlJc w:val="left"/>
      <w:pPr>
        <w:tabs>
          <w:tab w:val="num" w:pos="5454"/>
        </w:tabs>
        <w:ind w:left="5454" w:hanging="360"/>
      </w:pPr>
      <w:rPr>
        <w:rFonts w:ascii="Wingdings" w:hAnsi="Wingdings" w:hint="default"/>
      </w:rPr>
    </w:lvl>
    <w:lvl w:ilvl="6" w:tplc="0C090001" w:tentative="1">
      <w:start w:val="1"/>
      <w:numFmt w:val="bullet"/>
      <w:lvlText w:val=""/>
      <w:lvlJc w:val="left"/>
      <w:pPr>
        <w:tabs>
          <w:tab w:val="num" w:pos="6174"/>
        </w:tabs>
        <w:ind w:left="6174" w:hanging="360"/>
      </w:pPr>
      <w:rPr>
        <w:rFonts w:ascii="Symbol" w:hAnsi="Symbol" w:hint="default"/>
      </w:rPr>
    </w:lvl>
    <w:lvl w:ilvl="7" w:tplc="0C090003" w:tentative="1">
      <w:start w:val="1"/>
      <w:numFmt w:val="bullet"/>
      <w:lvlText w:val="o"/>
      <w:lvlJc w:val="left"/>
      <w:pPr>
        <w:tabs>
          <w:tab w:val="num" w:pos="6894"/>
        </w:tabs>
        <w:ind w:left="6894" w:hanging="360"/>
      </w:pPr>
      <w:rPr>
        <w:rFonts w:ascii="Courier New" w:hAnsi="Courier New" w:cs="Courier New" w:hint="default"/>
      </w:rPr>
    </w:lvl>
    <w:lvl w:ilvl="8" w:tplc="0C090005" w:tentative="1">
      <w:start w:val="1"/>
      <w:numFmt w:val="bullet"/>
      <w:lvlText w:val=""/>
      <w:lvlJc w:val="left"/>
      <w:pPr>
        <w:tabs>
          <w:tab w:val="num" w:pos="7614"/>
        </w:tabs>
        <w:ind w:left="7614" w:hanging="360"/>
      </w:pPr>
      <w:rPr>
        <w:rFonts w:ascii="Wingdings" w:hAnsi="Wingdings" w:hint="default"/>
      </w:rPr>
    </w:lvl>
  </w:abstractNum>
  <w:num w:numId="1">
    <w:abstractNumId w:val="0"/>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i w:val="0"/>
        </w:rPr>
      </w:lvl>
    </w:lvlOverride>
    <w:lvlOverride w:ilvl="2">
      <w:lvl w:ilvl="2">
        <w:start w:val="1"/>
        <w:numFmt w:val="lowerLetter"/>
        <w:lvlRestart w:val="0"/>
        <w:lvlText w:val="(%3)"/>
        <w:lvlJc w:val="left"/>
        <w:pPr>
          <w:tabs>
            <w:tab w:val="num" w:pos="1985"/>
          </w:tabs>
          <w:ind w:left="1985" w:hanging="851"/>
        </w:p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
    <w:abstractNumId w:val="2"/>
  </w:num>
  <w:num w:numId="3">
    <w:abstractNumId w:val="3"/>
  </w:num>
  <w:num w:numId="4">
    <w:abstractNumId w:val="0"/>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i w:val="0"/>
        </w:rPr>
      </w:lvl>
    </w:lvlOverride>
    <w:lvlOverride w:ilvl="2">
      <w:lvl w:ilvl="2">
        <w:start w:val="1"/>
        <w:numFmt w:val="lowerLetter"/>
        <w:lvlRestart w:val="0"/>
        <w:lvlText w:val="(%3)"/>
        <w:lvlJc w:val="left"/>
        <w:pPr>
          <w:tabs>
            <w:tab w:val="num" w:pos="1985"/>
          </w:tabs>
          <w:ind w:left="1985" w:hanging="851"/>
        </w:p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
    <w:abstractNumId w:val="0"/>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i w:val="0"/>
        </w:rPr>
      </w:lvl>
    </w:lvlOverride>
    <w:lvlOverride w:ilvl="2">
      <w:lvl w:ilvl="2">
        <w:start w:val="1"/>
        <w:numFmt w:val="lowerLetter"/>
        <w:lvlRestart w:val="0"/>
        <w:lvlText w:val="(%3)"/>
        <w:lvlJc w:val="left"/>
        <w:pPr>
          <w:tabs>
            <w:tab w:val="num" w:pos="1985"/>
          </w:tabs>
          <w:ind w:left="1985" w:hanging="851"/>
        </w:p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0"/>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i w:val="0"/>
        </w:rPr>
      </w:lvl>
    </w:lvlOverride>
    <w:lvlOverride w:ilvl="2">
      <w:lvl w:ilvl="2">
        <w:start w:val="1"/>
        <w:numFmt w:val="lowerLetter"/>
        <w:lvlRestart w:val="0"/>
        <w:lvlText w:val="(%3)"/>
        <w:lvlJc w:val="left"/>
        <w:pPr>
          <w:tabs>
            <w:tab w:val="num" w:pos="1985"/>
          </w:tabs>
          <w:ind w:left="1985" w:hanging="851"/>
        </w:p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Full" w:cryptAlgorithmClass="hash" w:cryptAlgorithmType="typeAny" w:cryptAlgorithmSid="4" w:cryptSpinCount="100000" w:hash="Bzm3YLToTrtLJulTmbRTAVCB9hY=" w:salt="5XdHxll24gDtXJycUQ2w7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5C2"/>
    <w:rsid w:val="00005FB8"/>
    <w:rsid w:val="000060BF"/>
    <w:rsid w:val="000064CB"/>
    <w:rsid w:val="000102BA"/>
    <w:rsid w:val="000104AB"/>
    <w:rsid w:val="0001099F"/>
    <w:rsid w:val="00010ADD"/>
    <w:rsid w:val="00010EEA"/>
    <w:rsid w:val="00014ADC"/>
    <w:rsid w:val="00017397"/>
    <w:rsid w:val="0002150C"/>
    <w:rsid w:val="00022413"/>
    <w:rsid w:val="0002298B"/>
    <w:rsid w:val="00023645"/>
    <w:rsid w:val="00023DCD"/>
    <w:rsid w:val="00025614"/>
    <w:rsid w:val="000302C0"/>
    <w:rsid w:val="000333C6"/>
    <w:rsid w:val="000376B2"/>
    <w:rsid w:val="00042327"/>
    <w:rsid w:val="000424F1"/>
    <w:rsid w:val="00042BC9"/>
    <w:rsid w:val="00043664"/>
    <w:rsid w:val="00044070"/>
    <w:rsid w:val="00044B03"/>
    <w:rsid w:val="00045CCE"/>
    <w:rsid w:val="00046838"/>
    <w:rsid w:val="00050755"/>
    <w:rsid w:val="0005160E"/>
    <w:rsid w:val="00052714"/>
    <w:rsid w:val="0005295D"/>
    <w:rsid w:val="00054E58"/>
    <w:rsid w:val="00055A15"/>
    <w:rsid w:val="00055F6E"/>
    <w:rsid w:val="00056313"/>
    <w:rsid w:val="000567BE"/>
    <w:rsid w:val="00056B4A"/>
    <w:rsid w:val="0005747B"/>
    <w:rsid w:val="00063A93"/>
    <w:rsid w:val="00063EAC"/>
    <w:rsid w:val="000642F4"/>
    <w:rsid w:val="00067AE5"/>
    <w:rsid w:val="00067B04"/>
    <w:rsid w:val="00070001"/>
    <w:rsid w:val="000733BD"/>
    <w:rsid w:val="000755D7"/>
    <w:rsid w:val="00076512"/>
    <w:rsid w:val="00081963"/>
    <w:rsid w:val="00081984"/>
    <w:rsid w:val="00086285"/>
    <w:rsid w:val="000917B2"/>
    <w:rsid w:val="00094D2B"/>
    <w:rsid w:val="000968BE"/>
    <w:rsid w:val="000A058E"/>
    <w:rsid w:val="000A1789"/>
    <w:rsid w:val="000A4119"/>
    <w:rsid w:val="000A5116"/>
    <w:rsid w:val="000A57FE"/>
    <w:rsid w:val="000A5BAB"/>
    <w:rsid w:val="000A5FAF"/>
    <w:rsid w:val="000A7ABD"/>
    <w:rsid w:val="000B17FF"/>
    <w:rsid w:val="000B1FE4"/>
    <w:rsid w:val="000B36FD"/>
    <w:rsid w:val="000C093F"/>
    <w:rsid w:val="000C0DD5"/>
    <w:rsid w:val="000C2C04"/>
    <w:rsid w:val="000C3AD0"/>
    <w:rsid w:val="000C3FC1"/>
    <w:rsid w:val="000C5DAB"/>
    <w:rsid w:val="000C7E26"/>
    <w:rsid w:val="000D21B9"/>
    <w:rsid w:val="000D255A"/>
    <w:rsid w:val="000D4683"/>
    <w:rsid w:val="000D522D"/>
    <w:rsid w:val="000D58C3"/>
    <w:rsid w:val="000D760C"/>
    <w:rsid w:val="000E26E6"/>
    <w:rsid w:val="000E4960"/>
    <w:rsid w:val="000E4D8E"/>
    <w:rsid w:val="000E578C"/>
    <w:rsid w:val="000E7519"/>
    <w:rsid w:val="000F01F7"/>
    <w:rsid w:val="000F2FD5"/>
    <w:rsid w:val="000F49B7"/>
    <w:rsid w:val="000F7515"/>
    <w:rsid w:val="00110247"/>
    <w:rsid w:val="00111DCC"/>
    <w:rsid w:val="00112237"/>
    <w:rsid w:val="00114495"/>
    <w:rsid w:val="0011517D"/>
    <w:rsid w:val="001171EA"/>
    <w:rsid w:val="00117E21"/>
    <w:rsid w:val="00117F5D"/>
    <w:rsid w:val="00120400"/>
    <w:rsid w:val="0012101B"/>
    <w:rsid w:val="0012610A"/>
    <w:rsid w:val="001271FF"/>
    <w:rsid w:val="0013250A"/>
    <w:rsid w:val="00134634"/>
    <w:rsid w:val="00135C96"/>
    <w:rsid w:val="001364CD"/>
    <w:rsid w:val="001407E2"/>
    <w:rsid w:val="001422DD"/>
    <w:rsid w:val="001426CD"/>
    <w:rsid w:val="001471F9"/>
    <w:rsid w:val="001521B6"/>
    <w:rsid w:val="00153959"/>
    <w:rsid w:val="00153AFD"/>
    <w:rsid w:val="001545F9"/>
    <w:rsid w:val="00156757"/>
    <w:rsid w:val="001579C2"/>
    <w:rsid w:val="00160881"/>
    <w:rsid w:val="0016262C"/>
    <w:rsid w:val="00162971"/>
    <w:rsid w:val="00163137"/>
    <w:rsid w:val="00164258"/>
    <w:rsid w:val="00164A3A"/>
    <w:rsid w:val="00164F5A"/>
    <w:rsid w:val="00166509"/>
    <w:rsid w:val="00176573"/>
    <w:rsid w:val="0018229E"/>
    <w:rsid w:val="00182F05"/>
    <w:rsid w:val="00184056"/>
    <w:rsid w:val="00184984"/>
    <w:rsid w:val="00184B7C"/>
    <w:rsid w:val="001863BC"/>
    <w:rsid w:val="00187674"/>
    <w:rsid w:val="001913AD"/>
    <w:rsid w:val="00192623"/>
    <w:rsid w:val="00192F6F"/>
    <w:rsid w:val="00194792"/>
    <w:rsid w:val="00194ACE"/>
    <w:rsid w:val="0019571B"/>
    <w:rsid w:val="00195E55"/>
    <w:rsid w:val="001971A1"/>
    <w:rsid w:val="0019771F"/>
    <w:rsid w:val="001A6196"/>
    <w:rsid w:val="001A6AC7"/>
    <w:rsid w:val="001B4E3D"/>
    <w:rsid w:val="001B71AE"/>
    <w:rsid w:val="001B7AC7"/>
    <w:rsid w:val="001C422C"/>
    <w:rsid w:val="001C4568"/>
    <w:rsid w:val="001C7F58"/>
    <w:rsid w:val="001D1217"/>
    <w:rsid w:val="001D1411"/>
    <w:rsid w:val="001D27E9"/>
    <w:rsid w:val="001D38B8"/>
    <w:rsid w:val="001D4089"/>
    <w:rsid w:val="001D5A9F"/>
    <w:rsid w:val="001D6742"/>
    <w:rsid w:val="001D69E9"/>
    <w:rsid w:val="001D6F5A"/>
    <w:rsid w:val="001D7DC4"/>
    <w:rsid w:val="001E3578"/>
    <w:rsid w:val="001E4D3B"/>
    <w:rsid w:val="001E6135"/>
    <w:rsid w:val="001E654F"/>
    <w:rsid w:val="001F2C80"/>
    <w:rsid w:val="001F4991"/>
    <w:rsid w:val="001F5273"/>
    <w:rsid w:val="001F60FE"/>
    <w:rsid w:val="001F6B23"/>
    <w:rsid w:val="001F79A2"/>
    <w:rsid w:val="001F7B6E"/>
    <w:rsid w:val="00201F80"/>
    <w:rsid w:val="0020232B"/>
    <w:rsid w:val="002032AD"/>
    <w:rsid w:val="00204372"/>
    <w:rsid w:val="002048E7"/>
    <w:rsid w:val="00207E37"/>
    <w:rsid w:val="00210686"/>
    <w:rsid w:val="0021101A"/>
    <w:rsid w:val="002115E6"/>
    <w:rsid w:val="00211ADE"/>
    <w:rsid w:val="00215A9D"/>
    <w:rsid w:val="00216307"/>
    <w:rsid w:val="0021684D"/>
    <w:rsid w:val="00220E1E"/>
    <w:rsid w:val="00221114"/>
    <w:rsid w:val="0022361B"/>
    <w:rsid w:val="00223C0D"/>
    <w:rsid w:val="00224644"/>
    <w:rsid w:val="0022584E"/>
    <w:rsid w:val="0022698D"/>
    <w:rsid w:val="002278D1"/>
    <w:rsid w:val="002306CE"/>
    <w:rsid w:val="0023083D"/>
    <w:rsid w:val="002317AD"/>
    <w:rsid w:val="00232F6E"/>
    <w:rsid w:val="00234630"/>
    <w:rsid w:val="00234D4E"/>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64613"/>
    <w:rsid w:val="00267080"/>
    <w:rsid w:val="00271740"/>
    <w:rsid w:val="002734E4"/>
    <w:rsid w:val="0027710E"/>
    <w:rsid w:val="002771D3"/>
    <w:rsid w:val="00280367"/>
    <w:rsid w:val="00284D1C"/>
    <w:rsid w:val="00285E2E"/>
    <w:rsid w:val="002863EF"/>
    <w:rsid w:val="00292337"/>
    <w:rsid w:val="0029546F"/>
    <w:rsid w:val="00295BEF"/>
    <w:rsid w:val="00297E74"/>
    <w:rsid w:val="002A03A5"/>
    <w:rsid w:val="002A2487"/>
    <w:rsid w:val="002A35C2"/>
    <w:rsid w:val="002A3775"/>
    <w:rsid w:val="002A5567"/>
    <w:rsid w:val="002A5623"/>
    <w:rsid w:val="002A6158"/>
    <w:rsid w:val="002A6AD4"/>
    <w:rsid w:val="002A7D1F"/>
    <w:rsid w:val="002A7F42"/>
    <w:rsid w:val="002B0DF2"/>
    <w:rsid w:val="002B1738"/>
    <w:rsid w:val="002B4BE7"/>
    <w:rsid w:val="002C0386"/>
    <w:rsid w:val="002C1DA7"/>
    <w:rsid w:val="002C267D"/>
    <w:rsid w:val="002D0398"/>
    <w:rsid w:val="002D4686"/>
    <w:rsid w:val="002D6B9D"/>
    <w:rsid w:val="002D7B81"/>
    <w:rsid w:val="002E1CE1"/>
    <w:rsid w:val="002E576F"/>
    <w:rsid w:val="002F4369"/>
    <w:rsid w:val="002F684A"/>
    <w:rsid w:val="00301586"/>
    <w:rsid w:val="00302E21"/>
    <w:rsid w:val="00304817"/>
    <w:rsid w:val="00307F79"/>
    <w:rsid w:val="003111FF"/>
    <w:rsid w:val="00314B99"/>
    <w:rsid w:val="00314C98"/>
    <w:rsid w:val="00314E75"/>
    <w:rsid w:val="00315D59"/>
    <w:rsid w:val="00322357"/>
    <w:rsid w:val="00322523"/>
    <w:rsid w:val="00323FDD"/>
    <w:rsid w:val="00327C11"/>
    <w:rsid w:val="00330CA3"/>
    <w:rsid w:val="00331FD7"/>
    <w:rsid w:val="00332D45"/>
    <w:rsid w:val="00332FB4"/>
    <w:rsid w:val="00340212"/>
    <w:rsid w:val="00341D76"/>
    <w:rsid w:val="00343BDF"/>
    <w:rsid w:val="003455BA"/>
    <w:rsid w:val="003458E7"/>
    <w:rsid w:val="00350C52"/>
    <w:rsid w:val="00350DA3"/>
    <w:rsid w:val="0035373D"/>
    <w:rsid w:val="00354185"/>
    <w:rsid w:val="00354627"/>
    <w:rsid w:val="00355A73"/>
    <w:rsid w:val="00355AD3"/>
    <w:rsid w:val="00355F5D"/>
    <w:rsid w:val="003566B4"/>
    <w:rsid w:val="00361264"/>
    <w:rsid w:val="003627B1"/>
    <w:rsid w:val="003649F0"/>
    <w:rsid w:val="00364D5F"/>
    <w:rsid w:val="00365875"/>
    <w:rsid w:val="003659AD"/>
    <w:rsid w:val="003713B5"/>
    <w:rsid w:val="00371470"/>
    <w:rsid w:val="00371523"/>
    <w:rsid w:val="00371DC6"/>
    <w:rsid w:val="00371E1A"/>
    <w:rsid w:val="003765CD"/>
    <w:rsid w:val="00377B9E"/>
    <w:rsid w:val="00385103"/>
    <w:rsid w:val="00386424"/>
    <w:rsid w:val="00386D5A"/>
    <w:rsid w:val="0038749B"/>
    <w:rsid w:val="00390560"/>
    <w:rsid w:val="00393DD6"/>
    <w:rsid w:val="00394D70"/>
    <w:rsid w:val="0039579E"/>
    <w:rsid w:val="00395E76"/>
    <w:rsid w:val="0039737A"/>
    <w:rsid w:val="003A525E"/>
    <w:rsid w:val="003A7455"/>
    <w:rsid w:val="003B0EA3"/>
    <w:rsid w:val="003B21D5"/>
    <w:rsid w:val="003B3435"/>
    <w:rsid w:val="003B4A50"/>
    <w:rsid w:val="003B4C4C"/>
    <w:rsid w:val="003B680A"/>
    <w:rsid w:val="003C1073"/>
    <w:rsid w:val="003C6832"/>
    <w:rsid w:val="003C7D38"/>
    <w:rsid w:val="003D0F41"/>
    <w:rsid w:val="003D26A8"/>
    <w:rsid w:val="003D296F"/>
    <w:rsid w:val="003D3D24"/>
    <w:rsid w:val="003D400C"/>
    <w:rsid w:val="003D5245"/>
    <w:rsid w:val="003D69BA"/>
    <w:rsid w:val="003E23F6"/>
    <w:rsid w:val="003E5274"/>
    <w:rsid w:val="003E62DE"/>
    <w:rsid w:val="003F212E"/>
    <w:rsid w:val="003F41B9"/>
    <w:rsid w:val="003F5E2C"/>
    <w:rsid w:val="003F6D09"/>
    <w:rsid w:val="003F70DD"/>
    <w:rsid w:val="003F7195"/>
    <w:rsid w:val="003F73D3"/>
    <w:rsid w:val="003F7433"/>
    <w:rsid w:val="003F7BDE"/>
    <w:rsid w:val="00401F0A"/>
    <w:rsid w:val="004050CF"/>
    <w:rsid w:val="0041111B"/>
    <w:rsid w:val="004124F6"/>
    <w:rsid w:val="00412F76"/>
    <w:rsid w:val="00412FBE"/>
    <w:rsid w:val="004130A1"/>
    <w:rsid w:val="0041454C"/>
    <w:rsid w:val="00414E76"/>
    <w:rsid w:val="00415073"/>
    <w:rsid w:val="0041637D"/>
    <w:rsid w:val="0041795D"/>
    <w:rsid w:val="00424DCE"/>
    <w:rsid w:val="00426C4C"/>
    <w:rsid w:val="00427639"/>
    <w:rsid w:val="004302A2"/>
    <w:rsid w:val="00430725"/>
    <w:rsid w:val="00430870"/>
    <w:rsid w:val="00430F65"/>
    <w:rsid w:val="00431E0A"/>
    <w:rsid w:val="00432945"/>
    <w:rsid w:val="004338D7"/>
    <w:rsid w:val="004342AB"/>
    <w:rsid w:val="00434F1E"/>
    <w:rsid w:val="004362E6"/>
    <w:rsid w:val="004379E6"/>
    <w:rsid w:val="00437DE6"/>
    <w:rsid w:val="004402AC"/>
    <w:rsid w:val="004407DC"/>
    <w:rsid w:val="004458E0"/>
    <w:rsid w:val="0045415A"/>
    <w:rsid w:val="0045697A"/>
    <w:rsid w:val="00456CDA"/>
    <w:rsid w:val="004572A6"/>
    <w:rsid w:val="00461243"/>
    <w:rsid w:val="00463743"/>
    <w:rsid w:val="004646F7"/>
    <w:rsid w:val="00465AB2"/>
    <w:rsid w:val="00466FB5"/>
    <w:rsid w:val="00470036"/>
    <w:rsid w:val="004700B1"/>
    <w:rsid w:val="004707BC"/>
    <w:rsid w:val="004726D4"/>
    <w:rsid w:val="00473F14"/>
    <w:rsid w:val="004742EA"/>
    <w:rsid w:val="004743B6"/>
    <w:rsid w:val="00474B80"/>
    <w:rsid w:val="00476314"/>
    <w:rsid w:val="0047792F"/>
    <w:rsid w:val="00481F62"/>
    <w:rsid w:val="00481F7B"/>
    <w:rsid w:val="00482184"/>
    <w:rsid w:val="00482C30"/>
    <w:rsid w:val="00484145"/>
    <w:rsid w:val="00485C57"/>
    <w:rsid w:val="00490396"/>
    <w:rsid w:val="0049040E"/>
    <w:rsid w:val="004909A0"/>
    <w:rsid w:val="00492379"/>
    <w:rsid w:val="004941E5"/>
    <w:rsid w:val="00494D6F"/>
    <w:rsid w:val="004A0005"/>
    <w:rsid w:val="004A0442"/>
    <w:rsid w:val="004A1E39"/>
    <w:rsid w:val="004A3C4D"/>
    <w:rsid w:val="004A5CE6"/>
    <w:rsid w:val="004A60E1"/>
    <w:rsid w:val="004A7510"/>
    <w:rsid w:val="004B003D"/>
    <w:rsid w:val="004B257B"/>
    <w:rsid w:val="004B39EB"/>
    <w:rsid w:val="004B4B9D"/>
    <w:rsid w:val="004B6561"/>
    <w:rsid w:val="004B73B5"/>
    <w:rsid w:val="004C0D46"/>
    <w:rsid w:val="004C10DA"/>
    <w:rsid w:val="004C12DE"/>
    <w:rsid w:val="004C2374"/>
    <w:rsid w:val="004C4DEF"/>
    <w:rsid w:val="004C5782"/>
    <w:rsid w:val="004C5891"/>
    <w:rsid w:val="004C6027"/>
    <w:rsid w:val="004D3B44"/>
    <w:rsid w:val="004E0678"/>
    <w:rsid w:val="004E09CA"/>
    <w:rsid w:val="004E391B"/>
    <w:rsid w:val="004E502F"/>
    <w:rsid w:val="004E5E58"/>
    <w:rsid w:val="004E5F24"/>
    <w:rsid w:val="004E69E8"/>
    <w:rsid w:val="004E7FA0"/>
    <w:rsid w:val="004F103E"/>
    <w:rsid w:val="004F40A1"/>
    <w:rsid w:val="00500BE6"/>
    <w:rsid w:val="00504481"/>
    <w:rsid w:val="0050534D"/>
    <w:rsid w:val="00505730"/>
    <w:rsid w:val="00506780"/>
    <w:rsid w:val="00516D27"/>
    <w:rsid w:val="00517382"/>
    <w:rsid w:val="005205CA"/>
    <w:rsid w:val="00520F76"/>
    <w:rsid w:val="00522191"/>
    <w:rsid w:val="00525881"/>
    <w:rsid w:val="0052614B"/>
    <w:rsid w:val="0052675D"/>
    <w:rsid w:val="00526B7A"/>
    <w:rsid w:val="00530165"/>
    <w:rsid w:val="005302CE"/>
    <w:rsid w:val="0053117D"/>
    <w:rsid w:val="00532754"/>
    <w:rsid w:val="00536F37"/>
    <w:rsid w:val="00537837"/>
    <w:rsid w:val="005400EA"/>
    <w:rsid w:val="005419BC"/>
    <w:rsid w:val="005428F8"/>
    <w:rsid w:val="00542966"/>
    <w:rsid w:val="0054349E"/>
    <w:rsid w:val="0054494A"/>
    <w:rsid w:val="005456F1"/>
    <w:rsid w:val="00545D20"/>
    <w:rsid w:val="005475C0"/>
    <w:rsid w:val="00547681"/>
    <w:rsid w:val="00551CBC"/>
    <w:rsid w:val="00551FE0"/>
    <w:rsid w:val="00555249"/>
    <w:rsid w:val="005601CD"/>
    <w:rsid w:val="0056224B"/>
    <w:rsid w:val="005628C3"/>
    <w:rsid w:val="00564916"/>
    <w:rsid w:val="00564E21"/>
    <w:rsid w:val="00566890"/>
    <w:rsid w:val="00566AB0"/>
    <w:rsid w:val="005707AB"/>
    <w:rsid w:val="00572867"/>
    <w:rsid w:val="00573A16"/>
    <w:rsid w:val="00575346"/>
    <w:rsid w:val="0058140E"/>
    <w:rsid w:val="00581D64"/>
    <w:rsid w:val="00582D7B"/>
    <w:rsid w:val="005855C5"/>
    <w:rsid w:val="0058646E"/>
    <w:rsid w:val="00587446"/>
    <w:rsid w:val="00596353"/>
    <w:rsid w:val="00596ABB"/>
    <w:rsid w:val="00596B7E"/>
    <w:rsid w:val="00597302"/>
    <w:rsid w:val="005A0101"/>
    <w:rsid w:val="005A378B"/>
    <w:rsid w:val="005A5FB1"/>
    <w:rsid w:val="005A6A98"/>
    <w:rsid w:val="005A6D4B"/>
    <w:rsid w:val="005A6EAB"/>
    <w:rsid w:val="005B0130"/>
    <w:rsid w:val="005B03D6"/>
    <w:rsid w:val="005B2355"/>
    <w:rsid w:val="005B3B6D"/>
    <w:rsid w:val="005B419B"/>
    <w:rsid w:val="005B43D5"/>
    <w:rsid w:val="005B4B9A"/>
    <w:rsid w:val="005B622E"/>
    <w:rsid w:val="005C4DFE"/>
    <w:rsid w:val="005D0992"/>
    <w:rsid w:val="005D4468"/>
    <w:rsid w:val="005D54FC"/>
    <w:rsid w:val="005E5A0B"/>
    <w:rsid w:val="005E6D05"/>
    <w:rsid w:val="005E722D"/>
    <w:rsid w:val="005F0CAA"/>
    <w:rsid w:val="005F16C2"/>
    <w:rsid w:val="005F1765"/>
    <w:rsid w:val="005F21D9"/>
    <w:rsid w:val="005F4766"/>
    <w:rsid w:val="005F6129"/>
    <w:rsid w:val="006023B8"/>
    <w:rsid w:val="0060284F"/>
    <w:rsid w:val="006034B6"/>
    <w:rsid w:val="00605813"/>
    <w:rsid w:val="00605CAB"/>
    <w:rsid w:val="006102F8"/>
    <w:rsid w:val="00612FBB"/>
    <w:rsid w:val="0061625F"/>
    <w:rsid w:val="006226DC"/>
    <w:rsid w:val="00623756"/>
    <w:rsid w:val="00624CDA"/>
    <w:rsid w:val="00625B52"/>
    <w:rsid w:val="00626B28"/>
    <w:rsid w:val="00630FFB"/>
    <w:rsid w:val="00632A1A"/>
    <w:rsid w:val="00634213"/>
    <w:rsid w:val="00634CF3"/>
    <w:rsid w:val="00635C62"/>
    <w:rsid w:val="00635F78"/>
    <w:rsid w:val="00636F7D"/>
    <w:rsid w:val="00645230"/>
    <w:rsid w:val="00645F0D"/>
    <w:rsid w:val="00645FFE"/>
    <w:rsid w:val="00646EC3"/>
    <w:rsid w:val="006501B7"/>
    <w:rsid w:val="00654280"/>
    <w:rsid w:val="00654575"/>
    <w:rsid w:val="00654692"/>
    <w:rsid w:val="006548D4"/>
    <w:rsid w:val="006552F7"/>
    <w:rsid w:val="006575EA"/>
    <w:rsid w:val="00666D0D"/>
    <w:rsid w:val="0066709F"/>
    <w:rsid w:val="006708DF"/>
    <w:rsid w:val="006719DB"/>
    <w:rsid w:val="00676B08"/>
    <w:rsid w:val="006831AE"/>
    <w:rsid w:val="00684282"/>
    <w:rsid w:val="0069461E"/>
    <w:rsid w:val="00695CCB"/>
    <w:rsid w:val="00696A12"/>
    <w:rsid w:val="006A21A5"/>
    <w:rsid w:val="006A30C4"/>
    <w:rsid w:val="006A356D"/>
    <w:rsid w:val="006B002A"/>
    <w:rsid w:val="006B0776"/>
    <w:rsid w:val="006B184A"/>
    <w:rsid w:val="006B19DB"/>
    <w:rsid w:val="006B3D13"/>
    <w:rsid w:val="006B455C"/>
    <w:rsid w:val="006B605D"/>
    <w:rsid w:val="006B63F4"/>
    <w:rsid w:val="006B7698"/>
    <w:rsid w:val="006C05D0"/>
    <w:rsid w:val="006C1229"/>
    <w:rsid w:val="006C12B1"/>
    <w:rsid w:val="006C1326"/>
    <w:rsid w:val="006C34B7"/>
    <w:rsid w:val="006C360A"/>
    <w:rsid w:val="006C6F9B"/>
    <w:rsid w:val="006D0C05"/>
    <w:rsid w:val="006D19A1"/>
    <w:rsid w:val="006D34E1"/>
    <w:rsid w:val="006D7D4A"/>
    <w:rsid w:val="006E03DB"/>
    <w:rsid w:val="006E0735"/>
    <w:rsid w:val="006E1B8C"/>
    <w:rsid w:val="006E32F6"/>
    <w:rsid w:val="006E3A88"/>
    <w:rsid w:val="006E3FC6"/>
    <w:rsid w:val="006E79AA"/>
    <w:rsid w:val="006E7E5D"/>
    <w:rsid w:val="006F008B"/>
    <w:rsid w:val="006F1AB6"/>
    <w:rsid w:val="006F56AA"/>
    <w:rsid w:val="006F5C85"/>
    <w:rsid w:val="006F77A4"/>
    <w:rsid w:val="00700C9F"/>
    <w:rsid w:val="0070261B"/>
    <w:rsid w:val="00703666"/>
    <w:rsid w:val="0070603B"/>
    <w:rsid w:val="00706F00"/>
    <w:rsid w:val="0071226D"/>
    <w:rsid w:val="00713E0D"/>
    <w:rsid w:val="00716A22"/>
    <w:rsid w:val="00720153"/>
    <w:rsid w:val="00722AE3"/>
    <w:rsid w:val="00724967"/>
    <w:rsid w:val="00731530"/>
    <w:rsid w:val="007333B4"/>
    <w:rsid w:val="00734882"/>
    <w:rsid w:val="00734C43"/>
    <w:rsid w:val="00734E60"/>
    <w:rsid w:val="00736DB7"/>
    <w:rsid w:val="00742F7C"/>
    <w:rsid w:val="0074419C"/>
    <w:rsid w:val="007445E4"/>
    <w:rsid w:val="007501B1"/>
    <w:rsid w:val="0075176D"/>
    <w:rsid w:val="0075179B"/>
    <w:rsid w:val="00753465"/>
    <w:rsid w:val="007537FE"/>
    <w:rsid w:val="007553B7"/>
    <w:rsid w:val="00755BFC"/>
    <w:rsid w:val="00756075"/>
    <w:rsid w:val="007572CE"/>
    <w:rsid w:val="00757320"/>
    <w:rsid w:val="00757465"/>
    <w:rsid w:val="00761932"/>
    <w:rsid w:val="00762067"/>
    <w:rsid w:val="00762918"/>
    <w:rsid w:val="00762969"/>
    <w:rsid w:val="0076385B"/>
    <w:rsid w:val="00763A20"/>
    <w:rsid w:val="00765E45"/>
    <w:rsid w:val="00766820"/>
    <w:rsid w:val="00766ED0"/>
    <w:rsid w:val="00767E45"/>
    <w:rsid w:val="007719DE"/>
    <w:rsid w:val="007735E7"/>
    <w:rsid w:val="00773B36"/>
    <w:rsid w:val="00777491"/>
    <w:rsid w:val="00780551"/>
    <w:rsid w:val="00780F8C"/>
    <w:rsid w:val="007817A1"/>
    <w:rsid w:val="007829AE"/>
    <w:rsid w:val="00784A94"/>
    <w:rsid w:val="00785321"/>
    <w:rsid w:val="00787076"/>
    <w:rsid w:val="00791ACA"/>
    <w:rsid w:val="00793282"/>
    <w:rsid w:val="00794FB6"/>
    <w:rsid w:val="0079523D"/>
    <w:rsid w:val="00797A22"/>
    <w:rsid w:val="007A07E8"/>
    <w:rsid w:val="007A404F"/>
    <w:rsid w:val="007A5082"/>
    <w:rsid w:val="007A553D"/>
    <w:rsid w:val="007A6A0D"/>
    <w:rsid w:val="007B1307"/>
    <w:rsid w:val="007B51DD"/>
    <w:rsid w:val="007B5327"/>
    <w:rsid w:val="007B60D7"/>
    <w:rsid w:val="007B7CC0"/>
    <w:rsid w:val="007C0E96"/>
    <w:rsid w:val="007C1D40"/>
    <w:rsid w:val="007C302E"/>
    <w:rsid w:val="007C4B87"/>
    <w:rsid w:val="007C61C6"/>
    <w:rsid w:val="007C62CA"/>
    <w:rsid w:val="007C71F4"/>
    <w:rsid w:val="007D1222"/>
    <w:rsid w:val="007D290F"/>
    <w:rsid w:val="007D34CA"/>
    <w:rsid w:val="007D40A4"/>
    <w:rsid w:val="007D4D03"/>
    <w:rsid w:val="007D7071"/>
    <w:rsid w:val="007E15AA"/>
    <w:rsid w:val="007E4470"/>
    <w:rsid w:val="007E4CB6"/>
    <w:rsid w:val="007E630D"/>
    <w:rsid w:val="007E6321"/>
    <w:rsid w:val="007E6726"/>
    <w:rsid w:val="007F0790"/>
    <w:rsid w:val="007F10F3"/>
    <w:rsid w:val="007F23CE"/>
    <w:rsid w:val="007F3D47"/>
    <w:rsid w:val="007F458D"/>
    <w:rsid w:val="007F5FDB"/>
    <w:rsid w:val="007F64B2"/>
    <w:rsid w:val="007F658A"/>
    <w:rsid w:val="007F78D8"/>
    <w:rsid w:val="00801EAC"/>
    <w:rsid w:val="00802F9C"/>
    <w:rsid w:val="008049A2"/>
    <w:rsid w:val="00807DD2"/>
    <w:rsid w:val="0081131C"/>
    <w:rsid w:val="00814B85"/>
    <w:rsid w:val="00821415"/>
    <w:rsid w:val="00821BA6"/>
    <w:rsid w:val="00824098"/>
    <w:rsid w:val="00824BAA"/>
    <w:rsid w:val="00824DF7"/>
    <w:rsid w:val="00826E79"/>
    <w:rsid w:val="00827447"/>
    <w:rsid w:val="00827A50"/>
    <w:rsid w:val="008323D0"/>
    <w:rsid w:val="00832DC1"/>
    <w:rsid w:val="00843B4D"/>
    <w:rsid w:val="0084462A"/>
    <w:rsid w:val="00845686"/>
    <w:rsid w:val="008525BF"/>
    <w:rsid w:val="00854345"/>
    <w:rsid w:val="00855DA8"/>
    <w:rsid w:val="00856933"/>
    <w:rsid w:val="00856A6C"/>
    <w:rsid w:val="008618DE"/>
    <w:rsid w:val="00862DAE"/>
    <w:rsid w:val="00863620"/>
    <w:rsid w:val="008642D5"/>
    <w:rsid w:val="00864645"/>
    <w:rsid w:val="00865384"/>
    <w:rsid w:val="00866111"/>
    <w:rsid w:val="00866773"/>
    <w:rsid w:val="008669C0"/>
    <w:rsid w:val="00867DC7"/>
    <w:rsid w:val="00870B16"/>
    <w:rsid w:val="00873BAE"/>
    <w:rsid w:val="00874692"/>
    <w:rsid w:val="0087552A"/>
    <w:rsid w:val="00875635"/>
    <w:rsid w:val="0087781D"/>
    <w:rsid w:val="00880CC9"/>
    <w:rsid w:val="00881EC3"/>
    <w:rsid w:val="0088327C"/>
    <w:rsid w:val="00883599"/>
    <w:rsid w:val="00883FCC"/>
    <w:rsid w:val="008843F1"/>
    <w:rsid w:val="0088762D"/>
    <w:rsid w:val="008877ED"/>
    <w:rsid w:val="00890DB6"/>
    <w:rsid w:val="008933D8"/>
    <w:rsid w:val="00896A09"/>
    <w:rsid w:val="008A0085"/>
    <w:rsid w:val="008A0833"/>
    <w:rsid w:val="008A0912"/>
    <w:rsid w:val="008A0DC2"/>
    <w:rsid w:val="008A3E60"/>
    <w:rsid w:val="008A43A5"/>
    <w:rsid w:val="008A7265"/>
    <w:rsid w:val="008B1217"/>
    <w:rsid w:val="008B23E9"/>
    <w:rsid w:val="008B3039"/>
    <w:rsid w:val="008B3D31"/>
    <w:rsid w:val="008B7EC1"/>
    <w:rsid w:val="008C0559"/>
    <w:rsid w:val="008C1207"/>
    <w:rsid w:val="008C3763"/>
    <w:rsid w:val="008C5596"/>
    <w:rsid w:val="008C5B56"/>
    <w:rsid w:val="008C6FB9"/>
    <w:rsid w:val="008D038F"/>
    <w:rsid w:val="008D0BA9"/>
    <w:rsid w:val="008D2392"/>
    <w:rsid w:val="008D5BB0"/>
    <w:rsid w:val="008D7117"/>
    <w:rsid w:val="008D779C"/>
    <w:rsid w:val="008E1DC7"/>
    <w:rsid w:val="008E5AC0"/>
    <w:rsid w:val="008E6244"/>
    <w:rsid w:val="008E6C72"/>
    <w:rsid w:val="008E78E4"/>
    <w:rsid w:val="008F2A38"/>
    <w:rsid w:val="008F3E64"/>
    <w:rsid w:val="008F4F45"/>
    <w:rsid w:val="008F5DAC"/>
    <w:rsid w:val="008F7654"/>
    <w:rsid w:val="0090131A"/>
    <w:rsid w:val="0090238C"/>
    <w:rsid w:val="00902884"/>
    <w:rsid w:val="00903EAE"/>
    <w:rsid w:val="00904383"/>
    <w:rsid w:val="009069DD"/>
    <w:rsid w:val="00907A92"/>
    <w:rsid w:val="00907DC0"/>
    <w:rsid w:val="00913E31"/>
    <w:rsid w:val="0091438B"/>
    <w:rsid w:val="00914B3F"/>
    <w:rsid w:val="0091589D"/>
    <w:rsid w:val="009228D0"/>
    <w:rsid w:val="009312EE"/>
    <w:rsid w:val="00931A46"/>
    <w:rsid w:val="009329EC"/>
    <w:rsid w:val="009342C0"/>
    <w:rsid w:val="00944373"/>
    <w:rsid w:val="00944463"/>
    <w:rsid w:val="0094548B"/>
    <w:rsid w:val="00945B7D"/>
    <w:rsid w:val="00945BC4"/>
    <w:rsid w:val="00946600"/>
    <w:rsid w:val="00947358"/>
    <w:rsid w:val="00951504"/>
    <w:rsid w:val="00951F54"/>
    <w:rsid w:val="009534C6"/>
    <w:rsid w:val="00955AC5"/>
    <w:rsid w:val="00956834"/>
    <w:rsid w:val="0096299F"/>
    <w:rsid w:val="00963A68"/>
    <w:rsid w:val="009658C6"/>
    <w:rsid w:val="00966B8B"/>
    <w:rsid w:val="00967EF9"/>
    <w:rsid w:val="00971B1A"/>
    <w:rsid w:val="00972562"/>
    <w:rsid w:val="0097383F"/>
    <w:rsid w:val="00981A37"/>
    <w:rsid w:val="00981BA8"/>
    <w:rsid w:val="00981DD0"/>
    <w:rsid w:val="00985108"/>
    <w:rsid w:val="009912B8"/>
    <w:rsid w:val="00993121"/>
    <w:rsid w:val="0099370B"/>
    <w:rsid w:val="00993BA5"/>
    <w:rsid w:val="009A0660"/>
    <w:rsid w:val="009A0EF8"/>
    <w:rsid w:val="009A4B8A"/>
    <w:rsid w:val="009A4C0F"/>
    <w:rsid w:val="009A5957"/>
    <w:rsid w:val="009A5B4C"/>
    <w:rsid w:val="009A75A0"/>
    <w:rsid w:val="009B08B2"/>
    <w:rsid w:val="009B13A1"/>
    <w:rsid w:val="009B1546"/>
    <w:rsid w:val="009B1644"/>
    <w:rsid w:val="009C0103"/>
    <w:rsid w:val="009C1686"/>
    <w:rsid w:val="009C414E"/>
    <w:rsid w:val="009C7C88"/>
    <w:rsid w:val="009D0425"/>
    <w:rsid w:val="009D1CC1"/>
    <w:rsid w:val="009D385D"/>
    <w:rsid w:val="009D5D56"/>
    <w:rsid w:val="009D5DA2"/>
    <w:rsid w:val="009E0273"/>
    <w:rsid w:val="009E18E6"/>
    <w:rsid w:val="009E1CE4"/>
    <w:rsid w:val="009E2103"/>
    <w:rsid w:val="009E21DC"/>
    <w:rsid w:val="009E2ADB"/>
    <w:rsid w:val="009E2BF1"/>
    <w:rsid w:val="009E7450"/>
    <w:rsid w:val="009F090D"/>
    <w:rsid w:val="009F2F0D"/>
    <w:rsid w:val="009F372D"/>
    <w:rsid w:val="009F3A74"/>
    <w:rsid w:val="009F48CB"/>
    <w:rsid w:val="009F5A99"/>
    <w:rsid w:val="009F6DAD"/>
    <w:rsid w:val="009F73C1"/>
    <w:rsid w:val="009F759A"/>
    <w:rsid w:val="009F79AF"/>
    <w:rsid w:val="009F7AE2"/>
    <w:rsid w:val="00A00550"/>
    <w:rsid w:val="00A00C96"/>
    <w:rsid w:val="00A00F49"/>
    <w:rsid w:val="00A00FF6"/>
    <w:rsid w:val="00A03DF6"/>
    <w:rsid w:val="00A0474D"/>
    <w:rsid w:val="00A047F2"/>
    <w:rsid w:val="00A06FB0"/>
    <w:rsid w:val="00A10398"/>
    <w:rsid w:val="00A10848"/>
    <w:rsid w:val="00A10DB1"/>
    <w:rsid w:val="00A151A6"/>
    <w:rsid w:val="00A15B51"/>
    <w:rsid w:val="00A16927"/>
    <w:rsid w:val="00A2194D"/>
    <w:rsid w:val="00A21C58"/>
    <w:rsid w:val="00A23E15"/>
    <w:rsid w:val="00A255CB"/>
    <w:rsid w:val="00A27062"/>
    <w:rsid w:val="00A271E9"/>
    <w:rsid w:val="00A2756C"/>
    <w:rsid w:val="00A3038A"/>
    <w:rsid w:val="00A3089F"/>
    <w:rsid w:val="00A30A6C"/>
    <w:rsid w:val="00A32D3A"/>
    <w:rsid w:val="00A36699"/>
    <w:rsid w:val="00A404B1"/>
    <w:rsid w:val="00A40807"/>
    <w:rsid w:val="00A41987"/>
    <w:rsid w:val="00A45774"/>
    <w:rsid w:val="00A47EC0"/>
    <w:rsid w:val="00A537CF"/>
    <w:rsid w:val="00A5494C"/>
    <w:rsid w:val="00A55ECC"/>
    <w:rsid w:val="00A5666F"/>
    <w:rsid w:val="00A57A39"/>
    <w:rsid w:val="00A60570"/>
    <w:rsid w:val="00A608B1"/>
    <w:rsid w:val="00A641DF"/>
    <w:rsid w:val="00A65BF5"/>
    <w:rsid w:val="00A67D23"/>
    <w:rsid w:val="00A7187B"/>
    <w:rsid w:val="00A71C42"/>
    <w:rsid w:val="00A728DB"/>
    <w:rsid w:val="00A732D6"/>
    <w:rsid w:val="00A73594"/>
    <w:rsid w:val="00A73C0C"/>
    <w:rsid w:val="00A7454A"/>
    <w:rsid w:val="00A7586E"/>
    <w:rsid w:val="00A8134F"/>
    <w:rsid w:val="00A815F3"/>
    <w:rsid w:val="00A81BDC"/>
    <w:rsid w:val="00A82727"/>
    <w:rsid w:val="00A8454A"/>
    <w:rsid w:val="00A84B88"/>
    <w:rsid w:val="00A86DE6"/>
    <w:rsid w:val="00A93EF2"/>
    <w:rsid w:val="00A94CD2"/>
    <w:rsid w:val="00A951BA"/>
    <w:rsid w:val="00A95418"/>
    <w:rsid w:val="00A968CE"/>
    <w:rsid w:val="00A97CCB"/>
    <w:rsid w:val="00AA04C3"/>
    <w:rsid w:val="00AA0714"/>
    <w:rsid w:val="00AA3298"/>
    <w:rsid w:val="00AA3E70"/>
    <w:rsid w:val="00AA4173"/>
    <w:rsid w:val="00AA548A"/>
    <w:rsid w:val="00AA5C64"/>
    <w:rsid w:val="00AA6273"/>
    <w:rsid w:val="00AA632B"/>
    <w:rsid w:val="00AA6C90"/>
    <w:rsid w:val="00AA7082"/>
    <w:rsid w:val="00AA7342"/>
    <w:rsid w:val="00AB1281"/>
    <w:rsid w:val="00AB22EA"/>
    <w:rsid w:val="00AB24A9"/>
    <w:rsid w:val="00AB3949"/>
    <w:rsid w:val="00AB3EA7"/>
    <w:rsid w:val="00AB4AB1"/>
    <w:rsid w:val="00AB5CE5"/>
    <w:rsid w:val="00AC0479"/>
    <w:rsid w:val="00AC26F2"/>
    <w:rsid w:val="00AC5873"/>
    <w:rsid w:val="00AC6677"/>
    <w:rsid w:val="00AD2225"/>
    <w:rsid w:val="00AD4591"/>
    <w:rsid w:val="00AD5CC0"/>
    <w:rsid w:val="00AD5EAB"/>
    <w:rsid w:val="00AD5EAF"/>
    <w:rsid w:val="00AE02D6"/>
    <w:rsid w:val="00AE0B75"/>
    <w:rsid w:val="00AE2154"/>
    <w:rsid w:val="00AE519F"/>
    <w:rsid w:val="00AF2DB3"/>
    <w:rsid w:val="00AF35EB"/>
    <w:rsid w:val="00AF42F0"/>
    <w:rsid w:val="00AF4761"/>
    <w:rsid w:val="00AF5B58"/>
    <w:rsid w:val="00B0128A"/>
    <w:rsid w:val="00B01BD5"/>
    <w:rsid w:val="00B02AB8"/>
    <w:rsid w:val="00B03943"/>
    <w:rsid w:val="00B11074"/>
    <w:rsid w:val="00B142D1"/>
    <w:rsid w:val="00B14E33"/>
    <w:rsid w:val="00B15F7B"/>
    <w:rsid w:val="00B16B84"/>
    <w:rsid w:val="00B17B7E"/>
    <w:rsid w:val="00B21D03"/>
    <w:rsid w:val="00B23100"/>
    <w:rsid w:val="00B31DF8"/>
    <w:rsid w:val="00B353A2"/>
    <w:rsid w:val="00B400CF"/>
    <w:rsid w:val="00B407CC"/>
    <w:rsid w:val="00B44065"/>
    <w:rsid w:val="00B4487E"/>
    <w:rsid w:val="00B448A6"/>
    <w:rsid w:val="00B4598B"/>
    <w:rsid w:val="00B50FE3"/>
    <w:rsid w:val="00B5270D"/>
    <w:rsid w:val="00B54F76"/>
    <w:rsid w:val="00B555A0"/>
    <w:rsid w:val="00B60EB8"/>
    <w:rsid w:val="00B60FD0"/>
    <w:rsid w:val="00B61EEF"/>
    <w:rsid w:val="00B621B6"/>
    <w:rsid w:val="00B63555"/>
    <w:rsid w:val="00B65C56"/>
    <w:rsid w:val="00B70560"/>
    <w:rsid w:val="00B71990"/>
    <w:rsid w:val="00B71D61"/>
    <w:rsid w:val="00B74B3C"/>
    <w:rsid w:val="00B74E08"/>
    <w:rsid w:val="00B77C48"/>
    <w:rsid w:val="00B810A6"/>
    <w:rsid w:val="00B8272E"/>
    <w:rsid w:val="00B828A5"/>
    <w:rsid w:val="00B82C46"/>
    <w:rsid w:val="00B82FFC"/>
    <w:rsid w:val="00B83DBB"/>
    <w:rsid w:val="00B84F01"/>
    <w:rsid w:val="00B85594"/>
    <w:rsid w:val="00B87B0A"/>
    <w:rsid w:val="00B91C7F"/>
    <w:rsid w:val="00B921A2"/>
    <w:rsid w:val="00BA093E"/>
    <w:rsid w:val="00BA0D70"/>
    <w:rsid w:val="00BA1412"/>
    <w:rsid w:val="00BA1A50"/>
    <w:rsid w:val="00BA24A6"/>
    <w:rsid w:val="00BA263D"/>
    <w:rsid w:val="00BA2971"/>
    <w:rsid w:val="00BA2D95"/>
    <w:rsid w:val="00BA3777"/>
    <w:rsid w:val="00BA47EB"/>
    <w:rsid w:val="00BA48FA"/>
    <w:rsid w:val="00BA4ABE"/>
    <w:rsid w:val="00BA63DE"/>
    <w:rsid w:val="00BA6FAF"/>
    <w:rsid w:val="00BB04A4"/>
    <w:rsid w:val="00BB0A32"/>
    <w:rsid w:val="00BB0B06"/>
    <w:rsid w:val="00BB2188"/>
    <w:rsid w:val="00BC0077"/>
    <w:rsid w:val="00BC06EA"/>
    <w:rsid w:val="00BC55C5"/>
    <w:rsid w:val="00BC590E"/>
    <w:rsid w:val="00BC78FD"/>
    <w:rsid w:val="00BD047B"/>
    <w:rsid w:val="00BD2B44"/>
    <w:rsid w:val="00BD2C00"/>
    <w:rsid w:val="00BE1391"/>
    <w:rsid w:val="00BE2D63"/>
    <w:rsid w:val="00BE71B8"/>
    <w:rsid w:val="00BE7723"/>
    <w:rsid w:val="00BE7D5F"/>
    <w:rsid w:val="00BF0A3B"/>
    <w:rsid w:val="00BF251C"/>
    <w:rsid w:val="00BF25BF"/>
    <w:rsid w:val="00BF2733"/>
    <w:rsid w:val="00BF2A07"/>
    <w:rsid w:val="00BF59C3"/>
    <w:rsid w:val="00BF618D"/>
    <w:rsid w:val="00BF79D3"/>
    <w:rsid w:val="00BF7C7C"/>
    <w:rsid w:val="00C005C1"/>
    <w:rsid w:val="00C0224A"/>
    <w:rsid w:val="00C02729"/>
    <w:rsid w:val="00C03D88"/>
    <w:rsid w:val="00C03F77"/>
    <w:rsid w:val="00C04FF1"/>
    <w:rsid w:val="00C07509"/>
    <w:rsid w:val="00C1093F"/>
    <w:rsid w:val="00C12329"/>
    <w:rsid w:val="00C167CE"/>
    <w:rsid w:val="00C16DF1"/>
    <w:rsid w:val="00C20DA8"/>
    <w:rsid w:val="00C21CAC"/>
    <w:rsid w:val="00C21D78"/>
    <w:rsid w:val="00C23580"/>
    <w:rsid w:val="00C23AEC"/>
    <w:rsid w:val="00C23F02"/>
    <w:rsid w:val="00C24755"/>
    <w:rsid w:val="00C2528A"/>
    <w:rsid w:val="00C254DF"/>
    <w:rsid w:val="00C26AF2"/>
    <w:rsid w:val="00C26D15"/>
    <w:rsid w:val="00C27A0A"/>
    <w:rsid w:val="00C30D67"/>
    <w:rsid w:val="00C319F4"/>
    <w:rsid w:val="00C32D2A"/>
    <w:rsid w:val="00C335F2"/>
    <w:rsid w:val="00C33F90"/>
    <w:rsid w:val="00C347CF"/>
    <w:rsid w:val="00C35B2A"/>
    <w:rsid w:val="00C365EF"/>
    <w:rsid w:val="00C368C0"/>
    <w:rsid w:val="00C36973"/>
    <w:rsid w:val="00C37B99"/>
    <w:rsid w:val="00C37DC4"/>
    <w:rsid w:val="00C40260"/>
    <w:rsid w:val="00C432A7"/>
    <w:rsid w:val="00C44F7F"/>
    <w:rsid w:val="00C45C9C"/>
    <w:rsid w:val="00C45FB9"/>
    <w:rsid w:val="00C47288"/>
    <w:rsid w:val="00C51229"/>
    <w:rsid w:val="00C55095"/>
    <w:rsid w:val="00C613A4"/>
    <w:rsid w:val="00C628C9"/>
    <w:rsid w:val="00C63A22"/>
    <w:rsid w:val="00C666F3"/>
    <w:rsid w:val="00C67253"/>
    <w:rsid w:val="00C67A86"/>
    <w:rsid w:val="00C7150B"/>
    <w:rsid w:val="00C71E0B"/>
    <w:rsid w:val="00C7301A"/>
    <w:rsid w:val="00C73716"/>
    <w:rsid w:val="00C75F63"/>
    <w:rsid w:val="00C7642D"/>
    <w:rsid w:val="00C80B4A"/>
    <w:rsid w:val="00C81DA0"/>
    <w:rsid w:val="00C821FA"/>
    <w:rsid w:val="00C83BA4"/>
    <w:rsid w:val="00C8698C"/>
    <w:rsid w:val="00C907D3"/>
    <w:rsid w:val="00C90E10"/>
    <w:rsid w:val="00C914DE"/>
    <w:rsid w:val="00C92230"/>
    <w:rsid w:val="00C92E65"/>
    <w:rsid w:val="00C93068"/>
    <w:rsid w:val="00C93DBA"/>
    <w:rsid w:val="00C973DA"/>
    <w:rsid w:val="00C97E32"/>
    <w:rsid w:val="00CA0D4C"/>
    <w:rsid w:val="00CA2007"/>
    <w:rsid w:val="00CA4134"/>
    <w:rsid w:val="00CA44FC"/>
    <w:rsid w:val="00CA7A00"/>
    <w:rsid w:val="00CB4B0B"/>
    <w:rsid w:val="00CB5202"/>
    <w:rsid w:val="00CB556E"/>
    <w:rsid w:val="00CB6136"/>
    <w:rsid w:val="00CB634F"/>
    <w:rsid w:val="00CB70E7"/>
    <w:rsid w:val="00CB7F80"/>
    <w:rsid w:val="00CC035D"/>
    <w:rsid w:val="00CC1325"/>
    <w:rsid w:val="00CC1B04"/>
    <w:rsid w:val="00CC1BFA"/>
    <w:rsid w:val="00CD3BEC"/>
    <w:rsid w:val="00CD41B4"/>
    <w:rsid w:val="00CD472A"/>
    <w:rsid w:val="00CD5754"/>
    <w:rsid w:val="00CD6756"/>
    <w:rsid w:val="00CD7B9F"/>
    <w:rsid w:val="00CE0218"/>
    <w:rsid w:val="00CE02FB"/>
    <w:rsid w:val="00CE209D"/>
    <w:rsid w:val="00CE2985"/>
    <w:rsid w:val="00CE74E0"/>
    <w:rsid w:val="00CF094D"/>
    <w:rsid w:val="00CF1679"/>
    <w:rsid w:val="00CF26C4"/>
    <w:rsid w:val="00CF3458"/>
    <w:rsid w:val="00CF726A"/>
    <w:rsid w:val="00CF76E8"/>
    <w:rsid w:val="00CF7CE4"/>
    <w:rsid w:val="00D00D00"/>
    <w:rsid w:val="00D01D91"/>
    <w:rsid w:val="00D01EDD"/>
    <w:rsid w:val="00D10561"/>
    <w:rsid w:val="00D1080D"/>
    <w:rsid w:val="00D12632"/>
    <w:rsid w:val="00D1271C"/>
    <w:rsid w:val="00D1311C"/>
    <w:rsid w:val="00D14B39"/>
    <w:rsid w:val="00D15C08"/>
    <w:rsid w:val="00D15DC7"/>
    <w:rsid w:val="00D253F3"/>
    <w:rsid w:val="00D2734D"/>
    <w:rsid w:val="00D4080C"/>
    <w:rsid w:val="00D40FB2"/>
    <w:rsid w:val="00D426E7"/>
    <w:rsid w:val="00D44B5C"/>
    <w:rsid w:val="00D4588E"/>
    <w:rsid w:val="00D4597F"/>
    <w:rsid w:val="00D46D7A"/>
    <w:rsid w:val="00D47F5D"/>
    <w:rsid w:val="00D50933"/>
    <w:rsid w:val="00D51748"/>
    <w:rsid w:val="00D52970"/>
    <w:rsid w:val="00D54990"/>
    <w:rsid w:val="00D54A70"/>
    <w:rsid w:val="00D54F29"/>
    <w:rsid w:val="00D61191"/>
    <w:rsid w:val="00D63C57"/>
    <w:rsid w:val="00D6467C"/>
    <w:rsid w:val="00D65C30"/>
    <w:rsid w:val="00D6670A"/>
    <w:rsid w:val="00D70D14"/>
    <w:rsid w:val="00D71F16"/>
    <w:rsid w:val="00D72114"/>
    <w:rsid w:val="00D73CD8"/>
    <w:rsid w:val="00D81604"/>
    <w:rsid w:val="00D81D3D"/>
    <w:rsid w:val="00D84A4E"/>
    <w:rsid w:val="00D8720D"/>
    <w:rsid w:val="00D91A6D"/>
    <w:rsid w:val="00D91D80"/>
    <w:rsid w:val="00D949D3"/>
    <w:rsid w:val="00D94CCC"/>
    <w:rsid w:val="00D95631"/>
    <w:rsid w:val="00D9777E"/>
    <w:rsid w:val="00D97E0B"/>
    <w:rsid w:val="00D97F9A"/>
    <w:rsid w:val="00DA0588"/>
    <w:rsid w:val="00DA1966"/>
    <w:rsid w:val="00DA23E4"/>
    <w:rsid w:val="00DA2F06"/>
    <w:rsid w:val="00DA3638"/>
    <w:rsid w:val="00DA4644"/>
    <w:rsid w:val="00DA53BA"/>
    <w:rsid w:val="00DA73FE"/>
    <w:rsid w:val="00DB3E79"/>
    <w:rsid w:val="00DB6BD7"/>
    <w:rsid w:val="00DB70C4"/>
    <w:rsid w:val="00DB7968"/>
    <w:rsid w:val="00DB7D4C"/>
    <w:rsid w:val="00DC332A"/>
    <w:rsid w:val="00DC3F21"/>
    <w:rsid w:val="00DC3F78"/>
    <w:rsid w:val="00DC41DE"/>
    <w:rsid w:val="00DD11B4"/>
    <w:rsid w:val="00DD2AC4"/>
    <w:rsid w:val="00DD3F35"/>
    <w:rsid w:val="00DE2A7B"/>
    <w:rsid w:val="00DE56F5"/>
    <w:rsid w:val="00DF40ED"/>
    <w:rsid w:val="00DF5380"/>
    <w:rsid w:val="00E00DD1"/>
    <w:rsid w:val="00E01AA0"/>
    <w:rsid w:val="00E01CEC"/>
    <w:rsid w:val="00E0391A"/>
    <w:rsid w:val="00E03A9E"/>
    <w:rsid w:val="00E07172"/>
    <w:rsid w:val="00E120D0"/>
    <w:rsid w:val="00E12CE4"/>
    <w:rsid w:val="00E13FD0"/>
    <w:rsid w:val="00E159EF"/>
    <w:rsid w:val="00E218DC"/>
    <w:rsid w:val="00E229A3"/>
    <w:rsid w:val="00E231AD"/>
    <w:rsid w:val="00E26002"/>
    <w:rsid w:val="00E26BA3"/>
    <w:rsid w:val="00E31FB8"/>
    <w:rsid w:val="00E33880"/>
    <w:rsid w:val="00E33ABF"/>
    <w:rsid w:val="00E35881"/>
    <w:rsid w:val="00E35AF1"/>
    <w:rsid w:val="00E40E4C"/>
    <w:rsid w:val="00E429ED"/>
    <w:rsid w:val="00E45376"/>
    <w:rsid w:val="00E47E3D"/>
    <w:rsid w:val="00E50EEB"/>
    <w:rsid w:val="00E51BC9"/>
    <w:rsid w:val="00E55AAB"/>
    <w:rsid w:val="00E56087"/>
    <w:rsid w:val="00E564E8"/>
    <w:rsid w:val="00E575C1"/>
    <w:rsid w:val="00E63676"/>
    <w:rsid w:val="00E659E7"/>
    <w:rsid w:val="00E65FE2"/>
    <w:rsid w:val="00E66B85"/>
    <w:rsid w:val="00E71056"/>
    <w:rsid w:val="00E718BD"/>
    <w:rsid w:val="00E722AF"/>
    <w:rsid w:val="00E7381C"/>
    <w:rsid w:val="00E80CEE"/>
    <w:rsid w:val="00E82C12"/>
    <w:rsid w:val="00E86CB2"/>
    <w:rsid w:val="00E915A4"/>
    <w:rsid w:val="00E95529"/>
    <w:rsid w:val="00E9639C"/>
    <w:rsid w:val="00E96442"/>
    <w:rsid w:val="00E96D2C"/>
    <w:rsid w:val="00EA01AC"/>
    <w:rsid w:val="00EA0B33"/>
    <w:rsid w:val="00EA100C"/>
    <w:rsid w:val="00EA5777"/>
    <w:rsid w:val="00EA615A"/>
    <w:rsid w:val="00EB18E3"/>
    <w:rsid w:val="00EB4DF2"/>
    <w:rsid w:val="00EB5C29"/>
    <w:rsid w:val="00EC0B76"/>
    <w:rsid w:val="00EC14FC"/>
    <w:rsid w:val="00EC4686"/>
    <w:rsid w:val="00ED07DF"/>
    <w:rsid w:val="00ED0B9A"/>
    <w:rsid w:val="00ED0D88"/>
    <w:rsid w:val="00ED3D74"/>
    <w:rsid w:val="00ED7B90"/>
    <w:rsid w:val="00EE1282"/>
    <w:rsid w:val="00EE2D47"/>
    <w:rsid w:val="00EE37D3"/>
    <w:rsid w:val="00EE4BC8"/>
    <w:rsid w:val="00EE6B6D"/>
    <w:rsid w:val="00EF0350"/>
    <w:rsid w:val="00EF0F77"/>
    <w:rsid w:val="00F00E4D"/>
    <w:rsid w:val="00F037E5"/>
    <w:rsid w:val="00F07436"/>
    <w:rsid w:val="00F078AC"/>
    <w:rsid w:val="00F10AF7"/>
    <w:rsid w:val="00F12497"/>
    <w:rsid w:val="00F15685"/>
    <w:rsid w:val="00F173B3"/>
    <w:rsid w:val="00F21E75"/>
    <w:rsid w:val="00F24077"/>
    <w:rsid w:val="00F266D3"/>
    <w:rsid w:val="00F26C6C"/>
    <w:rsid w:val="00F26E96"/>
    <w:rsid w:val="00F2739F"/>
    <w:rsid w:val="00F3056A"/>
    <w:rsid w:val="00F30769"/>
    <w:rsid w:val="00F30797"/>
    <w:rsid w:val="00F333D3"/>
    <w:rsid w:val="00F35406"/>
    <w:rsid w:val="00F35A52"/>
    <w:rsid w:val="00F41CD5"/>
    <w:rsid w:val="00F43570"/>
    <w:rsid w:val="00F448F3"/>
    <w:rsid w:val="00F45A80"/>
    <w:rsid w:val="00F45EE7"/>
    <w:rsid w:val="00F4720B"/>
    <w:rsid w:val="00F50109"/>
    <w:rsid w:val="00F50C2E"/>
    <w:rsid w:val="00F53BD0"/>
    <w:rsid w:val="00F54385"/>
    <w:rsid w:val="00F54766"/>
    <w:rsid w:val="00F56088"/>
    <w:rsid w:val="00F5776B"/>
    <w:rsid w:val="00F614B2"/>
    <w:rsid w:val="00F65883"/>
    <w:rsid w:val="00F66ABB"/>
    <w:rsid w:val="00F775A7"/>
    <w:rsid w:val="00F80048"/>
    <w:rsid w:val="00F81AB7"/>
    <w:rsid w:val="00F82129"/>
    <w:rsid w:val="00F83718"/>
    <w:rsid w:val="00F84042"/>
    <w:rsid w:val="00F86850"/>
    <w:rsid w:val="00F9092C"/>
    <w:rsid w:val="00F90F44"/>
    <w:rsid w:val="00F93BC7"/>
    <w:rsid w:val="00F94421"/>
    <w:rsid w:val="00F946ED"/>
    <w:rsid w:val="00F94CCF"/>
    <w:rsid w:val="00F965BC"/>
    <w:rsid w:val="00FA2A4F"/>
    <w:rsid w:val="00FA2CCF"/>
    <w:rsid w:val="00FA3740"/>
    <w:rsid w:val="00FA3A1B"/>
    <w:rsid w:val="00FB065E"/>
    <w:rsid w:val="00FB0857"/>
    <w:rsid w:val="00FB13A9"/>
    <w:rsid w:val="00FB265C"/>
    <w:rsid w:val="00FB2A87"/>
    <w:rsid w:val="00FB3380"/>
    <w:rsid w:val="00FB556D"/>
    <w:rsid w:val="00FB6A71"/>
    <w:rsid w:val="00FC033B"/>
    <w:rsid w:val="00FC0B62"/>
    <w:rsid w:val="00FC2011"/>
    <w:rsid w:val="00FC2B90"/>
    <w:rsid w:val="00FC4A2E"/>
    <w:rsid w:val="00FC6726"/>
    <w:rsid w:val="00FD0E77"/>
    <w:rsid w:val="00FD4385"/>
    <w:rsid w:val="00FD4ECE"/>
    <w:rsid w:val="00FD588C"/>
    <w:rsid w:val="00FD5FBD"/>
    <w:rsid w:val="00FE2CB7"/>
    <w:rsid w:val="00FE4969"/>
    <w:rsid w:val="00FE5B14"/>
    <w:rsid w:val="00FE6A8A"/>
    <w:rsid w:val="00FF07C1"/>
    <w:rsid w:val="00FF2B51"/>
    <w:rsid w:val="00FF45F4"/>
    <w:rsid w:val="00FF5EC5"/>
    <w:rsid w:val="00FF61E5"/>
    <w:rsid w:val="00FF76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8C6FB9"/>
    <w:pPr>
      <w:keepNext/>
      <w:pBdr>
        <w:bottom w:val="single" w:sz="4" w:space="1" w:color="auto"/>
      </w:pBdr>
      <w:spacing w:before="360" w:after="120"/>
    </w:pPr>
    <w:rPr>
      <w:rFonts w:cs="Times New Roman"/>
      <w:b/>
      <w:bCs/>
    </w:rPr>
  </w:style>
  <w:style w:type="numbering" w:customStyle="1" w:styleId="Text">
    <w:name w:val="Text"/>
    <w:rsid w:val="00545D20"/>
    <w:pPr>
      <w:numPr>
        <w:numId w:val="7"/>
      </w:numPr>
    </w:pPr>
  </w:style>
  <w:style w:type="character" w:styleId="Hyperlink">
    <w:name w:val="Hyperlink"/>
    <w:rsid w:val="00545D20"/>
    <w:rPr>
      <w:color w:val="0000FF"/>
      <w:u w:val="single"/>
    </w:rPr>
  </w:style>
  <w:style w:type="paragraph" w:styleId="BlockText">
    <w:name w:val="Block Text"/>
    <w:basedOn w:val="Normal"/>
    <w:link w:val="BlockTextChar"/>
    <w:rsid w:val="00863620"/>
    <w:pPr>
      <w:numPr>
        <w:numId w:val="1"/>
      </w:numPr>
      <w:tabs>
        <w:tab w:val="left" w:pos="851"/>
        <w:tab w:val="left" w:pos="1276"/>
        <w:tab w:val="left" w:pos="1701"/>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FootnoteText">
    <w:name w:val="footnote text"/>
    <w:basedOn w:val="Normal"/>
    <w:semiHidden/>
    <w:rsid w:val="00F66ABB"/>
    <w:rPr>
      <w:rFonts w:ascii="Times New Roman" w:hAnsi="Times New Roman" w:cs="Times New Roman"/>
      <w:sz w:val="20"/>
    </w:rPr>
  </w:style>
  <w:style w:type="paragraph" w:styleId="BodyText">
    <w:name w:val="Body Text"/>
    <w:basedOn w:val="Normal"/>
    <w:rsid w:val="00F66ABB"/>
    <w:pPr>
      <w:spacing w:after="120"/>
    </w:pPr>
    <w:rPr>
      <w:rFonts w:ascii="Times New Roman" w:hAnsi="Times New Roman" w:cs="Times New Roman"/>
      <w:sz w:val="24"/>
    </w:rPr>
  </w:style>
  <w:style w:type="paragraph" w:customStyle="1" w:styleId="Para">
    <w:name w:val="Para"/>
    <w:basedOn w:val="Normal"/>
    <w:rsid w:val="00F66ABB"/>
    <w:pPr>
      <w:spacing w:before="120" w:after="120"/>
      <w:jc w:val="both"/>
    </w:pPr>
    <w:rPr>
      <w:rFonts w:ascii="Times New Roman" w:hAnsi="Times New Roman" w:cs="Times New Roman"/>
      <w:sz w:val="24"/>
    </w:rPr>
  </w:style>
  <w:style w:type="paragraph" w:styleId="BodyTextIndent2">
    <w:name w:val="Body Text Indent 2"/>
    <w:basedOn w:val="Normal"/>
    <w:rsid w:val="00F66ABB"/>
    <w:pPr>
      <w:spacing w:after="120" w:line="480" w:lineRule="auto"/>
      <w:ind w:left="283"/>
    </w:pPr>
    <w:rPr>
      <w:rFonts w:ascii="CG Times (WN)" w:hAnsi="CG Times (WN)" w:cs="Times New Roman"/>
      <w:sz w:val="24"/>
    </w:rPr>
  </w:style>
  <w:style w:type="paragraph" w:customStyle="1" w:styleId="Subheading1">
    <w:name w:val="Subheading 1"/>
    <w:basedOn w:val="Normal"/>
    <w:autoRedefine/>
    <w:rsid w:val="00F66ABB"/>
    <w:pPr>
      <w:spacing w:before="360" w:line="300" w:lineRule="exact"/>
    </w:pPr>
    <w:rPr>
      <w:rFonts w:cs="Times New Roman"/>
      <w:b/>
      <w:sz w:val="24"/>
      <w:szCs w:val="24"/>
    </w:rPr>
  </w:style>
  <w:style w:type="paragraph" w:customStyle="1" w:styleId="BodyText0">
    <w:name w:val="Body Text."/>
    <w:basedOn w:val="Normal"/>
    <w:autoRedefine/>
    <w:rsid w:val="00F66ABB"/>
    <w:pPr>
      <w:tabs>
        <w:tab w:val="left" w:pos="1620"/>
      </w:tabs>
      <w:spacing w:line="260" w:lineRule="exact"/>
      <w:jc w:val="both"/>
    </w:pPr>
    <w:rPr>
      <w:rFonts w:cs="Times New Roman"/>
      <w:sz w:val="24"/>
      <w:szCs w:val="24"/>
    </w:rPr>
  </w:style>
  <w:style w:type="character" w:styleId="CommentReference">
    <w:name w:val="annotation reference"/>
    <w:semiHidden/>
    <w:rsid w:val="004A1E39"/>
    <w:rPr>
      <w:sz w:val="16"/>
      <w:szCs w:val="16"/>
    </w:rPr>
  </w:style>
  <w:style w:type="paragraph" w:styleId="CommentText">
    <w:name w:val="annotation text"/>
    <w:basedOn w:val="Normal"/>
    <w:semiHidden/>
    <w:rsid w:val="004A1E39"/>
    <w:rPr>
      <w:sz w:val="20"/>
    </w:rPr>
  </w:style>
  <w:style w:type="paragraph" w:styleId="CommentSubject">
    <w:name w:val="annotation subject"/>
    <w:basedOn w:val="CommentText"/>
    <w:next w:val="CommentText"/>
    <w:semiHidden/>
    <w:rsid w:val="004A1E39"/>
    <w:rPr>
      <w:b/>
      <w:bCs/>
    </w:rPr>
  </w:style>
  <w:style w:type="character" w:styleId="FollowedHyperlink">
    <w:name w:val="FollowedHyperlink"/>
    <w:rsid w:val="00292337"/>
    <w:rPr>
      <w:color w:val="800080"/>
      <w:u w:val="single"/>
    </w:rPr>
  </w:style>
  <w:style w:type="paragraph" w:customStyle="1" w:styleId="Example">
    <w:name w:val="Example"/>
    <w:basedOn w:val="BlockText"/>
    <w:rsid w:val="008C6FB9"/>
    <w:pPr>
      <w:numPr>
        <w:numId w:val="0"/>
      </w:numPr>
      <w:pBdr>
        <w:top w:val="single" w:sz="4" w:space="1" w:color="auto"/>
        <w:left w:val="single" w:sz="4" w:space="4" w:color="auto"/>
        <w:bottom w:val="single" w:sz="4" w:space="1" w:color="auto"/>
        <w:right w:val="single" w:sz="4" w:space="4" w:color="auto"/>
      </w:pBdr>
      <w:shd w:val="clear" w:color="auto" w:fill="F2F2F2"/>
      <w:tabs>
        <w:tab w:val="clear" w:pos="851"/>
        <w:tab w:val="clear" w:pos="1276"/>
        <w:tab w:val="clear" w:pos="1701"/>
      </w:tabs>
      <w:spacing w:after="0"/>
    </w:pPr>
  </w:style>
  <w:style w:type="character" w:customStyle="1" w:styleId="BlockTextChar">
    <w:name w:val="Block Text Char"/>
    <w:link w:val="BlockText"/>
    <w:rsid w:val="006C1326"/>
    <w:rPr>
      <w:rFonts w:ascii="Arial" w:hAnsi="Arial" w:cs="Arial"/>
      <w:sz w:val="22"/>
    </w:rPr>
  </w:style>
  <w:style w:type="character" w:styleId="FootnoteReference">
    <w:name w:val="footnote reference"/>
    <w:semiHidden/>
    <w:rsid w:val="00FD588C"/>
    <w:rPr>
      <w:vertAlign w:val="superscript"/>
    </w:rPr>
  </w:style>
  <w:style w:type="paragraph" w:styleId="Revision">
    <w:name w:val="Revision"/>
    <w:hidden/>
    <w:uiPriority w:val="99"/>
    <w:semiHidden/>
    <w:rsid w:val="003B3435"/>
    <w:rPr>
      <w:rFonts w:ascii="Arial" w:hAnsi="Arial" w:cs="Arial"/>
      <w:sz w:val="22"/>
    </w:rPr>
  </w:style>
  <w:style w:type="paragraph" w:styleId="ListParagraph">
    <w:name w:val="List Paragraph"/>
    <w:basedOn w:val="Normal"/>
    <w:uiPriority w:val="34"/>
    <w:qFormat/>
    <w:rsid w:val="002278D1"/>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8C6FB9"/>
    <w:pPr>
      <w:keepNext/>
      <w:pBdr>
        <w:bottom w:val="single" w:sz="4" w:space="1" w:color="auto"/>
      </w:pBdr>
      <w:spacing w:before="360" w:after="120"/>
    </w:pPr>
    <w:rPr>
      <w:rFonts w:cs="Times New Roman"/>
      <w:b/>
      <w:bCs/>
    </w:rPr>
  </w:style>
  <w:style w:type="numbering" w:customStyle="1" w:styleId="Text">
    <w:name w:val="Text"/>
    <w:rsid w:val="00545D20"/>
    <w:pPr>
      <w:numPr>
        <w:numId w:val="7"/>
      </w:numPr>
    </w:pPr>
  </w:style>
  <w:style w:type="character" w:styleId="Hyperlink">
    <w:name w:val="Hyperlink"/>
    <w:rsid w:val="00545D20"/>
    <w:rPr>
      <w:color w:val="0000FF"/>
      <w:u w:val="single"/>
    </w:rPr>
  </w:style>
  <w:style w:type="paragraph" w:styleId="BlockText">
    <w:name w:val="Block Text"/>
    <w:basedOn w:val="Normal"/>
    <w:link w:val="BlockTextChar"/>
    <w:rsid w:val="00863620"/>
    <w:pPr>
      <w:numPr>
        <w:numId w:val="1"/>
      </w:numPr>
      <w:tabs>
        <w:tab w:val="left" w:pos="851"/>
        <w:tab w:val="left" w:pos="1276"/>
        <w:tab w:val="left" w:pos="1701"/>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FootnoteText">
    <w:name w:val="footnote text"/>
    <w:basedOn w:val="Normal"/>
    <w:semiHidden/>
    <w:rsid w:val="00F66ABB"/>
    <w:rPr>
      <w:rFonts w:ascii="Times New Roman" w:hAnsi="Times New Roman" w:cs="Times New Roman"/>
      <w:sz w:val="20"/>
    </w:rPr>
  </w:style>
  <w:style w:type="paragraph" w:styleId="BodyText">
    <w:name w:val="Body Text"/>
    <w:basedOn w:val="Normal"/>
    <w:rsid w:val="00F66ABB"/>
    <w:pPr>
      <w:spacing w:after="120"/>
    </w:pPr>
    <w:rPr>
      <w:rFonts w:ascii="Times New Roman" w:hAnsi="Times New Roman" w:cs="Times New Roman"/>
      <w:sz w:val="24"/>
    </w:rPr>
  </w:style>
  <w:style w:type="paragraph" w:customStyle="1" w:styleId="Para">
    <w:name w:val="Para"/>
    <w:basedOn w:val="Normal"/>
    <w:rsid w:val="00F66ABB"/>
    <w:pPr>
      <w:spacing w:before="120" w:after="120"/>
      <w:jc w:val="both"/>
    </w:pPr>
    <w:rPr>
      <w:rFonts w:ascii="Times New Roman" w:hAnsi="Times New Roman" w:cs="Times New Roman"/>
      <w:sz w:val="24"/>
    </w:rPr>
  </w:style>
  <w:style w:type="paragraph" w:styleId="BodyTextIndent2">
    <w:name w:val="Body Text Indent 2"/>
    <w:basedOn w:val="Normal"/>
    <w:rsid w:val="00F66ABB"/>
    <w:pPr>
      <w:spacing w:after="120" w:line="480" w:lineRule="auto"/>
      <w:ind w:left="283"/>
    </w:pPr>
    <w:rPr>
      <w:rFonts w:ascii="CG Times (WN)" w:hAnsi="CG Times (WN)" w:cs="Times New Roman"/>
      <w:sz w:val="24"/>
    </w:rPr>
  </w:style>
  <w:style w:type="paragraph" w:customStyle="1" w:styleId="Subheading1">
    <w:name w:val="Subheading 1"/>
    <w:basedOn w:val="Normal"/>
    <w:autoRedefine/>
    <w:rsid w:val="00F66ABB"/>
    <w:pPr>
      <w:spacing w:before="360" w:line="300" w:lineRule="exact"/>
    </w:pPr>
    <w:rPr>
      <w:rFonts w:cs="Times New Roman"/>
      <w:b/>
      <w:sz w:val="24"/>
      <w:szCs w:val="24"/>
    </w:rPr>
  </w:style>
  <w:style w:type="paragraph" w:customStyle="1" w:styleId="BodyText0">
    <w:name w:val="Body Text."/>
    <w:basedOn w:val="Normal"/>
    <w:autoRedefine/>
    <w:rsid w:val="00F66ABB"/>
    <w:pPr>
      <w:tabs>
        <w:tab w:val="left" w:pos="1620"/>
      </w:tabs>
      <w:spacing w:line="260" w:lineRule="exact"/>
      <w:jc w:val="both"/>
    </w:pPr>
    <w:rPr>
      <w:rFonts w:cs="Times New Roman"/>
      <w:sz w:val="24"/>
      <w:szCs w:val="24"/>
    </w:rPr>
  </w:style>
  <w:style w:type="character" w:styleId="CommentReference">
    <w:name w:val="annotation reference"/>
    <w:semiHidden/>
    <w:rsid w:val="004A1E39"/>
    <w:rPr>
      <w:sz w:val="16"/>
      <w:szCs w:val="16"/>
    </w:rPr>
  </w:style>
  <w:style w:type="paragraph" w:styleId="CommentText">
    <w:name w:val="annotation text"/>
    <w:basedOn w:val="Normal"/>
    <w:semiHidden/>
    <w:rsid w:val="004A1E39"/>
    <w:rPr>
      <w:sz w:val="20"/>
    </w:rPr>
  </w:style>
  <w:style w:type="paragraph" w:styleId="CommentSubject">
    <w:name w:val="annotation subject"/>
    <w:basedOn w:val="CommentText"/>
    <w:next w:val="CommentText"/>
    <w:semiHidden/>
    <w:rsid w:val="004A1E39"/>
    <w:rPr>
      <w:b/>
      <w:bCs/>
    </w:rPr>
  </w:style>
  <w:style w:type="character" w:styleId="FollowedHyperlink">
    <w:name w:val="FollowedHyperlink"/>
    <w:rsid w:val="00292337"/>
    <w:rPr>
      <w:color w:val="800080"/>
      <w:u w:val="single"/>
    </w:rPr>
  </w:style>
  <w:style w:type="paragraph" w:customStyle="1" w:styleId="Example">
    <w:name w:val="Example"/>
    <w:basedOn w:val="BlockText"/>
    <w:rsid w:val="008C6FB9"/>
    <w:pPr>
      <w:numPr>
        <w:numId w:val="0"/>
      </w:numPr>
      <w:pBdr>
        <w:top w:val="single" w:sz="4" w:space="1" w:color="auto"/>
        <w:left w:val="single" w:sz="4" w:space="4" w:color="auto"/>
        <w:bottom w:val="single" w:sz="4" w:space="1" w:color="auto"/>
        <w:right w:val="single" w:sz="4" w:space="4" w:color="auto"/>
      </w:pBdr>
      <w:shd w:val="clear" w:color="auto" w:fill="F2F2F2"/>
      <w:tabs>
        <w:tab w:val="clear" w:pos="851"/>
        <w:tab w:val="clear" w:pos="1276"/>
        <w:tab w:val="clear" w:pos="1701"/>
      </w:tabs>
      <w:spacing w:after="0"/>
    </w:pPr>
  </w:style>
  <w:style w:type="character" w:customStyle="1" w:styleId="BlockTextChar">
    <w:name w:val="Block Text Char"/>
    <w:link w:val="BlockText"/>
    <w:rsid w:val="006C1326"/>
    <w:rPr>
      <w:rFonts w:ascii="Arial" w:hAnsi="Arial" w:cs="Arial"/>
      <w:sz w:val="22"/>
    </w:rPr>
  </w:style>
  <w:style w:type="character" w:styleId="FootnoteReference">
    <w:name w:val="footnote reference"/>
    <w:semiHidden/>
    <w:rsid w:val="00FD588C"/>
    <w:rPr>
      <w:vertAlign w:val="superscript"/>
    </w:rPr>
  </w:style>
  <w:style w:type="paragraph" w:styleId="Revision">
    <w:name w:val="Revision"/>
    <w:hidden/>
    <w:uiPriority w:val="99"/>
    <w:semiHidden/>
    <w:rsid w:val="003B3435"/>
    <w:rPr>
      <w:rFonts w:ascii="Arial" w:hAnsi="Arial" w:cs="Arial"/>
      <w:sz w:val="22"/>
    </w:rPr>
  </w:style>
  <w:style w:type="paragraph" w:styleId="ListParagraph">
    <w:name w:val="List Paragraph"/>
    <w:basedOn w:val="Normal"/>
    <w:uiPriority w:val="34"/>
    <w:qFormat/>
    <w:rsid w:val="002278D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10">
      <w:bodyDiv w:val="1"/>
      <w:marLeft w:val="0"/>
      <w:marRight w:val="0"/>
      <w:marTop w:val="0"/>
      <w:marBottom w:val="0"/>
      <w:divBdr>
        <w:top w:val="none" w:sz="0" w:space="0" w:color="auto"/>
        <w:left w:val="none" w:sz="0" w:space="0" w:color="auto"/>
        <w:bottom w:val="none" w:sz="0" w:space="0" w:color="auto"/>
        <w:right w:val="none" w:sz="0" w:space="0" w:color="auto"/>
      </w:divBdr>
    </w:div>
    <w:div w:id="106241267">
      <w:bodyDiv w:val="1"/>
      <w:marLeft w:val="0"/>
      <w:marRight w:val="0"/>
      <w:marTop w:val="0"/>
      <w:marBottom w:val="0"/>
      <w:divBdr>
        <w:top w:val="none" w:sz="0" w:space="0" w:color="auto"/>
        <w:left w:val="none" w:sz="0" w:space="0" w:color="auto"/>
        <w:bottom w:val="none" w:sz="0" w:space="0" w:color="auto"/>
        <w:right w:val="none" w:sz="0" w:space="0" w:color="auto"/>
      </w:divBdr>
    </w:div>
    <w:div w:id="111942489">
      <w:bodyDiv w:val="1"/>
      <w:marLeft w:val="0"/>
      <w:marRight w:val="0"/>
      <w:marTop w:val="0"/>
      <w:marBottom w:val="0"/>
      <w:divBdr>
        <w:top w:val="none" w:sz="0" w:space="0" w:color="auto"/>
        <w:left w:val="none" w:sz="0" w:space="0" w:color="auto"/>
        <w:bottom w:val="none" w:sz="0" w:space="0" w:color="auto"/>
        <w:right w:val="none" w:sz="0" w:space="0" w:color="auto"/>
      </w:divBdr>
    </w:div>
    <w:div w:id="115686141">
      <w:bodyDiv w:val="1"/>
      <w:marLeft w:val="0"/>
      <w:marRight w:val="0"/>
      <w:marTop w:val="0"/>
      <w:marBottom w:val="0"/>
      <w:divBdr>
        <w:top w:val="none" w:sz="0" w:space="0" w:color="auto"/>
        <w:left w:val="none" w:sz="0" w:space="0" w:color="auto"/>
        <w:bottom w:val="none" w:sz="0" w:space="0" w:color="auto"/>
        <w:right w:val="none" w:sz="0" w:space="0" w:color="auto"/>
      </w:divBdr>
    </w:div>
    <w:div w:id="283387411">
      <w:bodyDiv w:val="1"/>
      <w:marLeft w:val="0"/>
      <w:marRight w:val="0"/>
      <w:marTop w:val="0"/>
      <w:marBottom w:val="0"/>
      <w:divBdr>
        <w:top w:val="none" w:sz="0" w:space="0" w:color="auto"/>
        <w:left w:val="none" w:sz="0" w:space="0" w:color="auto"/>
        <w:bottom w:val="none" w:sz="0" w:space="0" w:color="auto"/>
        <w:right w:val="none" w:sz="0" w:space="0" w:color="auto"/>
      </w:divBdr>
    </w:div>
    <w:div w:id="358436869">
      <w:bodyDiv w:val="1"/>
      <w:marLeft w:val="0"/>
      <w:marRight w:val="0"/>
      <w:marTop w:val="0"/>
      <w:marBottom w:val="0"/>
      <w:divBdr>
        <w:top w:val="none" w:sz="0" w:space="0" w:color="auto"/>
        <w:left w:val="none" w:sz="0" w:space="0" w:color="auto"/>
        <w:bottom w:val="none" w:sz="0" w:space="0" w:color="auto"/>
        <w:right w:val="none" w:sz="0" w:space="0" w:color="auto"/>
      </w:divBdr>
    </w:div>
    <w:div w:id="393815222">
      <w:bodyDiv w:val="1"/>
      <w:marLeft w:val="0"/>
      <w:marRight w:val="0"/>
      <w:marTop w:val="0"/>
      <w:marBottom w:val="0"/>
      <w:divBdr>
        <w:top w:val="none" w:sz="0" w:space="0" w:color="auto"/>
        <w:left w:val="none" w:sz="0" w:space="0" w:color="auto"/>
        <w:bottom w:val="none" w:sz="0" w:space="0" w:color="auto"/>
        <w:right w:val="none" w:sz="0" w:space="0" w:color="auto"/>
      </w:divBdr>
    </w:div>
    <w:div w:id="731738149">
      <w:bodyDiv w:val="1"/>
      <w:marLeft w:val="0"/>
      <w:marRight w:val="0"/>
      <w:marTop w:val="0"/>
      <w:marBottom w:val="0"/>
      <w:divBdr>
        <w:top w:val="none" w:sz="0" w:space="0" w:color="auto"/>
        <w:left w:val="none" w:sz="0" w:space="0" w:color="auto"/>
        <w:bottom w:val="none" w:sz="0" w:space="0" w:color="auto"/>
        <w:right w:val="none" w:sz="0" w:space="0" w:color="auto"/>
      </w:divBdr>
    </w:div>
    <w:div w:id="817576610">
      <w:bodyDiv w:val="1"/>
      <w:marLeft w:val="0"/>
      <w:marRight w:val="0"/>
      <w:marTop w:val="0"/>
      <w:marBottom w:val="0"/>
      <w:divBdr>
        <w:top w:val="none" w:sz="0" w:space="0" w:color="auto"/>
        <w:left w:val="none" w:sz="0" w:space="0" w:color="auto"/>
        <w:bottom w:val="none" w:sz="0" w:space="0" w:color="auto"/>
        <w:right w:val="none" w:sz="0" w:space="0" w:color="auto"/>
      </w:divBdr>
    </w:div>
    <w:div w:id="1135097616">
      <w:bodyDiv w:val="1"/>
      <w:marLeft w:val="0"/>
      <w:marRight w:val="0"/>
      <w:marTop w:val="0"/>
      <w:marBottom w:val="0"/>
      <w:divBdr>
        <w:top w:val="none" w:sz="0" w:space="0" w:color="auto"/>
        <w:left w:val="none" w:sz="0" w:space="0" w:color="auto"/>
        <w:bottom w:val="none" w:sz="0" w:space="0" w:color="auto"/>
        <w:right w:val="none" w:sz="0" w:space="0" w:color="auto"/>
      </w:divBdr>
    </w:div>
    <w:div w:id="1365474184">
      <w:bodyDiv w:val="1"/>
      <w:marLeft w:val="0"/>
      <w:marRight w:val="0"/>
      <w:marTop w:val="0"/>
      <w:marBottom w:val="0"/>
      <w:divBdr>
        <w:top w:val="none" w:sz="0" w:space="0" w:color="auto"/>
        <w:left w:val="none" w:sz="0" w:space="0" w:color="auto"/>
        <w:bottom w:val="none" w:sz="0" w:space="0" w:color="auto"/>
        <w:right w:val="none" w:sz="0" w:space="0" w:color="auto"/>
      </w:divBdr>
    </w:div>
    <w:div w:id="1528758798">
      <w:bodyDiv w:val="1"/>
      <w:marLeft w:val="0"/>
      <w:marRight w:val="0"/>
      <w:marTop w:val="0"/>
      <w:marBottom w:val="0"/>
      <w:divBdr>
        <w:top w:val="none" w:sz="0" w:space="0" w:color="auto"/>
        <w:left w:val="none" w:sz="0" w:space="0" w:color="auto"/>
        <w:bottom w:val="none" w:sz="0" w:space="0" w:color="auto"/>
        <w:right w:val="none" w:sz="0" w:space="0" w:color="auto"/>
      </w:divBdr>
    </w:div>
    <w:div w:id="1550650836">
      <w:bodyDiv w:val="1"/>
      <w:marLeft w:val="0"/>
      <w:marRight w:val="0"/>
      <w:marTop w:val="0"/>
      <w:marBottom w:val="0"/>
      <w:divBdr>
        <w:top w:val="none" w:sz="0" w:space="0" w:color="auto"/>
        <w:left w:val="none" w:sz="0" w:space="0" w:color="auto"/>
        <w:bottom w:val="none" w:sz="0" w:space="0" w:color="auto"/>
        <w:right w:val="none" w:sz="0" w:space="0" w:color="auto"/>
      </w:divBdr>
    </w:div>
    <w:div w:id="1571619412">
      <w:bodyDiv w:val="1"/>
      <w:marLeft w:val="0"/>
      <w:marRight w:val="0"/>
      <w:marTop w:val="0"/>
      <w:marBottom w:val="0"/>
      <w:divBdr>
        <w:top w:val="none" w:sz="0" w:space="0" w:color="auto"/>
        <w:left w:val="none" w:sz="0" w:space="0" w:color="auto"/>
        <w:bottom w:val="none" w:sz="0" w:space="0" w:color="auto"/>
        <w:right w:val="none" w:sz="0" w:space="0" w:color="auto"/>
      </w:divBdr>
    </w:div>
    <w:div w:id="1657108702">
      <w:bodyDiv w:val="1"/>
      <w:marLeft w:val="0"/>
      <w:marRight w:val="0"/>
      <w:marTop w:val="0"/>
      <w:marBottom w:val="0"/>
      <w:divBdr>
        <w:top w:val="none" w:sz="0" w:space="0" w:color="auto"/>
        <w:left w:val="none" w:sz="0" w:space="0" w:color="auto"/>
        <w:bottom w:val="none" w:sz="0" w:space="0" w:color="auto"/>
        <w:right w:val="none" w:sz="0" w:space="0" w:color="auto"/>
      </w:divBdr>
    </w:div>
    <w:div w:id="1835410584">
      <w:bodyDiv w:val="1"/>
      <w:marLeft w:val="0"/>
      <w:marRight w:val="0"/>
      <w:marTop w:val="0"/>
      <w:marBottom w:val="0"/>
      <w:divBdr>
        <w:top w:val="none" w:sz="0" w:space="0" w:color="auto"/>
        <w:left w:val="none" w:sz="0" w:space="0" w:color="auto"/>
        <w:bottom w:val="none" w:sz="0" w:space="0" w:color="auto"/>
        <w:right w:val="none" w:sz="0" w:space="0" w:color="auto"/>
      </w:divBdr>
    </w:div>
    <w:div w:id="209029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venue.nt.gov.a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ntrevenue@nt.gov.a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customXml" Target="../customXml/item4.xml"/></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N:\Royalty%20and%20Advisory%20Services\Mineral%20Royalty%20Guidelines\RG-MRA%20Working%20Files\RG%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NT Petroleum Royalty Overview</Publication_x0020_Title>
    <Details xmlns="378e824e-6e02-4c0d-8321-dd86fba681ee" xsi:nil="true"/>
    <Identifier xmlns="378e824e-6e02-4c0d-8321-dd86fba681ee">I-PR-001</Identifier>
    <Publication_x0020_Type xmlns="378e824e-6e02-4c0d-8321-dd86fba681ee">Information (I)</Publication_x0020_Type>
    <Sub_x0020_Sub_x0020_Category xmlns="378e824e-6e02-4c0d-8321-dd86fba681ee" xsi:nil="true"/>
    <Release_x0020_Date xmlns="378e824e-6e02-4c0d-8321-dd86fba681ee">2014-03-02T14:30:00+00:00</Release_x0020_Date>
    <Sub_x0020_Category xmlns="378e824e-6e02-4c0d-8321-dd86fba681ee">23</Sub_x0020_Category>
    <Notify xmlns="378e824e-6e02-4c0d-8321-dd86fba681ee">false</Notify>
  </documentManagement>
</p:properties>
</file>

<file path=customXml/itemProps1.xml><?xml version="1.0" encoding="utf-8"?>
<ds:datastoreItem xmlns:ds="http://schemas.openxmlformats.org/officeDocument/2006/customXml" ds:itemID="{A4C997B5-0479-470F-9835-F9550C77C161}"/>
</file>

<file path=customXml/itemProps2.xml><?xml version="1.0" encoding="utf-8"?>
<ds:datastoreItem xmlns:ds="http://schemas.openxmlformats.org/officeDocument/2006/customXml" ds:itemID="{134CB026-6328-4BF5-B3C6-203B59D86A66}"/>
</file>

<file path=customXml/itemProps3.xml><?xml version="1.0" encoding="utf-8"?>
<ds:datastoreItem xmlns:ds="http://schemas.openxmlformats.org/officeDocument/2006/customXml" ds:itemID="{95625722-97C0-41EA-ABB2-03A749B2AE0B}"/>
</file>

<file path=customXml/itemProps4.xml><?xml version="1.0" encoding="utf-8"?>
<ds:datastoreItem xmlns:ds="http://schemas.openxmlformats.org/officeDocument/2006/customXml" ds:itemID="{4795E40E-497B-4F01-B1A2-48123C6B265D}"/>
</file>

<file path=docProps/app.xml><?xml version="1.0" encoding="utf-8"?>
<Properties xmlns="http://schemas.openxmlformats.org/officeDocument/2006/extended-properties" xmlns:vt="http://schemas.openxmlformats.org/officeDocument/2006/docPropsVTypes">
  <Template>RG Template.dot</Template>
  <TotalTime>16</TotalTime>
  <Pages>1</Pages>
  <Words>3432</Words>
  <Characters>18229</Characters>
  <Application>Microsoft Office Word</Application>
  <DocSecurity>8</DocSecurity>
  <Lines>308</Lines>
  <Paragraphs>144</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21517</CharactersWithSpaces>
  <SharedDoc>false</SharedDoc>
  <HLinks>
    <vt:vector size="12" baseType="variant">
      <vt:variant>
        <vt:i4>5242895</vt:i4>
      </vt:variant>
      <vt:variant>
        <vt:i4>3</vt:i4>
      </vt:variant>
      <vt:variant>
        <vt:i4>0</vt:i4>
      </vt:variant>
      <vt:variant>
        <vt:i4>5</vt:i4>
      </vt:variant>
      <vt:variant>
        <vt:lpwstr>http://www.revenue.nt.gov.au/</vt:lpwstr>
      </vt:variant>
      <vt:variant>
        <vt:lpwstr/>
      </vt:variant>
      <vt:variant>
        <vt:i4>7798799</vt:i4>
      </vt:variant>
      <vt:variant>
        <vt:i4>0</vt:i4>
      </vt:variant>
      <vt:variant>
        <vt:i4>0</vt:i4>
      </vt:variant>
      <vt:variant>
        <vt:i4>5</vt:i4>
      </vt:variant>
      <vt:variant>
        <vt:lpwstr>mailto:ntrevenue@nt.gov.au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NT Petroleum Royalty Overview</dc:title>
  <dc:creator>sschu</dc:creator>
  <cp:lastModifiedBy>Barbara Beamsley</cp:lastModifiedBy>
  <cp:revision>8</cp:revision>
  <cp:lastPrinted>2014-03-03T04:26:00Z</cp:lastPrinted>
  <dcterms:created xsi:type="dcterms:W3CDTF">2014-03-03T06:24:00Z</dcterms:created>
  <dcterms:modified xsi:type="dcterms:W3CDTF">2014-03-03T06:40:00Z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