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79" w:rsidRPr="00A0432A" w:rsidRDefault="00E620E3" w:rsidP="00A0432A">
      <w:pPr>
        <w:pStyle w:val="Heading1"/>
        <w:ind w:left="-142" w:right="-307"/>
        <w:jc w:val="left"/>
        <w:rPr>
          <w:sz w:val="38"/>
          <w:szCs w:val="38"/>
        </w:rPr>
      </w:pPr>
      <w:r w:rsidRPr="00A0432A">
        <w:rPr>
          <w:sz w:val="38"/>
          <w:szCs w:val="38"/>
        </w:rPr>
        <w:t xml:space="preserve">Rates of return applied </w:t>
      </w:r>
      <w:r w:rsidR="00D32A8A" w:rsidRPr="00A0432A">
        <w:rPr>
          <w:sz w:val="38"/>
          <w:szCs w:val="38"/>
        </w:rPr>
        <w:t>to balances</w:t>
      </w:r>
      <w:r w:rsidR="0040313B" w:rsidRPr="00A0432A">
        <w:rPr>
          <w:sz w:val="38"/>
          <w:szCs w:val="38"/>
        </w:rPr>
        <w:t xml:space="preserve"> transfer</w:t>
      </w:r>
      <w:r w:rsidR="00D32A8A" w:rsidRPr="00A0432A">
        <w:rPr>
          <w:sz w:val="38"/>
          <w:szCs w:val="38"/>
        </w:rPr>
        <w:t xml:space="preserve">red to </w:t>
      </w:r>
      <w:proofErr w:type="spellStart"/>
      <w:r w:rsidR="00D32A8A" w:rsidRPr="00A0432A">
        <w:rPr>
          <w:sz w:val="38"/>
          <w:szCs w:val="38"/>
        </w:rPr>
        <w:t>Sunsuper</w:t>
      </w:r>
      <w:proofErr w:type="spellEnd"/>
    </w:p>
    <w:p w:rsidR="007D1879" w:rsidRDefault="007D1879" w:rsidP="007D1879">
      <w:pPr>
        <w:pStyle w:val="NTTBodyText"/>
        <w:spacing w:before="60" w:after="120" w:line="264" w:lineRule="auto"/>
        <w:rPr>
          <w:b/>
        </w:rPr>
        <w:sectPr w:rsidR="007D1879" w:rsidSect="00F113D7">
          <w:headerReference w:type="default" r:id="rId8"/>
          <w:footerReference w:type="default" r:id="rId9"/>
          <w:type w:val="continuous"/>
          <w:pgSz w:w="11906" w:h="16838"/>
          <w:pgMar w:top="720" w:right="720" w:bottom="720" w:left="720" w:header="708" w:footer="366" w:gutter="0"/>
          <w:cols w:space="708"/>
          <w:docGrid w:linePitch="360"/>
        </w:sectPr>
      </w:pPr>
    </w:p>
    <w:p w:rsidR="00EA2B69" w:rsidRDefault="00912915" w:rsidP="00431B22">
      <w:pPr>
        <w:pStyle w:val="NTTBodyText"/>
        <w:spacing w:before="60" w:after="120" w:line="264" w:lineRule="auto"/>
        <w:rPr>
          <w:b/>
        </w:rPr>
      </w:pPr>
      <w:r>
        <w:rPr>
          <w:b/>
        </w:rPr>
        <w:lastRenderedPageBreak/>
        <w:t xml:space="preserve">Transfer </w:t>
      </w:r>
      <w:r w:rsidR="00847637">
        <w:rPr>
          <w:b/>
        </w:rPr>
        <w:t xml:space="preserve">to </w:t>
      </w:r>
      <w:proofErr w:type="spellStart"/>
      <w:r w:rsidR="00847637">
        <w:rPr>
          <w:b/>
        </w:rPr>
        <w:t>Sunsuper</w:t>
      </w:r>
      <w:proofErr w:type="spellEnd"/>
      <w:r w:rsidR="00847637">
        <w:rPr>
          <w:b/>
        </w:rPr>
        <w:t xml:space="preserve"> </w:t>
      </w:r>
      <w:r>
        <w:rPr>
          <w:b/>
        </w:rPr>
        <w:t>complete</w:t>
      </w:r>
    </w:p>
    <w:p w:rsidR="00E620E3" w:rsidRPr="00E620E3" w:rsidRDefault="00E620E3" w:rsidP="00431B22">
      <w:pPr>
        <w:pStyle w:val="NTTBodyText"/>
        <w:spacing w:before="60" w:after="120" w:line="264" w:lineRule="auto"/>
      </w:pPr>
      <w:r w:rsidRPr="00E620E3">
        <w:t xml:space="preserve">The transfer of NTGPASS Retained and Spouse accounts to </w:t>
      </w:r>
      <w:proofErr w:type="spellStart"/>
      <w:r w:rsidRPr="00E620E3">
        <w:t>Sunsuper</w:t>
      </w:r>
      <w:proofErr w:type="spellEnd"/>
      <w:r w:rsidRPr="00E620E3">
        <w:t xml:space="preserve"> was compl</w:t>
      </w:r>
      <w:r w:rsidR="00847637">
        <w:t xml:space="preserve">eted on Monday 15 February 2016, with the value of member investments paid to </w:t>
      </w:r>
      <w:proofErr w:type="spellStart"/>
      <w:r w:rsidR="00EE6251">
        <w:t>Sunsuper</w:t>
      </w:r>
      <w:proofErr w:type="spellEnd"/>
      <w:r w:rsidR="00847637">
        <w:t xml:space="preserve"> that afternoon.</w:t>
      </w:r>
    </w:p>
    <w:p w:rsidR="00E620E3" w:rsidRDefault="00847637" w:rsidP="00431B22">
      <w:pPr>
        <w:pStyle w:val="NTTBodyText"/>
        <w:spacing w:before="60" w:after="120" w:line="264" w:lineRule="auto"/>
      </w:pPr>
      <w:r>
        <w:t>As part of this process,</w:t>
      </w:r>
      <w:r w:rsidR="00E620E3" w:rsidRPr="00E620E3">
        <w:t xml:space="preserve"> </w:t>
      </w:r>
      <w:r w:rsidR="00E620E3">
        <w:t>the balances of all</w:t>
      </w:r>
      <w:r w:rsidR="00E620E3" w:rsidRPr="00E620E3">
        <w:t xml:space="preserve"> accounts were </w:t>
      </w:r>
      <w:r w:rsidR="00E620E3">
        <w:t>updated to reflect the NTGPASS investment returns applying immediately before the transfer.</w:t>
      </w:r>
    </w:p>
    <w:p w:rsidR="00E620E3" w:rsidRPr="00847637" w:rsidRDefault="00847637" w:rsidP="00E620E3">
      <w:pPr>
        <w:pStyle w:val="NTTBodyText"/>
        <w:spacing w:before="60" w:after="120" w:line="264" w:lineRule="auto"/>
        <w:rPr>
          <w:b/>
        </w:rPr>
      </w:pPr>
      <w:r w:rsidRPr="00847637">
        <w:rPr>
          <w:b/>
        </w:rPr>
        <w:t>Investment returns</w:t>
      </w:r>
    </w:p>
    <w:p w:rsidR="00E620E3" w:rsidRDefault="00E620E3" w:rsidP="00E620E3">
      <w:pPr>
        <w:pStyle w:val="NTTBodyText"/>
        <w:spacing w:before="60" w:after="120" w:line="264" w:lineRule="auto"/>
      </w:pPr>
      <w:r>
        <w:t>NTGPASS investment returns are calculated and applied to members’ accumulation accounts on a weekly basis. Both weekly and financial year to date returns are posted on our website</w:t>
      </w:r>
      <w:r w:rsidR="00847637">
        <w:t xml:space="preserve">. Current and historical returns can be accessed on our website </w:t>
      </w:r>
      <w:hyperlink r:id="rId10" w:history="1">
        <w:r w:rsidR="00847637" w:rsidRPr="008321DA">
          <w:rPr>
            <w:rStyle w:val="Hyperlink"/>
          </w:rPr>
          <w:t>www.super.nt.gov.au</w:t>
        </w:r>
      </w:hyperlink>
      <w:r w:rsidR="00847637">
        <w:t xml:space="preserve"> under the NTGPASS/NTSSS</w:t>
      </w:r>
      <w:r>
        <w:t xml:space="preserve"> </w:t>
      </w:r>
      <w:r w:rsidR="00847637">
        <w:t>tab</w:t>
      </w:r>
      <w:r>
        <w:t>.</w:t>
      </w:r>
    </w:p>
    <w:p w:rsidR="00E620E3" w:rsidRPr="00E620E3" w:rsidRDefault="00E620E3" w:rsidP="00E620E3">
      <w:pPr>
        <w:pStyle w:val="NTTBodyText"/>
        <w:spacing w:before="60" w:after="120" w:line="264" w:lineRule="auto"/>
      </w:pPr>
      <w:r>
        <w:t xml:space="preserve">Investment returns are also calculated for significant dates, such as the last day in a financial year and for the date of the successor fund transfer to </w:t>
      </w:r>
      <w:proofErr w:type="spellStart"/>
      <w:r>
        <w:t>Sunsuper</w:t>
      </w:r>
      <w:proofErr w:type="spellEnd"/>
      <w:r>
        <w:t>.</w:t>
      </w:r>
    </w:p>
    <w:p w:rsidR="00847637" w:rsidRPr="00847637" w:rsidRDefault="00847637" w:rsidP="00EE6251">
      <w:pPr>
        <w:pStyle w:val="NTTBodyText"/>
        <w:spacing w:before="60" w:after="60" w:line="264" w:lineRule="auto"/>
      </w:pPr>
      <w:r w:rsidRPr="00847637">
        <w:t xml:space="preserve">As </w:t>
      </w:r>
      <w:r>
        <w:t>members will</w:t>
      </w:r>
      <w:r w:rsidRPr="00847637">
        <w:t xml:space="preserve"> appreciate, superannuation is a</w:t>
      </w:r>
      <w:r w:rsidR="00D32A8A">
        <w:t>n</w:t>
      </w:r>
      <w:r w:rsidRPr="00847637">
        <w:t xml:space="preserve"> investment and all investments carry a degree of risk, for example:</w:t>
      </w:r>
      <w:bookmarkStart w:id="0" w:name="_GoBack"/>
      <w:bookmarkEnd w:id="0"/>
    </w:p>
    <w:p w:rsidR="00847637" w:rsidRPr="00847637" w:rsidRDefault="00847637" w:rsidP="0040313B">
      <w:pPr>
        <w:pStyle w:val="NTTBodyText"/>
        <w:numPr>
          <w:ilvl w:val="0"/>
          <w:numId w:val="3"/>
        </w:numPr>
        <w:spacing w:before="60" w:after="60" w:line="264" w:lineRule="auto"/>
        <w:ind w:left="284" w:hanging="284"/>
      </w:pPr>
      <w:r w:rsidRPr="00847637">
        <w:t>the value of your account may go up and down</w:t>
      </w:r>
    </w:p>
    <w:p w:rsidR="00847637" w:rsidRPr="00847637" w:rsidRDefault="00847637" w:rsidP="0040313B">
      <w:pPr>
        <w:pStyle w:val="NTTBodyText"/>
        <w:numPr>
          <w:ilvl w:val="0"/>
          <w:numId w:val="3"/>
        </w:numPr>
        <w:spacing w:before="60" w:after="60" w:line="264" w:lineRule="auto"/>
        <w:ind w:left="284" w:hanging="284"/>
      </w:pPr>
      <w:r w:rsidRPr="00847637">
        <w:t>investment returns can vary and future returns may be different to past returns</w:t>
      </w:r>
    </w:p>
    <w:p w:rsidR="00847637" w:rsidRPr="00847637" w:rsidRDefault="00847637" w:rsidP="00045ACA">
      <w:pPr>
        <w:pStyle w:val="NTTBodyText"/>
        <w:numPr>
          <w:ilvl w:val="0"/>
          <w:numId w:val="3"/>
        </w:numPr>
        <w:spacing w:before="60" w:after="60" w:line="264" w:lineRule="auto"/>
        <w:ind w:left="284" w:hanging="284"/>
      </w:pPr>
      <w:r w:rsidRPr="00847637">
        <w:t xml:space="preserve">investment returns are not guaranteed and </w:t>
      </w:r>
      <w:r w:rsidR="00045ACA" w:rsidRPr="00045ACA">
        <w:t>your account value may increase or decrease, depending on the returns</w:t>
      </w:r>
    </w:p>
    <w:p w:rsidR="00E620E3" w:rsidRPr="00847637" w:rsidRDefault="00847637" w:rsidP="0040313B">
      <w:pPr>
        <w:pStyle w:val="NTTBodyText"/>
        <w:numPr>
          <w:ilvl w:val="0"/>
          <w:numId w:val="3"/>
        </w:numPr>
        <w:spacing w:before="60" w:after="120" w:line="264" w:lineRule="auto"/>
        <w:ind w:left="284" w:hanging="284"/>
      </w:pPr>
      <w:proofErr w:type="gramStart"/>
      <w:r w:rsidRPr="00847637">
        <w:t>global</w:t>
      </w:r>
      <w:proofErr w:type="gramEnd"/>
      <w:r w:rsidRPr="00847637">
        <w:t xml:space="preserve"> and domestic economic conditions may impact the returns of various asset classes.</w:t>
      </w:r>
    </w:p>
    <w:p w:rsidR="00A0432A" w:rsidRDefault="00847637" w:rsidP="00847637">
      <w:pPr>
        <w:pStyle w:val="NTTBodyText"/>
        <w:spacing w:before="60" w:after="120" w:line="264" w:lineRule="auto"/>
      </w:pPr>
      <w:r w:rsidRPr="00847637">
        <w:t xml:space="preserve">In the case of NTGPASS, investment returns can be positive or negative depending on prevailing market conditions and the value of the assets in which your account is invested. Importantly, the balance of your account will vary in line with the movement in these values and returns. In line with market conditions, there is precedent for NTGPASS declaring very low or negative returns for a financial year (for example, the Growth option returned -7.36%, -15.27% and 1.08% </w:t>
      </w:r>
      <w:r w:rsidRPr="00847637">
        <w:lastRenderedPageBreak/>
        <w:t>respectively for the 2007-08, 2008-09 and 2011</w:t>
      </w:r>
      <w:r w:rsidR="00F113D7">
        <w:noBreakHyphen/>
      </w:r>
      <w:r w:rsidRPr="00847637">
        <w:t>12 financial years).</w:t>
      </w:r>
    </w:p>
    <w:p w:rsidR="00E620E3" w:rsidRDefault="00847637" w:rsidP="00847637">
      <w:pPr>
        <w:pStyle w:val="NTTBodyText"/>
        <w:spacing w:before="60" w:after="120" w:line="264" w:lineRule="auto"/>
      </w:pPr>
      <w:r w:rsidRPr="00847637">
        <w:t xml:space="preserve">The financial year-to-date investment returns applied to NTGPASS accounts at the time of the transfer to </w:t>
      </w:r>
      <w:proofErr w:type="spellStart"/>
      <w:r w:rsidRPr="00847637">
        <w:t>Sunsuper</w:t>
      </w:r>
      <w:proofErr w:type="spellEnd"/>
      <w:r w:rsidRPr="00847637">
        <w:t xml:space="preserve"> are set out below, as are the relative movements in the major Australian, US and UK equity markets.</w:t>
      </w:r>
    </w:p>
    <w:tbl>
      <w:tblPr>
        <w:tblStyle w:val="TableGrid"/>
        <w:tblW w:w="0" w:type="auto"/>
        <w:tblInd w:w="534" w:type="dxa"/>
        <w:tblLook w:val="04A0" w:firstRow="1" w:lastRow="0" w:firstColumn="1" w:lastColumn="0" w:noHBand="0" w:noVBand="1"/>
        <w:tblDescription w:val="Table: NTGPASS Options and YTD movement"/>
      </w:tblPr>
      <w:tblGrid>
        <w:gridCol w:w="1842"/>
        <w:gridCol w:w="1701"/>
      </w:tblGrid>
      <w:tr w:rsidR="00EE6251" w:rsidTr="00EB4C8E">
        <w:trPr>
          <w:tblHeader/>
        </w:trPr>
        <w:tc>
          <w:tcPr>
            <w:tcW w:w="1842" w:type="dxa"/>
            <w:tcBorders>
              <w:top w:val="single" w:sz="12" w:space="0" w:color="auto"/>
              <w:left w:val="single" w:sz="12" w:space="0" w:color="auto"/>
            </w:tcBorders>
          </w:tcPr>
          <w:p w:rsidR="00EE6251" w:rsidRPr="00EE6251" w:rsidRDefault="00D32A8A" w:rsidP="00F113D7">
            <w:pPr>
              <w:pStyle w:val="NTTBodyText"/>
              <w:spacing w:before="60" w:after="60" w:line="240" w:lineRule="auto"/>
              <w:rPr>
                <w:b/>
              </w:rPr>
            </w:pPr>
            <w:r>
              <w:rPr>
                <w:b/>
              </w:rPr>
              <w:t xml:space="preserve">NTGPASS </w:t>
            </w:r>
            <w:r w:rsidR="0040313B">
              <w:rPr>
                <w:b/>
              </w:rPr>
              <w:t>Option</w:t>
            </w:r>
          </w:p>
        </w:tc>
        <w:tc>
          <w:tcPr>
            <w:tcW w:w="1701" w:type="dxa"/>
            <w:tcBorders>
              <w:top w:val="single" w:sz="12" w:space="0" w:color="auto"/>
              <w:right w:val="single" w:sz="12" w:space="0" w:color="auto"/>
            </w:tcBorders>
          </w:tcPr>
          <w:p w:rsidR="00EE6251" w:rsidRPr="0040313B" w:rsidRDefault="0040313B" w:rsidP="00F113D7">
            <w:pPr>
              <w:pStyle w:val="NTTBodyText"/>
              <w:spacing w:before="60" w:after="60" w:line="240" w:lineRule="auto"/>
              <w:jc w:val="center"/>
              <w:rPr>
                <w:b/>
              </w:rPr>
            </w:pPr>
            <w:r w:rsidRPr="0040313B">
              <w:rPr>
                <w:b/>
              </w:rPr>
              <w:t>YTD movement</w:t>
            </w:r>
          </w:p>
        </w:tc>
      </w:tr>
      <w:tr w:rsidR="0040313B" w:rsidTr="00EB4C8E">
        <w:trPr>
          <w:tblHeader/>
        </w:trPr>
        <w:tc>
          <w:tcPr>
            <w:tcW w:w="1842" w:type="dxa"/>
            <w:tcBorders>
              <w:top w:val="single" w:sz="12" w:space="0" w:color="auto"/>
              <w:left w:val="single" w:sz="12" w:space="0" w:color="auto"/>
            </w:tcBorders>
          </w:tcPr>
          <w:p w:rsidR="0040313B" w:rsidRPr="0040313B" w:rsidRDefault="0040313B" w:rsidP="00F113D7">
            <w:pPr>
              <w:pStyle w:val="NTTBodyText"/>
              <w:spacing w:before="60" w:after="60" w:line="240" w:lineRule="auto"/>
              <w:rPr>
                <w:i/>
              </w:rPr>
            </w:pPr>
            <w:r w:rsidRPr="0040313B">
              <w:rPr>
                <w:i/>
              </w:rPr>
              <w:t>Managed Cash</w:t>
            </w:r>
          </w:p>
        </w:tc>
        <w:tc>
          <w:tcPr>
            <w:tcW w:w="1701" w:type="dxa"/>
            <w:tcBorders>
              <w:top w:val="single" w:sz="12" w:space="0" w:color="auto"/>
              <w:right w:val="single" w:sz="12" w:space="0" w:color="auto"/>
            </w:tcBorders>
          </w:tcPr>
          <w:p w:rsidR="0040313B" w:rsidRDefault="0040313B" w:rsidP="00F113D7">
            <w:pPr>
              <w:pStyle w:val="NTTBodyText"/>
              <w:spacing w:before="60" w:after="60" w:line="240" w:lineRule="auto"/>
              <w:ind w:right="459"/>
              <w:jc w:val="right"/>
            </w:pPr>
            <w:r w:rsidRPr="00EE6251">
              <w:t>1.06%</w:t>
            </w:r>
          </w:p>
        </w:tc>
      </w:tr>
      <w:tr w:rsidR="0040313B" w:rsidTr="00EB4C8E">
        <w:trPr>
          <w:tblHeader/>
        </w:trPr>
        <w:tc>
          <w:tcPr>
            <w:tcW w:w="1842" w:type="dxa"/>
            <w:tcBorders>
              <w:left w:val="single" w:sz="12" w:space="0" w:color="auto"/>
            </w:tcBorders>
          </w:tcPr>
          <w:p w:rsidR="0040313B" w:rsidRPr="0040313B" w:rsidRDefault="0040313B" w:rsidP="00F113D7">
            <w:pPr>
              <w:pStyle w:val="NTTBodyText"/>
              <w:spacing w:before="60" w:after="60" w:line="240" w:lineRule="auto"/>
              <w:rPr>
                <w:i/>
              </w:rPr>
            </w:pPr>
            <w:r w:rsidRPr="0040313B">
              <w:rPr>
                <w:i/>
              </w:rPr>
              <w:t>Conservative</w:t>
            </w:r>
          </w:p>
        </w:tc>
        <w:tc>
          <w:tcPr>
            <w:tcW w:w="1701" w:type="dxa"/>
            <w:tcBorders>
              <w:right w:val="single" w:sz="12" w:space="0" w:color="auto"/>
            </w:tcBorders>
          </w:tcPr>
          <w:p w:rsidR="0040313B" w:rsidRDefault="0040313B" w:rsidP="00F113D7">
            <w:pPr>
              <w:pStyle w:val="NTTBodyText"/>
              <w:spacing w:before="60" w:after="60" w:line="240" w:lineRule="auto"/>
              <w:ind w:right="459"/>
              <w:jc w:val="right"/>
            </w:pPr>
            <w:r w:rsidRPr="00EE6251">
              <w:t>-0.92%</w:t>
            </w:r>
          </w:p>
        </w:tc>
      </w:tr>
      <w:tr w:rsidR="0040313B" w:rsidTr="00EB4C8E">
        <w:trPr>
          <w:tblHeader/>
        </w:trPr>
        <w:tc>
          <w:tcPr>
            <w:tcW w:w="1842" w:type="dxa"/>
            <w:tcBorders>
              <w:left w:val="single" w:sz="12" w:space="0" w:color="auto"/>
            </w:tcBorders>
          </w:tcPr>
          <w:p w:rsidR="0040313B" w:rsidRPr="0040313B" w:rsidRDefault="0040313B" w:rsidP="00F113D7">
            <w:pPr>
              <w:pStyle w:val="NTTBodyText"/>
              <w:spacing w:before="60" w:after="60" w:line="240" w:lineRule="auto"/>
              <w:rPr>
                <w:i/>
              </w:rPr>
            </w:pPr>
            <w:r w:rsidRPr="0040313B">
              <w:rPr>
                <w:i/>
              </w:rPr>
              <w:t>Cautious</w:t>
            </w:r>
          </w:p>
        </w:tc>
        <w:tc>
          <w:tcPr>
            <w:tcW w:w="1701" w:type="dxa"/>
            <w:tcBorders>
              <w:right w:val="single" w:sz="12" w:space="0" w:color="auto"/>
            </w:tcBorders>
          </w:tcPr>
          <w:p w:rsidR="0040313B" w:rsidRDefault="0040313B" w:rsidP="00F113D7">
            <w:pPr>
              <w:pStyle w:val="NTTBodyText"/>
              <w:spacing w:before="60" w:after="60" w:line="240" w:lineRule="auto"/>
              <w:ind w:right="459"/>
              <w:jc w:val="right"/>
            </w:pPr>
            <w:r w:rsidRPr="00EE6251">
              <w:t>-1.67%</w:t>
            </w:r>
          </w:p>
        </w:tc>
      </w:tr>
      <w:tr w:rsidR="0040313B" w:rsidTr="00EB4C8E">
        <w:trPr>
          <w:tblHeader/>
        </w:trPr>
        <w:tc>
          <w:tcPr>
            <w:tcW w:w="1842" w:type="dxa"/>
            <w:tcBorders>
              <w:left w:val="single" w:sz="12" w:space="0" w:color="auto"/>
            </w:tcBorders>
          </w:tcPr>
          <w:p w:rsidR="0040313B" w:rsidRPr="0040313B" w:rsidRDefault="0040313B" w:rsidP="00F113D7">
            <w:pPr>
              <w:pStyle w:val="NTTBodyText"/>
              <w:spacing w:before="60" w:after="60" w:line="240" w:lineRule="auto"/>
              <w:rPr>
                <w:i/>
              </w:rPr>
            </w:pPr>
            <w:r w:rsidRPr="0040313B">
              <w:rPr>
                <w:i/>
              </w:rPr>
              <w:t>Growth</w:t>
            </w:r>
          </w:p>
        </w:tc>
        <w:tc>
          <w:tcPr>
            <w:tcW w:w="1701" w:type="dxa"/>
            <w:tcBorders>
              <w:right w:val="single" w:sz="12" w:space="0" w:color="auto"/>
            </w:tcBorders>
          </w:tcPr>
          <w:p w:rsidR="0040313B" w:rsidRDefault="0040313B" w:rsidP="00F113D7">
            <w:pPr>
              <w:pStyle w:val="NTTBodyText"/>
              <w:spacing w:before="60" w:after="60" w:line="240" w:lineRule="auto"/>
              <w:ind w:right="459"/>
              <w:jc w:val="right"/>
            </w:pPr>
            <w:r w:rsidRPr="00EE6251">
              <w:t>-4.74%</w:t>
            </w:r>
          </w:p>
        </w:tc>
      </w:tr>
      <w:tr w:rsidR="0040313B" w:rsidTr="00EB4C8E">
        <w:trPr>
          <w:tblHeader/>
        </w:trPr>
        <w:tc>
          <w:tcPr>
            <w:tcW w:w="1842" w:type="dxa"/>
            <w:tcBorders>
              <w:left w:val="single" w:sz="12" w:space="0" w:color="auto"/>
            </w:tcBorders>
          </w:tcPr>
          <w:p w:rsidR="0040313B" w:rsidRPr="0040313B" w:rsidRDefault="0040313B" w:rsidP="00F113D7">
            <w:pPr>
              <w:pStyle w:val="NTTBodyText"/>
              <w:spacing w:before="60" w:after="60" w:line="240" w:lineRule="auto"/>
              <w:rPr>
                <w:i/>
              </w:rPr>
            </w:pPr>
            <w:r w:rsidRPr="0040313B">
              <w:rPr>
                <w:i/>
              </w:rPr>
              <w:t>Assertive</w:t>
            </w:r>
          </w:p>
        </w:tc>
        <w:tc>
          <w:tcPr>
            <w:tcW w:w="1701" w:type="dxa"/>
            <w:tcBorders>
              <w:right w:val="single" w:sz="12" w:space="0" w:color="auto"/>
            </w:tcBorders>
          </w:tcPr>
          <w:p w:rsidR="0040313B" w:rsidRDefault="0040313B" w:rsidP="00F113D7">
            <w:pPr>
              <w:pStyle w:val="NTTBodyText"/>
              <w:spacing w:before="60" w:after="60" w:line="240" w:lineRule="auto"/>
              <w:ind w:right="459"/>
              <w:jc w:val="right"/>
            </w:pPr>
            <w:r w:rsidRPr="00EE6251">
              <w:t>-6.17%</w:t>
            </w:r>
          </w:p>
        </w:tc>
      </w:tr>
      <w:tr w:rsidR="0040313B" w:rsidTr="00EB4C8E">
        <w:trPr>
          <w:tblHeader/>
        </w:trPr>
        <w:tc>
          <w:tcPr>
            <w:tcW w:w="1842" w:type="dxa"/>
            <w:tcBorders>
              <w:left w:val="single" w:sz="12" w:space="0" w:color="auto"/>
              <w:bottom w:val="single" w:sz="12" w:space="0" w:color="auto"/>
            </w:tcBorders>
          </w:tcPr>
          <w:p w:rsidR="0040313B" w:rsidRPr="0040313B" w:rsidRDefault="0040313B" w:rsidP="00F113D7">
            <w:pPr>
              <w:pStyle w:val="NTTBodyText"/>
              <w:spacing w:before="60" w:after="60" w:line="240" w:lineRule="auto"/>
              <w:rPr>
                <w:i/>
              </w:rPr>
            </w:pPr>
            <w:r w:rsidRPr="0040313B">
              <w:rPr>
                <w:i/>
              </w:rPr>
              <w:t>Aggressive</w:t>
            </w:r>
          </w:p>
        </w:tc>
        <w:tc>
          <w:tcPr>
            <w:tcW w:w="1701" w:type="dxa"/>
            <w:tcBorders>
              <w:bottom w:val="single" w:sz="12" w:space="0" w:color="auto"/>
              <w:right w:val="single" w:sz="12" w:space="0" w:color="auto"/>
            </w:tcBorders>
          </w:tcPr>
          <w:p w:rsidR="0040313B" w:rsidRDefault="0040313B" w:rsidP="00F113D7">
            <w:pPr>
              <w:pStyle w:val="NTTBodyText"/>
              <w:spacing w:before="60" w:after="60" w:line="240" w:lineRule="auto"/>
              <w:ind w:right="459"/>
              <w:jc w:val="right"/>
            </w:pPr>
            <w:r w:rsidRPr="00EE6251">
              <w:t>-8.65%</w:t>
            </w:r>
          </w:p>
        </w:tc>
      </w:tr>
      <w:tr w:rsidR="00052F8F" w:rsidTr="00EB4C8E">
        <w:trPr>
          <w:tblHeader/>
        </w:trPr>
        <w:tc>
          <w:tcPr>
            <w:tcW w:w="1842" w:type="dxa"/>
            <w:tcBorders>
              <w:top w:val="single" w:sz="12" w:space="0" w:color="auto"/>
              <w:left w:val="nil"/>
              <w:bottom w:val="single" w:sz="12" w:space="0" w:color="auto"/>
            </w:tcBorders>
          </w:tcPr>
          <w:p w:rsidR="00052F8F" w:rsidRPr="00052F8F" w:rsidRDefault="00052F8F" w:rsidP="00052F8F">
            <w:pPr>
              <w:pStyle w:val="NTTBodyText"/>
              <w:spacing w:line="264" w:lineRule="auto"/>
              <w:rPr>
                <w:i/>
                <w:sz w:val="6"/>
                <w:szCs w:val="6"/>
              </w:rPr>
            </w:pPr>
          </w:p>
        </w:tc>
        <w:tc>
          <w:tcPr>
            <w:tcW w:w="1701" w:type="dxa"/>
            <w:tcBorders>
              <w:top w:val="single" w:sz="12" w:space="0" w:color="auto"/>
              <w:bottom w:val="single" w:sz="12" w:space="0" w:color="auto"/>
              <w:right w:val="nil"/>
            </w:tcBorders>
          </w:tcPr>
          <w:p w:rsidR="00052F8F" w:rsidRPr="00052F8F" w:rsidRDefault="00052F8F" w:rsidP="00052F8F">
            <w:pPr>
              <w:pStyle w:val="NTTBodyText"/>
              <w:spacing w:line="264" w:lineRule="auto"/>
              <w:ind w:right="459"/>
              <w:jc w:val="right"/>
              <w:rPr>
                <w:sz w:val="6"/>
                <w:szCs w:val="6"/>
              </w:rPr>
            </w:pPr>
          </w:p>
        </w:tc>
      </w:tr>
      <w:tr w:rsidR="00052F8F" w:rsidTr="00EB4C8E">
        <w:trPr>
          <w:tblHeader/>
        </w:trPr>
        <w:tc>
          <w:tcPr>
            <w:tcW w:w="1842" w:type="dxa"/>
            <w:tcBorders>
              <w:left w:val="single" w:sz="12" w:space="0" w:color="auto"/>
              <w:bottom w:val="single" w:sz="12" w:space="0" w:color="auto"/>
            </w:tcBorders>
          </w:tcPr>
          <w:p w:rsidR="00052F8F" w:rsidRPr="00AA7578" w:rsidRDefault="00052F8F" w:rsidP="00F113D7">
            <w:pPr>
              <w:pStyle w:val="NTTBodyText"/>
              <w:spacing w:before="60" w:after="60" w:line="240" w:lineRule="auto"/>
              <w:rPr>
                <w:b/>
              </w:rPr>
            </w:pPr>
            <w:r w:rsidRPr="00AA7578">
              <w:rPr>
                <w:b/>
              </w:rPr>
              <w:t>Index</w:t>
            </w:r>
          </w:p>
        </w:tc>
        <w:tc>
          <w:tcPr>
            <w:tcW w:w="1701" w:type="dxa"/>
            <w:tcBorders>
              <w:bottom w:val="single" w:sz="12" w:space="0" w:color="auto"/>
              <w:right w:val="single" w:sz="12" w:space="0" w:color="auto"/>
            </w:tcBorders>
          </w:tcPr>
          <w:p w:rsidR="00052F8F" w:rsidRPr="00EE6251" w:rsidRDefault="00052F8F" w:rsidP="00F113D7">
            <w:pPr>
              <w:pStyle w:val="NTTBodyText"/>
              <w:spacing w:before="60" w:after="60" w:line="240" w:lineRule="auto"/>
              <w:jc w:val="center"/>
            </w:pPr>
            <w:r w:rsidRPr="0040313B">
              <w:rPr>
                <w:b/>
              </w:rPr>
              <w:t>YTD movement</w:t>
            </w:r>
          </w:p>
        </w:tc>
      </w:tr>
      <w:tr w:rsidR="0040313B" w:rsidTr="00EB4C8E">
        <w:trPr>
          <w:tblHeader/>
        </w:trPr>
        <w:tc>
          <w:tcPr>
            <w:tcW w:w="1842" w:type="dxa"/>
            <w:tcBorders>
              <w:top w:val="single" w:sz="12" w:space="0" w:color="auto"/>
              <w:left w:val="single" w:sz="12" w:space="0" w:color="auto"/>
            </w:tcBorders>
          </w:tcPr>
          <w:p w:rsidR="0040313B" w:rsidRPr="0040313B" w:rsidRDefault="0040313B" w:rsidP="00F113D7">
            <w:pPr>
              <w:pStyle w:val="NTTBodyText"/>
              <w:spacing w:before="60" w:after="60" w:line="240" w:lineRule="auto"/>
              <w:rPr>
                <w:i/>
              </w:rPr>
            </w:pPr>
            <w:r w:rsidRPr="0040313B">
              <w:rPr>
                <w:i/>
              </w:rPr>
              <w:t>S &amp; P ASX200</w:t>
            </w:r>
          </w:p>
        </w:tc>
        <w:tc>
          <w:tcPr>
            <w:tcW w:w="1701" w:type="dxa"/>
            <w:tcBorders>
              <w:top w:val="single" w:sz="12" w:space="0" w:color="auto"/>
              <w:right w:val="single" w:sz="12" w:space="0" w:color="auto"/>
            </w:tcBorders>
          </w:tcPr>
          <w:p w:rsidR="0040313B" w:rsidRDefault="0040313B" w:rsidP="00F113D7">
            <w:pPr>
              <w:pStyle w:val="NTTBodyText"/>
              <w:spacing w:before="60" w:after="60" w:line="240" w:lineRule="auto"/>
              <w:ind w:right="459"/>
              <w:jc w:val="right"/>
            </w:pPr>
            <w:r w:rsidRPr="00EE6251">
              <w:t>-12.71%</w:t>
            </w:r>
          </w:p>
        </w:tc>
      </w:tr>
      <w:tr w:rsidR="0040313B" w:rsidTr="00EB4C8E">
        <w:trPr>
          <w:tblHeader/>
        </w:trPr>
        <w:tc>
          <w:tcPr>
            <w:tcW w:w="1842" w:type="dxa"/>
            <w:tcBorders>
              <w:left w:val="single" w:sz="12" w:space="0" w:color="auto"/>
            </w:tcBorders>
          </w:tcPr>
          <w:p w:rsidR="0040313B" w:rsidRPr="0040313B" w:rsidRDefault="0040313B" w:rsidP="00F113D7">
            <w:pPr>
              <w:pStyle w:val="NTTBodyText"/>
              <w:spacing w:before="60" w:after="60" w:line="240" w:lineRule="auto"/>
              <w:rPr>
                <w:i/>
              </w:rPr>
            </w:pPr>
            <w:r w:rsidRPr="0040313B">
              <w:rPr>
                <w:i/>
              </w:rPr>
              <w:t>Dow Jones</w:t>
            </w:r>
          </w:p>
        </w:tc>
        <w:tc>
          <w:tcPr>
            <w:tcW w:w="1701" w:type="dxa"/>
            <w:tcBorders>
              <w:right w:val="single" w:sz="12" w:space="0" w:color="auto"/>
            </w:tcBorders>
          </w:tcPr>
          <w:p w:rsidR="0040313B" w:rsidRDefault="0040313B" w:rsidP="00F113D7">
            <w:pPr>
              <w:pStyle w:val="NTTBodyText"/>
              <w:spacing w:before="60" w:after="60" w:line="240" w:lineRule="auto"/>
              <w:ind w:right="459"/>
              <w:jc w:val="right"/>
            </w:pPr>
            <w:r w:rsidRPr="00EE6251">
              <w:t>-9.34%</w:t>
            </w:r>
          </w:p>
        </w:tc>
      </w:tr>
      <w:tr w:rsidR="0040313B" w:rsidTr="00EB4C8E">
        <w:trPr>
          <w:tblHeader/>
        </w:trPr>
        <w:tc>
          <w:tcPr>
            <w:tcW w:w="1842" w:type="dxa"/>
            <w:tcBorders>
              <w:left w:val="single" w:sz="12" w:space="0" w:color="auto"/>
              <w:bottom w:val="single" w:sz="12" w:space="0" w:color="auto"/>
            </w:tcBorders>
          </w:tcPr>
          <w:p w:rsidR="0040313B" w:rsidRPr="0040313B" w:rsidRDefault="0040313B" w:rsidP="00F113D7">
            <w:pPr>
              <w:pStyle w:val="NTTBodyText"/>
              <w:spacing w:before="60" w:after="60" w:line="240" w:lineRule="auto"/>
              <w:rPr>
                <w:i/>
              </w:rPr>
            </w:pPr>
            <w:r w:rsidRPr="0040313B">
              <w:rPr>
                <w:i/>
              </w:rPr>
              <w:t>FTSE 100</w:t>
            </w:r>
          </w:p>
        </w:tc>
        <w:tc>
          <w:tcPr>
            <w:tcW w:w="1701" w:type="dxa"/>
            <w:tcBorders>
              <w:bottom w:val="single" w:sz="12" w:space="0" w:color="auto"/>
              <w:right w:val="single" w:sz="12" w:space="0" w:color="auto"/>
            </w:tcBorders>
          </w:tcPr>
          <w:p w:rsidR="0040313B" w:rsidRDefault="0040313B" w:rsidP="00F113D7">
            <w:pPr>
              <w:pStyle w:val="NTTBodyText"/>
              <w:spacing w:before="60" w:after="60" w:line="240" w:lineRule="auto"/>
              <w:ind w:right="459"/>
              <w:jc w:val="right"/>
            </w:pPr>
            <w:r w:rsidRPr="00EE6251">
              <w:t>-13.63%</w:t>
            </w:r>
          </w:p>
        </w:tc>
      </w:tr>
    </w:tbl>
    <w:p w:rsidR="00847637" w:rsidRDefault="00847637" w:rsidP="00A0432A">
      <w:pPr>
        <w:pStyle w:val="NTTBodyText"/>
        <w:spacing w:before="120" w:after="120" w:line="264" w:lineRule="auto"/>
      </w:pPr>
      <w:r>
        <w:t xml:space="preserve">As </w:t>
      </w:r>
      <w:r w:rsidR="00052F8F">
        <w:t>can been seen</w:t>
      </w:r>
      <w:r w:rsidR="00D32A8A">
        <w:t xml:space="preserve"> by the returns in the table above, year to date, 2015</w:t>
      </w:r>
      <w:r w:rsidR="00D32A8A">
        <w:noBreakHyphen/>
        <w:t xml:space="preserve">16 </w:t>
      </w:r>
      <w:r>
        <w:t>ha</w:t>
      </w:r>
      <w:r w:rsidR="00045ACA">
        <w:t>s</w:t>
      </w:r>
      <w:r>
        <w:t xml:space="preserve"> been a very difficult year for most of the NTGPASS investment options and for equity markets more generally. </w:t>
      </w:r>
    </w:p>
    <w:p w:rsidR="00052F8F" w:rsidRDefault="00847637" w:rsidP="00847637">
      <w:pPr>
        <w:pStyle w:val="NTTBodyText"/>
        <w:spacing w:before="60" w:after="120" w:line="264" w:lineRule="auto"/>
      </w:pPr>
      <w:r>
        <w:t xml:space="preserve">All </w:t>
      </w:r>
      <w:r w:rsidR="00052F8F">
        <w:t xml:space="preserve">NTGPASS </w:t>
      </w:r>
      <w:r>
        <w:t xml:space="preserve">investment options other than Managed Cash </w:t>
      </w:r>
      <w:r w:rsidR="00D32A8A">
        <w:t>have significant exposure to</w:t>
      </w:r>
      <w:r>
        <w:t xml:space="preserve"> Australian and Global </w:t>
      </w:r>
      <w:proofErr w:type="gramStart"/>
      <w:r>
        <w:t>shares,</w:t>
      </w:r>
      <w:proofErr w:type="gramEnd"/>
      <w:r>
        <w:t xml:space="preserve"> with these ranging in aggregate from 21% in the Conservative option up to 84% in the Aggressive option (the </w:t>
      </w:r>
      <w:r w:rsidR="0040313B">
        <w:t xml:space="preserve">default </w:t>
      </w:r>
      <w:r>
        <w:t>Growth option contains approximately 59%</w:t>
      </w:r>
      <w:r w:rsidR="00052F8F">
        <w:t xml:space="preserve"> Australian and Global shares).</w:t>
      </w:r>
    </w:p>
    <w:p w:rsidR="00847637" w:rsidRDefault="00847637" w:rsidP="00847637">
      <w:pPr>
        <w:pStyle w:val="NTTBodyText"/>
        <w:spacing w:before="60" w:after="120" w:line="264" w:lineRule="auto"/>
      </w:pPr>
      <w:r>
        <w:t xml:space="preserve">More detail on the </w:t>
      </w:r>
      <w:r w:rsidR="00F113D7">
        <w:t xml:space="preserve">NTGPASS </w:t>
      </w:r>
      <w:r>
        <w:t xml:space="preserve">investment options, the assets they contain and their respective risk levels, is set out </w:t>
      </w:r>
      <w:r w:rsidR="00052F8F">
        <w:t xml:space="preserve">on our website under the “Investment Returns” link, which becomes available once you click “NTGPASS/NTSSS”. </w:t>
      </w:r>
    </w:p>
    <w:p w:rsidR="00847637" w:rsidRDefault="00052F8F" w:rsidP="00847637">
      <w:pPr>
        <w:pStyle w:val="NTTBodyText"/>
        <w:spacing w:before="60" w:after="120" w:line="264" w:lineRule="auto"/>
      </w:pPr>
      <w:r>
        <w:t>Importantly, i</w:t>
      </w:r>
      <w:r w:rsidR="00EE6251">
        <w:t>f</w:t>
      </w:r>
      <w:r w:rsidR="00847637">
        <w:t xml:space="preserve"> a negative rate </w:t>
      </w:r>
      <w:r w:rsidR="00045ACA">
        <w:t>o</w:t>
      </w:r>
      <w:r w:rsidR="006E1E5B">
        <w:t>f</w:t>
      </w:r>
      <w:r w:rsidR="00045ACA">
        <w:t xml:space="preserve"> return </w:t>
      </w:r>
      <w:r w:rsidR="00847637">
        <w:t xml:space="preserve">was applied to your account </w:t>
      </w:r>
      <w:r>
        <w:t xml:space="preserve">at the time of the transfer to </w:t>
      </w:r>
      <w:proofErr w:type="spellStart"/>
      <w:r>
        <w:t>Sunsuper</w:t>
      </w:r>
      <w:proofErr w:type="spellEnd"/>
      <w:r>
        <w:t xml:space="preserve"> </w:t>
      </w:r>
      <w:r w:rsidR="00847637">
        <w:t>that rate reflects that the assets in which your account was invested had declined in value since the start of the financial year</w:t>
      </w:r>
      <w:r w:rsidR="00D32A8A">
        <w:t>, consistent with all major stock indices.</w:t>
      </w:r>
      <w:r w:rsidR="00EE6251">
        <w:t xml:space="preserve"> </w:t>
      </w:r>
    </w:p>
    <w:sectPr w:rsidR="00847637" w:rsidSect="00284B29">
      <w:headerReference w:type="default" r:id="rId11"/>
      <w:footerReference w:type="default" r:id="rId12"/>
      <w:type w:val="continuous"/>
      <w:pgSz w:w="11906" w:h="16838"/>
      <w:pgMar w:top="720" w:right="720" w:bottom="851" w:left="720" w:header="708" w:footer="36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0E" w:rsidRDefault="00D87F0E" w:rsidP="000E6CBE">
      <w:pPr>
        <w:spacing w:after="0" w:line="240" w:lineRule="auto"/>
      </w:pPr>
      <w:r>
        <w:separator/>
      </w:r>
    </w:p>
  </w:endnote>
  <w:endnote w:type="continuationSeparator" w:id="0">
    <w:p w:rsidR="00D87F0E" w:rsidRDefault="00D87F0E" w:rsidP="000E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BA" w:rsidRPr="005E64BA" w:rsidRDefault="00F561CE" w:rsidP="005E64BA">
    <w:pPr>
      <w:tabs>
        <w:tab w:val="right" w:pos="9498"/>
      </w:tabs>
      <w:spacing w:before="40" w:after="0" w:line="240" w:lineRule="auto"/>
      <w:jc w:val="center"/>
      <w:rPr>
        <w:rFonts w:ascii="Arial" w:eastAsia="Times New Roman" w:hAnsi="Arial" w:cs="Arial"/>
        <w:sz w:val="18"/>
        <w:szCs w:val="18"/>
        <w:lang w:eastAsia="en-AU"/>
      </w:rPr>
    </w:pPr>
    <w:r w:rsidRPr="005E64BA">
      <w:rPr>
        <w:rFonts w:ascii="Arial" w:eastAsia="Times New Roman" w:hAnsi="Arial" w:cs="Arial"/>
        <w:spacing w:val="-6"/>
        <w:sz w:val="18"/>
        <w:szCs w:val="18"/>
        <w:lang w:eastAsia="en-AU"/>
      </w:rPr>
      <w:t>Location:</w:t>
    </w:r>
    <w:r w:rsidRPr="005E64BA">
      <w:rPr>
        <w:rFonts w:ascii="Arial" w:eastAsia="Times New Roman" w:hAnsi="Arial" w:cs="Arial"/>
        <w:noProof/>
        <w:spacing w:val="-6"/>
        <w:sz w:val="18"/>
        <w:szCs w:val="18"/>
        <w:lang w:eastAsia="en-AU"/>
      </w:rPr>
      <mc:AlternateContent>
        <mc:Choice Requires="wps">
          <w:drawing>
            <wp:anchor distT="0" distB="0" distL="114300" distR="114300" simplePos="0" relativeHeight="251660288" behindDoc="0" locked="0" layoutInCell="1" allowOverlap="1" wp14:anchorId="728E9080" wp14:editId="624A8299">
              <wp:simplePos x="0" y="0"/>
              <wp:positionH relativeFrom="column">
                <wp:posOffset>0</wp:posOffset>
              </wp:positionH>
              <wp:positionV relativeFrom="paragraph">
                <wp:posOffset>8890</wp:posOffset>
              </wp:positionV>
              <wp:extent cx="6515100" cy="6350"/>
              <wp:effectExtent l="9525" t="8890" r="9525" b="13335"/>
              <wp:wrapNone/>
              <wp:docPr id="2" name="Line 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alt="Line"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" strokeweight=".5pt"/>
          </w:pict>
        </mc:Fallback>
      </mc:AlternateContent>
    </w:r>
    <w:r w:rsidRPr="005E64BA">
      <w:rPr>
        <w:rFonts w:ascii="Arial" w:eastAsia="Times New Roman" w:hAnsi="Arial" w:cs="Arial"/>
        <w:spacing w:val="-6"/>
        <w:sz w:val="18"/>
        <w:szCs w:val="18"/>
        <w:lang w:eastAsia="en-AU"/>
      </w:rPr>
      <w:t xml:space="preserve"> </w:t>
    </w:r>
    <w:r w:rsidR="00D569A8">
      <w:rPr>
        <w:rFonts w:ascii="Arial" w:eastAsia="Times New Roman" w:hAnsi="Arial" w:cs="Arial"/>
        <w:spacing w:val="-6"/>
        <w:sz w:val="18"/>
        <w:szCs w:val="18"/>
        <w:lang w:eastAsia="en-AU"/>
      </w:rPr>
      <w:t>Floor 11 Charles Darwin Centre, 19 The Mall</w:t>
    </w:r>
    <w:r w:rsidRPr="005E64BA">
      <w:rPr>
        <w:rFonts w:ascii="Arial" w:eastAsia="Times New Roman" w:hAnsi="Arial" w:cs="Arial"/>
        <w:spacing w:val="-6"/>
        <w:sz w:val="18"/>
        <w:szCs w:val="18"/>
        <w:lang w:eastAsia="en-AU"/>
      </w:rPr>
      <w:t xml:space="preserve">, DARWIN </w:t>
    </w:r>
    <w:proofErr w:type="gramStart"/>
    <w:r w:rsidRPr="005E64BA">
      <w:rPr>
        <w:rFonts w:ascii="Arial" w:eastAsia="Times New Roman" w:hAnsi="Arial" w:cs="Arial"/>
        <w:spacing w:val="-6"/>
        <w:sz w:val="18"/>
        <w:szCs w:val="18"/>
        <w:lang w:eastAsia="en-AU"/>
      </w:rPr>
      <w:t>0800  •</w:t>
    </w:r>
    <w:proofErr w:type="gramEnd"/>
    <w:r w:rsidRPr="005E64BA">
      <w:rPr>
        <w:rFonts w:ascii="Arial" w:eastAsia="Times New Roman" w:hAnsi="Arial" w:cs="Arial"/>
        <w:spacing w:val="-6"/>
        <w:sz w:val="18"/>
        <w:szCs w:val="18"/>
        <w:lang w:eastAsia="en-AU"/>
      </w:rPr>
      <w:t xml:space="preserve">  Postal: GPO Box 4675</w:t>
    </w:r>
    <w:r w:rsidR="00D569A8">
      <w:rPr>
        <w:rFonts w:ascii="Arial" w:eastAsia="Times New Roman" w:hAnsi="Arial" w:cs="Arial"/>
        <w:spacing w:val="-6"/>
        <w:sz w:val="18"/>
        <w:szCs w:val="18"/>
        <w:lang w:eastAsia="en-AU"/>
      </w:rPr>
      <w:t>,</w:t>
    </w:r>
    <w:r w:rsidRPr="005E64BA">
      <w:rPr>
        <w:rFonts w:ascii="Arial" w:eastAsia="Times New Roman" w:hAnsi="Arial" w:cs="Arial"/>
        <w:spacing w:val="-6"/>
        <w:sz w:val="18"/>
        <w:szCs w:val="18"/>
        <w:lang w:eastAsia="en-AU"/>
      </w:rPr>
      <w:t xml:space="preserve"> </w:t>
    </w:r>
    <w:r w:rsidRPr="005E64BA">
      <w:rPr>
        <w:rFonts w:ascii="Arial" w:eastAsia="Times New Roman" w:hAnsi="Arial" w:cs="Arial"/>
        <w:sz w:val="18"/>
        <w:szCs w:val="18"/>
        <w:lang w:eastAsia="en-AU"/>
      </w:rPr>
      <w:t>DARWIN NT 0801</w:t>
    </w:r>
  </w:p>
  <w:p w:rsidR="005E64BA" w:rsidRDefault="00F561CE" w:rsidP="007D1879">
    <w:pPr>
      <w:spacing w:after="0" w:line="240" w:lineRule="auto"/>
      <w:jc w:val="center"/>
    </w:pPr>
    <w:r w:rsidRPr="005E64BA">
      <w:rPr>
        <w:rFonts w:ascii="Arial" w:eastAsia="Times New Roman" w:hAnsi="Arial" w:cs="Arial"/>
        <w:sz w:val="18"/>
        <w:szCs w:val="18"/>
        <w:lang w:eastAsia="en-AU"/>
      </w:rPr>
      <w:t xml:space="preserve">Telephone: 1800 631 </w:t>
    </w:r>
    <w:proofErr w:type="gramStart"/>
    <w:r w:rsidRPr="005E64BA">
      <w:rPr>
        <w:rFonts w:ascii="Arial" w:eastAsia="Times New Roman" w:hAnsi="Arial" w:cs="Arial"/>
        <w:sz w:val="18"/>
        <w:szCs w:val="18"/>
        <w:lang w:eastAsia="en-AU"/>
      </w:rPr>
      <w:t xml:space="preserve">630 </w:t>
    </w:r>
    <w:r w:rsidRPr="005E64BA">
      <w:rPr>
        <w:rFonts w:ascii="Arial" w:eastAsia="Times New Roman" w:hAnsi="Arial" w:cs="Arial"/>
        <w:spacing w:val="-6"/>
        <w:sz w:val="18"/>
        <w:szCs w:val="18"/>
        <w:lang w:eastAsia="en-AU"/>
      </w:rPr>
      <w:t xml:space="preserve"> •</w:t>
    </w:r>
    <w:proofErr w:type="gramEnd"/>
    <w:r w:rsidRPr="005E64BA">
      <w:rPr>
        <w:rFonts w:ascii="Arial" w:eastAsia="Times New Roman" w:hAnsi="Arial" w:cs="Arial"/>
        <w:spacing w:val="-6"/>
        <w:sz w:val="18"/>
        <w:szCs w:val="18"/>
        <w:lang w:eastAsia="en-AU"/>
      </w:rPr>
      <w:t xml:space="preserve">  Fax: (08) 8901 4222  •  </w:t>
    </w:r>
    <w:r w:rsidRPr="005E64BA">
      <w:rPr>
        <w:rFonts w:ascii="Arial" w:eastAsia="Times New Roman" w:hAnsi="Arial" w:cs="Arial"/>
        <w:sz w:val="18"/>
        <w:szCs w:val="18"/>
        <w:lang w:eastAsia="en-AU"/>
      </w:rPr>
      <w:t xml:space="preserve">Email: </w:t>
    </w:r>
    <w:hyperlink r:id="rId1" w:tooltip="Link to NT Superannuation Office website" w:history="1">
      <w:r w:rsidRPr="005E64BA">
        <w:rPr>
          <w:rFonts w:ascii="Arial" w:eastAsia="Times New Roman" w:hAnsi="Arial" w:cs="Arial"/>
          <w:color w:val="0000FF"/>
          <w:sz w:val="18"/>
          <w:szCs w:val="18"/>
          <w:u w:val="single"/>
          <w:lang w:eastAsia="en-AU"/>
        </w:rPr>
        <w:t>ntsuperannuation@nt.gov.au</w:t>
      </w:r>
    </w:hyperlink>
    <w:r w:rsidRPr="005E64BA">
      <w:rPr>
        <w:rFonts w:ascii="Arial" w:eastAsia="Times New Roman" w:hAnsi="Arial" w:cs="Arial"/>
        <w:sz w:val="18"/>
        <w:szCs w:val="18"/>
        <w:lang w:eastAsia="en-AU"/>
      </w:rPr>
      <w:t xml:space="preserve"> </w:t>
    </w:r>
    <w:r w:rsidRPr="005E64BA">
      <w:rPr>
        <w:rFonts w:ascii="Arial" w:eastAsia="Times New Roman" w:hAnsi="Arial" w:cs="Arial"/>
        <w:spacing w:val="-6"/>
        <w:sz w:val="18"/>
        <w:szCs w:val="18"/>
        <w:lang w:eastAsia="en-AU"/>
      </w:rPr>
      <w:t xml:space="preserve"> •  W</w:t>
    </w:r>
    <w:r w:rsidRPr="005E64BA">
      <w:rPr>
        <w:rFonts w:ascii="Arial" w:eastAsia="Times New Roman" w:hAnsi="Arial" w:cs="Arial"/>
        <w:sz w:val="18"/>
        <w:szCs w:val="18"/>
        <w:lang w:eastAsia="en-AU"/>
      </w:rPr>
      <w:t xml:space="preserve">ebsite: </w:t>
    </w:r>
    <w:hyperlink r:id="rId2" w:tooltip="Link to NT Superannuation Office email" w:history="1">
      <w:r w:rsidRPr="005E64BA">
        <w:rPr>
          <w:rFonts w:ascii="Arial" w:eastAsia="Times New Roman" w:hAnsi="Arial" w:cs="Arial"/>
          <w:color w:val="0000FF"/>
          <w:sz w:val="18"/>
          <w:szCs w:val="18"/>
          <w:u w:val="single"/>
          <w:lang w:eastAsia="en-AU"/>
        </w:rPr>
        <w:t>www.super.nt.gov.au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AC" w:rsidRPr="00B63CAC" w:rsidRDefault="00B63CAC" w:rsidP="00B6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0E" w:rsidRDefault="00D87F0E" w:rsidP="000E6CBE">
      <w:pPr>
        <w:spacing w:after="0" w:line="240" w:lineRule="auto"/>
      </w:pPr>
      <w:r>
        <w:separator/>
      </w:r>
    </w:p>
  </w:footnote>
  <w:footnote w:type="continuationSeparator" w:id="0">
    <w:p w:rsidR="00D87F0E" w:rsidRDefault="00D87F0E" w:rsidP="000E6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EA" w:rsidRDefault="00F561CE" w:rsidP="005E64BA">
    <w:pPr>
      <w:pStyle w:val="Header"/>
      <w:tabs>
        <w:tab w:val="clear" w:pos="4513"/>
        <w:tab w:val="clear" w:pos="9026"/>
        <w:tab w:val="left" w:pos="3870"/>
      </w:tabs>
      <w:jc w:val="right"/>
    </w:pPr>
    <w:r>
      <w:rPr>
        <w:noProof/>
        <w:lang w:eastAsia="en-AU"/>
      </w:rPr>
      <w:drawing>
        <wp:anchor distT="0" distB="0" distL="114300" distR="114300" simplePos="0" relativeHeight="251659264" behindDoc="1" locked="1" layoutInCell="0" allowOverlap="1" wp14:anchorId="4D1D85B4" wp14:editId="009F18FF">
          <wp:simplePos x="0" y="0"/>
          <wp:positionH relativeFrom="margin">
            <wp:align>center</wp:align>
          </wp:positionH>
          <wp:positionV relativeFrom="page">
            <wp:posOffset>180340</wp:posOffset>
          </wp:positionV>
          <wp:extent cx="7221220" cy="895985"/>
          <wp:effectExtent l="0" t="0" r="0" b="0"/>
          <wp:wrapNone/>
          <wp:docPr id="4" name="Picture 4" descr="New NTTF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NTTF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220" cy="8959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26FEA" w:rsidRDefault="008575F6" w:rsidP="005E64BA">
    <w:pPr>
      <w:pStyle w:val="Header"/>
      <w:tabs>
        <w:tab w:val="clear" w:pos="4513"/>
        <w:tab w:val="clear" w:pos="9026"/>
        <w:tab w:val="left" w:pos="3870"/>
      </w:tabs>
      <w:jc w:val="right"/>
    </w:pPr>
  </w:p>
  <w:p w:rsidR="00E26FEA" w:rsidRDefault="008575F6" w:rsidP="005E64BA">
    <w:pPr>
      <w:pStyle w:val="Header"/>
      <w:tabs>
        <w:tab w:val="clear" w:pos="4513"/>
        <w:tab w:val="clear" w:pos="9026"/>
        <w:tab w:val="left" w:pos="3870"/>
      </w:tabs>
      <w:jc w:val="right"/>
    </w:pPr>
  </w:p>
  <w:p w:rsidR="00E26FEA" w:rsidRDefault="008575F6" w:rsidP="005E64BA">
    <w:pPr>
      <w:pStyle w:val="Header"/>
      <w:tabs>
        <w:tab w:val="clear" w:pos="4513"/>
        <w:tab w:val="clear" w:pos="9026"/>
        <w:tab w:val="left" w:pos="3870"/>
      </w:tabs>
      <w:jc w:val="right"/>
    </w:pPr>
  </w:p>
  <w:p w:rsidR="005E64BA" w:rsidRPr="00616C30" w:rsidRDefault="000E6CBE" w:rsidP="005E64BA">
    <w:pPr>
      <w:pStyle w:val="Header"/>
      <w:tabs>
        <w:tab w:val="clear" w:pos="4513"/>
        <w:tab w:val="clear" w:pos="9026"/>
        <w:tab w:val="left" w:pos="3870"/>
      </w:tabs>
      <w:jc w:val="right"/>
      <w:rPr>
        <w:rFonts w:ascii="Arial" w:hAnsi="Arial" w:cs="Arial"/>
        <w:sz w:val="18"/>
        <w:szCs w:val="18"/>
      </w:rPr>
    </w:pPr>
    <w:r w:rsidRPr="00616C30">
      <w:rPr>
        <w:rFonts w:ascii="Arial" w:hAnsi="Arial" w:cs="Arial"/>
        <w:sz w:val="18"/>
        <w:szCs w:val="18"/>
      </w:rPr>
      <w:t>NTG-</w:t>
    </w:r>
    <w:r w:rsidR="007D1879">
      <w:rPr>
        <w:rFonts w:ascii="Arial" w:hAnsi="Arial" w:cs="Arial"/>
        <w:sz w:val="18"/>
        <w:szCs w:val="18"/>
      </w:rPr>
      <w:t>SFT-</w:t>
    </w:r>
    <w:r w:rsidR="00EA2B69">
      <w:rPr>
        <w:rFonts w:ascii="Arial" w:hAnsi="Arial" w:cs="Arial"/>
        <w:sz w:val="18"/>
        <w:szCs w:val="18"/>
      </w:rPr>
      <w:t>B0</w:t>
    </w:r>
    <w:r w:rsidR="008D4A4B">
      <w:rPr>
        <w:rFonts w:ascii="Arial" w:hAnsi="Arial" w:cs="Arial"/>
        <w:sz w:val="18"/>
        <w:szCs w:val="1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AC" w:rsidRPr="00B63CAC" w:rsidRDefault="00B63CAC" w:rsidP="00B63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475F"/>
    <w:multiLevelType w:val="multilevel"/>
    <w:tmpl w:val="82206396"/>
    <w:lvl w:ilvl="0">
      <w:start w:val="1"/>
      <w:numFmt w:val="decimal"/>
      <w:lvlText w:val="%1."/>
      <w:lvlJc w:val="left"/>
      <w:pPr>
        <w:tabs>
          <w:tab w:val="num" w:pos="1080"/>
        </w:tabs>
        <w:ind w:left="360" w:hanging="360"/>
      </w:pPr>
      <w:rPr>
        <w:rFonts w:ascii="Arial" w:hAnsi="Arial" w:cs="Arial" w:hint="default"/>
        <w:b/>
        <w:i w:val="0"/>
        <w:caps w:val="0"/>
        <w:strike w:val="0"/>
        <w:dstrike w:val="0"/>
        <w:vanish w:val="0"/>
        <w:color w:val="auto"/>
        <w:sz w:val="28"/>
        <w:szCs w:val="28"/>
        <w:vertAlign w:val="baseline"/>
      </w:rPr>
    </w:lvl>
    <w:lvl w:ilvl="1">
      <w:start w:val="1"/>
      <w:numFmt w:val="decimal"/>
      <w:lvlText w:val="%1.%2."/>
      <w:lvlJc w:val="left"/>
      <w:pPr>
        <w:tabs>
          <w:tab w:val="num" w:pos="1259"/>
        </w:tabs>
        <w:ind w:left="1332" w:hanging="975"/>
      </w:pPr>
      <w:rPr>
        <w:rFonts w:hint="default"/>
      </w:rPr>
    </w:lvl>
    <w:lvl w:ilvl="2">
      <w:start w:val="1"/>
      <w:numFmt w:val="decimal"/>
      <w:lvlText w:val="%1.%2.%3"/>
      <w:lvlJc w:val="left"/>
      <w:pPr>
        <w:tabs>
          <w:tab w:val="num" w:pos="1000"/>
        </w:tabs>
        <w:ind w:left="1073" w:hanging="73"/>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684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1">
    <w:nsid w:val="42917A6B"/>
    <w:multiLevelType w:val="hybridMultilevel"/>
    <w:tmpl w:val="7AFCB4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48FB0B71"/>
    <w:multiLevelType w:val="hybridMultilevel"/>
    <w:tmpl w:val="82208732"/>
    <w:lvl w:ilvl="0" w:tplc="1902B300">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RA4EpPaHY5ydL50pWPnA3sQUFho=" w:salt="ogdNO7scZG7bruAXUVC3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E"/>
    <w:rsid w:val="00006793"/>
    <w:rsid w:val="0001420E"/>
    <w:rsid w:val="000441B2"/>
    <w:rsid w:val="00045ACA"/>
    <w:rsid w:val="00052F8F"/>
    <w:rsid w:val="000E07CC"/>
    <w:rsid w:val="000E6CBE"/>
    <w:rsid w:val="00122C62"/>
    <w:rsid w:val="00146CC6"/>
    <w:rsid w:val="001C5C8B"/>
    <w:rsid w:val="001F4A5E"/>
    <w:rsid w:val="001F6F46"/>
    <w:rsid w:val="00201F16"/>
    <w:rsid w:val="002030C0"/>
    <w:rsid w:val="002360DA"/>
    <w:rsid w:val="00284B29"/>
    <w:rsid w:val="002A0C4D"/>
    <w:rsid w:val="002D024D"/>
    <w:rsid w:val="002E6F99"/>
    <w:rsid w:val="003617F5"/>
    <w:rsid w:val="00363508"/>
    <w:rsid w:val="003E76E8"/>
    <w:rsid w:val="003F0B10"/>
    <w:rsid w:val="0040313B"/>
    <w:rsid w:val="00431B22"/>
    <w:rsid w:val="00461565"/>
    <w:rsid w:val="004D6A10"/>
    <w:rsid w:val="00525942"/>
    <w:rsid w:val="00553A76"/>
    <w:rsid w:val="00561977"/>
    <w:rsid w:val="005B0E91"/>
    <w:rsid w:val="00616C30"/>
    <w:rsid w:val="00652DAD"/>
    <w:rsid w:val="00686857"/>
    <w:rsid w:val="006D1454"/>
    <w:rsid w:val="006E1E5B"/>
    <w:rsid w:val="00761D5F"/>
    <w:rsid w:val="007961B5"/>
    <w:rsid w:val="007B6BA7"/>
    <w:rsid w:val="007D1879"/>
    <w:rsid w:val="007E4DDA"/>
    <w:rsid w:val="00814178"/>
    <w:rsid w:val="00833A7C"/>
    <w:rsid w:val="00847637"/>
    <w:rsid w:val="0086674E"/>
    <w:rsid w:val="00885079"/>
    <w:rsid w:val="008A38DB"/>
    <w:rsid w:val="008D4A4B"/>
    <w:rsid w:val="0091202E"/>
    <w:rsid w:val="00912915"/>
    <w:rsid w:val="00930A3E"/>
    <w:rsid w:val="009415B4"/>
    <w:rsid w:val="009A69AC"/>
    <w:rsid w:val="009B31DB"/>
    <w:rsid w:val="009C5930"/>
    <w:rsid w:val="00A0432A"/>
    <w:rsid w:val="00A47788"/>
    <w:rsid w:val="00A817CE"/>
    <w:rsid w:val="00AA7578"/>
    <w:rsid w:val="00AB270D"/>
    <w:rsid w:val="00AB7F73"/>
    <w:rsid w:val="00B342A7"/>
    <w:rsid w:val="00B403F9"/>
    <w:rsid w:val="00B63CAC"/>
    <w:rsid w:val="00B70238"/>
    <w:rsid w:val="00BE2D80"/>
    <w:rsid w:val="00C13566"/>
    <w:rsid w:val="00C34D41"/>
    <w:rsid w:val="00C62FAE"/>
    <w:rsid w:val="00C67841"/>
    <w:rsid w:val="00C8172C"/>
    <w:rsid w:val="00D011F1"/>
    <w:rsid w:val="00D26FE3"/>
    <w:rsid w:val="00D32A8A"/>
    <w:rsid w:val="00D50644"/>
    <w:rsid w:val="00D569A8"/>
    <w:rsid w:val="00D61906"/>
    <w:rsid w:val="00D87F0E"/>
    <w:rsid w:val="00E620E3"/>
    <w:rsid w:val="00EA2B69"/>
    <w:rsid w:val="00EB4C8E"/>
    <w:rsid w:val="00EC0926"/>
    <w:rsid w:val="00EE6251"/>
    <w:rsid w:val="00EF115A"/>
    <w:rsid w:val="00EF3980"/>
    <w:rsid w:val="00F113D7"/>
    <w:rsid w:val="00F225CA"/>
    <w:rsid w:val="00F3453B"/>
    <w:rsid w:val="00F561CE"/>
    <w:rsid w:val="00FA1041"/>
    <w:rsid w:val="00FA5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79"/>
  </w:style>
  <w:style w:type="paragraph" w:styleId="Heading1">
    <w:name w:val="heading 1"/>
    <w:basedOn w:val="Normal"/>
    <w:next w:val="Normal"/>
    <w:link w:val="Heading1Char"/>
    <w:uiPriority w:val="9"/>
    <w:qFormat/>
    <w:rsid w:val="00885079"/>
    <w:pPr>
      <w:spacing w:before="120" w:after="120"/>
      <w:jc w:val="center"/>
      <w:outlineLvl w:val="0"/>
    </w:pPr>
    <w:rPr>
      <w:rFonts w:ascii="Arial" w:hAnsi="Arial" w:cs="Arial"/>
      <w:b/>
      <w:sz w:val="44"/>
      <w:szCs w:val="44"/>
    </w:rPr>
  </w:style>
  <w:style w:type="paragraph" w:styleId="Heading2">
    <w:name w:val="heading 2"/>
    <w:basedOn w:val="Normal"/>
    <w:next w:val="Normal"/>
    <w:link w:val="Heading2Char"/>
    <w:uiPriority w:val="9"/>
    <w:unhideWhenUsed/>
    <w:qFormat/>
    <w:rsid w:val="00686857"/>
    <w:pPr>
      <w:spacing w:before="120" w:after="60"/>
      <w:outlineLvl w:val="1"/>
    </w:pPr>
    <w:rPr>
      <w:rFonts w:ascii="Arial Bold" w:hAnsi="Arial Bold" w:cs="Arial"/>
      <w:b/>
      <w:spacing w:val="-2"/>
      <w:sz w:val="24"/>
      <w:szCs w:val="24"/>
    </w:rPr>
  </w:style>
  <w:style w:type="paragraph" w:styleId="Heading3">
    <w:name w:val="heading 3"/>
    <w:basedOn w:val="Heading2"/>
    <w:next w:val="Normal"/>
    <w:link w:val="Heading3Char"/>
    <w:unhideWhenUsed/>
    <w:qFormat/>
    <w:rsid w:val="00686857"/>
    <w:pPr>
      <w:outlineLvl w:val="2"/>
    </w:pPr>
    <w:rPr>
      <w:sz w:val="22"/>
      <w:szCs w:val="22"/>
    </w:rPr>
  </w:style>
  <w:style w:type="paragraph" w:styleId="Heading4">
    <w:name w:val="heading 4"/>
    <w:basedOn w:val="Normal"/>
    <w:next w:val="Normal"/>
    <w:link w:val="Heading4Char"/>
    <w:uiPriority w:val="9"/>
    <w:semiHidden/>
    <w:unhideWhenUsed/>
    <w:qFormat/>
    <w:rsid w:val="00EA2B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BE"/>
  </w:style>
  <w:style w:type="paragraph" w:styleId="Footer">
    <w:name w:val="footer"/>
    <w:basedOn w:val="Normal"/>
    <w:link w:val="FooterChar"/>
    <w:uiPriority w:val="99"/>
    <w:unhideWhenUsed/>
    <w:rsid w:val="000E6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BE"/>
  </w:style>
  <w:style w:type="paragraph" w:styleId="ListParagraph">
    <w:name w:val="List Paragraph"/>
    <w:basedOn w:val="Normal"/>
    <w:uiPriority w:val="34"/>
    <w:qFormat/>
    <w:rsid w:val="00686857"/>
    <w:pPr>
      <w:numPr>
        <w:numId w:val="1"/>
      </w:numPr>
      <w:spacing w:before="60" w:after="120"/>
      <w:ind w:left="284" w:hanging="284"/>
      <w:contextualSpacing/>
    </w:pPr>
    <w:rPr>
      <w:rFonts w:ascii="Arial" w:hAnsi="Arial" w:cs="Arial"/>
    </w:rPr>
  </w:style>
  <w:style w:type="character" w:styleId="Hyperlink">
    <w:name w:val="Hyperlink"/>
    <w:basedOn w:val="DefaultParagraphFont"/>
    <w:uiPriority w:val="99"/>
    <w:unhideWhenUsed/>
    <w:rsid w:val="000E6CBE"/>
    <w:rPr>
      <w:color w:val="0000FF" w:themeColor="hyperlink"/>
      <w:u w:val="single"/>
    </w:rPr>
  </w:style>
  <w:style w:type="paragraph" w:customStyle="1" w:styleId="NTSOBodyText">
    <w:name w:val="NTSO Body Text"/>
    <w:basedOn w:val="Normal"/>
    <w:rsid w:val="00686857"/>
    <w:pPr>
      <w:spacing w:before="60" w:after="120"/>
    </w:pPr>
    <w:rPr>
      <w:rFonts w:ascii="Arial" w:hAnsi="Arial" w:cs="Arial"/>
    </w:rPr>
  </w:style>
  <w:style w:type="character" w:styleId="CommentReference">
    <w:name w:val="annotation reference"/>
    <w:basedOn w:val="DefaultParagraphFont"/>
    <w:uiPriority w:val="99"/>
    <w:semiHidden/>
    <w:unhideWhenUsed/>
    <w:rsid w:val="009415B4"/>
    <w:rPr>
      <w:sz w:val="16"/>
      <w:szCs w:val="16"/>
    </w:rPr>
  </w:style>
  <w:style w:type="paragraph" w:styleId="CommentText">
    <w:name w:val="annotation text"/>
    <w:basedOn w:val="Normal"/>
    <w:link w:val="CommentTextChar"/>
    <w:uiPriority w:val="99"/>
    <w:semiHidden/>
    <w:unhideWhenUsed/>
    <w:rsid w:val="009415B4"/>
    <w:pPr>
      <w:spacing w:line="240" w:lineRule="auto"/>
    </w:pPr>
    <w:rPr>
      <w:sz w:val="20"/>
      <w:szCs w:val="20"/>
    </w:rPr>
  </w:style>
  <w:style w:type="character" w:customStyle="1" w:styleId="CommentTextChar">
    <w:name w:val="Comment Text Char"/>
    <w:basedOn w:val="DefaultParagraphFont"/>
    <w:link w:val="CommentText"/>
    <w:uiPriority w:val="99"/>
    <w:semiHidden/>
    <w:rsid w:val="009415B4"/>
    <w:rPr>
      <w:sz w:val="20"/>
      <w:szCs w:val="20"/>
    </w:rPr>
  </w:style>
  <w:style w:type="paragraph" w:styleId="CommentSubject">
    <w:name w:val="annotation subject"/>
    <w:basedOn w:val="CommentText"/>
    <w:next w:val="CommentText"/>
    <w:link w:val="CommentSubjectChar"/>
    <w:uiPriority w:val="99"/>
    <w:semiHidden/>
    <w:unhideWhenUsed/>
    <w:rsid w:val="009415B4"/>
    <w:rPr>
      <w:b/>
      <w:bCs/>
    </w:rPr>
  </w:style>
  <w:style w:type="character" w:customStyle="1" w:styleId="CommentSubjectChar">
    <w:name w:val="Comment Subject Char"/>
    <w:basedOn w:val="CommentTextChar"/>
    <w:link w:val="CommentSubject"/>
    <w:uiPriority w:val="99"/>
    <w:semiHidden/>
    <w:rsid w:val="009415B4"/>
    <w:rPr>
      <w:b/>
      <w:bCs/>
      <w:sz w:val="20"/>
      <w:szCs w:val="20"/>
    </w:rPr>
  </w:style>
  <w:style w:type="paragraph" w:styleId="BalloonText">
    <w:name w:val="Balloon Text"/>
    <w:basedOn w:val="Normal"/>
    <w:link w:val="BalloonTextChar"/>
    <w:uiPriority w:val="99"/>
    <w:semiHidden/>
    <w:unhideWhenUsed/>
    <w:rsid w:val="0094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5B4"/>
    <w:rPr>
      <w:rFonts w:ascii="Tahoma" w:hAnsi="Tahoma" w:cs="Tahoma"/>
      <w:sz w:val="16"/>
      <w:szCs w:val="16"/>
    </w:rPr>
  </w:style>
  <w:style w:type="character" w:customStyle="1" w:styleId="Heading1Char">
    <w:name w:val="Heading 1 Char"/>
    <w:basedOn w:val="DefaultParagraphFont"/>
    <w:link w:val="Heading1"/>
    <w:uiPriority w:val="9"/>
    <w:rsid w:val="00885079"/>
    <w:rPr>
      <w:rFonts w:ascii="Arial" w:hAnsi="Arial" w:cs="Arial"/>
      <w:b/>
      <w:sz w:val="44"/>
      <w:szCs w:val="44"/>
    </w:rPr>
  </w:style>
  <w:style w:type="character" w:customStyle="1" w:styleId="Heading2Char">
    <w:name w:val="Heading 2 Char"/>
    <w:basedOn w:val="DefaultParagraphFont"/>
    <w:link w:val="Heading2"/>
    <w:uiPriority w:val="9"/>
    <w:rsid w:val="00686857"/>
    <w:rPr>
      <w:rFonts w:ascii="Arial Bold" w:hAnsi="Arial Bold" w:cs="Arial"/>
      <w:b/>
      <w:spacing w:val="-2"/>
      <w:sz w:val="24"/>
      <w:szCs w:val="24"/>
    </w:rPr>
  </w:style>
  <w:style w:type="character" w:customStyle="1" w:styleId="Heading3Char">
    <w:name w:val="Heading 3 Char"/>
    <w:basedOn w:val="DefaultParagraphFont"/>
    <w:link w:val="Heading3"/>
    <w:uiPriority w:val="9"/>
    <w:rsid w:val="00686857"/>
    <w:rPr>
      <w:rFonts w:ascii="Arial Bold" w:hAnsi="Arial Bold" w:cs="Arial"/>
      <w:b/>
      <w:spacing w:val="-2"/>
    </w:rPr>
  </w:style>
  <w:style w:type="character" w:styleId="FollowedHyperlink">
    <w:name w:val="FollowedHyperlink"/>
    <w:basedOn w:val="DefaultParagraphFont"/>
    <w:uiPriority w:val="99"/>
    <w:semiHidden/>
    <w:unhideWhenUsed/>
    <w:rsid w:val="00553A76"/>
    <w:rPr>
      <w:color w:val="800080" w:themeColor="followedHyperlink"/>
      <w:u w:val="single"/>
    </w:rPr>
  </w:style>
  <w:style w:type="paragraph" w:customStyle="1" w:styleId="NTTBodyText">
    <w:name w:val="NTT Body Text"/>
    <w:link w:val="NTTBodyTextChar"/>
    <w:rsid w:val="007D1879"/>
    <w:pPr>
      <w:spacing w:after="0" w:line="300" w:lineRule="exact"/>
    </w:pPr>
    <w:rPr>
      <w:rFonts w:ascii="Arial" w:eastAsia="Times New Roman" w:hAnsi="Arial" w:cs="Times New Roman"/>
      <w:szCs w:val="24"/>
      <w:lang w:eastAsia="en-AU"/>
    </w:rPr>
  </w:style>
  <w:style w:type="character" w:customStyle="1" w:styleId="NTTBodyTextChar">
    <w:name w:val="NTT Body Text Char"/>
    <w:basedOn w:val="DefaultParagraphFont"/>
    <w:link w:val="NTTBodyText"/>
    <w:rsid w:val="007D1879"/>
    <w:rPr>
      <w:rFonts w:ascii="Arial" w:eastAsia="Times New Roman" w:hAnsi="Arial" w:cs="Times New Roman"/>
      <w:szCs w:val="24"/>
      <w:lang w:eastAsia="en-AU"/>
    </w:rPr>
  </w:style>
  <w:style w:type="paragraph" w:customStyle="1" w:styleId="StyleHeading4Hanging159cm">
    <w:name w:val="Style Heading 4 + Hanging:  1.59 cm"/>
    <w:basedOn w:val="Heading4"/>
    <w:next w:val="Heading4"/>
    <w:autoRedefine/>
    <w:qFormat/>
    <w:rsid w:val="00EA2B69"/>
    <w:pPr>
      <w:keepNext w:val="0"/>
      <w:keepLines w:val="0"/>
      <w:spacing w:before="240" w:after="480" w:line="240" w:lineRule="auto"/>
      <w:ind w:left="1800" w:hanging="360"/>
    </w:pPr>
    <w:rPr>
      <w:rFonts w:ascii="Arial" w:eastAsia="Times New Roman" w:hAnsi="Arial" w:cs="Times New Roman"/>
      <w:i w:val="0"/>
      <w:iCs w:val="0"/>
      <w:color w:val="auto"/>
      <w:sz w:val="20"/>
      <w:szCs w:val="20"/>
      <w:lang w:eastAsia="en-AU"/>
    </w:rPr>
  </w:style>
  <w:style w:type="paragraph" w:customStyle="1" w:styleId="AMLHeader">
    <w:name w:val="AML  Header #."/>
    <w:basedOn w:val="Heading2"/>
    <w:rsid w:val="00EA2B69"/>
    <w:pPr>
      <w:keepNext/>
      <w:pageBreakBefore/>
      <w:tabs>
        <w:tab w:val="left" w:pos="1259"/>
      </w:tabs>
      <w:spacing w:before="240" w:line="240" w:lineRule="auto"/>
      <w:ind w:left="1264" w:hanging="1049"/>
    </w:pPr>
    <w:rPr>
      <w:rFonts w:ascii="Arial" w:eastAsia="Times New Roman" w:hAnsi="Arial"/>
      <w:bCs/>
      <w:iCs/>
      <w:spacing w:val="0"/>
      <w:sz w:val="28"/>
      <w:szCs w:val="28"/>
      <w:lang w:eastAsia="en-AU"/>
    </w:rPr>
  </w:style>
  <w:style w:type="paragraph" w:customStyle="1" w:styleId="AMLHeader0">
    <w:name w:val="AML  Header #.#.#"/>
    <w:basedOn w:val="StyleHeading4Hanging159cm"/>
    <w:rsid w:val="00EA2B69"/>
    <w:pPr>
      <w:numPr>
        <w:ilvl w:val="2"/>
      </w:numPr>
      <w:spacing w:after="120"/>
      <w:ind w:left="1800" w:hanging="360"/>
    </w:pPr>
  </w:style>
  <w:style w:type="table" w:styleId="TableGrid">
    <w:name w:val="Table Grid"/>
    <w:basedOn w:val="TableNormal"/>
    <w:rsid w:val="00EA2B69"/>
    <w:pPr>
      <w:spacing w:after="0" w:line="240" w:lineRule="auto"/>
    </w:pPr>
    <w:rPr>
      <w:rFonts w:ascii="Times New Roman" w:eastAsia="Times New Roman" w:hAnsi="Times New Roman"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A2B6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79"/>
  </w:style>
  <w:style w:type="paragraph" w:styleId="Heading1">
    <w:name w:val="heading 1"/>
    <w:basedOn w:val="Normal"/>
    <w:next w:val="Normal"/>
    <w:link w:val="Heading1Char"/>
    <w:uiPriority w:val="9"/>
    <w:qFormat/>
    <w:rsid w:val="00885079"/>
    <w:pPr>
      <w:spacing w:before="120" w:after="120"/>
      <w:jc w:val="center"/>
      <w:outlineLvl w:val="0"/>
    </w:pPr>
    <w:rPr>
      <w:rFonts w:ascii="Arial" w:hAnsi="Arial" w:cs="Arial"/>
      <w:b/>
      <w:sz w:val="44"/>
      <w:szCs w:val="44"/>
    </w:rPr>
  </w:style>
  <w:style w:type="paragraph" w:styleId="Heading2">
    <w:name w:val="heading 2"/>
    <w:basedOn w:val="Normal"/>
    <w:next w:val="Normal"/>
    <w:link w:val="Heading2Char"/>
    <w:uiPriority w:val="9"/>
    <w:unhideWhenUsed/>
    <w:qFormat/>
    <w:rsid w:val="00686857"/>
    <w:pPr>
      <w:spacing w:before="120" w:after="60"/>
      <w:outlineLvl w:val="1"/>
    </w:pPr>
    <w:rPr>
      <w:rFonts w:ascii="Arial Bold" w:hAnsi="Arial Bold" w:cs="Arial"/>
      <w:b/>
      <w:spacing w:val="-2"/>
      <w:sz w:val="24"/>
      <w:szCs w:val="24"/>
    </w:rPr>
  </w:style>
  <w:style w:type="paragraph" w:styleId="Heading3">
    <w:name w:val="heading 3"/>
    <w:basedOn w:val="Heading2"/>
    <w:next w:val="Normal"/>
    <w:link w:val="Heading3Char"/>
    <w:unhideWhenUsed/>
    <w:qFormat/>
    <w:rsid w:val="00686857"/>
    <w:pPr>
      <w:outlineLvl w:val="2"/>
    </w:pPr>
    <w:rPr>
      <w:sz w:val="22"/>
      <w:szCs w:val="22"/>
    </w:rPr>
  </w:style>
  <w:style w:type="paragraph" w:styleId="Heading4">
    <w:name w:val="heading 4"/>
    <w:basedOn w:val="Normal"/>
    <w:next w:val="Normal"/>
    <w:link w:val="Heading4Char"/>
    <w:uiPriority w:val="9"/>
    <w:semiHidden/>
    <w:unhideWhenUsed/>
    <w:qFormat/>
    <w:rsid w:val="00EA2B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BE"/>
  </w:style>
  <w:style w:type="paragraph" w:styleId="Footer">
    <w:name w:val="footer"/>
    <w:basedOn w:val="Normal"/>
    <w:link w:val="FooterChar"/>
    <w:uiPriority w:val="99"/>
    <w:unhideWhenUsed/>
    <w:rsid w:val="000E6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BE"/>
  </w:style>
  <w:style w:type="paragraph" w:styleId="ListParagraph">
    <w:name w:val="List Paragraph"/>
    <w:basedOn w:val="Normal"/>
    <w:uiPriority w:val="34"/>
    <w:qFormat/>
    <w:rsid w:val="00686857"/>
    <w:pPr>
      <w:numPr>
        <w:numId w:val="1"/>
      </w:numPr>
      <w:spacing w:before="60" w:after="120"/>
      <w:ind w:left="284" w:hanging="284"/>
      <w:contextualSpacing/>
    </w:pPr>
    <w:rPr>
      <w:rFonts w:ascii="Arial" w:hAnsi="Arial" w:cs="Arial"/>
    </w:rPr>
  </w:style>
  <w:style w:type="character" w:styleId="Hyperlink">
    <w:name w:val="Hyperlink"/>
    <w:basedOn w:val="DefaultParagraphFont"/>
    <w:uiPriority w:val="99"/>
    <w:unhideWhenUsed/>
    <w:rsid w:val="000E6CBE"/>
    <w:rPr>
      <w:color w:val="0000FF" w:themeColor="hyperlink"/>
      <w:u w:val="single"/>
    </w:rPr>
  </w:style>
  <w:style w:type="paragraph" w:customStyle="1" w:styleId="NTSOBodyText">
    <w:name w:val="NTSO Body Text"/>
    <w:basedOn w:val="Normal"/>
    <w:rsid w:val="00686857"/>
    <w:pPr>
      <w:spacing w:before="60" w:after="120"/>
    </w:pPr>
    <w:rPr>
      <w:rFonts w:ascii="Arial" w:hAnsi="Arial" w:cs="Arial"/>
    </w:rPr>
  </w:style>
  <w:style w:type="character" w:styleId="CommentReference">
    <w:name w:val="annotation reference"/>
    <w:basedOn w:val="DefaultParagraphFont"/>
    <w:uiPriority w:val="99"/>
    <w:semiHidden/>
    <w:unhideWhenUsed/>
    <w:rsid w:val="009415B4"/>
    <w:rPr>
      <w:sz w:val="16"/>
      <w:szCs w:val="16"/>
    </w:rPr>
  </w:style>
  <w:style w:type="paragraph" w:styleId="CommentText">
    <w:name w:val="annotation text"/>
    <w:basedOn w:val="Normal"/>
    <w:link w:val="CommentTextChar"/>
    <w:uiPriority w:val="99"/>
    <w:semiHidden/>
    <w:unhideWhenUsed/>
    <w:rsid w:val="009415B4"/>
    <w:pPr>
      <w:spacing w:line="240" w:lineRule="auto"/>
    </w:pPr>
    <w:rPr>
      <w:sz w:val="20"/>
      <w:szCs w:val="20"/>
    </w:rPr>
  </w:style>
  <w:style w:type="character" w:customStyle="1" w:styleId="CommentTextChar">
    <w:name w:val="Comment Text Char"/>
    <w:basedOn w:val="DefaultParagraphFont"/>
    <w:link w:val="CommentText"/>
    <w:uiPriority w:val="99"/>
    <w:semiHidden/>
    <w:rsid w:val="009415B4"/>
    <w:rPr>
      <w:sz w:val="20"/>
      <w:szCs w:val="20"/>
    </w:rPr>
  </w:style>
  <w:style w:type="paragraph" w:styleId="CommentSubject">
    <w:name w:val="annotation subject"/>
    <w:basedOn w:val="CommentText"/>
    <w:next w:val="CommentText"/>
    <w:link w:val="CommentSubjectChar"/>
    <w:uiPriority w:val="99"/>
    <w:semiHidden/>
    <w:unhideWhenUsed/>
    <w:rsid w:val="009415B4"/>
    <w:rPr>
      <w:b/>
      <w:bCs/>
    </w:rPr>
  </w:style>
  <w:style w:type="character" w:customStyle="1" w:styleId="CommentSubjectChar">
    <w:name w:val="Comment Subject Char"/>
    <w:basedOn w:val="CommentTextChar"/>
    <w:link w:val="CommentSubject"/>
    <w:uiPriority w:val="99"/>
    <w:semiHidden/>
    <w:rsid w:val="009415B4"/>
    <w:rPr>
      <w:b/>
      <w:bCs/>
      <w:sz w:val="20"/>
      <w:szCs w:val="20"/>
    </w:rPr>
  </w:style>
  <w:style w:type="paragraph" w:styleId="BalloonText">
    <w:name w:val="Balloon Text"/>
    <w:basedOn w:val="Normal"/>
    <w:link w:val="BalloonTextChar"/>
    <w:uiPriority w:val="99"/>
    <w:semiHidden/>
    <w:unhideWhenUsed/>
    <w:rsid w:val="0094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5B4"/>
    <w:rPr>
      <w:rFonts w:ascii="Tahoma" w:hAnsi="Tahoma" w:cs="Tahoma"/>
      <w:sz w:val="16"/>
      <w:szCs w:val="16"/>
    </w:rPr>
  </w:style>
  <w:style w:type="character" w:customStyle="1" w:styleId="Heading1Char">
    <w:name w:val="Heading 1 Char"/>
    <w:basedOn w:val="DefaultParagraphFont"/>
    <w:link w:val="Heading1"/>
    <w:uiPriority w:val="9"/>
    <w:rsid w:val="00885079"/>
    <w:rPr>
      <w:rFonts w:ascii="Arial" w:hAnsi="Arial" w:cs="Arial"/>
      <w:b/>
      <w:sz w:val="44"/>
      <w:szCs w:val="44"/>
    </w:rPr>
  </w:style>
  <w:style w:type="character" w:customStyle="1" w:styleId="Heading2Char">
    <w:name w:val="Heading 2 Char"/>
    <w:basedOn w:val="DefaultParagraphFont"/>
    <w:link w:val="Heading2"/>
    <w:uiPriority w:val="9"/>
    <w:rsid w:val="00686857"/>
    <w:rPr>
      <w:rFonts w:ascii="Arial Bold" w:hAnsi="Arial Bold" w:cs="Arial"/>
      <w:b/>
      <w:spacing w:val="-2"/>
      <w:sz w:val="24"/>
      <w:szCs w:val="24"/>
    </w:rPr>
  </w:style>
  <w:style w:type="character" w:customStyle="1" w:styleId="Heading3Char">
    <w:name w:val="Heading 3 Char"/>
    <w:basedOn w:val="DefaultParagraphFont"/>
    <w:link w:val="Heading3"/>
    <w:uiPriority w:val="9"/>
    <w:rsid w:val="00686857"/>
    <w:rPr>
      <w:rFonts w:ascii="Arial Bold" w:hAnsi="Arial Bold" w:cs="Arial"/>
      <w:b/>
      <w:spacing w:val="-2"/>
    </w:rPr>
  </w:style>
  <w:style w:type="character" w:styleId="FollowedHyperlink">
    <w:name w:val="FollowedHyperlink"/>
    <w:basedOn w:val="DefaultParagraphFont"/>
    <w:uiPriority w:val="99"/>
    <w:semiHidden/>
    <w:unhideWhenUsed/>
    <w:rsid w:val="00553A76"/>
    <w:rPr>
      <w:color w:val="800080" w:themeColor="followedHyperlink"/>
      <w:u w:val="single"/>
    </w:rPr>
  </w:style>
  <w:style w:type="paragraph" w:customStyle="1" w:styleId="NTTBodyText">
    <w:name w:val="NTT Body Text"/>
    <w:link w:val="NTTBodyTextChar"/>
    <w:rsid w:val="007D1879"/>
    <w:pPr>
      <w:spacing w:after="0" w:line="300" w:lineRule="exact"/>
    </w:pPr>
    <w:rPr>
      <w:rFonts w:ascii="Arial" w:eastAsia="Times New Roman" w:hAnsi="Arial" w:cs="Times New Roman"/>
      <w:szCs w:val="24"/>
      <w:lang w:eastAsia="en-AU"/>
    </w:rPr>
  </w:style>
  <w:style w:type="character" w:customStyle="1" w:styleId="NTTBodyTextChar">
    <w:name w:val="NTT Body Text Char"/>
    <w:basedOn w:val="DefaultParagraphFont"/>
    <w:link w:val="NTTBodyText"/>
    <w:rsid w:val="007D1879"/>
    <w:rPr>
      <w:rFonts w:ascii="Arial" w:eastAsia="Times New Roman" w:hAnsi="Arial" w:cs="Times New Roman"/>
      <w:szCs w:val="24"/>
      <w:lang w:eastAsia="en-AU"/>
    </w:rPr>
  </w:style>
  <w:style w:type="paragraph" w:customStyle="1" w:styleId="StyleHeading4Hanging159cm">
    <w:name w:val="Style Heading 4 + Hanging:  1.59 cm"/>
    <w:basedOn w:val="Heading4"/>
    <w:next w:val="Heading4"/>
    <w:autoRedefine/>
    <w:qFormat/>
    <w:rsid w:val="00EA2B69"/>
    <w:pPr>
      <w:keepNext w:val="0"/>
      <w:keepLines w:val="0"/>
      <w:spacing w:before="240" w:after="480" w:line="240" w:lineRule="auto"/>
      <w:ind w:left="1800" w:hanging="360"/>
    </w:pPr>
    <w:rPr>
      <w:rFonts w:ascii="Arial" w:eastAsia="Times New Roman" w:hAnsi="Arial" w:cs="Times New Roman"/>
      <w:i w:val="0"/>
      <w:iCs w:val="0"/>
      <w:color w:val="auto"/>
      <w:sz w:val="20"/>
      <w:szCs w:val="20"/>
      <w:lang w:eastAsia="en-AU"/>
    </w:rPr>
  </w:style>
  <w:style w:type="paragraph" w:customStyle="1" w:styleId="AMLHeader">
    <w:name w:val="AML  Header #."/>
    <w:basedOn w:val="Heading2"/>
    <w:rsid w:val="00EA2B69"/>
    <w:pPr>
      <w:keepNext/>
      <w:pageBreakBefore/>
      <w:tabs>
        <w:tab w:val="left" w:pos="1259"/>
      </w:tabs>
      <w:spacing w:before="240" w:line="240" w:lineRule="auto"/>
      <w:ind w:left="1264" w:hanging="1049"/>
    </w:pPr>
    <w:rPr>
      <w:rFonts w:ascii="Arial" w:eastAsia="Times New Roman" w:hAnsi="Arial"/>
      <w:bCs/>
      <w:iCs/>
      <w:spacing w:val="0"/>
      <w:sz w:val="28"/>
      <w:szCs w:val="28"/>
      <w:lang w:eastAsia="en-AU"/>
    </w:rPr>
  </w:style>
  <w:style w:type="paragraph" w:customStyle="1" w:styleId="AMLHeader0">
    <w:name w:val="AML  Header #.#.#"/>
    <w:basedOn w:val="StyleHeading4Hanging159cm"/>
    <w:rsid w:val="00EA2B69"/>
    <w:pPr>
      <w:numPr>
        <w:ilvl w:val="2"/>
      </w:numPr>
      <w:spacing w:after="120"/>
      <w:ind w:left="1800" w:hanging="360"/>
    </w:pPr>
  </w:style>
  <w:style w:type="table" w:styleId="TableGrid">
    <w:name w:val="Table Grid"/>
    <w:basedOn w:val="TableNormal"/>
    <w:rsid w:val="00EA2B69"/>
    <w:pPr>
      <w:spacing w:after="0" w:line="240" w:lineRule="auto"/>
    </w:pPr>
    <w:rPr>
      <w:rFonts w:ascii="Times New Roman" w:eastAsia="Times New Roman" w:hAnsi="Times New Roman"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A2B6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super.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uper.nt.gov.au/" TargetMode="External"/><Relationship Id="rId1" Type="http://schemas.openxmlformats.org/officeDocument/2006/relationships/hyperlink" Target="mailto:ntsuperannuation@n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2016-02-28T14:30:00+00:00</Release_x0020_Date>
    <Publication_x0020_Title xmlns="378e824e-6e02-4c0d-8321-dd86fba681ee">Rates of return applied to balances transferred to Sunsuper</Publication_x0020_Title>
    <Sub_x0020_Sub_x0020_Category xmlns="378e824e-6e02-4c0d-8321-dd86fba681ee">61</Sub_x0020_Sub_x0020_Category>
    <Details xmlns="378e824e-6e02-4c0d-8321-dd86fba681ee" xsi:nil="true"/>
    <Main_x0020_Category xmlns="378e824e-6e02-4c0d-8321-dd86fba681ee">5</Main_x0020_Category>
    <Tax_x0020_Type_x0020_Topic xmlns="378e824e-6e02-4c0d-8321-dd86fba681ee" xsi:nil="true"/>
    <Sub_x0020_Category xmlns="378e824e-6e02-4c0d-8321-dd86fba681ee">18</Sub_x0020_Category>
    <Identifier xmlns="378e824e-6e02-4c0d-8321-dd86fba681ee">I-SFT-B04</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9525D213-4EC9-4105-80F8-2E30B3135EF9}"/>
</file>

<file path=customXml/itemProps2.xml><?xml version="1.0" encoding="utf-8"?>
<ds:datastoreItem xmlns:ds="http://schemas.openxmlformats.org/officeDocument/2006/customXml" ds:itemID="{F29AAEE5-2CC8-4C20-9A50-2CB4ADC8E39E}"/>
</file>

<file path=customXml/itemProps3.xml><?xml version="1.0" encoding="utf-8"?>
<ds:datastoreItem xmlns:ds="http://schemas.openxmlformats.org/officeDocument/2006/customXml" ds:itemID="{BD3F0C87-3C02-4265-A6FE-71052934E7EF}"/>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2852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of return applied to balances transferred to Sunsuper</dc:title>
  <dc:creator>dw1</dc:creator>
  <cp:lastModifiedBy>Barbara Beamsley</cp:lastModifiedBy>
  <cp:revision>4</cp:revision>
  <dcterms:created xsi:type="dcterms:W3CDTF">2016-02-29T05:46:00Z</dcterms:created>
  <dcterms:modified xsi:type="dcterms:W3CDTF">2016-02-29T05:48:00Z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