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68DAB" w14:textId="77777777" w:rsidR="000D1F29" w:rsidRPr="000F1FFD" w:rsidRDefault="00364DC9" w:rsidP="000F1FFD">
      <w:pPr>
        <w:pStyle w:val="DTFHeading1"/>
      </w:pPr>
      <w:r w:rsidRPr="000F1FFD">
        <w:t xml:space="preserve">Clarification on </w:t>
      </w:r>
      <w:r w:rsidR="005E31B7" w:rsidRPr="000F1FFD">
        <w:t>Allowable Time Limits</w:t>
      </w:r>
    </w:p>
    <w:p w14:paraId="5A25A326" w14:textId="77777777" w:rsidR="00AC6BC3" w:rsidRPr="00AC6BC3" w:rsidRDefault="00AC6BC3" w:rsidP="00AC6BC3">
      <w:pPr>
        <w:pStyle w:val="DTFHeading2"/>
      </w:pPr>
      <w:r>
        <w:t>For Northern Territory Government Agencies</w:t>
      </w:r>
    </w:p>
    <w:p w14:paraId="70F0D453" w14:textId="19A2669F" w:rsidR="000A2F46" w:rsidRPr="000A2F46" w:rsidRDefault="000A2F46" w:rsidP="000F1FFD">
      <w:pPr>
        <w:pStyle w:val="DTFBodyText"/>
      </w:pPr>
      <w:r w:rsidRPr="000A2F46">
        <w:t>Emergency Management Au</w:t>
      </w:r>
      <w:r w:rsidR="00DA1820">
        <w:t xml:space="preserve">stralia (EMA) </w:t>
      </w:r>
      <w:r w:rsidR="00AC6BC3">
        <w:t xml:space="preserve">has provided clarification </w:t>
      </w:r>
      <w:r w:rsidR="00DA1820">
        <w:t>on the timeline for</w:t>
      </w:r>
      <w:r w:rsidRPr="000A2F46">
        <w:t xml:space="preserve"> expenditure eligible for partial reimbursement under the Natural Disaster Relief and Recovery Arrangements (NDRRA).</w:t>
      </w:r>
      <w:r w:rsidR="00E26F8A">
        <w:t xml:space="preserve"> </w:t>
      </w:r>
    </w:p>
    <w:p w14:paraId="620E6717" w14:textId="0647995D" w:rsidR="000A2F46" w:rsidRDefault="000A2F46" w:rsidP="000F1FFD">
      <w:pPr>
        <w:pStyle w:val="DTFBodyText"/>
      </w:pPr>
      <w:r w:rsidRPr="000A2F46">
        <w:t xml:space="preserve">For expenditure relating to a declared natural disaster to </w:t>
      </w:r>
      <w:r w:rsidR="00672FA9">
        <w:t xml:space="preserve">be eligible under NDRRA, all eligible </w:t>
      </w:r>
      <w:r w:rsidR="00B04D79">
        <w:t>expenditure</w:t>
      </w:r>
      <w:r w:rsidRPr="000A2F46">
        <w:t xml:space="preserve"> </w:t>
      </w:r>
      <w:r w:rsidR="001F171D">
        <w:t xml:space="preserve">it </w:t>
      </w:r>
      <w:r w:rsidRPr="000A2F46">
        <w:t>must be incurred within the Allowable Time Limit (ATL). The ATL is 24</w:t>
      </w:r>
      <w:r>
        <w:t> </w:t>
      </w:r>
      <w:r w:rsidRPr="000A2F46">
        <w:t>months after the end of the financial year in which the relevant disaster event occurred.</w:t>
      </w:r>
      <w:r w:rsidR="00E26F8A">
        <w:t xml:space="preserve"> </w:t>
      </w:r>
    </w:p>
    <w:p w14:paraId="5D95CFC5" w14:textId="70D4588C" w:rsidR="007F664A" w:rsidRDefault="007F664A" w:rsidP="000F1FFD">
      <w:pPr>
        <w:pStyle w:val="DTFBodyText"/>
      </w:pPr>
      <w:r w:rsidRPr="000A2F46">
        <w:t>For example,</w:t>
      </w:r>
      <w:r w:rsidR="001F171D">
        <w:t xml:space="preserve"> </w:t>
      </w:r>
      <w:r w:rsidR="001F171D" w:rsidRPr="000A2F46">
        <w:t xml:space="preserve">the ATL for all </w:t>
      </w:r>
      <w:r w:rsidR="001F171D">
        <w:t>eligible expenditure related to</w:t>
      </w:r>
      <w:r w:rsidRPr="000A2F46">
        <w:t xml:space="preserve"> the Top End Monsoonal Trough </w:t>
      </w:r>
      <w:r w:rsidR="001F171D">
        <w:t xml:space="preserve">that </w:t>
      </w:r>
      <w:r w:rsidR="00CD76F5">
        <w:t xml:space="preserve">occurred </w:t>
      </w:r>
      <w:r w:rsidRPr="000A2F46">
        <w:t>in January and February 2</w:t>
      </w:r>
      <w:r w:rsidR="00CD76F5">
        <w:t>014,</w:t>
      </w:r>
      <w:r>
        <w:t xml:space="preserve"> </w:t>
      </w:r>
      <w:r w:rsidR="00CD76F5">
        <w:t>during</w:t>
      </w:r>
      <w:r>
        <w:t xml:space="preserve"> the 2013-</w:t>
      </w:r>
      <w:r w:rsidRPr="000A2F46">
        <w:t xml:space="preserve">14 financial year, </w:t>
      </w:r>
      <w:r>
        <w:t xml:space="preserve">was </w:t>
      </w:r>
      <w:r w:rsidRPr="000A2F46">
        <w:t>30 June 2016</w:t>
      </w:r>
      <w:r w:rsidR="007448EB">
        <w:t>. T</w:t>
      </w:r>
      <w:r w:rsidR="00CD76F5">
        <w:t>his</w:t>
      </w:r>
      <w:r w:rsidRPr="000A2F46">
        <w:t xml:space="preserve"> </w:t>
      </w:r>
      <w:r w:rsidR="007448EB">
        <w:t xml:space="preserve">ATL </w:t>
      </w:r>
      <w:r w:rsidR="00364DC9">
        <w:t>wa</w:t>
      </w:r>
      <w:r w:rsidRPr="000A2F46">
        <w:t xml:space="preserve">s 24 months </w:t>
      </w:r>
      <w:r w:rsidR="00AC6BC3">
        <w:t>after the end of</w:t>
      </w:r>
      <w:r w:rsidR="00CD76F5">
        <w:t xml:space="preserve"> the 2013-</w:t>
      </w:r>
      <w:r w:rsidRPr="000A2F46">
        <w:t>14 financial year in which the event occurred.</w:t>
      </w:r>
      <w:r>
        <w:t xml:space="preserve"> </w:t>
      </w:r>
      <w:r w:rsidR="000B73A2">
        <w:t>Therefore, e</w:t>
      </w:r>
      <w:r w:rsidRPr="000A2F46">
        <w:t xml:space="preserve">xpenditure incurred after the </w:t>
      </w:r>
      <w:r>
        <w:t xml:space="preserve">ATL of </w:t>
      </w:r>
      <w:r w:rsidRPr="000A2F46">
        <w:t xml:space="preserve">30 June 2016 </w:t>
      </w:r>
      <w:r>
        <w:t xml:space="preserve">is </w:t>
      </w:r>
      <w:r w:rsidRPr="000A2F46">
        <w:t xml:space="preserve">ineligible </w:t>
      </w:r>
      <w:r>
        <w:t>to be claimed.</w:t>
      </w:r>
    </w:p>
    <w:p w14:paraId="5750A06A" w14:textId="710240A3" w:rsidR="00CD76F5" w:rsidRDefault="004A35C1" w:rsidP="000F1FFD">
      <w:pPr>
        <w:pStyle w:val="DTFBodyText"/>
      </w:pPr>
      <w:r>
        <w:t>R</w:t>
      </w:r>
      <w:r w:rsidR="000A2F46" w:rsidRPr="000A2F46">
        <w:t>equests to extend the ATL beyond 30 June in the year wher</w:t>
      </w:r>
      <w:r w:rsidR="00364DC9">
        <w:t xml:space="preserve">e the ATL expires </w:t>
      </w:r>
      <w:r w:rsidR="000B73A2">
        <w:t>are</w:t>
      </w:r>
      <w:r w:rsidR="00436C52">
        <w:t xml:space="preserve"> only available </w:t>
      </w:r>
      <w:r w:rsidR="00436C52" w:rsidRPr="000A2F46">
        <w:t xml:space="preserve">for repairs </w:t>
      </w:r>
      <w:r w:rsidR="00436C52">
        <w:t xml:space="preserve">or restoration </w:t>
      </w:r>
      <w:r w:rsidR="00436C52" w:rsidRPr="000A2F46">
        <w:t>t</w:t>
      </w:r>
      <w:r w:rsidR="00436C52">
        <w:t>o essential public assets (EPA).</w:t>
      </w:r>
      <w:r w:rsidR="007F664A">
        <w:t xml:space="preserve"> </w:t>
      </w:r>
    </w:p>
    <w:p w14:paraId="4B26F945" w14:textId="4AD78549" w:rsidR="000705C3" w:rsidRDefault="000705C3" w:rsidP="000F1FFD">
      <w:pPr>
        <w:pStyle w:val="DTFBodyText"/>
      </w:pPr>
      <w:r w:rsidRPr="000A2F46">
        <w:t xml:space="preserve">Consideration to extend the ATL will only be given where </w:t>
      </w:r>
      <w:r w:rsidR="00977654">
        <w:t>special</w:t>
      </w:r>
      <w:r w:rsidR="00CD76F5">
        <w:t xml:space="preserve"> circumstances </w:t>
      </w:r>
      <w:r w:rsidR="001F171D">
        <w:t xml:space="preserve">preventing the restoration works within the ATL </w:t>
      </w:r>
      <w:r w:rsidR="00CD76F5">
        <w:t xml:space="preserve">can be </w:t>
      </w:r>
      <w:r w:rsidR="001F171D">
        <w:t>demonstrated</w:t>
      </w:r>
      <w:r w:rsidR="00364DC9">
        <w:t>. Under NDRRA guidelines</w:t>
      </w:r>
      <w:r w:rsidRPr="000A2F46">
        <w:t xml:space="preserve">, </w:t>
      </w:r>
      <w:r w:rsidR="00977654">
        <w:t>special</w:t>
      </w:r>
      <w:r w:rsidR="00364DC9">
        <w:t xml:space="preserve"> circumstances are</w:t>
      </w:r>
      <w:r w:rsidRPr="000A2F46">
        <w:t xml:space="preserve"> factors that may have been unforeseeable, unusual, unique or beyond the control of the state or the local government, despite addressing all potential risks through adequate project and risk management plans.</w:t>
      </w:r>
      <w:r>
        <w:t xml:space="preserve"> </w:t>
      </w:r>
    </w:p>
    <w:p w14:paraId="3135A216" w14:textId="5A0D79A1" w:rsidR="000705C3" w:rsidRDefault="000705C3" w:rsidP="000F1FFD">
      <w:pPr>
        <w:pStyle w:val="DTFBodyText"/>
      </w:pPr>
      <w:r w:rsidRPr="000A2F46">
        <w:t xml:space="preserve">Factors not considered to be </w:t>
      </w:r>
      <w:r w:rsidR="00977654">
        <w:t>special</w:t>
      </w:r>
      <w:r w:rsidR="00977654" w:rsidRPr="000A2F46">
        <w:t xml:space="preserve"> </w:t>
      </w:r>
      <w:r w:rsidRPr="000A2F46">
        <w:t>circumstances are those within the control of the state or local government</w:t>
      </w:r>
      <w:r>
        <w:t xml:space="preserve">. </w:t>
      </w:r>
      <w:r w:rsidR="004329E2">
        <w:t>For example, o</w:t>
      </w:r>
      <w:r w:rsidRPr="000A2F46">
        <w:t>ngoing discussions regarding internal funding arrangements</w:t>
      </w:r>
      <w:r w:rsidR="004329E2">
        <w:t xml:space="preserve"> that cause delays in project completion </w:t>
      </w:r>
      <w:r>
        <w:t xml:space="preserve">are viewed as poor project planning </w:t>
      </w:r>
      <w:r w:rsidR="004329E2">
        <w:t xml:space="preserve">by </w:t>
      </w:r>
      <w:r>
        <w:t>the state or local government and</w:t>
      </w:r>
      <w:r w:rsidR="004329E2">
        <w:t>,</w:t>
      </w:r>
      <w:r>
        <w:t xml:space="preserve"> </w:t>
      </w:r>
      <w:r w:rsidR="00A0539F">
        <w:t>therefore</w:t>
      </w:r>
      <w:r w:rsidR="004329E2">
        <w:t>,</w:t>
      </w:r>
      <w:r w:rsidR="00A0539F">
        <w:t xml:space="preserve"> </w:t>
      </w:r>
      <w:r>
        <w:t>not</w:t>
      </w:r>
      <w:r w:rsidR="00A0539F">
        <w:t xml:space="preserve"> considered</w:t>
      </w:r>
      <w:r>
        <w:t xml:space="preserve"> </w:t>
      </w:r>
      <w:r w:rsidR="004329E2">
        <w:t xml:space="preserve">as </w:t>
      </w:r>
      <w:r w:rsidR="00977654">
        <w:t>special</w:t>
      </w:r>
      <w:r w:rsidR="00977654" w:rsidRPr="000A2F46">
        <w:t xml:space="preserve"> </w:t>
      </w:r>
      <w:r>
        <w:t xml:space="preserve">circumstances </w:t>
      </w:r>
      <w:r w:rsidR="00A0539F">
        <w:t>requir</w:t>
      </w:r>
      <w:r w:rsidR="004329E2">
        <w:t>ing an</w:t>
      </w:r>
      <w:r>
        <w:t xml:space="preserve"> exten</w:t>
      </w:r>
      <w:r w:rsidR="004329E2">
        <w:t>sion to</w:t>
      </w:r>
      <w:r>
        <w:t xml:space="preserve"> the ATL. Rain during the wet season is not considered unforeseeable, unusual or unique, </w:t>
      </w:r>
      <w:r w:rsidR="00A54037">
        <w:t>but</w:t>
      </w:r>
      <w:r>
        <w:t xml:space="preserve"> viewed as a potential risk </w:t>
      </w:r>
      <w:r w:rsidR="00A54037">
        <w:t xml:space="preserve">that </w:t>
      </w:r>
      <w:r>
        <w:t xml:space="preserve">should have been addressed </w:t>
      </w:r>
      <w:r w:rsidRPr="000A2F46">
        <w:t>through adequate project and risk management plans.</w:t>
      </w:r>
      <w:r>
        <w:t xml:space="preserve"> </w:t>
      </w:r>
    </w:p>
    <w:p w14:paraId="7197ED8C" w14:textId="2E6C30A4" w:rsidR="000A2F46" w:rsidRPr="000A2F46" w:rsidRDefault="000705C3" w:rsidP="000F1FFD">
      <w:pPr>
        <w:pStyle w:val="DTFBodyText"/>
      </w:pPr>
      <w:r w:rsidRPr="000A2F46">
        <w:t xml:space="preserve">Further examples of what </w:t>
      </w:r>
      <w:r w:rsidR="00A54037">
        <w:t>does</w:t>
      </w:r>
      <w:r w:rsidR="004B1992">
        <w:t>,</w:t>
      </w:r>
      <w:r w:rsidR="00A54037">
        <w:t xml:space="preserve"> and does </w:t>
      </w:r>
      <w:r w:rsidR="005A7584">
        <w:t>not</w:t>
      </w:r>
      <w:r w:rsidR="004B1992">
        <w:t>,</w:t>
      </w:r>
      <w:r w:rsidR="00A54037">
        <w:t xml:space="preserve"> </w:t>
      </w:r>
      <w:r w:rsidRPr="000A2F46">
        <w:t xml:space="preserve">constitute </w:t>
      </w:r>
      <w:r w:rsidR="00977654">
        <w:t>special</w:t>
      </w:r>
      <w:r w:rsidRPr="000A2F46">
        <w:t xml:space="preserve"> circumstances are outlined in the </w:t>
      </w:r>
      <w:r w:rsidR="00521847">
        <w:t xml:space="preserve">document </w:t>
      </w:r>
      <w:r w:rsidRPr="000F1FFD">
        <w:rPr>
          <w:rStyle w:val="DTFItalics"/>
        </w:rPr>
        <w:t>Attachment D: Request for Extension to the Allowable Time Limit Form</w:t>
      </w:r>
      <w:r w:rsidRPr="00A272BA">
        <w:t xml:space="preserve">, </w:t>
      </w:r>
      <w:r w:rsidRPr="000A2F46">
        <w:t xml:space="preserve">which contains further information on the timelines throughout the ATL process. </w:t>
      </w:r>
      <w:r w:rsidR="004A35C1">
        <w:t xml:space="preserve">This form </w:t>
      </w:r>
      <w:r w:rsidR="005A7584">
        <w:t>must</w:t>
      </w:r>
      <w:r w:rsidR="00436C52">
        <w:t xml:space="preserve"> be</w:t>
      </w:r>
      <w:r w:rsidR="000A2F46" w:rsidRPr="000A2F46">
        <w:t xml:space="preserve"> submitted to the Department of Treasury and Finance</w:t>
      </w:r>
      <w:r w:rsidR="00521847">
        <w:t xml:space="preserve"> (Treasury)</w:t>
      </w:r>
      <w:r w:rsidR="000A2F46" w:rsidRPr="000A2F46">
        <w:t xml:space="preserve"> to assess the application</w:t>
      </w:r>
      <w:r w:rsidR="005A7584">
        <w:t xml:space="preserve"> and</w:t>
      </w:r>
      <w:r w:rsidR="000A2F46" w:rsidRPr="000A2F46">
        <w:t xml:space="preserve"> </w:t>
      </w:r>
      <w:r w:rsidR="00A0539F">
        <w:t xml:space="preserve">lodge </w:t>
      </w:r>
      <w:r w:rsidR="005A7584">
        <w:t xml:space="preserve">it </w:t>
      </w:r>
      <w:r w:rsidR="00A0539F">
        <w:t>with</w:t>
      </w:r>
      <w:r w:rsidR="000A2F46" w:rsidRPr="000A2F46">
        <w:t xml:space="preserve"> EMA.</w:t>
      </w:r>
    </w:p>
    <w:p w14:paraId="6C80FF9B" w14:textId="22E68B80" w:rsidR="00CD76F5" w:rsidRDefault="00CD76F5" w:rsidP="000F1FFD">
      <w:pPr>
        <w:pStyle w:val="DTFBodyText"/>
      </w:pPr>
      <w:r>
        <w:t>If special circumstances can be demonstrated</w:t>
      </w:r>
      <w:r w:rsidR="005A7584">
        <w:t xml:space="preserve"> in relation to an </w:t>
      </w:r>
      <w:r w:rsidR="005A7584" w:rsidRPr="000A2F46">
        <w:t>EPA project</w:t>
      </w:r>
      <w:r>
        <w:t xml:space="preserve">, repair </w:t>
      </w:r>
      <w:r w:rsidRPr="000A2F46">
        <w:t xml:space="preserve">works must have started and </w:t>
      </w:r>
      <w:r>
        <w:t>eligible expenditure</w:t>
      </w:r>
      <w:r w:rsidRPr="000A2F46">
        <w:t xml:space="preserve"> </w:t>
      </w:r>
      <w:r>
        <w:t xml:space="preserve">must have been </w:t>
      </w:r>
      <w:r w:rsidRPr="000A2F46">
        <w:t>incurred within the ATL.</w:t>
      </w:r>
      <w:r>
        <w:t xml:space="preserve"> </w:t>
      </w:r>
      <w:r w:rsidRPr="000A2F46">
        <w:t>Eligible expenditure</w:t>
      </w:r>
      <w:r w:rsidR="004B1992">
        <w:t>,</w:t>
      </w:r>
      <w:r w:rsidR="005A7584">
        <w:t xml:space="preserve"> </w:t>
      </w:r>
      <w:r w:rsidR="005A7584" w:rsidRPr="000A2F46">
        <w:t>as part of any contractual agreement for the restoration of an EPA within the AT</w:t>
      </w:r>
      <w:r w:rsidR="00966791">
        <w:t>L</w:t>
      </w:r>
      <w:r w:rsidR="004B1992">
        <w:t>,</w:t>
      </w:r>
      <w:r w:rsidRPr="000A2F46">
        <w:t xml:space="preserve"> would be considered as </w:t>
      </w:r>
      <w:r w:rsidR="004B1992">
        <w:t xml:space="preserve">payments made for </w:t>
      </w:r>
      <w:r w:rsidRPr="000A2F46">
        <w:t>physical repairs or construction works</w:t>
      </w:r>
      <w:r w:rsidR="00966791">
        <w:t>, which have</w:t>
      </w:r>
      <w:r w:rsidRPr="000A2F46">
        <w:t xml:space="preserve"> </w:t>
      </w:r>
      <w:r w:rsidR="004B1992">
        <w:t>already commenced within the AT</w:t>
      </w:r>
      <w:r w:rsidR="000A70CD">
        <w:t>L</w:t>
      </w:r>
      <w:r w:rsidRPr="000A2F46">
        <w:t>.</w:t>
      </w:r>
      <w:r>
        <w:t xml:space="preserve"> </w:t>
      </w:r>
      <w:r w:rsidRPr="000A2F46">
        <w:t>Merely undertaking initial estimat</w:t>
      </w:r>
      <w:bookmarkStart w:id="0" w:name="_GoBack"/>
      <w:bookmarkEnd w:id="0"/>
      <w:r w:rsidRPr="000A2F46">
        <w:t xml:space="preserve">es and scoping of projects </w:t>
      </w:r>
      <w:r w:rsidR="004B1992">
        <w:t xml:space="preserve">in preparation </w:t>
      </w:r>
      <w:r w:rsidRPr="000A2F46">
        <w:t xml:space="preserve">to commence works is not </w:t>
      </w:r>
      <w:r>
        <w:t xml:space="preserve">viewed by EMA as the date of </w:t>
      </w:r>
      <w:r w:rsidRPr="000A2F46">
        <w:t xml:space="preserve">eligible expenditure </w:t>
      </w:r>
      <w:r>
        <w:t xml:space="preserve">commencing, </w:t>
      </w:r>
      <w:r w:rsidRPr="000A2F46">
        <w:t xml:space="preserve">under the </w:t>
      </w:r>
      <w:r>
        <w:t xml:space="preserve">ATL </w:t>
      </w:r>
      <w:r w:rsidRPr="000A2F46">
        <w:t xml:space="preserve">eligibility criteria. </w:t>
      </w:r>
    </w:p>
    <w:p w14:paraId="2BDABEF1" w14:textId="6C7B68F0" w:rsidR="000A2F46" w:rsidRDefault="000A2F46" w:rsidP="000F1FFD">
      <w:pPr>
        <w:pStyle w:val="DTFBodyText"/>
      </w:pPr>
      <w:r w:rsidRPr="000A2F46">
        <w:t xml:space="preserve">Depending on any contractual obligations in place, </w:t>
      </w:r>
      <w:r w:rsidR="000B73A2">
        <w:t>a</w:t>
      </w:r>
      <w:r w:rsidR="00521847">
        <w:t>gencies</w:t>
      </w:r>
      <w:r w:rsidRPr="000A2F46">
        <w:t xml:space="preserve"> may complete project works outside the ATL if prior agreement has been </w:t>
      </w:r>
      <w:r w:rsidR="000B73A2">
        <w:t xml:space="preserve">reached </w:t>
      </w:r>
      <w:r w:rsidRPr="000A2F46">
        <w:t>with EMA.</w:t>
      </w:r>
      <w:r w:rsidR="00E26F8A">
        <w:t xml:space="preserve"> </w:t>
      </w:r>
      <w:r w:rsidRPr="000A2F46">
        <w:t xml:space="preserve">If an extension to the ATL has been lodged </w:t>
      </w:r>
      <w:r w:rsidR="000A70CD">
        <w:t xml:space="preserve">but </w:t>
      </w:r>
      <w:r w:rsidRPr="000A2F46">
        <w:t>not yet granted within the ATL, projects works are to continue. However, the associated expenditure beyond the ATL would not be considered eligible for partial reimbursement under the NDRRA un</w:t>
      </w:r>
      <w:r w:rsidR="000F6405">
        <w:t>til</w:t>
      </w:r>
      <w:r w:rsidRPr="000A2F46">
        <w:t xml:space="preserve"> an extension to the ATL has been granted.</w:t>
      </w:r>
      <w:r w:rsidR="00E26F8A">
        <w:t xml:space="preserve"> </w:t>
      </w:r>
      <w:r w:rsidR="000A70CD">
        <w:t xml:space="preserve"> </w:t>
      </w:r>
    </w:p>
    <w:p w14:paraId="6DBD4C35" w14:textId="6434A19B" w:rsidR="00333E48" w:rsidRDefault="000A2F46" w:rsidP="000F1FFD">
      <w:pPr>
        <w:pStyle w:val="DTFBodyText"/>
      </w:pPr>
      <w:r w:rsidRPr="000A2F46">
        <w:lastRenderedPageBreak/>
        <w:t>Therefore</w:t>
      </w:r>
      <w:r w:rsidR="000A70CD">
        <w:t>,</w:t>
      </w:r>
      <w:r w:rsidRPr="000A2F46">
        <w:t xml:space="preserve"> if repairs to an EPA </w:t>
      </w:r>
      <w:r w:rsidR="000A70CD">
        <w:t xml:space="preserve">are </w:t>
      </w:r>
      <w:r w:rsidRPr="000A2F46">
        <w:t xml:space="preserve">at risk of not being completed within the ATL, </w:t>
      </w:r>
      <w:r w:rsidR="000B73A2">
        <w:t>a</w:t>
      </w:r>
      <w:r w:rsidR="00521847">
        <w:t>gencies</w:t>
      </w:r>
      <w:r w:rsidR="00FA50FF">
        <w:t xml:space="preserve"> must contact </w:t>
      </w:r>
      <w:r w:rsidR="00521847">
        <w:t xml:space="preserve">Treasury once </w:t>
      </w:r>
      <w:r w:rsidR="000A70CD">
        <w:t xml:space="preserve">they have identified </w:t>
      </w:r>
      <w:r w:rsidR="00521847">
        <w:t xml:space="preserve">special circumstances </w:t>
      </w:r>
      <w:r w:rsidR="000A70CD">
        <w:t>that would result</w:t>
      </w:r>
      <w:r w:rsidR="000A70CD" w:rsidRPr="000A2F46">
        <w:t xml:space="preserve"> </w:t>
      </w:r>
      <w:r w:rsidR="000A70CD">
        <w:t xml:space="preserve">in </w:t>
      </w:r>
      <w:r w:rsidR="000A70CD" w:rsidRPr="000A2F46">
        <w:t xml:space="preserve">delays </w:t>
      </w:r>
      <w:r w:rsidR="000A70CD">
        <w:t>completing</w:t>
      </w:r>
      <w:r w:rsidR="000A70CD" w:rsidRPr="000A2F46">
        <w:t xml:space="preserve"> the project within the ATL</w:t>
      </w:r>
      <w:r w:rsidR="000A70CD">
        <w:t>.</w:t>
      </w:r>
      <w:r w:rsidR="00A0539F">
        <w:t xml:space="preserve"> This </w:t>
      </w:r>
      <w:r w:rsidR="000B73A2">
        <w:t xml:space="preserve">process will </w:t>
      </w:r>
      <w:r w:rsidRPr="000A2F46">
        <w:t>assist</w:t>
      </w:r>
      <w:r w:rsidR="00A0539F">
        <w:t xml:space="preserve"> </w:t>
      </w:r>
      <w:r w:rsidR="0068576A">
        <w:t>a</w:t>
      </w:r>
      <w:r w:rsidR="00521847">
        <w:t>gencies</w:t>
      </w:r>
      <w:r w:rsidRPr="000A2F46">
        <w:t xml:space="preserve"> </w:t>
      </w:r>
      <w:r w:rsidR="00F44DC3">
        <w:t xml:space="preserve">to </w:t>
      </w:r>
      <w:r w:rsidR="00357CAA">
        <w:t>determin</w:t>
      </w:r>
      <w:r w:rsidR="000A70CD">
        <w:t>e</w:t>
      </w:r>
      <w:r w:rsidR="00357CAA">
        <w:t xml:space="preserve"> whether </w:t>
      </w:r>
      <w:r w:rsidR="00977654">
        <w:t>special</w:t>
      </w:r>
      <w:r w:rsidR="00357CAA">
        <w:t xml:space="preserve"> circumstances exist</w:t>
      </w:r>
      <w:r w:rsidR="00F44DC3">
        <w:t xml:space="preserve"> before</w:t>
      </w:r>
      <w:r w:rsidR="00357CAA">
        <w:t xml:space="preserve"> </w:t>
      </w:r>
      <w:r w:rsidRPr="000A2F46">
        <w:t>comple</w:t>
      </w:r>
      <w:r w:rsidR="00F44DC3">
        <w:t>ting</w:t>
      </w:r>
      <w:r w:rsidRPr="000A2F46">
        <w:t xml:space="preserve"> </w:t>
      </w:r>
      <w:r w:rsidR="00F44DC3" w:rsidRPr="000A2F46">
        <w:t xml:space="preserve">the </w:t>
      </w:r>
      <w:r w:rsidR="00F44DC3">
        <w:t>‘</w:t>
      </w:r>
      <w:r w:rsidR="00F44DC3" w:rsidRPr="00F44DC3">
        <w:rPr>
          <w:i/>
        </w:rPr>
        <w:t>Attachment</w:t>
      </w:r>
      <w:r w:rsidR="00521847" w:rsidRPr="000F1FFD">
        <w:rPr>
          <w:rStyle w:val="DTFItalics"/>
        </w:rPr>
        <w:t xml:space="preserve"> D: Request for Extension to the Allowable Time Limit Form</w:t>
      </w:r>
      <w:r w:rsidR="00521847" w:rsidRPr="00A272BA">
        <w:t>’,</w:t>
      </w:r>
      <w:r w:rsidR="00521847">
        <w:t xml:space="preserve"> which is required to be submitted to EMA through Treasury 7 months prior to the expiration of the ATL.</w:t>
      </w:r>
    </w:p>
    <w:p w14:paraId="12217E53" w14:textId="710F2C9D" w:rsidR="005E31B7" w:rsidRDefault="000A2F46" w:rsidP="000F1FFD">
      <w:pPr>
        <w:pStyle w:val="DTFBodyText"/>
      </w:pPr>
      <w:r w:rsidRPr="000A2F46">
        <w:t>Under EMA guidelines,</w:t>
      </w:r>
      <w:r w:rsidRPr="00A272BA">
        <w:t xml:space="preserve"> </w:t>
      </w:r>
      <w:r w:rsidRPr="000A2F46">
        <w:t>in line with the Federal budget cycle, requests for extensions to the ATL are asse</w:t>
      </w:r>
      <w:r w:rsidR="000705C3">
        <w:t xml:space="preserve">ssed by EMA on two deadlines, 30 June </w:t>
      </w:r>
      <w:r w:rsidRPr="000A2F46">
        <w:t>and 3</w:t>
      </w:r>
      <w:r w:rsidR="000705C3">
        <w:t>0 November</w:t>
      </w:r>
      <w:r w:rsidRPr="000A2F46">
        <w:t xml:space="preserve"> each year</w:t>
      </w:r>
      <w:r w:rsidR="0068576A">
        <w:t>,</w:t>
      </w:r>
      <w:r w:rsidRPr="000A2F46">
        <w:t xml:space="preserve"> and generally take three months to process.</w:t>
      </w:r>
      <w:r w:rsidR="00E26F8A">
        <w:t xml:space="preserve"> </w:t>
      </w:r>
      <w:r w:rsidRPr="000A2F46">
        <w:t>These deadlines are non-negotiable.</w:t>
      </w:r>
      <w:r w:rsidR="00E26F8A">
        <w:t xml:space="preserve"> </w:t>
      </w:r>
      <w:r w:rsidRPr="000A2F46">
        <w:t>Extension requests received after the ATL has expired will not be considered under any circumstances.</w:t>
      </w:r>
      <w:r w:rsidR="00E26F8A">
        <w:t xml:space="preserve"> </w:t>
      </w:r>
    </w:p>
    <w:p w14:paraId="29F8044E" w14:textId="77777777" w:rsidR="00AC6BC3" w:rsidRDefault="00AC6BC3" w:rsidP="00AC6BC3">
      <w:pPr>
        <w:pStyle w:val="DTFHeading2"/>
      </w:pPr>
      <w:r>
        <w:t>For Local Governments, Regional Councils and Shires</w:t>
      </w:r>
    </w:p>
    <w:p w14:paraId="2AC9E91F" w14:textId="2A4CD9C9" w:rsidR="00AC6BC3" w:rsidRPr="00A272BA" w:rsidRDefault="00AC6BC3" w:rsidP="000F1FFD">
      <w:pPr>
        <w:pStyle w:val="DTFBodyText"/>
      </w:pPr>
      <w:r w:rsidRPr="0089000D">
        <w:t>For the purposes of recordin</w:t>
      </w:r>
      <w:r>
        <w:t xml:space="preserve">g local government expenditure and </w:t>
      </w:r>
      <w:r w:rsidR="000B73A2">
        <w:t xml:space="preserve">determining </w:t>
      </w:r>
      <w:r>
        <w:t xml:space="preserve">whether the act of paying </w:t>
      </w:r>
      <w:r w:rsidRPr="000A2F46">
        <w:t xml:space="preserve">councils </w:t>
      </w:r>
      <w:r>
        <w:t xml:space="preserve">or shires grants </w:t>
      </w:r>
      <w:r w:rsidRPr="000A2F46">
        <w:t>is viewed by EMA as</w:t>
      </w:r>
      <w:r>
        <w:t xml:space="preserve"> being eligible expenditure </w:t>
      </w:r>
      <w:r w:rsidR="0068576A">
        <w:t>that</w:t>
      </w:r>
      <w:r>
        <w:t xml:space="preserve"> can be claimed, </w:t>
      </w:r>
      <w:r w:rsidRPr="000A2F46">
        <w:t xml:space="preserve">this is </w:t>
      </w:r>
      <w:r w:rsidRPr="00AC6BC3">
        <w:t>not</w:t>
      </w:r>
      <w:r w:rsidRPr="000A2F46">
        <w:t xml:space="preserve"> the case.</w:t>
      </w:r>
      <w:r>
        <w:t xml:space="preserve"> A</w:t>
      </w:r>
      <w:r w:rsidRPr="00A272BA">
        <w:t xml:space="preserve">mounts which have been transferred from a </w:t>
      </w:r>
      <w:r w:rsidR="006F316A">
        <w:t>S</w:t>
      </w:r>
      <w:r w:rsidRPr="00A272BA">
        <w:t>tate to a department</w:t>
      </w:r>
      <w:r w:rsidR="000B73A2">
        <w:t>,</w:t>
      </w:r>
      <w:r w:rsidRPr="00A272BA">
        <w:t xml:space="preserve"> or other agency of the state</w:t>
      </w:r>
      <w:r>
        <w:t xml:space="preserve">, </w:t>
      </w:r>
      <w:r w:rsidRPr="00A272BA">
        <w:t>for possible expenditure on an eligible measure, but have not yet been spent by that department or agency</w:t>
      </w:r>
      <w:r>
        <w:t>,</w:t>
      </w:r>
      <w:r w:rsidRPr="00A272BA">
        <w:t xml:space="preserve"> are specifically </w:t>
      </w:r>
      <w:r w:rsidR="0068576A" w:rsidRPr="00A272BA">
        <w:t>identified</w:t>
      </w:r>
      <w:r w:rsidRPr="00A272BA">
        <w:t xml:space="preserve"> in the 2017 determination as not being eligible state expenditure</w:t>
      </w:r>
      <w:r>
        <w:t xml:space="preserve"> </w:t>
      </w:r>
      <w:r w:rsidR="000B73A2">
        <w:t xml:space="preserve">and </w:t>
      </w:r>
      <w:r>
        <w:t>cannot be claimed</w:t>
      </w:r>
      <w:r w:rsidRPr="00A272BA">
        <w:t>.</w:t>
      </w:r>
    </w:p>
    <w:p w14:paraId="1F011A5D" w14:textId="614BBB46" w:rsidR="00AC6BC3" w:rsidRDefault="00AC6BC3" w:rsidP="000F1FFD">
      <w:pPr>
        <w:pStyle w:val="DTFBodyText"/>
      </w:pPr>
      <w:r w:rsidRPr="00A272BA">
        <w:t xml:space="preserve">For the purposes of NDRRA, agencies are to incur </w:t>
      </w:r>
      <w:r w:rsidRPr="0089000D">
        <w:t xml:space="preserve">a liability at the time the local government </w:t>
      </w:r>
      <w:r>
        <w:t xml:space="preserve">authority </w:t>
      </w:r>
      <w:r w:rsidRPr="0089000D">
        <w:t>undertakes an eligible measure</w:t>
      </w:r>
      <w:r w:rsidR="000B73A2">
        <w:t>,</w:t>
      </w:r>
      <w:r>
        <w:t xml:space="preserve"> and only the amount of expenditure from that grant, which has actually been spent, is eligible to be claimed</w:t>
      </w:r>
      <w:r w:rsidRPr="0089000D">
        <w:t xml:space="preserve">. </w:t>
      </w:r>
      <w:r>
        <w:t>E</w:t>
      </w:r>
      <w:r w:rsidRPr="00A272BA">
        <w:t xml:space="preserve">xpenditure on eligible measures must be recorded against the year in which the </w:t>
      </w:r>
      <w:r>
        <w:t xml:space="preserve">eligible </w:t>
      </w:r>
      <w:r w:rsidRPr="00A272BA">
        <w:t xml:space="preserve">expenditure is </w:t>
      </w:r>
      <w:r>
        <w:t xml:space="preserve">actually </w:t>
      </w:r>
      <w:r w:rsidRPr="00A272BA">
        <w:t>incurred by agencies or relevant bodies, not the year in which agencies or local governments</w:t>
      </w:r>
      <w:r>
        <w:t xml:space="preserve"> are provided with a grant or reimbursed</w:t>
      </w:r>
      <w:r w:rsidRPr="00A272BA">
        <w:t>.</w:t>
      </w:r>
    </w:p>
    <w:p w14:paraId="085D1BEF" w14:textId="3FE26E9C" w:rsidR="00AC6BC3" w:rsidRPr="00A272BA" w:rsidRDefault="00AC6BC3" w:rsidP="000F1FFD">
      <w:pPr>
        <w:pStyle w:val="DTFBodyText"/>
      </w:pPr>
      <w:r>
        <w:t xml:space="preserve">For example, in the 2014-15 financial year, a $5.5 million grant </w:t>
      </w:r>
      <w:r w:rsidR="0068576A">
        <w:t xml:space="preserve">relating to the Central Australia Flooding in January 2015 </w:t>
      </w:r>
      <w:r>
        <w:t>was paid to the Central Desert Regional Council</w:t>
      </w:r>
      <w:r w:rsidR="00421272">
        <w:t xml:space="preserve"> </w:t>
      </w:r>
      <w:r w:rsidR="0068576A">
        <w:t xml:space="preserve">and </w:t>
      </w:r>
      <w:r>
        <w:t>claimed as actual expenditure by the Department of Local Government and Community Services. This was identified in PricewaterhouseCoopers’ audit sample, which found that</w:t>
      </w:r>
      <w:r w:rsidR="0068576A">
        <w:t>,</w:t>
      </w:r>
      <w:r>
        <w:t xml:space="preserve"> of the $5.5 million grant claimed as actual expenditure</w:t>
      </w:r>
      <w:r w:rsidR="000F6405">
        <w:t xml:space="preserve"> in the 2014-15 financial year,</w:t>
      </w:r>
      <w:r>
        <w:t xml:space="preserve"> only $15</w:t>
      </w:r>
      <w:r w:rsidR="0068576A">
        <w:t xml:space="preserve"> </w:t>
      </w:r>
      <w:r>
        <w:t xml:space="preserve">547 had actually been spent. As a consequence, the unspent expenditure was removed from the claim and the estimated Commonwealth reimbursement to the Territory was significantly reduced. </w:t>
      </w:r>
    </w:p>
    <w:p w14:paraId="77055180" w14:textId="117A426C" w:rsidR="00AC6BC3" w:rsidRDefault="00AC6BC3" w:rsidP="000F1FFD">
      <w:pPr>
        <w:pStyle w:val="DTFBodyText"/>
      </w:pPr>
      <w:r w:rsidRPr="000A2F46">
        <w:t>On the question o</w:t>
      </w:r>
      <w:r>
        <w:t xml:space="preserve">f whether the act of paying </w:t>
      </w:r>
      <w:r w:rsidRPr="000A2F46">
        <w:t xml:space="preserve">councils </w:t>
      </w:r>
      <w:r>
        <w:t xml:space="preserve">grants </w:t>
      </w:r>
      <w:r w:rsidRPr="000A2F46">
        <w:t xml:space="preserve">from </w:t>
      </w:r>
      <w:r w:rsidR="007448EB">
        <w:t xml:space="preserve">the </w:t>
      </w:r>
      <w:r>
        <w:t>Department of Housing and Community Development</w:t>
      </w:r>
      <w:r w:rsidRPr="000A2F46">
        <w:t xml:space="preserve"> is viewed by EMA as being the date that expenses are incurred, and so is therefore the start date of repairs to the EPA, this is </w:t>
      </w:r>
      <w:r w:rsidRPr="00AC6BC3">
        <w:rPr>
          <w:bCs/>
        </w:rPr>
        <w:t>not</w:t>
      </w:r>
      <w:r w:rsidRPr="000A2F46">
        <w:t xml:space="preserve"> the case. </w:t>
      </w:r>
      <w:r w:rsidR="000F6405" w:rsidRPr="000A2F46">
        <w:t>Eligible expenditure would be considered as physical repairs or construction works commencing</w:t>
      </w:r>
      <w:r w:rsidR="000F6405">
        <w:t>,</w:t>
      </w:r>
      <w:r w:rsidR="000F6405" w:rsidRPr="000A2F46">
        <w:t xml:space="preserve"> as part of any contractual agreement for the resto</w:t>
      </w:r>
      <w:r w:rsidR="000F6405">
        <w:t>ration of an EPA within the ATL, as outlined above.</w:t>
      </w:r>
    </w:p>
    <w:p w14:paraId="221485C0" w14:textId="7AD65F25" w:rsidR="007448EB" w:rsidRDefault="00984160" w:rsidP="000F1FFD">
      <w:pPr>
        <w:pStyle w:val="DTFBodyText"/>
      </w:pPr>
      <w:r w:rsidRPr="000A2F46">
        <w:t>Therefore</w:t>
      </w:r>
      <w:r w:rsidR="00421272">
        <w:t>,</w:t>
      </w:r>
      <w:r w:rsidRPr="000A2F46">
        <w:t xml:space="preserve"> if repairs to an EPA </w:t>
      </w:r>
      <w:r w:rsidR="00421272">
        <w:t xml:space="preserve">are </w:t>
      </w:r>
      <w:r w:rsidRPr="000A2F46">
        <w:t xml:space="preserve">at risk of not being completed within the ATL, </w:t>
      </w:r>
      <w:r w:rsidR="007448EB">
        <w:t>the</w:t>
      </w:r>
      <w:r w:rsidRPr="000A2F46">
        <w:t xml:space="preserve"> local </w:t>
      </w:r>
      <w:r w:rsidR="007448EB">
        <w:t xml:space="preserve">regional </w:t>
      </w:r>
      <w:r w:rsidR="00421272">
        <w:t xml:space="preserve">council </w:t>
      </w:r>
      <w:r>
        <w:t xml:space="preserve">must first contact the Department of Housing and Community Development </w:t>
      </w:r>
      <w:r w:rsidRPr="000A2F46">
        <w:t xml:space="preserve">once </w:t>
      </w:r>
      <w:r w:rsidR="00421272">
        <w:t xml:space="preserve">it </w:t>
      </w:r>
      <w:r w:rsidR="007448EB">
        <w:t>believe</w:t>
      </w:r>
      <w:r w:rsidR="00421272">
        <w:t>s</w:t>
      </w:r>
      <w:r w:rsidR="007448EB">
        <w:t xml:space="preserve"> special circumsta</w:t>
      </w:r>
      <w:r w:rsidR="000F6405">
        <w:t xml:space="preserve">nces have been identified. </w:t>
      </w:r>
      <w:r w:rsidR="007448EB">
        <w:t xml:space="preserve">This would </w:t>
      </w:r>
      <w:r w:rsidR="006D5BC3">
        <w:t xml:space="preserve">allow the Department of Housing and Community Development to </w:t>
      </w:r>
      <w:r w:rsidR="007448EB" w:rsidRPr="000A2F46">
        <w:t>assist</w:t>
      </w:r>
      <w:r w:rsidR="007448EB">
        <w:t xml:space="preserve"> </w:t>
      </w:r>
      <w:r w:rsidR="007448EB" w:rsidRPr="000A2F46">
        <w:t xml:space="preserve">in </w:t>
      </w:r>
      <w:r w:rsidR="007448EB">
        <w:t xml:space="preserve">determining whether special circumstances exist, before being eligible to </w:t>
      </w:r>
      <w:r w:rsidR="007448EB" w:rsidRPr="000A2F46">
        <w:t>complet</w:t>
      </w:r>
      <w:r w:rsidR="007448EB">
        <w:t>e</w:t>
      </w:r>
      <w:r w:rsidR="007448EB" w:rsidRPr="000A2F46">
        <w:t xml:space="preserve"> the requ</w:t>
      </w:r>
      <w:r w:rsidR="007448EB">
        <w:t xml:space="preserve">ired </w:t>
      </w:r>
      <w:r w:rsidR="007448EB" w:rsidRPr="000A2F46">
        <w:t>‘</w:t>
      </w:r>
      <w:r w:rsidR="007448EB" w:rsidRPr="000F1FFD">
        <w:rPr>
          <w:rStyle w:val="DTFItalics"/>
        </w:rPr>
        <w:t>Attachment D: Request for Extension to the Allowable Time Limit Form</w:t>
      </w:r>
      <w:r w:rsidR="007448EB">
        <w:t>’.</w:t>
      </w:r>
    </w:p>
    <w:p w14:paraId="47B13EFB" w14:textId="77777777" w:rsidR="00AC6BC3" w:rsidRPr="00A272BA" w:rsidRDefault="00AC6BC3" w:rsidP="00B01BDF">
      <w:pPr>
        <w:jc w:val="both"/>
      </w:pPr>
    </w:p>
    <w:sectPr w:rsidR="00AC6BC3" w:rsidRPr="00A272BA"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F5B9" w14:textId="77777777" w:rsidR="008E04B1" w:rsidRDefault="008E04B1" w:rsidP="000A2F46">
      <w:r>
        <w:separator/>
      </w:r>
    </w:p>
  </w:endnote>
  <w:endnote w:type="continuationSeparator" w:id="0">
    <w:p w14:paraId="4C3A93CE" w14:textId="77777777" w:rsidR="008E04B1" w:rsidRDefault="008E04B1" w:rsidP="000A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3FD9" w14:textId="77777777" w:rsidR="004F016A" w:rsidRPr="00AE306C" w:rsidRDefault="007A58A0" w:rsidP="000A2F46">
    <w:r>
      <w:pict w14:anchorId="05148801">
        <v:rect id="_x0000_i1025" style="width:481.9pt;height:.5pt;mso-position-vertical:absolute" o:hralign="center" o:hrstd="t" o:hrnoshade="t" o:hr="t" fillcolor="black [3213]" stroked="f"/>
      </w:pict>
    </w:r>
  </w:p>
  <w:p w14:paraId="321E651D" w14:textId="77777777" w:rsidR="004F016A" w:rsidRPr="004D1B76" w:rsidRDefault="004F016A" w:rsidP="000A2F46">
    <w:pPr>
      <w:pStyle w:val="NTGFooter2deptpagenum"/>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7A58A0">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7A58A0">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A58A0">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7A58A0">
      <w:rPr>
        <w:rStyle w:val="NTGFooter2deptpagenumChar"/>
        <w:rFonts w:eastAsia="Calibri"/>
        <w:noProof/>
      </w:rPr>
      <w:t>2</w:t>
    </w:r>
    <w:r w:rsidRPr="007B5DA2">
      <w:rPr>
        <w:rStyle w:val="NTGFooter2deptpagenumChar"/>
        <w:rFonts w:eastAsia="Calibri"/>
      </w:rPr>
      <w:fldChar w:fldCharType="end"/>
    </w:r>
  </w:p>
  <w:p w14:paraId="5319D7FC" w14:textId="7B9B04D5" w:rsidR="004F016A" w:rsidRPr="007B5DA2" w:rsidRDefault="0022489E" w:rsidP="000A2F46">
    <w:pPr>
      <w:pStyle w:val="NTGFooter2DateVersion"/>
      <w:rPr>
        <w:rStyle w:val="NTGFooter2deptpagenumChar"/>
        <w:rFonts w:eastAsia="Calibri"/>
      </w:rPr>
    </w:pPr>
    <w:r>
      <w:t>8</w:t>
    </w:r>
    <w:r w:rsidR="00AC6BC3">
      <w:t xml:space="preserve"> September</w:t>
    </w:r>
    <w:r w:rsidR="005F73B1">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14:paraId="26EBC7F9" w14:textId="77777777" w:rsidTr="002B5591">
      <w:trPr>
        <w:cantSplit/>
        <w:trHeight w:hRule="exact" w:val="1400"/>
        <w:tblHeader/>
      </w:trPr>
      <w:tc>
        <w:tcPr>
          <w:tcW w:w="8505" w:type="dxa"/>
          <w:vAlign w:val="center"/>
        </w:tcPr>
        <w:p w14:paraId="0F72AFFD" w14:textId="77777777" w:rsidR="004F016A" w:rsidRPr="00705C9D" w:rsidRDefault="004F016A" w:rsidP="000A2F46">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A58A0">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A58A0">
            <w:rPr>
              <w:rStyle w:val="NTGFooterDepartmentNameChar"/>
            </w:rPr>
            <w:t>Treasury and Finance</w:t>
          </w:r>
          <w:r w:rsidRPr="00705C9D">
            <w:rPr>
              <w:rStyle w:val="NTGFooterDepartmentNameChar"/>
            </w:rPr>
            <w:fldChar w:fldCharType="end"/>
          </w:r>
        </w:p>
        <w:p w14:paraId="3DD63B1A" w14:textId="7946D099" w:rsidR="004F016A" w:rsidRPr="007B5DA2" w:rsidRDefault="004F016A" w:rsidP="00AC6BC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A58A0">
            <w:rPr>
              <w:noProof/>
            </w:rPr>
            <w:t>1</w:t>
          </w:r>
          <w:r w:rsidRPr="007B5DA2">
            <w:fldChar w:fldCharType="end"/>
          </w:r>
          <w:r w:rsidRPr="007B5DA2">
            <w:t xml:space="preserve"> of </w:t>
          </w:r>
          <w:r w:rsidR="007A58A0">
            <w:fldChar w:fldCharType="begin"/>
          </w:r>
          <w:r w:rsidR="007A58A0">
            <w:instrText xml:space="preserve"> NUMPAGES  \* Arabic  \* MERGEFORMAT </w:instrText>
          </w:r>
          <w:r w:rsidR="007A58A0">
            <w:fldChar w:fldCharType="separate"/>
          </w:r>
          <w:r w:rsidR="007A58A0">
            <w:rPr>
              <w:noProof/>
            </w:rPr>
            <w:t>2</w:t>
          </w:r>
          <w:r w:rsidR="007A58A0">
            <w:rPr>
              <w:noProof/>
            </w:rPr>
            <w:fldChar w:fldCharType="end"/>
          </w:r>
          <w:r w:rsidRPr="007B5DA2">
            <w:tab/>
          </w:r>
          <w:r w:rsidR="0022489E">
            <w:t>8</w:t>
          </w:r>
          <w:r w:rsidR="00AC6BC3">
            <w:t xml:space="preserve"> September</w:t>
          </w:r>
          <w:r w:rsidR="005F73B1">
            <w:rPr>
              <w:rStyle w:val="NTGFooter1itemsChar"/>
            </w:rPr>
            <w:t xml:space="preserve"> 201</w:t>
          </w:r>
          <w:r w:rsidR="00363CED">
            <w:rPr>
              <w:rStyle w:val="NTGFooter1itemsChar"/>
            </w:rPr>
            <w:t>7</w:t>
          </w:r>
        </w:p>
      </w:tc>
      <w:tc>
        <w:tcPr>
          <w:tcW w:w="2268" w:type="dxa"/>
          <w:vAlign w:val="center"/>
        </w:tcPr>
        <w:p w14:paraId="5EA62524" w14:textId="77777777" w:rsidR="004F016A" w:rsidRPr="001E14EB" w:rsidRDefault="004F016A" w:rsidP="000A2F46">
          <w:r w:rsidRPr="00132658">
            <w:rPr>
              <w:noProof/>
            </w:rPr>
            <w:drawing>
              <wp:inline distT="0" distB="0" distL="0" distR="0" wp14:anchorId="7FB24A87" wp14:editId="75E217C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E635288" w14:textId="77777777"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3562" w14:textId="77777777" w:rsidR="008E04B1" w:rsidRDefault="008E04B1" w:rsidP="000A2F46">
      <w:r>
        <w:separator/>
      </w:r>
    </w:p>
  </w:footnote>
  <w:footnote w:type="continuationSeparator" w:id="0">
    <w:p w14:paraId="7B729CF9" w14:textId="77777777" w:rsidR="008E04B1" w:rsidRDefault="008E04B1" w:rsidP="000A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38CD" w14:textId="77777777" w:rsidR="004F016A" w:rsidRDefault="007A58A0" w:rsidP="000A2F46">
    <w:pPr>
      <w:pStyle w:val="Header"/>
    </w:pPr>
    <w:r>
      <w:fldChar w:fldCharType="begin"/>
    </w:r>
    <w:r>
      <w:instrText xml:space="preserve"> TITLE   \* MERGEFORMAT </w:instrText>
    </w:r>
    <w:r>
      <w:fldChar w:fldCharType="separate"/>
    </w:r>
    <w:r>
      <w:t>Natural Disaster Relief and Recovery Arrangements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4"/>
        <w:szCs w:val="34"/>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3CD713DE" w14:textId="77777777" w:rsidR="004F016A" w:rsidRDefault="005E31B7" w:rsidP="0050530C">
        <w:pPr>
          <w:pStyle w:val="Title"/>
        </w:pPr>
        <w:r w:rsidRPr="000A2F46">
          <w:rPr>
            <w:sz w:val="34"/>
            <w:szCs w:val="34"/>
          </w:rPr>
          <w:t>Natural Disaster Relief and Recovery Arrangements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396D5A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5204D04"/>
    <w:lvl w:ilvl="0">
      <w:numFmt w:val="bullet"/>
      <w:pStyle w:val="ListBullet"/>
      <w:lvlText w:val="●"/>
      <w:lvlJc w:val="left"/>
      <w:pPr>
        <w:ind w:left="360"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 w15:restartNumberingAfterBreak="0">
    <w:nsid w:val="171C3D8A"/>
    <w:multiLevelType w:val="multilevel"/>
    <w:tmpl w:val="69EE3DF2"/>
    <w:lvl w:ilvl="0">
      <w:start w:val="1"/>
      <w:numFmt w:val="bullet"/>
      <w:pStyle w:val="DTFListBullet1-Black"/>
      <w:lvlText w:val=""/>
      <w:lvlJc w:val="left"/>
      <w:pPr>
        <w:ind w:left="680" w:hanging="396"/>
      </w:pPr>
      <w:rPr>
        <w:rFonts w:ascii="Symbol" w:hAnsi="Symbol" w:hint="default"/>
        <w:color w:val="E36C0A" w:themeColor="accent6" w:themeShade="BF"/>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11A12AE"/>
    <w:multiLevelType w:val="multilevel"/>
    <w:tmpl w:val="561CD30E"/>
    <w:numStyleLink w:val="NTGStandardList"/>
  </w:abstractNum>
  <w:abstractNum w:abstractNumId="4"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B9D4F2F"/>
    <w:multiLevelType w:val="multilevel"/>
    <w:tmpl w:val="6F860756"/>
    <w:numStyleLink w:val="NTGStandardNumList"/>
  </w:abstractNum>
  <w:abstractNum w:abstractNumId="7" w15:restartNumberingAfterBreak="0">
    <w:nsid w:val="35C910BE"/>
    <w:multiLevelType w:val="multilevel"/>
    <w:tmpl w:val="561CD30E"/>
    <w:numStyleLink w:val="NTGStandardList"/>
  </w:abstractNum>
  <w:abstractNum w:abstractNumId="8" w15:restartNumberingAfterBreak="0">
    <w:nsid w:val="37464682"/>
    <w:multiLevelType w:val="hybridMultilevel"/>
    <w:tmpl w:val="CE669CA8"/>
    <w:lvl w:ilvl="0" w:tplc="8940F694">
      <w:start w:val="1"/>
      <w:numFmt w:val="bullet"/>
      <w:pStyle w:val="ListBullet2"/>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3B962E3B"/>
    <w:multiLevelType w:val="multilevel"/>
    <w:tmpl w:val="8752F99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Arial MT Std Light" w:hAnsi="Arial MT Std Light"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7BD2918"/>
    <w:multiLevelType w:val="hybridMultilevel"/>
    <w:tmpl w:val="F7923736"/>
    <w:lvl w:ilvl="0" w:tplc="2E5002B8">
      <w:start w:val="1"/>
      <w:numFmt w:val="decimal"/>
      <w:pStyle w:val="Numberedlistlevel2"/>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86C744F"/>
    <w:multiLevelType w:val="multilevel"/>
    <w:tmpl w:val="6F860756"/>
    <w:numStyleLink w:val="NTGStandardNumList"/>
  </w:abstractNum>
  <w:abstractNum w:abstractNumId="17" w15:restartNumberingAfterBreak="0">
    <w:nsid w:val="5B713B90"/>
    <w:multiLevelType w:val="multilevel"/>
    <w:tmpl w:val="6F860756"/>
    <w:numStyleLink w:val="NTGStandardNumList"/>
  </w:abstractNum>
  <w:abstractNum w:abstractNumId="18" w15:restartNumberingAfterBreak="0">
    <w:nsid w:val="60A13E7C"/>
    <w:multiLevelType w:val="multilevel"/>
    <w:tmpl w:val="95661914"/>
    <w:numStyleLink w:val="NTGTableList"/>
  </w:abstractNum>
  <w:abstractNum w:abstractNumId="19" w15:restartNumberingAfterBreak="0">
    <w:nsid w:val="61AD07BD"/>
    <w:multiLevelType w:val="multilevel"/>
    <w:tmpl w:val="6F860756"/>
    <w:numStyleLink w:val="NTGStandardNumList"/>
  </w:abstractNum>
  <w:abstractNum w:abstractNumId="20"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
  </w:num>
  <w:num w:numId="3">
    <w:abstractNumId w:val="5"/>
  </w:num>
  <w:num w:numId="4">
    <w:abstractNumId w:val="10"/>
  </w:num>
  <w:num w:numId="5">
    <w:abstractNumId w:val="22"/>
  </w:num>
  <w:num w:numId="6">
    <w:abstractNumId w:val="13"/>
  </w:num>
  <w:num w:numId="7">
    <w:abstractNumId w:val="18"/>
  </w:num>
  <w:num w:numId="8">
    <w:abstractNumId w:val="14"/>
  </w:num>
  <w:num w:numId="9">
    <w:abstractNumId w:val="17"/>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6"/>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
  </w:num>
  <w:num w:numId="28">
    <w:abstractNumId w:val="8"/>
  </w:num>
  <w:num w:numId="29">
    <w:abstractNumId w:val="9"/>
  </w:num>
  <w:num w:numId="30">
    <w:abstractNumId w:val="0"/>
  </w:num>
  <w:num w:numId="31">
    <w:abstractNumId w:val="4"/>
  </w:num>
  <w:num w:numId="32">
    <w:abstractNumId w:val="5"/>
  </w:num>
  <w:num w:numId="33">
    <w:abstractNumId w:val="10"/>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B7"/>
    <w:rsid w:val="00001DDF"/>
    <w:rsid w:val="00027DB8"/>
    <w:rsid w:val="00031A96"/>
    <w:rsid w:val="00040BF3"/>
    <w:rsid w:val="00051F45"/>
    <w:rsid w:val="000705C3"/>
    <w:rsid w:val="000720BE"/>
    <w:rsid w:val="0007259C"/>
    <w:rsid w:val="00080202"/>
    <w:rsid w:val="00080DCD"/>
    <w:rsid w:val="000831BD"/>
    <w:rsid w:val="000840A3"/>
    <w:rsid w:val="00086A5F"/>
    <w:rsid w:val="000911EF"/>
    <w:rsid w:val="000962C5"/>
    <w:rsid w:val="000A2F46"/>
    <w:rsid w:val="000A559C"/>
    <w:rsid w:val="000A70CD"/>
    <w:rsid w:val="000B73A2"/>
    <w:rsid w:val="000D1F29"/>
    <w:rsid w:val="000F1FFD"/>
    <w:rsid w:val="000F6405"/>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171D"/>
    <w:rsid w:val="001F59E6"/>
    <w:rsid w:val="00206936"/>
    <w:rsid w:val="00206C6F"/>
    <w:rsid w:val="00206FBD"/>
    <w:rsid w:val="00207746"/>
    <w:rsid w:val="0022489E"/>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33E48"/>
    <w:rsid w:val="00342283"/>
    <w:rsid w:val="00343A87"/>
    <w:rsid w:val="00347FB6"/>
    <w:rsid w:val="003504FD"/>
    <w:rsid w:val="00350881"/>
    <w:rsid w:val="00357CAA"/>
    <w:rsid w:val="00357D55"/>
    <w:rsid w:val="00363513"/>
    <w:rsid w:val="00363CED"/>
    <w:rsid w:val="00364DC9"/>
    <w:rsid w:val="003657E5"/>
    <w:rsid w:val="00371DC7"/>
    <w:rsid w:val="00377B21"/>
    <w:rsid w:val="00394876"/>
    <w:rsid w:val="00394AAF"/>
    <w:rsid w:val="003D42C0"/>
    <w:rsid w:val="003D7818"/>
    <w:rsid w:val="003E2445"/>
    <w:rsid w:val="003E3BB2"/>
    <w:rsid w:val="0040222A"/>
    <w:rsid w:val="004047BC"/>
    <w:rsid w:val="00414CB3"/>
    <w:rsid w:val="0041563D"/>
    <w:rsid w:val="00421272"/>
    <w:rsid w:val="00426E25"/>
    <w:rsid w:val="004329E2"/>
    <w:rsid w:val="00436C52"/>
    <w:rsid w:val="00443B6E"/>
    <w:rsid w:val="0045420A"/>
    <w:rsid w:val="004554D4"/>
    <w:rsid w:val="00461744"/>
    <w:rsid w:val="00466D96"/>
    <w:rsid w:val="00473C98"/>
    <w:rsid w:val="00482DF8"/>
    <w:rsid w:val="004864DE"/>
    <w:rsid w:val="00494BE5"/>
    <w:rsid w:val="004A2538"/>
    <w:rsid w:val="004A35C1"/>
    <w:rsid w:val="004B0C15"/>
    <w:rsid w:val="004B1992"/>
    <w:rsid w:val="004B35EA"/>
    <w:rsid w:val="004D075F"/>
    <w:rsid w:val="004D1B76"/>
    <w:rsid w:val="004E019E"/>
    <w:rsid w:val="004E06EC"/>
    <w:rsid w:val="004E2CB7"/>
    <w:rsid w:val="004F016A"/>
    <w:rsid w:val="00502FB3"/>
    <w:rsid w:val="00503DE9"/>
    <w:rsid w:val="0050530C"/>
    <w:rsid w:val="00507782"/>
    <w:rsid w:val="00512A04"/>
    <w:rsid w:val="00521847"/>
    <w:rsid w:val="00543BD1"/>
    <w:rsid w:val="0055076C"/>
    <w:rsid w:val="00564C12"/>
    <w:rsid w:val="005654B8"/>
    <w:rsid w:val="005762CC"/>
    <w:rsid w:val="00582D3D"/>
    <w:rsid w:val="00595386"/>
    <w:rsid w:val="005A4AC0"/>
    <w:rsid w:val="005A5FDF"/>
    <w:rsid w:val="005A7584"/>
    <w:rsid w:val="005B0FB7"/>
    <w:rsid w:val="005B5AC2"/>
    <w:rsid w:val="005C2833"/>
    <w:rsid w:val="005E144D"/>
    <w:rsid w:val="005E31B7"/>
    <w:rsid w:val="005E3A43"/>
    <w:rsid w:val="005F40DB"/>
    <w:rsid w:val="005F73B1"/>
    <w:rsid w:val="00620675"/>
    <w:rsid w:val="006433C3"/>
    <w:rsid w:val="00650F5B"/>
    <w:rsid w:val="006670D7"/>
    <w:rsid w:val="006719EA"/>
    <w:rsid w:val="00671F13"/>
    <w:rsid w:val="00672FA9"/>
    <w:rsid w:val="0067400A"/>
    <w:rsid w:val="0068576A"/>
    <w:rsid w:val="006D5BC3"/>
    <w:rsid w:val="006D66F7"/>
    <w:rsid w:val="006F316A"/>
    <w:rsid w:val="00705C9D"/>
    <w:rsid w:val="00714F1D"/>
    <w:rsid w:val="00722DDB"/>
    <w:rsid w:val="00724728"/>
    <w:rsid w:val="00724F98"/>
    <w:rsid w:val="00730B9B"/>
    <w:rsid w:val="007332FF"/>
    <w:rsid w:val="007408F5"/>
    <w:rsid w:val="00741EAE"/>
    <w:rsid w:val="007448EB"/>
    <w:rsid w:val="0076190B"/>
    <w:rsid w:val="00763A2D"/>
    <w:rsid w:val="00776241"/>
    <w:rsid w:val="00777795"/>
    <w:rsid w:val="00783A57"/>
    <w:rsid w:val="00784C92"/>
    <w:rsid w:val="007A58A0"/>
    <w:rsid w:val="007A6A4F"/>
    <w:rsid w:val="007B03F5"/>
    <w:rsid w:val="007B5DA2"/>
    <w:rsid w:val="007C5CFD"/>
    <w:rsid w:val="007C6D9F"/>
    <w:rsid w:val="007F664A"/>
    <w:rsid w:val="00807F23"/>
    <w:rsid w:val="00815297"/>
    <w:rsid w:val="00817BA1"/>
    <w:rsid w:val="00823022"/>
    <w:rsid w:val="008313C4"/>
    <w:rsid w:val="00842838"/>
    <w:rsid w:val="0085797F"/>
    <w:rsid w:val="00861DC3"/>
    <w:rsid w:val="00867019"/>
    <w:rsid w:val="008735A9"/>
    <w:rsid w:val="00877D20"/>
    <w:rsid w:val="00881C48"/>
    <w:rsid w:val="00885B80"/>
    <w:rsid w:val="00885E9B"/>
    <w:rsid w:val="0089000D"/>
    <w:rsid w:val="008A7C12"/>
    <w:rsid w:val="008B529E"/>
    <w:rsid w:val="008D57B8"/>
    <w:rsid w:val="008E03FC"/>
    <w:rsid w:val="008E04B1"/>
    <w:rsid w:val="008E510B"/>
    <w:rsid w:val="00902B13"/>
    <w:rsid w:val="00911941"/>
    <w:rsid w:val="00925F0F"/>
    <w:rsid w:val="00932F6B"/>
    <w:rsid w:val="009468BC"/>
    <w:rsid w:val="009616DF"/>
    <w:rsid w:val="0096542F"/>
    <w:rsid w:val="00966791"/>
    <w:rsid w:val="00967FA7"/>
    <w:rsid w:val="00971645"/>
    <w:rsid w:val="00977654"/>
    <w:rsid w:val="00977919"/>
    <w:rsid w:val="00984160"/>
    <w:rsid w:val="009870FA"/>
    <w:rsid w:val="009A5897"/>
    <w:rsid w:val="009B1913"/>
    <w:rsid w:val="009B6657"/>
    <w:rsid w:val="009D14F9"/>
    <w:rsid w:val="009D2B74"/>
    <w:rsid w:val="009E175D"/>
    <w:rsid w:val="009E3CC2"/>
    <w:rsid w:val="009F2A4D"/>
    <w:rsid w:val="00A0539F"/>
    <w:rsid w:val="00A10655"/>
    <w:rsid w:val="00A25193"/>
    <w:rsid w:val="00A272BA"/>
    <w:rsid w:val="00A31AE8"/>
    <w:rsid w:val="00A3739D"/>
    <w:rsid w:val="00A37DDA"/>
    <w:rsid w:val="00A45D76"/>
    <w:rsid w:val="00A54037"/>
    <w:rsid w:val="00A925EC"/>
    <w:rsid w:val="00AA541E"/>
    <w:rsid w:val="00AC6BC3"/>
    <w:rsid w:val="00AD0DA4"/>
    <w:rsid w:val="00AD4169"/>
    <w:rsid w:val="00AE25C6"/>
    <w:rsid w:val="00AE306C"/>
    <w:rsid w:val="00B01BDF"/>
    <w:rsid w:val="00B02EF1"/>
    <w:rsid w:val="00B04D79"/>
    <w:rsid w:val="00B07C97"/>
    <w:rsid w:val="00B15754"/>
    <w:rsid w:val="00B2046E"/>
    <w:rsid w:val="00B20E8B"/>
    <w:rsid w:val="00B27B90"/>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045D1"/>
    <w:rsid w:val="00C10F10"/>
    <w:rsid w:val="00C309D8"/>
    <w:rsid w:val="00C61AFA"/>
    <w:rsid w:val="00C62099"/>
    <w:rsid w:val="00C72867"/>
    <w:rsid w:val="00C75E81"/>
    <w:rsid w:val="00C92B4C"/>
    <w:rsid w:val="00C954F6"/>
    <w:rsid w:val="00CA6BC5"/>
    <w:rsid w:val="00CD76F5"/>
    <w:rsid w:val="00CE640F"/>
    <w:rsid w:val="00CF540E"/>
    <w:rsid w:val="00D02F07"/>
    <w:rsid w:val="00D36A49"/>
    <w:rsid w:val="00D517C6"/>
    <w:rsid w:val="00D71D84"/>
    <w:rsid w:val="00D72464"/>
    <w:rsid w:val="00D768EB"/>
    <w:rsid w:val="00D832D9"/>
    <w:rsid w:val="00D975C0"/>
    <w:rsid w:val="00DA1820"/>
    <w:rsid w:val="00DA5285"/>
    <w:rsid w:val="00DB4F91"/>
    <w:rsid w:val="00DC3117"/>
    <w:rsid w:val="00DC5DD9"/>
    <w:rsid w:val="00DE33B5"/>
    <w:rsid w:val="00DE5E18"/>
    <w:rsid w:val="00DF0487"/>
    <w:rsid w:val="00E02681"/>
    <w:rsid w:val="00E02792"/>
    <w:rsid w:val="00E034D8"/>
    <w:rsid w:val="00E04CC0"/>
    <w:rsid w:val="00E15816"/>
    <w:rsid w:val="00E160D5"/>
    <w:rsid w:val="00E26F8A"/>
    <w:rsid w:val="00E30556"/>
    <w:rsid w:val="00E30981"/>
    <w:rsid w:val="00E33136"/>
    <w:rsid w:val="00E3723D"/>
    <w:rsid w:val="00E431D7"/>
    <w:rsid w:val="00E861DB"/>
    <w:rsid w:val="00E93406"/>
    <w:rsid w:val="00E956C5"/>
    <w:rsid w:val="00E95C39"/>
    <w:rsid w:val="00EA2C39"/>
    <w:rsid w:val="00EB0A96"/>
    <w:rsid w:val="00EB77F9"/>
    <w:rsid w:val="00EC5769"/>
    <w:rsid w:val="00EE38FA"/>
    <w:rsid w:val="00EE3E2C"/>
    <w:rsid w:val="00EE5D23"/>
    <w:rsid w:val="00EF3CA4"/>
    <w:rsid w:val="00F014DA"/>
    <w:rsid w:val="00F44DC3"/>
    <w:rsid w:val="00F8430C"/>
    <w:rsid w:val="00F86159"/>
    <w:rsid w:val="00F94398"/>
    <w:rsid w:val="00FA50FF"/>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E79422"/>
  <w15:docId w15:val="{2A2D6B14-1E1F-4603-87B1-5A46133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D"/>
    <w:pPr>
      <w:spacing w:after="200"/>
    </w:pPr>
    <w:rPr>
      <w:rFonts w:ascii="Arial" w:eastAsia="Times New Roman" w:hAnsi="Arial"/>
      <w:sz w:val="22"/>
      <w:lang w:eastAsia="en-AU"/>
    </w:rPr>
  </w:style>
  <w:style w:type="paragraph" w:styleId="Heading1">
    <w:name w:val="heading 1"/>
    <w:next w:val="Normal"/>
    <w:link w:val="Heading1Char"/>
    <w:uiPriority w:val="2"/>
    <w:qFormat/>
    <w:rsid w:val="00E26F8A"/>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E26F8A"/>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E26F8A"/>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E26F8A"/>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E26F8A"/>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E26F8A"/>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E26F8A"/>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E26F8A"/>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E26F8A"/>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E26F8A"/>
    <w:rPr>
      <w:rFonts w:ascii="Arial" w:hAnsi="Arial"/>
      <w:sz w:val="22"/>
    </w:rPr>
  </w:style>
  <w:style w:type="character" w:customStyle="1" w:styleId="Heading1Char">
    <w:name w:val="Heading 1 Char"/>
    <w:basedOn w:val="DefaultParagraphFont"/>
    <w:link w:val="Heading1"/>
    <w:uiPriority w:val="2"/>
    <w:rsid w:val="00E26F8A"/>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E26F8A"/>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26F8A"/>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basedOn w:val="Normal"/>
    <w:next w:val="Normal"/>
    <w:link w:val="HeaderChar"/>
    <w:uiPriority w:val="11"/>
    <w:rsid w:val="00E26F8A"/>
    <w:pPr>
      <w:tabs>
        <w:tab w:val="center" w:pos="4513"/>
        <w:tab w:val="right" w:pos="9026"/>
      </w:tabs>
      <w:jc w:val="right"/>
    </w:pPr>
    <w:rPr>
      <w:b/>
    </w:rPr>
  </w:style>
  <w:style w:type="character" w:customStyle="1" w:styleId="HeaderChar">
    <w:name w:val="Header Char"/>
    <w:basedOn w:val="DefaultParagraphFont"/>
    <w:link w:val="Header"/>
    <w:uiPriority w:val="11"/>
    <w:rsid w:val="00E26F8A"/>
    <w:rPr>
      <w:rFonts w:ascii="Arial" w:eastAsia="Times New Roman" w:hAnsi="Arial"/>
      <w:b/>
      <w:sz w:val="22"/>
      <w:lang w:eastAsia="en-AU"/>
    </w:rPr>
  </w:style>
  <w:style w:type="paragraph" w:styleId="Footer">
    <w:name w:val="footer"/>
    <w:basedOn w:val="Normal"/>
    <w:link w:val="FooterChar"/>
    <w:uiPriority w:val="99"/>
    <w:semiHidden/>
    <w:rsid w:val="00E26F8A"/>
    <w:pPr>
      <w:tabs>
        <w:tab w:val="center" w:pos="4513"/>
        <w:tab w:val="right" w:pos="9026"/>
      </w:tabs>
      <w:spacing w:after="0"/>
    </w:pPr>
  </w:style>
  <w:style w:type="character" w:customStyle="1" w:styleId="FooterChar">
    <w:name w:val="Footer Char"/>
    <w:basedOn w:val="DefaultParagraphFont"/>
    <w:link w:val="Footer"/>
    <w:uiPriority w:val="99"/>
    <w:semiHidden/>
    <w:rsid w:val="00E26F8A"/>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E26F8A"/>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E26F8A"/>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26F8A"/>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E26F8A"/>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E26F8A"/>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E26F8A"/>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E26F8A"/>
    <w:rPr>
      <w:rFonts w:ascii="Arial" w:hAnsi="Arial" w:cs="Arial"/>
      <w:szCs w:val="16"/>
    </w:rPr>
  </w:style>
  <w:style w:type="character" w:customStyle="1" w:styleId="NTGFooterDepartmentofChar">
    <w:name w:val="NTG Footer Department of Char"/>
    <w:basedOn w:val="DefaultParagraphFont"/>
    <w:link w:val="NTGFooterDepartmentof"/>
    <w:uiPriority w:val="7"/>
    <w:rsid w:val="00E26F8A"/>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E26F8A"/>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E26F8A"/>
    <w:pPr>
      <w:spacing w:after="480"/>
    </w:pPr>
  </w:style>
  <w:style w:type="numbering" w:customStyle="1" w:styleId="NTGStandardList">
    <w:name w:val="NTG Standard List"/>
    <w:basedOn w:val="NoList"/>
    <w:rsid w:val="00E26F8A"/>
    <w:pPr>
      <w:numPr>
        <w:numId w:val="2"/>
      </w:numPr>
    </w:pPr>
  </w:style>
  <w:style w:type="table" w:customStyle="1" w:styleId="NTGTable">
    <w:name w:val="NTG Table"/>
    <w:basedOn w:val="TableTheme"/>
    <w:uiPriority w:val="99"/>
    <w:rsid w:val="00E26F8A"/>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E26F8A"/>
    <w:pPr>
      <w:numPr>
        <w:numId w:val="3"/>
      </w:numPr>
    </w:pPr>
  </w:style>
  <w:style w:type="numbering" w:customStyle="1" w:styleId="NTGTableNumList">
    <w:name w:val="NTG Table Num List"/>
    <w:uiPriority w:val="99"/>
    <w:rsid w:val="00E26F8A"/>
    <w:pPr>
      <w:numPr>
        <w:numId w:val="4"/>
      </w:numPr>
    </w:pPr>
  </w:style>
  <w:style w:type="paragraph" w:customStyle="1" w:styleId="NTGTableText">
    <w:name w:val="NTG Table Text"/>
    <w:basedOn w:val="Normal"/>
    <w:uiPriority w:val="1"/>
    <w:qFormat/>
    <w:rsid w:val="00E26F8A"/>
    <w:pPr>
      <w:spacing w:after="40"/>
    </w:pPr>
    <w:rPr>
      <w:lang w:eastAsia="en-US"/>
    </w:rPr>
  </w:style>
  <w:style w:type="character" w:customStyle="1" w:styleId="Heading5Char">
    <w:name w:val="Heading 5 Char"/>
    <w:basedOn w:val="DefaultParagraphFont"/>
    <w:link w:val="Heading5"/>
    <w:uiPriority w:val="9"/>
    <w:rsid w:val="00E26F8A"/>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E26F8A"/>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E26F8A"/>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E26F8A"/>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E26F8A"/>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E26F8A"/>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E26F8A"/>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E26F8A"/>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unhideWhenUsed/>
    <w:rsid w:val="00E26F8A"/>
    <w:pPr>
      <w:numPr>
        <w:numId w:val="30"/>
      </w:numPr>
      <w:contextualSpacing/>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DTFBulletText"/>
    <w:uiPriority w:val="99"/>
    <w:unhideWhenUsed/>
    <w:rsid w:val="00E26F8A"/>
    <w:pPr>
      <w:numPr>
        <w:numId w:val="27"/>
      </w:numPr>
      <w:spacing w:after="180"/>
    </w:pPr>
  </w:style>
  <w:style w:type="paragraph" w:styleId="ListBullet2">
    <w:name w:val="List Bullet 2"/>
    <w:basedOn w:val="Normal"/>
    <w:uiPriority w:val="99"/>
    <w:unhideWhenUsed/>
    <w:rsid w:val="00E26F8A"/>
    <w:pPr>
      <w:numPr>
        <w:numId w:val="28"/>
      </w:numPr>
      <w:spacing w:after="180"/>
    </w:pPr>
  </w:style>
  <w:style w:type="paragraph" w:styleId="ListBullet3">
    <w:name w:val="List Bullet 3"/>
    <w:basedOn w:val="Normal"/>
    <w:uiPriority w:val="99"/>
    <w:unhideWhenUsed/>
    <w:rsid w:val="00E26F8A"/>
    <w:pPr>
      <w:numPr>
        <w:ilvl w:val="2"/>
        <w:numId w:val="29"/>
      </w:numPr>
      <w:contextualSpacing/>
    </w:pPr>
  </w:style>
  <w:style w:type="paragraph" w:styleId="ListBullet4">
    <w:name w:val="List Bullet 4"/>
    <w:basedOn w:val="Normal"/>
    <w:uiPriority w:val="99"/>
    <w:rsid w:val="004E2CB7"/>
  </w:style>
  <w:style w:type="paragraph" w:styleId="ListBullet5">
    <w:name w:val="List Bullet 5"/>
    <w:basedOn w:val="Normal"/>
    <w:uiPriority w:val="99"/>
    <w:rsid w:val="004E2CB7"/>
  </w:style>
  <w:style w:type="character" w:styleId="Hyperlink">
    <w:name w:val="Hyperlink"/>
    <w:basedOn w:val="DefaultParagraphFont"/>
    <w:uiPriority w:val="99"/>
    <w:unhideWhenUsed/>
    <w:rsid w:val="00E26F8A"/>
    <w:rPr>
      <w:color w:val="0000FF"/>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customStyle="1" w:styleId="Default">
    <w:name w:val="Default"/>
    <w:basedOn w:val="Normal"/>
    <w:rsid w:val="000A2F46"/>
    <w:pPr>
      <w:autoSpaceDE w:val="0"/>
      <w:autoSpaceDN w:val="0"/>
    </w:pPr>
    <w:rPr>
      <w:color w:val="000000"/>
      <w:sz w:val="24"/>
      <w:szCs w:val="24"/>
    </w:rPr>
  </w:style>
  <w:style w:type="paragraph" w:customStyle="1" w:styleId="DTFBodyText">
    <w:name w:val="DTF Body Text"/>
    <w:basedOn w:val="Normal"/>
    <w:qFormat/>
    <w:rsid w:val="00E26F8A"/>
    <w:pPr>
      <w:tabs>
        <w:tab w:val="left" w:pos="709"/>
        <w:tab w:val="left" w:pos="1276"/>
        <w:tab w:val="left" w:pos="4536"/>
      </w:tabs>
    </w:pPr>
    <w:rPr>
      <w:rFonts w:cs="Arial"/>
    </w:rPr>
  </w:style>
  <w:style w:type="paragraph" w:customStyle="1" w:styleId="DTFBulletText">
    <w:name w:val="DTF Bullet Text"/>
    <w:basedOn w:val="Normal"/>
    <w:rsid w:val="00E26F8A"/>
    <w:pPr>
      <w:ind w:left="360" w:hanging="360"/>
    </w:pPr>
  </w:style>
  <w:style w:type="paragraph" w:customStyle="1" w:styleId="DTFFooter">
    <w:name w:val="DTF Footer"/>
    <w:qFormat/>
    <w:rsid w:val="00E26F8A"/>
    <w:rPr>
      <w:rFonts w:ascii="Arial" w:eastAsia="Times New Roman" w:hAnsi="Arial" w:cs="Arial"/>
      <w:sz w:val="16"/>
      <w:szCs w:val="16"/>
      <w:lang w:eastAsia="en-AU"/>
    </w:rPr>
  </w:style>
  <w:style w:type="paragraph" w:customStyle="1" w:styleId="DTFHeading1">
    <w:name w:val="DTF Heading 1"/>
    <w:qFormat/>
    <w:rsid w:val="00E26F8A"/>
    <w:pPr>
      <w:spacing w:before="360" w:after="240"/>
    </w:pPr>
    <w:rPr>
      <w:rFonts w:ascii="Arial" w:eastAsiaTheme="majorEastAsia" w:hAnsi="Arial" w:cs="Arial"/>
      <w:b/>
      <w:bCs/>
      <w:kern w:val="32"/>
      <w:sz w:val="32"/>
      <w:szCs w:val="32"/>
      <w:lang w:eastAsia="en-AU"/>
    </w:rPr>
  </w:style>
  <w:style w:type="paragraph" w:customStyle="1" w:styleId="DTFHeading2">
    <w:name w:val="DTF Heading 2"/>
    <w:qFormat/>
    <w:rsid w:val="00E26F8A"/>
    <w:pPr>
      <w:spacing w:before="360" w:after="240"/>
    </w:pPr>
    <w:rPr>
      <w:rFonts w:ascii="Arial" w:eastAsiaTheme="majorEastAsia" w:hAnsi="Arial" w:cs="Arial"/>
      <w:b/>
      <w:bCs/>
      <w:iCs/>
      <w:color w:val="606060"/>
      <w:sz w:val="28"/>
      <w:szCs w:val="28"/>
      <w:lang w:eastAsia="en-AU"/>
    </w:rPr>
  </w:style>
  <w:style w:type="paragraph" w:customStyle="1" w:styleId="DTFListBullet1-Black">
    <w:name w:val="DTF List Bullet 1 - Black"/>
    <w:autoRedefine/>
    <w:qFormat/>
    <w:rsid w:val="00E26F8A"/>
    <w:pPr>
      <w:numPr>
        <w:numId w:val="25"/>
      </w:numPr>
      <w:spacing w:after="200"/>
    </w:pPr>
    <w:rPr>
      <w:rFonts w:ascii="Arial" w:eastAsia="Times New Roman" w:hAnsi="Arial" w:cs="Arial"/>
      <w:color w:val="000000" w:themeColor="text1"/>
      <w:sz w:val="22"/>
      <w:lang w:eastAsia="en-AU"/>
    </w:rPr>
  </w:style>
  <w:style w:type="paragraph" w:customStyle="1" w:styleId="DTFListBullet2-Dash">
    <w:name w:val="DTF List Bullet 2 - Dash"/>
    <w:autoRedefine/>
    <w:qFormat/>
    <w:rsid w:val="00E26F8A"/>
    <w:pPr>
      <w:numPr>
        <w:numId w:val="26"/>
      </w:numPr>
      <w:spacing w:after="200"/>
    </w:pPr>
    <w:rPr>
      <w:rFonts w:ascii="Arial" w:eastAsia="Times New Roman" w:hAnsi="Arial" w:cs="Arial"/>
      <w:sz w:val="22"/>
      <w:lang w:eastAsia="en-AU"/>
    </w:rPr>
  </w:style>
  <w:style w:type="character" w:styleId="FootnoteReference">
    <w:name w:val="footnote reference"/>
    <w:basedOn w:val="DefaultParagraphFont"/>
    <w:uiPriority w:val="99"/>
    <w:semiHidden/>
    <w:unhideWhenUsed/>
    <w:rsid w:val="00E26F8A"/>
    <w:rPr>
      <w:vertAlign w:val="superscript"/>
    </w:rPr>
  </w:style>
  <w:style w:type="paragraph" w:styleId="FootnoteText">
    <w:name w:val="footnote text"/>
    <w:basedOn w:val="Normal"/>
    <w:link w:val="FootnoteTextChar"/>
    <w:uiPriority w:val="99"/>
    <w:semiHidden/>
    <w:unhideWhenUsed/>
    <w:rsid w:val="00E26F8A"/>
    <w:pPr>
      <w:spacing w:after="0"/>
    </w:pPr>
    <w:rPr>
      <w:rFonts w:ascii="Times New Roman" w:eastAsiaTheme="minorHAnsi" w:hAnsi="Times New Roman"/>
      <w:sz w:val="20"/>
      <w:lang w:eastAsia="en-US"/>
    </w:rPr>
  </w:style>
  <w:style w:type="character" w:customStyle="1" w:styleId="FootnoteTextChar">
    <w:name w:val="Footnote Text Char"/>
    <w:basedOn w:val="DefaultParagraphFont"/>
    <w:link w:val="FootnoteText"/>
    <w:uiPriority w:val="99"/>
    <w:semiHidden/>
    <w:rsid w:val="00E26F8A"/>
    <w:rPr>
      <w:rFonts w:eastAsiaTheme="minorHAnsi"/>
    </w:rPr>
  </w:style>
  <w:style w:type="paragraph" w:customStyle="1" w:styleId="Numberedlistlevel2">
    <w:name w:val="Numbered list level 2"/>
    <w:basedOn w:val="ListNumber"/>
    <w:autoRedefine/>
    <w:qFormat/>
    <w:rsid w:val="00E26F8A"/>
    <w:pPr>
      <w:numPr>
        <w:numId w:val="34"/>
      </w:numPr>
      <w:spacing w:after="60" w:line="300" w:lineRule="atLeast"/>
    </w:pPr>
    <w:rPr>
      <w:rFonts w:ascii="Arial MT Std Light" w:eastAsiaTheme="minorHAnsi" w:hAnsi="Arial MT Std Light"/>
      <w:w w:val="90"/>
      <w:szCs w:val="22"/>
      <w:lang w:eastAsia="en-US"/>
    </w:rPr>
  </w:style>
  <w:style w:type="character" w:customStyle="1" w:styleId="DTFItalics">
    <w:name w:val="DTF Italics"/>
    <w:uiPriority w:val="1"/>
    <w:qFormat/>
    <w:rsid w:val="00E26F8A"/>
    <w:rPr>
      <w:i/>
    </w:rPr>
  </w:style>
  <w:style w:type="character" w:styleId="Strong">
    <w:name w:val="Strong"/>
    <w:basedOn w:val="DefaultParagraphFont"/>
    <w:uiPriority w:val="22"/>
    <w:semiHidden/>
    <w:rsid w:val="00E26F8A"/>
    <w:rPr>
      <w:b/>
      <w:bCs/>
    </w:rPr>
  </w:style>
  <w:style w:type="character" w:styleId="CommentReference">
    <w:name w:val="annotation reference"/>
    <w:basedOn w:val="DefaultParagraphFont"/>
    <w:uiPriority w:val="99"/>
    <w:semiHidden/>
    <w:unhideWhenUsed/>
    <w:rsid w:val="000A70CD"/>
    <w:rPr>
      <w:sz w:val="16"/>
      <w:szCs w:val="16"/>
    </w:rPr>
  </w:style>
  <w:style w:type="paragraph" w:styleId="CommentText">
    <w:name w:val="annotation text"/>
    <w:basedOn w:val="Normal"/>
    <w:link w:val="CommentTextChar"/>
    <w:uiPriority w:val="99"/>
    <w:semiHidden/>
    <w:unhideWhenUsed/>
    <w:rsid w:val="000A70CD"/>
    <w:rPr>
      <w:sz w:val="20"/>
    </w:rPr>
  </w:style>
  <w:style w:type="character" w:customStyle="1" w:styleId="CommentTextChar">
    <w:name w:val="Comment Text Char"/>
    <w:basedOn w:val="DefaultParagraphFont"/>
    <w:link w:val="CommentText"/>
    <w:uiPriority w:val="99"/>
    <w:semiHidden/>
    <w:rsid w:val="000A70CD"/>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0A70CD"/>
    <w:rPr>
      <w:b/>
      <w:bCs/>
    </w:rPr>
  </w:style>
  <w:style w:type="character" w:customStyle="1" w:styleId="CommentSubjectChar">
    <w:name w:val="Comment Subject Char"/>
    <w:basedOn w:val="CommentTextChar"/>
    <w:link w:val="CommentSubject"/>
    <w:uiPriority w:val="99"/>
    <w:semiHidden/>
    <w:rsid w:val="000A70CD"/>
    <w:rPr>
      <w:rFonts w:ascii="Arial" w:eastAsia="Times New Roman" w:hAnsi="Arial"/>
      <w:b/>
      <w:bCs/>
      <w:lang w:eastAsia="en-AU"/>
    </w:rPr>
  </w:style>
  <w:style w:type="paragraph" w:styleId="Revision">
    <w:name w:val="Revision"/>
    <w:hidden/>
    <w:uiPriority w:val="99"/>
    <w:semiHidden/>
    <w:rsid w:val="000A70CD"/>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84333712">
      <w:bodyDiv w:val="1"/>
      <w:marLeft w:val="0"/>
      <w:marRight w:val="0"/>
      <w:marTop w:val="0"/>
      <w:marBottom w:val="0"/>
      <w:divBdr>
        <w:top w:val="none" w:sz="0" w:space="0" w:color="auto"/>
        <w:left w:val="none" w:sz="0" w:space="0" w:color="auto"/>
        <w:bottom w:val="none" w:sz="0" w:space="0" w:color="auto"/>
        <w:right w:val="none" w:sz="0" w:space="0" w:color="auto"/>
      </w:divBdr>
    </w:div>
    <w:div w:id="168625209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46ED-D07E-47A2-8728-D0AFD33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Natural Disaster Relief and Recovery Arrangements</vt:lpstr>
    </vt:vector>
  </TitlesOfParts>
  <Company>Northern Territory Government</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Relief and Recovery Arrangements</dc:title>
  <dc:creator>Barbara Beamsley</dc:creator>
  <cp:lastModifiedBy>Niall Stone</cp:lastModifiedBy>
  <cp:revision>4</cp:revision>
  <cp:lastPrinted>2017-09-08T00:37:00Z</cp:lastPrinted>
  <dcterms:created xsi:type="dcterms:W3CDTF">2017-09-08T00:36:00Z</dcterms:created>
  <dcterms:modified xsi:type="dcterms:W3CDTF">2017-09-08T00:41:00Z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28 June 2016</vt:lpwstr>
  </property>
</Properties>
</file>