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AC7E" w14:textId="5742C2DD" w:rsidR="0057761C" w:rsidRPr="0057761C" w:rsidRDefault="008E180F" w:rsidP="0057761C">
      <w:pPr>
        <w:pStyle w:val="Subtitle0"/>
        <w:rPr>
          <w:noProof/>
          <w:lang w:eastAsia="en-AU"/>
        </w:rPr>
      </w:pPr>
      <w:bookmarkStart w:id="0" w:name="_GoBack"/>
      <w:bookmarkEnd w:id="0"/>
      <w:r w:rsidRPr="008E180F">
        <w:rPr>
          <w:noProof/>
          <w:lang w:eastAsia="en-AU"/>
        </w:rPr>
        <w:t>Commissioner’s Guideline</w:t>
      </w:r>
    </w:p>
    <w:tbl>
      <w:tblPr>
        <w:tblStyle w:val="NTGtable1"/>
        <w:tblW w:w="0" w:type="auto"/>
        <w:tblLook w:val="04A0" w:firstRow="1" w:lastRow="0" w:firstColumn="1" w:lastColumn="0" w:noHBand="0" w:noVBand="1"/>
      </w:tblPr>
      <w:tblGrid>
        <w:gridCol w:w="1140"/>
        <w:gridCol w:w="3056"/>
        <w:gridCol w:w="3056"/>
        <w:gridCol w:w="3056"/>
      </w:tblGrid>
      <w:tr w:rsidR="00D1080C" w:rsidRPr="00FC7F2D" w14:paraId="690734F0" w14:textId="77777777" w:rsidTr="005A61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40" w:type="dxa"/>
            <w:vMerge w:val="restart"/>
            <w:vAlign w:val="bottom"/>
          </w:tcPr>
          <w:p w14:paraId="6B6055BB" w14:textId="77777777" w:rsidR="00D1080C" w:rsidRPr="00FC7F2D" w:rsidRDefault="00D1080C" w:rsidP="005A614C">
            <w:pPr>
              <w:pStyle w:val="BodyText"/>
              <w:spacing w:after="60"/>
            </w:pPr>
            <w:r w:rsidRPr="00FC7F2D">
              <w:t>Version</w:t>
            </w:r>
          </w:p>
        </w:tc>
        <w:tc>
          <w:tcPr>
            <w:tcW w:w="3056" w:type="dxa"/>
            <w:vMerge w:val="restart"/>
            <w:vAlign w:val="bottom"/>
          </w:tcPr>
          <w:p w14:paraId="69C5DFCA" w14:textId="77777777" w:rsidR="00D1080C" w:rsidRPr="00FC7F2D" w:rsidRDefault="00D1080C" w:rsidP="005A614C">
            <w:pPr>
              <w:pStyle w:val="BodyText"/>
              <w:spacing w:after="60"/>
              <w:cnfStyle w:val="100000000000" w:firstRow="1" w:lastRow="0" w:firstColumn="0" w:lastColumn="0" w:oddVBand="0" w:evenVBand="0" w:oddHBand="0" w:evenHBand="0" w:firstRowFirstColumn="0" w:firstRowLastColumn="0" w:lastRowFirstColumn="0" w:lastRowLastColumn="0"/>
            </w:pPr>
            <w:r w:rsidRPr="00FC7F2D">
              <w:t>Issued</w:t>
            </w:r>
          </w:p>
        </w:tc>
        <w:tc>
          <w:tcPr>
            <w:tcW w:w="6112" w:type="dxa"/>
            <w:gridSpan w:val="2"/>
            <w:tcBorders>
              <w:top w:val="single" w:sz="4" w:space="0" w:color="1F1F5F" w:themeColor="text1"/>
              <w:bottom w:val="single" w:sz="4" w:space="0" w:color="FFFFFF" w:themeColor="background1"/>
            </w:tcBorders>
          </w:tcPr>
          <w:p w14:paraId="67274822" w14:textId="373A72CD" w:rsidR="00D1080C" w:rsidRPr="00FC7F2D" w:rsidRDefault="00D1080C" w:rsidP="005A614C">
            <w:pPr>
              <w:pStyle w:val="BodyText"/>
              <w:spacing w:after="60"/>
              <w:jc w:val="center"/>
              <w:cnfStyle w:val="100000000000" w:firstRow="1" w:lastRow="0" w:firstColumn="0" w:lastColumn="0" w:oddVBand="0" w:evenVBand="0" w:oddHBand="0" w:evenHBand="0" w:firstRowFirstColumn="0" w:firstRowLastColumn="0" w:lastRowFirstColumn="0" w:lastRowLastColumn="0"/>
            </w:pPr>
            <w:r w:rsidRPr="00FC7F2D">
              <w:t xml:space="preserve">Dates of </w:t>
            </w:r>
            <w:r>
              <w:t>e</w:t>
            </w:r>
            <w:r w:rsidRPr="00FC7F2D">
              <w:t>ffect</w:t>
            </w:r>
          </w:p>
        </w:tc>
      </w:tr>
      <w:tr w:rsidR="0057761C" w:rsidRPr="00FC7F2D" w14:paraId="05147DF9" w14:textId="77777777" w:rsidTr="005A614C">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140" w:type="dxa"/>
            <w:vMerge/>
          </w:tcPr>
          <w:p w14:paraId="5486CD4D" w14:textId="77777777" w:rsidR="0057761C" w:rsidRPr="00FC7F2D" w:rsidRDefault="0057761C" w:rsidP="007833B1">
            <w:pPr>
              <w:spacing w:after="200"/>
            </w:pPr>
          </w:p>
        </w:tc>
        <w:tc>
          <w:tcPr>
            <w:tcW w:w="3056" w:type="dxa"/>
            <w:vMerge/>
          </w:tcPr>
          <w:p w14:paraId="527EF550" w14:textId="77777777" w:rsidR="0057761C" w:rsidRPr="00FC7F2D" w:rsidRDefault="0057761C" w:rsidP="007833B1">
            <w:pPr>
              <w:spacing w:after="200"/>
              <w:cnfStyle w:val="000000100000" w:firstRow="0" w:lastRow="0" w:firstColumn="0" w:lastColumn="0" w:oddVBand="0" w:evenVBand="0" w:oddHBand="1" w:evenHBand="0" w:firstRowFirstColumn="0" w:firstRowLastColumn="0" w:lastRowFirstColumn="0" w:lastRowLastColumn="0"/>
            </w:pPr>
          </w:p>
        </w:tc>
        <w:tc>
          <w:tcPr>
            <w:tcW w:w="3056" w:type="dxa"/>
            <w:tcBorders>
              <w:top w:val="single" w:sz="4" w:space="0" w:color="FFFFFF" w:themeColor="background1"/>
            </w:tcBorders>
            <w:shd w:val="clear" w:color="auto" w:fill="1F1F5F" w:themeFill="text1"/>
            <w:vAlign w:val="bottom"/>
          </w:tcPr>
          <w:p w14:paraId="6B95DEF1" w14:textId="77777777" w:rsidR="0057761C" w:rsidRPr="005A614C" w:rsidRDefault="0057761C" w:rsidP="005A614C">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5A614C">
              <w:rPr>
                <w:b/>
              </w:rPr>
              <w:t>From:</w:t>
            </w:r>
          </w:p>
        </w:tc>
        <w:tc>
          <w:tcPr>
            <w:tcW w:w="3056" w:type="dxa"/>
            <w:tcBorders>
              <w:top w:val="single" w:sz="4" w:space="0" w:color="FFFFFF" w:themeColor="background1"/>
            </w:tcBorders>
            <w:shd w:val="clear" w:color="auto" w:fill="1F1F5F" w:themeFill="text1"/>
            <w:vAlign w:val="bottom"/>
          </w:tcPr>
          <w:p w14:paraId="6F96BE6E" w14:textId="77777777" w:rsidR="0057761C" w:rsidRPr="005A614C" w:rsidRDefault="0057761C" w:rsidP="005A614C">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5A614C">
              <w:rPr>
                <w:b/>
              </w:rPr>
              <w:t>To:</w:t>
            </w:r>
          </w:p>
        </w:tc>
      </w:tr>
      <w:tr w:rsidR="0057761C" w:rsidRPr="00B5046F" w14:paraId="504A566D" w14:textId="77777777" w:rsidTr="005A61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7E315E3E" w14:textId="77777777" w:rsidR="0057761C" w:rsidRPr="003C6A6B" w:rsidRDefault="0057761C" w:rsidP="0057761C">
            <w:r w:rsidRPr="003C6A6B">
              <w:t>1</w:t>
            </w:r>
          </w:p>
        </w:tc>
        <w:tc>
          <w:tcPr>
            <w:tcW w:w="3056" w:type="dxa"/>
          </w:tcPr>
          <w:p w14:paraId="46F977D8"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9 March 2006</w:t>
            </w:r>
          </w:p>
        </w:tc>
        <w:tc>
          <w:tcPr>
            <w:tcW w:w="3056" w:type="dxa"/>
          </w:tcPr>
          <w:p w14:paraId="6B77751B"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9 March 2006</w:t>
            </w:r>
          </w:p>
        </w:tc>
        <w:tc>
          <w:tcPr>
            <w:tcW w:w="3056" w:type="dxa"/>
          </w:tcPr>
          <w:p w14:paraId="60D46C44"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31 December 2007</w:t>
            </w:r>
          </w:p>
        </w:tc>
      </w:tr>
      <w:tr w:rsidR="0057761C" w:rsidRPr="00B5046F" w14:paraId="7016BFDA" w14:textId="77777777" w:rsidTr="005A61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0" w:type="dxa"/>
          </w:tcPr>
          <w:p w14:paraId="4EE278C0" w14:textId="77777777" w:rsidR="0057761C" w:rsidRPr="003C6A6B" w:rsidRDefault="0057761C" w:rsidP="0057761C">
            <w:r w:rsidRPr="003C6A6B">
              <w:t>2</w:t>
            </w:r>
          </w:p>
        </w:tc>
        <w:tc>
          <w:tcPr>
            <w:tcW w:w="3056" w:type="dxa"/>
          </w:tcPr>
          <w:p w14:paraId="613F3FD4"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2 January 2008</w:t>
            </w:r>
          </w:p>
        </w:tc>
        <w:tc>
          <w:tcPr>
            <w:tcW w:w="3056" w:type="dxa"/>
          </w:tcPr>
          <w:p w14:paraId="52809F4D"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1 January 2008</w:t>
            </w:r>
          </w:p>
        </w:tc>
        <w:tc>
          <w:tcPr>
            <w:tcW w:w="3056" w:type="dxa"/>
          </w:tcPr>
          <w:p w14:paraId="2B6C2D68"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17 June 2010</w:t>
            </w:r>
          </w:p>
        </w:tc>
      </w:tr>
      <w:tr w:rsidR="0057761C" w:rsidRPr="00B5046F" w14:paraId="056A305B" w14:textId="77777777" w:rsidTr="005A61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3CAFC91" w14:textId="77777777" w:rsidR="0057761C" w:rsidRPr="003C6A6B" w:rsidRDefault="0057761C" w:rsidP="0057761C">
            <w:r w:rsidRPr="003C6A6B">
              <w:t>3</w:t>
            </w:r>
          </w:p>
        </w:tc>
        <w:tc>
          <w:tcPr>
            <w:tcW w:w="3056" w:type="dxa"/>
          </w:tcPr>
          <w:p w14:paraId="0D480F96"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18 June 2010</w:t>
            </w:r>
          </w:p>
        </w:tc>
        <w:tc>
          <w:tcPr>
            <w:tcW w:w="3056" w:type="dxa"/>
          </w:tcPr>
          <w:p w14:paraId="208A96DB"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18 June 2010</w:t>
            </w:r>
          </w:p>
        </w:tc>
        <w:tc>
          <w:tcPr>
            <w:tcW w:w="3056" w:type="dxa"/>
          </w:tcPr>
          <w:p w14:paraId="7FCA0D39"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3 December 2012</w:t>
            </w:r>
          </w:p>
        </w:tc>
      </w:tr>
      <w:tr w:rsidR="0057761C" w:rsidRPr="00B5046F" w14:paraId="78F967DE" w14:textId="77777777" w:rsidTr="005A6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55CDD538" w14:textId="77777777" w:rsidR="0057761C" w:rsidRPr="003C6A6B" w:rsidRDefault="0057761C" w:rsidP="0057761C">
            <w:r w:rsidRPr="003C6A6B">
              <w:t>4</w:t>
            </w:r>
          </w:p>
        </w:tc>
        <w:tc>
          <w:tcPr>
            <w:tcW w:w="3056" w:type="dxa"/>
          </w:tcPr>
          <w:p w14:paraId="5479AE18"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7 December 2012</w:t>
            </w:r>
          </w:p>
        </w:tc>
        <w:tc>
          <w:tcPr>
            <w:tcW w:w="3056" w:type="dxa"/>
          </w:tcPr>
          <w:p w14:paraId="5B18A602"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4 December 2012</w:t>
            </w:r>
          </w:p>
        </w:tc>
        <w:tc>
          <w:tcPr>
            <w:tcW w:w="3056" w:type="dxa"/>
          </w:tcPr>
          <w:p w14:paraId="5BA58C04"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23 May 2016</w:t>
            </w:r>
          </w:p>
        </w:tc>
      </w:tr>
      <w:tr w:rsidR="0057761C" w:rsidRPr="00B5046F" w14:paraId="2BFDCB28" w14:textId="77777777" w:rsidTr="005A61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13129781" w14:textId="77777777" w:rsidR="0057761C" w:rsidRPr="003C6A6B" w:rsidRDefault="0057761C" w:rsidP="0057761C">
            <w:r w:rsidRPr="003C6A6B">
              <w:t>5</w:t>
            </w:r>
          </w:p>
        </w:tc>
        <w:tc>
          <w:tcPr>
            <w:tcW w:w="3056" w:type="dxa"/>
          </w:tcPr>
          <w:p w14:paraId="4B4ADA0C"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24 May 2016</w:t>
            </w:r>
          </w:p>
        </w:tc>
        <w:tc>
          <w:tcPr>
            <w:tcW w:w="3056" w:type="dxa"/>
          </w:tcPr>
          <w:p w14:paraId="119BE251"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24 May 2016</w:t>
            </w:r>
          </w:p>
        </w:tc>
        <w:tc>
          <w:tcPr>
            <w:tcW w:w="3056" w:type="dxa"/>
          </w:tcPr>
          <w:p w14:paraId="2445FCBE" w14:textId="77777777" w:rsidR="0057761C" w:rsidRPr="003C6A6B" w:rsidRDefault="0057761C" w:rsidP="0057761C">
            <w:pPr>
              <w:cnfStyle w:val="000000010000" w:firstRow="0" w:lastRow="0" w:firstColumn="0" w:lastColumn="0" w:oddVBand="0" w:evenVBand="0" w:oddHBand="0" w:evenHBand="1" w:firstRowFirstColumn="0" w:firstRowLastColumn="0" w:lastRowFirstColumn="0" w:lastRowLastColumn="0"/>
            </w:pPr>
            <w:r w:rsidRPr="003C6A6B">
              <w:t>30 June 2022</w:t>
            </w:r>
          </w:p>
        </w:tc>
      </w:tr>
      <w:tr w:rsidR="0057761C" w:rsidRPr="00B5046F" w14:paraId="3D34D735" w14:textId="77777777" w:rsidTr="005A6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426797F8" w14:textId="77777777" w:rsidR="0057761C" w:rsidRPr="003C6A6B" w:rsidRDefault="0057761C" w:rsidP="0057761C">
            <w:r w:rsidRPr="003C6A6B">
              <w:t>6</w:t>
            </w:r>
          </w:p>
        </w:tc>
        <w:tc>
          <w:tcPr>
            <w:tcW w:w="3056" w:type="dxa"/>
          </w:tcPr>
          <w:p w14:paraId="1B3DE827"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1 July 2022</w:t>
            </w:r>
          </w:p>
        </w:tc>
        <w:tc>
          <w:tcPr>
            <w:tcW w:w="3056" w:type="dxa"/>
          </w:tcPr>
          <w:p w14:paraId="30FFD897" w14:textId="77777777" w:rsidR="0057761C" w:rsidRPr="003C6A6B" w:rsidRDefault="0057761C" w:rsidP="0057761C">
            <w:pPr>
              <w:cnfStyle w:val="000000100000" w:firstRow="0" w:lastRow="0" w:firstColumn="0" w:lastColumn="0" w:oddVBand="0" w:evenVBand="0" w:oddHBand="1" w:evenHBand="0" w:firstRowFirstColumn="0" w:firstRowLastColumn="0" w:lastRowFirstColumn="0" w:lastRowLastColumn="0"/>
            </w:pPr>
            <w:r w:rsidRPr="003C6A6B">
              <w:t>1 July 2022</w:t>
            </w:r>
          </w:p>
        </w:tc>
        <w:tc>
          <w:tcPr>
            <w:tcW w:w="3056" w:type="dxa"/>
          </w:tcPr>
          <w:p w14:paraId="6224EA13" w14:textId="77777777" w:rsidR="0057761C" w:rsidRDefault="0057761C" w:rsidP="0057761C">
            <w:pPr>
              <w:cnfStyle w:val="000000100000" w:firstRow="0" w:lastRow="0" w:firstColumn="0" w:lastColumn="0" w:oddVBand="0" w:evenVBand="0" w:oddHBand="1" w:evenHBand="0" w:firstRowFirstColumn="0" w:firstRowLastColumn="0" w:lastRowFirstColumn="0" w:lastRowLastColumn="0"/>
            </w:pPr>
            <w:r w:rsidRPr="003C6A6B">
              <w:t>Current</w:t>
            </w:r>
          </w:p>
        </w:tc>
      </w:tr>
    </w:tbl>
    <w:p w14:paraId="2F30F335" w14:textId="1D12F387" w:rsidR="0057761C" w:rsidRDefault="0057761C" w:rsidP="0057761C">
      <w:pPr>
        <w:pStyle w:val="Heading1"/>
      </w:pPr>
      <w:r>
        <w:t>Purpose</w:t>
      </w:r>
    </w:p>
    <w:p w14:paraId="03EF01C3" w14:textId="7BB43039" w:rsidR="0057761C" w:rsidRDefault="0057761C" w:rsidP="005A614C">
      <w:pPr>
        <w:pStyle w:val="Numberlistlevel1ListNumber"/>
      </w:pPr>
      <w:r w:rsidRPr="0057761C">
        <w:t xml:space="preserve">This </w:t>
      </w:r>
      <w:r w:rsidR="00D1080C">
        <w:t>g</w:t>
      </w:r>
      <w:r w:rsidRPr="0057761C">
        <w:t xml:space="preserve">uideline explains whether a building qualifies as a ‘home’ for the purposes of the first home owner grant (FHOG), </w:t>
      </w:r>
      <w:r w:rsidR="00BF2F51">
        <w:t>H</w:t>
      </w:r>
      <w:r w:rsidRPr="0057761C">
        <w:t xml:space="preserve">ouse and land package exemption (HLPE), Territory home owner discount (THOD) and senior, pensioner and carer concession (SPCC), </w:t>
      </w:r>
      <w:r w:rsidR="00D1080C">
        <w:t>which are known collectively as</w:t>
      </w:r>
      <w:r w:rsidRPr="0057761C">
        <w:t xml:space="preserve"> the </w:t>
      </w:r>
      <w:r w:rsidR="00D1080C">
        <w:t>‘</w:t>
      </w:r>
      <w:r w:rsidRPr="0057761C">
        <w:t>home owner assistance schemes’.</w:t>
      </w:r>
    </w:p>
    <w:p w14:paraId="03235096" w14:textId="691C7619" w:rsidR="0057761C" w:rsidRDefault="00D1080C" w:rsidP="005A614C">
      <w:pPr>
        <w:pStyle w:val="Heading2"/>
      </w:pPr>
      <w:r>
        <w:t>H</w:t>
      </w:r>
      <w:r w:rsidR="0057761C">
        <w:t>ome owner assistance schemes</w:t>
      </w:r>
    </w:p>
    <w:p w14:paraId="7CD74D8D" w14:textId="66F60B14" w:rsidR="0057761C" w:rsidRDefault="0057761C" w:rsidP="005A614C">
      <w:pPr>
        <w:pStyle w:val="Numberlistlevel1ListNumber"/>
      </w:pPr>
      <w:r w:rsidRPr="0057761C">
        <w:t>The</w:t>
      </w:r>
      <w:r w:rsidR="00D1080C" w:rsidRPr="00D1080C">
        <w:t xml:space="preserve"> </w:t>
      </w:r>
      <w:r w:rsidRPr="0057761C">
        <w:t>home owner assistance schemes</w:t>
      </w:r>
      <w:r w:rsidR="00D1080C">
        <w:t xml:space="preserve"> are intended</w:t>
      </w:r>
      <w:r w:rsidRPr="0057761C">
        <w:t xml:space="preserve"> to encourage home ownership by providing assistance in the form of a grant for the purchase or construction of a home</w:t>
      </w:r>
      <w:r w:rsidR="00D1080C">
        <w:t xml:space="preserve"> </w:t>
      </w:r>
      <w:r w:rsidRPr="0057761C">
        <w:t xml:space="preserve">or </w:t>
      </w:r>
      <w:r w:rsidR="00D1080C">
        <w:t xml:space="preserve">reducing </w:t>
      </w:r>
      <w:r w:rsidRPr="0057761C">
        <w:t>the stamp duty payable on the purchase of land on which there is or will be a home.</w:t>
      </w:r>
    </w:p>
    <w:p w14:paraId="6AC709DE" w14:textId="77777777" w:rsidR="0057761C" w:rsidRDefault="0057761C" w:rsidP="0057761C">
      <w:pPr>
        <w:pStyle w:val="Heading1"/>
      </w:pPr>
      <w:r>
        <w:t>Meaning of ‘home’</w:t>
      </w:r>
    </w:p>
    <w:p w14:paraId="70D26CED" w14:textId="77777777" w:rsidR="0057761C" w:rsidRDefault="0057761C" w:rsidP="005A614C">
      <w:pPr>
        <w:pStyle w:val="Numberlistlevel1ListNumber"/>
      </w:pPr>
      <w:r>
        <w:t>For the purpose of the home owner assistance schemes a ‘home’ is defined as a building that is affixed to land that must be:</w:t>
      </w:r>
    </w:p>
    <w:p w14:paraId="53A9B3DC" w14:textId="0813DB7B" w:rsidR="0057761C" w:rsidRDefault="0057761C" w:rsidP="005A614C">
      <w:pPr>
        <w:pStyle w:val="Numberlistlevel2ListNumber2"/>
      </w:pPr>
      <w:r>
        <w:t>able to be lawfully used as a place of residence</w:t>
      </w:r>
    </w:p>
    <w:p w14:paraId="3065F130" w14:textId="7CD7AFA8" w:rsidR="0057761C" w:rsidRPr="005A614C" w:rsidRDefault="0057761C" w:rsidP="005A614C">
      <w:pPr>
        <w:pStyle w:val="Numberlistlevel2ListNumber2"/>
        <w:rPr>
          <w:spacing w:val="-2"/>
        </w:rPr>
      </w:pPr>
      <w:proofErr w:type="gramStart"/>
      <w:r w:rsidRPr="005A614C">
        <w:rPr>
          <w:spacing w:val="-2"/>
        </w:rPr>
        <w:t>in</w:t>
      </w:r>
      <w:proofErr w:type="gramEnd"/>
      <w:r w:rsidRPr="005A614C">
        <w:rPr>
          <w:spacing w:val="-2"/>
        </w:rPr>
        <w:t xml:space="preserve"> the opinion of the Commissioner of Territory Revenue, suitable for use as a place of residence.</w:t>
      </w:r>
      <w:r w:rsidRPr="005A614C">
        <w:rPr>
          <w:rStyle w:val="FootnoteReference"/>
          <w:spacing w:val="-2"/>
          <w:sz w:val="24"/>
          <w:szCs w:val="24"/>
        </w:rPr>
        <w:footnoteReference w:id="1"/>
      </w:r>
    </w:p>
    <w:p w14:paraId="51E2985A" w14:textId="6AB9A07B" w:rsidR="0057761C" w:rsidRDefault="0057761C" w:rsidP="005A614C">
      <w:pPr>
        <w:pStyle w:val="Numberlistlevel1ListNumber"/>
      </w:pPr>
      <w:r>
        <w:t xml:space="preserve">This definition does not include structures that are not permanently affixed to the land such as freestanding </w:t>
      </w:r>
      <w:proofErr w:type="spellStart"/>
      <w:r>
        <w:t>demountables</w:t>
      </w:r>
      <w:proofErr w:type="spellEnd"/>
      <w:r>
        <w:t xml:space="preserve"> or vehicles such as caravans.</w:t>
      </w:r>
    </w:p>
    <w:p w14:paraId="7CFB8D55" w14:textId="07432112" w:rsidR="0057761C" w:rsidRDefault="0057761C" w:rsidP="005A614C">
      <w:pPr>
        <w:pStyle w:val="Numberlistlevel1ListNumber"/>
      </w:pPr>
      <w:r>
        <w:t xml:space="preserve">In determining whether a building is suitable for use as a ‘place of residence’, the term is given its ordinary meaning having regard to the purpose of the relevant home owner assistance scheme. </w:t>
      </w:r>
      <w:r w:rsidR="00D1080C">
        <w:t>This </w:t>
      </w:r>
      <w:r>
        <w:t xml:space="preserve">means a building that is in a structural condition suitable for residential occupation and has the usual utilities and facilities expected of a person’s usual place of abode. For specific requirements, </w:t>
      </w:r>
      <w:r w:rsidR="00D1080C">
        <w:t>see </w:t>
      </w:r>
      <w:hyperlink w:anchor="_Evidence_required" w:history="1">
        <w:r w:rsidR="00D1080C" w:rsidRPr="00D1080C">
          <w:rPr>
            <w:rStyle w:val="Hyperlink"/>
          </w:rPr>
          <w:t>Evidence required</w:t>
        </w:r>
      </w:hyperlink>
      <w:r>
        <w:t>.</w:t>
      </w:r>
    </w:p>
    <w:p w14:paraId="5969F182" w14:textId="035411AF" w:rsidR="0057761C" w:rsidRDefault="0057761C" w:rsidP="0057761C">
      <w:pPr>
        <w:pStyle w:val="Heading2"/>
      </w:pPr>
      <w:r>
        <w:lastRenderedPageBreak/>
        <w:t xml:space="preserve">Buildings in a </w:t>
      </w:r>
      <w:r w:rsidR="00D1080C">
        <w:t>b</w:t>
      </w:r>
      <w:r>
        <w:t xml:space="preserve">uilding </w:t>
      </w:r>
      <w:r w:rsidR="00D1080C">
        <w:t>control area</w:t>
      </w:r>
    </w:p>
    <w:p w14:paraId="5062FD57" w14:textId="6E7EF08C" w:rsidR="0057761C" w:rsidRPr="0057761C" w:rsidRDefault="0057761C" w:rsidP="005A614C">
      <w:pPr>
        <w:pStyle w:val="Numberlistlevel1ListNumber"/>
      </w:pPr>
      <w:r w:rsidRPr="0057761C">
        <w:t xml:space="preserve">The </w:t>
      </w:r>
      <w:r w:rsidRPr="0057761C">
        <w:rPr>
          <w:i/>
        </w:rPr>
        <w:t>Building Act</w:t>
      </w:r>
      <w:r w:rsidR="00E24F57">
        <w:rPr>
          <w:i/>
        </w:rPr>
        <w:t xml:space="preserve"> 1993</w:t>
      </w:r>
      <w:r w:rsidRPr="0057761C">
        <w:t xml:space="preserve"> governs the technical standards for buildings </w:t>
      </w:r>
      <w:r w:rsidR="00F53176">
        <w:t>and</w:t>
      </w:r>
      <w:r w:rsidR="00F53176" w:rsidRPr="0057761C">
        <w:t xml:space="preserve"> </w:t>
      </w:r>
      <w:r w:rsidRPr="0057761C">
        <w:t>regulation of building matters</w:t>
      </w:r>
      <w:r w:rsidR="00F53176">
        <w:t>,</w:t>
      </w:r>
      <w:r w:rsidRPr="0057761C">
        <w:t xml:space="preserve"> including the grant of building and occupancy permits and other approvals, but only in relation to buildings in certain proclaimed areas (‘</w:t>
      </w:r>
      <w:r w:rsidR="00D1080C">
        <w:t>b</w:t>
      </w:r>
      <w:r w:rsidR="00D1080C" w:rsidRPr="0057761C">
        <w:t xml:space="preserve">uilding </w:t>
      </w:r>
      <w:r w:rsidR="00D1080C">
        <w:t>c</w:t>
      </w:r>
      <w:r w:rsidRPr="0057761C">
        <w:t xml:space="preserve">ontrol </w:t>
      </w:r>
      <w:r w:rsidR="00D1080C">
        <w:t>a</w:t>
      </w:r>
      <w:r w:rsidR="00D1080C" w:rsidRPr="0057761C">
        <w:t>reas’</w:t>
      </w:r>
      <w:r w:rsidRPr="0057761C">
        <w:t>).</w:t>
      </w:r>
      <w:r w:rsidRPr="0057761C">
        <w:rPr>
          <w:vertAlign w:val="superscript"/>
        </w:rPr>
        <w:footnoteReference w:id="2"/>
      </w:r>
    </w:p>
    <w:p w14:paraId="009DC8C7" w14:textId="0587D223" w:rsidR="0057761C" w:rsidRPr="0057761C" w:rsidRDefault="0057761C" w:rsidP="005A614C">
      <w:pPr>
        <w:pStyle w:val="Numberlistlevel1ListNumber"/>
      </w:pPr>
      <w:r w:rsidRPr="0057761C">
        <w:t xml:space="preserve">There are two classifications (or </w:t>
      </w:r>
      <w:r w:rsidR="00D1080C">
        <w:t>t</w:t>
      </w:r>
      <w:r w:rsidRPr="0057761C">
        <w:t xml:space="preserve">iers) within these </w:t>
      </w:r>
      <w:r w:rsidR="00D1080C">
        <w:t>b</w:t>
      </w:r>
      <w:r w:rsidR="00D1080C" w:rsidRPr="0057761C">
        <w:t xml:space="preserve">uilding </w:t>
      </w:r>
      <w:r w:rsidR="00D1080C">
        <w:t>c</w:t>
      </w:r>
      <w:r w:rsidR="00D1080C" w:rsidRPr="0057761C">
        <w:t xml:space="preserve">ontrol </w:t>
      </w:r>
      <w:r w:rsidR="00D1080C">
        <w:t>a</w:t>
      </w:r>
      <w:r w:rsidR="00D1080C" w:rsidRPr="0057761C">
        <w:t>reas</w:t>
      </w:r>
      <w:r w:rsidRPr="0057761C">
        <w:t>. Tier 1 covers Darwin (Greater Area), Alice Springs and Lake Bennett</w:t>
      </w:r>
      <w:r w:rsidR="00F53176">
        <w:t>.</w:t>
      </w:r>
      <w:r w:rsidRPr="0057761C">
        <w:t xml:space="preserve"> Tier 2 covers all other areas distant from Darwin and Alice Springs. </w:t>
      </w:r>
      <w:r w:rsidR="00F53176">
        <w:t>B</w:t>
      </w:r>
      <w:r w:rsidRPr="0057761C">
        <w:t xml:space="preserve">uilding certification requirements vary depending on which </w:t>
      </w:r>
      <w:r w:rsidR="00F53176">
        <w:t>t</w:t>
      </w:r>
      <w:r w:rsidRPr="0057761C">
        <w:t xml:space="preserve">ier the property is located within. </w:t>
      </w:r>
      <w:r w:rsidR="00F53176">
        <w:t>Use the</w:t>
      </w:r>
      <w:r w:rsidR="00F53176" w:rsidRPr="0057761C">
        <w:t xml:space="preserve"> </w:t>
      </w:r>
      <w:r w:rsidRPr="0057761C">
        <w:t xml:space="preserve">search function </w:t>
      </w:r>
      <w:r w:rsidR="00F53176">
        <w:t xml:space="preserve">on the </w:t>
      </w:r>
      <w:r w:rsidRPr="0057761C">
        <w:t>Northern Territory Building Advisory Services website</w:t>
      </w:r>
      <w:r w:rsidR="007625D4">
        <w:t>,</w:t>
      </w:r>
      <w:r w:rsidRPr="0057761C">
        <w:t xml:space="preserve"> </w:t>
      </w:r>
      <w:hyperlink r:id="rId9" w:tooltip="Link to NTILIS - Building Control" w:history="1">
        <w:r w:rsidRPr="0057761C">
          <w:rPr>
            <w:rStyle w:val="Hyperlink"/>
          </w:rPr>
          <w:t>www.ntlis.nt.gov.au/building-control</w:t>
        </w:r>
      </w:hyperlink>
      <w:r w:rsidRPr="0057761C">
        <w:t xml:space="preserve"> to determine if a building is located within a Building Control Area and the classification of that area.</w:t>
      </w:r>
    </w:p>
    <w:p w14:paraId="402C296C" w14:textId="44DFAA9A" w:rsidR="0057761C" w:rsidRPr="0057761C" w:rsidRDefault="0057761C" w:rsidP="005A614C">
      <w:pPr>
        <w:pStyle w:val="Numberlistlevel1ListNumber"/>
      </w:pPr>
      <w:r w:rsidRPr="0057761C">
        <w:t xml:space="preserve">Except for a class 1(a) detached house in a </w:t>
      </w:r>
      <w:r w:rsidR="00F53176">
        <w:t>t</w:t>
      </w:r>
      <w:r w:rsidRPr="0057761C">
        <w:t xml:space="preserve">ier 2 area, a building cannot lawfully be occupied for its intended use unless an occupancy permit has been issued confirming that it has been constructed to appropriate standards for that use. For a class 1(a) detached house in a </w:t>
      </w:r>
      <w:r w:rsidR="00F53176">
        <w:t>t</w:t>
      </w:r>
      <w:r w:rsidRPr="0057761C">
        <w:t>ier 2 area, the equivalent authority is a builder’s declaration confirming the building work has been carried out in accordance with the building permit.</w:t>
      </w:r>
      <w:r w:rsidRPr="0057761C">
        <w:rPr>
          <w:vertAlign w:val="superscript"/>
        </w:rPr>
        <w:footnoteReference w:id="3"/>
      </w:r>
      <w:r w:rsidR="00E24F57">
        <w:t xml:space="preserve"> </w:t>
      </w:r>
      <w:r w:rsidR="00E20F31">
        <w:t xml:space="preserve">A certificate of substantial compliance granted by a building certifier or a certificate of existence granted by the Director of Building Control also certifies a building </w:t>
      </w:r>
      <w:r w:rsidR="00F53176">
        <w:t>a</w:t>
      </w:r>
      <w:r w:rsidR="00E20F31">
        <w:t>s suitable for occupation.</w:t>
      </w:r>
    </w:p>
    <w:p w14:paraId="793DF7BD" w14:textId="7E58B662" w:rsidR="0057761C" w:rsidRPr="0057761C" w:rsidRDefault="0057761C" w:rsidP="005A614C">
      <w:pPr>
        <w:pStyle w:val="Numberlistlevel1ListNumber"/>
      </w:pPr>
      <w:r w:rsidRPr="0057761C">
        <w:t xml:space="preserve">Where a building has been approved </w:t>
      </w:r>
      <w:r w:rsidRPr="008F08FE">
        <w:t xml:space="preserve">for </w:t>
      </w:r>
      <w:r w:rsidRPr="005A614C">
        <w:t>residential use</w:t>
      </w:r>
      <w:r w:rsidRPr="008F08FE">
        <w:t xml:space="preserve"> in the</w:t>
      </w:r>
      <w:r w:rsidRPr="0057761C">
        <w:t xml:space="preserve"> manner described </w:t>
      </w:r>
      <w:r w:rsidR="00F66E3F">
        <w:t xml:space="preserve">at </w:t>
      </w:r>
      <w:r w:rsidR="00521662">
        <w:t>paragraph 8</w:t>
      </w:r>
      <w:r w:rsidR="00F66E3F">
        <w:t>,</w:t>
      </w:r>
      <w:r w:rsidR="00F66E3F" w:rsidRPr="0057761C">
        <w:t xml:space="preserve"> </w:t>
      </w:r>
      <w:r w:rsidRPr="0057761C">
        <w:t xml:space="preserve">or has an equivalent approval under a previous scheme, it will be presumed to be a ‘home’ for the purpose of the home owner assistance schemes unless there are other circumstances that prevent its lawful occupation. This might include the building having been condemned or being subject to a work order. In these circumstances, the building is not a ‘home’ for the purpose of the home owner assistance schemes unless the defect is rectified (see </w:t>
      </w:r>
      <w:hyperlink w:anchor="_Buildings_that_become" w:history="1">
        <w:r w:rsidRPr="00F66E3F">
          <w:rPr>
            <w:rStyle w:val="Hyperlink"/>
          </w:rPr>
          <w:t>Buildings that become homes</w:t>
        </w:r>
      </w:hyperlink>
      <w:r w:rsidRPr="0057761C">
        <w:t>).</w:t>
      </w:r>
    </w:p>
    <w:p w14:paraId="5955FB5B" w14:textId="718A453F" w:rsidR="0057761C" w:rsidRPr="0057761C" w:rsidRDefault="0057761C" w:rsidP="005A614C">
      <w:pPr>
        <w:pStyle w:val="Numberlistlevel1ListNumber"/>
      </w:pPr>
      <w:r w:rsidRPr="0057761C">
        <w:t xml:space="preserve">Building Advisory Services regulates the </w:t>
      </w:r>
      <w:r w:rsidRPr="0057761C">
        <w:rPr>
          <w:i/>
        </w:rPr>
        <w:t>Building Act</w:t>
      </w:r>
      <w:r w:rsidR="00E20F31">
        <w:rPr>
          <w:i/>
        </w:rPr>
        <w:t xml:space="preserve"> 1993</w:t>
      </w:r>
      <w:r w:rsidRPr="0057761C">
        <w:t xml:space="preserve"> and is the custodian of building and occupancy permits</w:t>
      </w:r>
      <w:r w:rsidR="00E20F31">
        <w:t>, certificates</w:t>
      </w:r>
      <w:r w:rsidRPr="0057761C">
        <w:t xml:space="preserve"> and builders’ declarations. Details are also generally recorded on the title to the property. </w:t>
      </w:r>
      <w:r w:rsidR="00F66E3F">
        <w:t>To check</w:t>
      </w:r>
      <w:r w:rsidRPr="0057761C">
        <w:t xml:space="preserve"> whether a building has the requisite approvals for residential use, </w:t>
      </w:r>
      <w:r w:rsidR="00F66E3F">
        <w:t>visit</w:t>
      </w:r>
      <w:r w:rsidRPr="0057761C">
        <w:t xml:space="preserve"> the B</w:t>
      </w:r>
      <w:r w:rsidR="007625D4">
        <w:t>uilding Advisory Services</w:t>
      </w:r>
      <w:r w:rsidRPr="0057761C">
        <w:t xml:space="preserve"> website</w:t>
      </w:r>
      <w:r w:rsidR="007625D4">
        <w:t>,</w:t>
      </w:r>
      <w:r w:rsidRPr="0057761C">
        <w:t xml:space="preserve"> </w:t>
      </w:r>
      <w:hyperlink r:id="rId10" w:tooltip="Web link to Lands - Building - About us" w:history="1">
        <w:r w:rsidRPr="0057761C">
          <w:rPr>
            <w:rStyle w:val="Hyperlink"/>
          </w:rPr>
          <w:t>http://lands.nt.gov.au/building/about-us</w:t>
        </w:r>
      </w:hyperlink>
      <w:r w:rsidRPr="0057761C">
        <w:t xml:space="preserve"> or email </w:t>
      </w:r>
      <w:hyperlink r:id="rId11" w:history="1">
        <w:r w:rsidR="00E87D30" w:rsidRPr="002374C8">
          <w:rPr>
            <w:rStyle w:val="Hyperlink"/>
          </w:rPr>
          <w:t>bas@nt.gov.au</w:t>
        </w:r>
      </w:hyperlink>
      <w:r w:rsidRPr="0057761C">
        <w:t>.</w:t>
      </w:r>
    </w:p>
    <w:p w14:paraId="5298A8E6" w14:textId="1BDA88C9" w:rsidR="0057761C" w:rsidRDefault="0057761C" w:rsidP="0057761C">
      <w:pPr>
        <w:pStyle w:val="Heading2"/>
      </w:pPr>
      <w:r w:rsidRPr="0057761C">
        <w:t xml:space="preserve">Buildings outside </w:t>
      </w:r>
      <w:r w:rsidR="00F66E3F">
        <w:t>b</w:t>
      </w:r>
      <w:r w:rsidRPr="0057761C">
        <w:t xml:space="preserve">uilding </w:t>
      </w:r>
      <w:r w:rsidR="00F66E3F">
        <w:t>c</w:t>
      </w:r>
      <w:r w:rsidRPr="0057761C">
        <w:t xml:space="preserve">ontrol </w:t>
      </w:r>
      <w:r w:rsidR="00F66E3F">
        <w:t>a</w:t>
      </w:r>
      <w:r w:rsidRPr="0057761C">
        <w:t>reas</w:t>
      </w:r>
    </w:p>
    <w:p w14:paraId="45946D66" w14:textId="3DCB44E1" w:rsidR="0057761C" w:rsidRDefault="0057761C" w:rsidP="005A614C">
      <w:pPr>
        <w:pStyle w:val="Numberlistlevel1ListNumber"/>
      </w:pPr>
      <w:r w:rsidRPr="0057761C">
        <w:t xml:space="preserve">A building outside </w:t>
      </w:r>
      <w:r w:rsidR="00F66E3F">
        <w:t>b</w:t>
      </w:r>
      <w:r w:rsidRPr="0057761C">
        <w:t xml:space="preserve">uilding </w:t>
      </w:r>
      <w:r w:rsidR="00F66E3F">
        <w:t>c</w:t>
      </w:r>
      <w:r w:rsidR="00F66E3F" w:rsidRPr="0057761C">
        <w:t xml:space="preserve">ontrol </w:t>
      </w:r>
      <w:r w:rsidR="00F66E3F">
        <w:t>a</w:t>
      </w:r>
      <w:r w:rsidRPr="0057761C">
        <w:t>reas may lawfully be used as a place of residence unless there is a law that prohibits residential occupation of th</w:t>
      </w:r>
      <w:r w:rsidR="00F66E3F">
        <w:t>e</w:t>
      </w:r>
      <w:r w:rsidRPr="0057761C">
        <w:t xml:space="preserve"> building or the land on which the building is affixed. However, the Territory Revenue Office (TRO) must still be satisfied that the building is suitable for use as a place of residence. In making such a determination, TRO will consider whether the</w:t>
      </w:r>
      <w:r w:rsidR="00F66E3F">
        <w:t>se</w:t>
      </w:r>
      <w:r w:rsidRPr="0057761C">
        <w:t xml:space="preserve"> minimum requirements have been met</w:t>
      </w:r>
      <w:r w:rsidR="00F66E3F">
        <w:t>; that the building:</w:t>
      </w:r>
    </w:p>
    <w:p w14:paraId="6A35C6D5" w14:textId="2BA95CB1" w:rsidR="0057761C" w:rsidRDefault="0057761C" w:rsidP="005A614C">
      <w:pPr>
        <w:pStyle w:val="Numberlistlevel2ListNumber2"/>
      </w:pPr>
      <w:r>
        <w:t>has the requisite structural integrity</w:t>
      </w:r>
      <w:r w:rsidR="00F66E3F">
        <w:t xml:space="preserve"> –</w:t>
      </w:r>
      <w:r>
        <w:t xml:space="preserve"> it has walls, roof, doors and windows that are in a </w:t>
      </w:r>
      <w:r w:rsidR="00F66E3F">
        <w:t>sound </w:t>
      </w:r>
      <w:r>
        <w:t>condition</w:t>
      </w:r>
    </w:p>
    <w:p w14:paraId="2C19BEFC" w14:textId="09948C27" w:rsidR="0057761C" w:rsidRDefault="0057761C" w:rsidP="005A614C">
      <w:pPr>
        <w:pStyle w:val="Numberlistlevel2ListNumber2"/>
      </w:pPr>
      <w:r>
        <w:t>contains essential facilities in reasonable working order necessary for permanent residential occupation</w:t>
      </w:r>
      <w:r w:rsidR="00F66E3F">
        <w:t xml:space="preserve"> – it has</w:t>
      </w:r>
      <w:r>
        <w:t xml:space="preserve"> a toilet, bath or shower, sinks</w:t>
      </w:r>
      <w:r w:rsidR="00F66E3F">
        <w:t xml:space="preserve"> or </w:t>
      </w:r>
      <w:r>
        <w:t xml:space="preserve">laundry and kitchen including facilities </w:t>
      </w:r>
      <w:r w:rsidR="00F66E3F">
        <w:t xml:space="preserve">suitable </w:t>
      </w:r>
      <w:r>
        <w:t>for preparing and cooking food</w:t>
      </w:r>
    </w:p>
    <w:p w14:paraId="72C088B5" w14:textId="54DB69A0" w:rsidR="0057761C" w:rsidRDefault="0057761C" w:rsidP="005A614C">
      <w:pPr>
        <w:pStyle w:val="Numberlistlevel2ListNumber2"/>
      </w:pPr>
      <w:r>
        <w:t xml:space="preserve">has or is connected in a permanent, proper and safe manner to essential utilities </w:t>
      </w:r>
      <w:r w:rsidR="00F66E3F">
        <w:t xml:space="preserve">– </w:t>
      </w:r>
      <w:r>
        <w:t>such as mains or self-generated electricity or gas, permanent water supply from the mains, a catchment, tank, bore or similar and sewerage or reasonable waste disposal facilities.</w:t>
      </w:r>
    </w:p>
    <w:p w14:paraId="5F498CAD" w14:textId="006FF080" w:rsidR="0057761C" w:rsidRDefault="00F66E3F" w:rsidP="005A614C">
      <w:pPr>
        <w:pStyle w:val="Numberlistlevel2ListNumber2"/>
      </w:pPr>
      <w:proofErr w:type="gramStart"/>
      <w:r>
        <w:lastRenderedPageBreak/>
        <w:t>has</w:t>
      </w:r>
      <w:proofErr w:type="gramEnd"/>
      <w:r>
        <w:t xml:space="preserve"> </w:t>
      </w:r>
      <w:r w:rsidR="0057761C">
        <w:t>reasonable living and sleeping areas.</w:t>
      </w:r>
    </w:p>
    <w:p w14:paraId="23A6ABAE" w14:textId="77777777" w:rsidR="0057761C" w:rsidRDefault="0057761C" w:rsidP="0057761C">
      <w:pPr>
        <w:pStyle w:val="Heading2"/>
      </w:pPr>
      <w:bookmarkStart w:id="1" w:name="_Evidence_required"/>
      <w:bookmarkEnd w:id="1"/>
      <w:r>
        <w:t>Evidence required</w:t>
      </w:r>
    </w:p>
    <w:p w14:paraId="4C14FC17" w14:textId="2402368A" w:rsidR="0057761C" w:rsidRPr="0057761C" w:rsidRDefault="00F66E3F" w:rsidP="005A614C">
      <w:pPr>
        <w:pStyle w:val="Numberlistlevel1ListNumber"/>
      </w:pPr>
      <w:r>
        <w:t>T</w:t>
      </w:r>
      <w:r w:rsidRPr="0057761C">
        <w:t xml:space="preserve">he building will be presumed to be a ‘home’ for the purpose of the home owner assistance schemes </w:t>
      </w:r>
      <w:r>
        <w:t>w</w:t>
      </w:r>
      <w:r w:rsidR="0057761C" w:rsidRPr="0057761C">
        <w:t>here it is clear from the application</w:t>
      </w:r>
      <w:r w:rsidR="00E20F31">
        <w:t xml:space="preserve"> form</w:t>
      </w:r>
      <w:r w:rsidR="0057761C" w:rsidRPr="0057761C">
        <w:t>, supporting evidence and information available to TRO that a building meets the standards</w:t>
      </w:r>
      <w:r>
        <w:t xml:space="preserve"> in the previous two sections; this is subject to the qualifications at </w:t>
      </w:r>
      <w:r w:rsidR="00521662">
        <w:t xml:space="preserve">paragraph </w:t>
      </w:r>
      <w:r>
        <w:t>14.</w:t>
      </w:r>
    </w:p>
    <w:p w14:paraId="5C17DBF1" w14:textId="77777777" w:rsidR="0057761C" w:rsidRPr="0057761C" w:rsidRDefault="0057761C" w:rsidP="005A614C">
      <w:pPr>
        <w:pStyle w:val="Numberlistlevel1ListNumber"/>
      </w:pPr>
      <w:r w:rsidRPr="0057761C">
        <w:t>However, where it is not clear that the building is a home (for example, where the title to land indicates that the only approved improvement on the land is a shed), the applicant must provide evidence in support of their application.</w:t>
      </w:r>
    </w:p>
    <w:p w14:paraId="1A5D815F" w14:textId="77777777" w:rsidR="0057761C" w:rsidRPr="0057761C" w:rsidRDefault="0057761C" w:rsidP="005A614C">
      <w:pPr>
        <w:pStyle w:val="Numberlistlevel1ListNumber"/>
      </w:pPr>
      <w:r w:rsidRPr="0057761C">
        <w:t>For a building:</w:t>
      </w:r>
    </w:p>
    <w:p w14:paraId="1038E4AB" w14:textId="06DC3A33" w:rsidR="0057761C" w:rsidRPr="0057761C" w:rsidRDefault="0057761C" w:rsidP="005A614C">
      <w:pPr>
        <w:pStyle w:val="Numberlistlevel2ListNumber2"/>
      </w:pPr>
      <w:r w:rsidRPr="0057761C">
        <w:t xml:space="preserve">in a </w:t>
      </w:r>
      <w:r w:rsidR="00F66E3F">
        <w:t>b</w:t>
      </w:r>
      <w:r w:rsidRPr="0057761C">
        <w:t xml:space="preserve">uilding </w:t>
      </w:r>
      <w:r w:rsidR="00F66E3F">
        <w:t>c</w:t>
      </w:r>
      <w:r w:rsidR="00F66E3F" w:rsidRPr="0057761C">
        <w:t xml:space="preserve">ontrol </w:t>
      </w:r>
      <w:r w:rsidR="00F66E3F">
        <w:t>a</w:t>
      </w:r>
      <w:r w:rsidR="00F66E3F" w:rsidRPr="0057761C">
        <w:t>rea</w:t>
      </w:r>
      <w:r w:rsidRPr="0057761C">
        <w:t>, the evidence may include a copy of the building permit (where payment is made in anticipation of construction of a home), occupancy permit (or an equivalent certificate or approval under a previous scheme), a section 69 builder’s declaration or advice from B</w:t>
      </w:r>
      <w:r w:rsidR="007625D4">
        <w:t>uilding Advisory Services</w:t>
      </w:r>
      <w:r w:rsidRPr="0057761C">
        <w:t xml:space="preserve"> confirming that the building may be used for residential purposes.</w:t>
      </w:r>
    </w:p>
    <w:p w14:paraId="71A92EB6" w14:textId="6CB4CDFB" w:rsidR="0057761C" w:rsidRPr="0057761C" w:rsidRDefault="0057761C" w:rsidP="005A614C">
      <w:pPr>
        <w:pStyle w:val="Numberlistlevel2ListNumber2"/>
      </w:pPr>
      <w:r w:rsidRPr="0057761C">
        <w:t xml:space="preserve">outside of a </w:t>
      </w:r>
      <w:r w:rsidR="00F66E3F">
        <w:t>b</w:t>
      </w:r>
      <w:r w:rsidR="00F66E3F" w:rsidRPr="0057761C">
        <w:t xml:space="preserve">uilding </w:t>
      </w:r>
      <w:r w:rsidR="00F66E3F">
        <w:t>c</w:t>
      </w:r>
      <w:r w:rsidR="00F66E3F" w:rsidRPr="0057761C">
        <w:t xml:space="preserve">ontrol </w:t>
      </w:r>
      <w:r w:rsidR="00F66E3F">
        <w:t>a</w:t>
      </w:r>
      <w:r w:rsidR="00F66E3F" w:rsidRPr="0057761C">
        <w:t>rea</w:t>
      </w:r>
      <w:r w:rsidRPr="0057761C">
        <w:t>, the evidence may include</w:t>
      </w:r>
      <w:r w:rsidR="00F66E3F">
        <w:t xml:space="preserve"> a</w:t>
      </w:r>
      <w:r w:rsidRPr="0057761C">
        <w:t>:</w:t>
      </w:r>
    </w:p>
    <w:p w14:paraId="0271FDF9" w14:textId="2CE6AA82" w:rsidR="0057761C" w:rsidRPr="0057761C" w:rsidRDefault="0057761C" w:rsidP="005A614C">
      <w:pPr>
        <w:pStyle w:val="Numberlistlevel3ListNumber3"/>
      </w:pPr>
      <w:proofErr w:type="gramStart"/>
      <w:r w:rsidRPr="0057761C">
        <w:t>written</w:t>
      </w:r>
      <w:proofErr w:type="gramEnd"/>
      <w:r w:rsidRPr="0057761C">
        <w:t xml:space="preserve"> statement from the builder or a registered building certifier certifying that the building satisfies, or will satisfy, the standards described </w:t>
      </w:r>
      <w:r w:rsidR="00F66E3F">
        <w:t>at</w:t>
      </w:r>
      <w:r w:rsidR="00B75B25">
        <w:t xml:space="preserve"> </w:t>
      </w:r>
      <w:r w:rsidR="00521662">
        <w:t xml:space="preserve">paragraph </w:t>
      </w:r>
      <w:r w:rsidR="00B75B25">
        <w:t>11</w:t>
      </w:r>
      <w:r w:rsidR="00F66E3F">
        <w:t>.</w:t>
      </w:r>
    </w:p>
    <w:p w14:paraId="6A28E4B0" w14:textId="0EBB066E" w:rsidR="0057761C" w:rsidRPr="0057761C" w:rsidRDefault="0057761C" w:rsidP="005A614C">
      <w:pPr>
        <w:pStyle w:val="Numberlistlevel3ListNumber3"/>
      </w:pPr>
      <w:proofErr w:type="gramStart"/>
      <w:r w:rsidRPr="0057761C">
        <w:t>copy</w:t>
      </w:r>
      <w:proofErr w:type="gramEnd"/>
      <w:r w:rsidRPr="0057761C">
        <w:t xml:space="preserve"> of any plans and specifications relating to the building and photographic evidence that the building satisfies the minimum requirements described </w:t>
      </w:r>
      <w:r w:rsidR="00ED2CD0">
        <w:t xml:space="preserve">at </w:t>
      </w:r>
      <w:r w:rsidR="00521662">
        <w:t xml:space="preserve">paragraph </w:t>
      </w:r>
      <w:r w:rsidR="00B75B25">
        <w:t>11</w:t>
      </w:r>
      <w:r w:rsidR="00ED2CD0" w:rsidRPr="0057761C">
        <w:t xml:space="preserve"> </w:t>
      </w:r>
      <w:r w:rsidRPr="0057761C">
        <w:t>in relation to structural integrity, essential facilities and utilities.</w:t>
      </w:r>
    </w:p>
    <w:p w14:paraId="3DDA2CBA" w14:textId="717BD2FA" w:rsidR="0057761C" w:rsidRDefault="0057761C" w:rsidP="0057761C">
      <w:pPr>
        <w:pStyle w:val="Heading2"/>
      </w:pPr>
      <w:r>
        <w:t xml:space="preserve">Information for </w:t>
      </w:r>
      <w:r w:rsidR="00BF2F51">
        <w:t>H</w:t>
      </w:r>
      <w:r w:rsidR="00ED2CD0">
        <w:t xml:space="preserve">ouse and land package </w:t>
      </w:r>
      <w:r w:rsidR="00B51B42">
        <w:t>exemption </w:t>
      </w:r>
      <w:r>
        <w:t>applicants</w:t>
      </w:r>
    </w:p>
    <w:p w14:paraId="75F29E8E" w14:textId="40BDCADA" w:rsidR="0057761C" w:rsidRDefault="0057761C" w:rsidP="005A614C">
      <w:pPr>
        <w:pStyle w:val="Numberlistlevel1ListNumber"/>
      </w:pPr>
      <w:r w:rsidRPr="0057761C">
        <w:t xml:space="preserve">In addition to the above, </w:t>
      </w:r>
      <w:r w:rsidR="00B51B42">
        <w:t xml:space="preserve">the </w:t>
      </w:r>
      <w:r w:rsidRPr="0057761C">
        <w:t>HLPE only applies in relation to detached</w:t>
      </w:r>
      <w:r w:rsidR="006B4A08">
        <w:t>, new</w:t>
      </w:r>
      <w:r w:rsidRPr="0057761C">
        <w:t xml:space="preserve"> homes.</w:t>
      </w:r>
      <w:r w:rsidRPr="0057761C">
        <w:rPr>
          <w:vertAlign w:val="superscript"/>
        </w:rPr>
        <w:footnoteReference w:id="4"/>
      </w:r>
    </w:p>
    <w:p w14:paraId="77B99642" w14:textId="77777777" w:rsidR="0057761C" w:rsidRDefault="0057761C" w:rsidP="0057761C">
      <w:pPr>
        <w:pStyle w:val="Heading1"/>
      </w:pPr>
      <w:r>
        <w:t>Meaning of ‘new home’</w:t>
      </w:r>
    </w:p>
    <w:p w14:paraId="25C658BD" w14:textId="4049D353" w:rsidR="0057761C" w:rsidRPr="0057761C" w:rsidRDefault="0057761C" w:rsidP="005A614C">
      <w:pPr>
        <w:pStyle w:val="Numberlistlevel1ListNumber"/>
      </w:pPr>
      <w:r w:rsidRPr="0057761C">
        <w:t>For the purposes of the FHOG and HLPE, a ‘new home’ is a home that has not been previously occupied or sold as a place of residence</w:t>
      </w:r>
      <w:r w:rsidR="007625D4">
        <w:t>.</w:t>
      </w:r>
      <w:r w:rsidRPr="0057761C">
        <w:rPr>
          <w:vertAlign w:val="superscript"/>
        </w:rPr>
        <w:footnoteReference w:id="5"/>
      </w:r>
      <w:r w:rsidRPr="0057761C">
        <w:t xml:space="preserve"> Where a home does not meet this definition, it may still be treated as a new home under the FHOG in limited circumstances. For further information, refer to Commissioner’s Guideline </w:t>
      </w:r>
      <w:r w:rsidR="00ED2CD0" w:rsidRPr="005A614C">
        <w:t>CG-HI-011</w:t>
      </w:r>
      <w:r w:rsidRPr="0057761C">
        <w:t xml:space="preserve">: </w:t>
      </w:r>
      <w:r w:rsidRPr="0057761C">
        <w:rPr>
          <w:i/>
        </w:rPr>
        <w:t xml:space="preserve">What is a </w:t>
      </w:r>
      <w:r w:rsidR="006B4A08">
        <w:rPr>
          <w:i/>
        </w:rPr>
        <w:t>‘</w:t>
      </w:r>
      <w:r w:rsidRPr="0057761C">
        <w:rPr>
          <w:i/>
        </w:rPr>
        <w:t>new home</w:t>
      </w:r>
      <w:r w:rsidR="006B4A08">
        <w:rPr>
          <w:i/>
        </w:rPr>
        <w:t>’?</w:t>
      </w:r>
    </w:p>
    <w:p w14:paraId="454720C1" w14:textId="77777777" w:rsidR="0057761C" w:rsidRDefault="0057761C" w:rsidP="0057761C">
      <w:pPr>
        <w:pStyle w:val="Heading1"/>
      </w:pPr>
      <w:r w:rsidRPr="0057761C">
        <w:t>Payments in anticipatio</w:t>
      </w:r>
      <w:r>
        <w:t>n of completion of construction</w:t>
      </w:r>
    </w:p>
    <w:p w14:paraId="54C05AA3" w14:textId="0BFC6332" w:rsidR="0057761C" w:rsidRPr="0057761C" w:rsidRDefault="0057761C" w:rsidP="005A614C">
      <w:pPr>
        <w:pStyle w:val="Numberlistlevel1ListNumber"/>
      </w:pPr>
      <w:r w:rsidRPr="0057761C">
        <w:t>Under the home owner assistance schemes, the grant (in the case of the FHOG) or stamp duty</w:t>
      </w:r>
      <w:r>
        <w:t xml:space="preserve"> reduction</w:t>
      </w:r>
      <w:r w:rsidRPr="0057761C">
        <w:t xml:space="preserve"> (in the case of the HLPE, THOD or SPCC) may be approved in anticipation of a home being built on land. In these circumstances</w:t>
      </w:r>
      <w:r w:rsidR="00ED2CD0" w:rsidRPr="00ED2CD0">
        <w:t xml:space="preserve"> </w:t>
      </w:r>
      <w:r w:rsidR="00ED2CD0" w:rsidRPr="0057761C">
        <w:t xml:space="preserve">the home must be completed to the standards described </w:t>
      </w:r>
      <w:r w:rsidR="00912430">
        <w:t xml:space="preserve">at </w:t>
      </w:r>
      <w:r w:rsidR="00521662">
        <w:t xml:space="preserve">paragraph </w:t>
      </w:r>
      <w:r w:rsidR="00912430">
        <w:t>11</w:t>
      </w:r>
      <w:r w:rsidRPr="0057761C">
        <w:t xml:space="preserve"> to remain eligible for the relevant grant or stamp duty reduction.</w:t>
      </w:r>
    </w:p>
    <w:p w14:paraId="726206D7" w14:textId="77777777" w:rsidR="0057761C" w:rsidRDefault="0057761C">
      <w:pPr>
        <w:pStyle w:val="Heading1"/>
      </w:pPr>
      <w:bookmarkStart w:id="2" w:name="_Buildings_that_become"/>
      <w:bookmarkEnd w:id="2"/>
      <w:r>
        <w:lastRenderedPageBreak/>
        <w:t>Building</w:t>
      </w:r>
      <w:r w:rsidR="0020156A">
        <w:t>s</w:t>
      </w:r>
      <w:r>
        <w:t xml:space="preserve"> that become homes</w:t>
      </w:r>
    </w:p>
    <w:p w14:paraId="35AD47F6" w14:textId="0B498160" w:rsidR="0057761C" w:rsidRPr="0057761C" w:rsidRDefault="00ED2CD0" w:rsidP="005A614C">
      <w:pPr>
        <w:pStyle w:val="Numberlistlevel1ListNumber"/>
        <w:keepNext/>
        <w:keepLines/>
      </w:pPr>
      <w:r>
        <w:t>A</w:t>
      </w:r>
      <w:r w:rsidRPr="0057761C">
        <w:t xml:space="preserve"> building on land may not qualify as a home </w:t>
      </w:r>
      <w:r>
        <w:t>i</w:t>
      </w:r>
      <w:r w:rsidR="0057761C" w:rsidRPr="0057761C">
        <w:t>n some cases because:</w:t>
      </w:r>
    </w:p>
    <w:p w14:paraId="53AE8AE6" w14:textId="1DF4EF3B" w:rsidR="0057761C" w:rsidRPr="0057761C" w:rsidRDefault="0057761C" w:rsidP="005A614C">
      <w:pPr>
        <w:pStyle w:val="Numberlistlevel2ListNumber2"/>
        <w:keepNext/>
        <w:keepLines/>
      </w:pPr>
      <w:r w:rsidRPr="0057761C">
        <w:t>there are circumstances that prevent it being lawfully occupied as a place of residence (for example, it may have been condemned or subject to a work order</w:t>
      </w:r>
      <w:r w:rsidR="00ED2CD0">
        <w:t>)</w:t>
      </w:r>
    </w:p>
    <w:p w14:paraId="6A136DEC" w14:textId="77777777" w:rsidR="0057761C" w:rsidRPr="0057761C" w:rsidRDefault="0057761C" w:rsidP="005A614C">
      <w:pPr>
        <w:pStyle w:val="Numberlistlevel2ListNumber2"/>
        <w:keepNext/>
        <w:keepLines/>
      </w:pPr>
      <w:r w:rsidRPr="0057761C">
        <w:t>it is not suitable for use as a place of residence (for example, it does not have the facilities or utilities expected in a home as it was previously used for a different purpose such as a commercial building or shed).</w:t>
      </w:r>
    </w:p>
    <w:p w14:paraId="066CE4CF" w14:textId="6CF18094" w:rsidR="0057761C" w:rsidRPr="0057761C" w:rsidRDefault="0057761C" w:rsidP="005A614C">
      <w:pPr>
        <w:pStyle w:val="Numberlistlevel1ListNumber"/>
      </w:pPr>
      <w:r w:rsidRPr="0057761C">
        <w:t xml:space="preserve">Where improvements, repairs or renovations are made to the building such that it meets the standards of a home as described </w:t>
      </w:r>
      <w:r w:rsidR="000E6B1A">
        <w:t xml:space="preserve">at </w:t>
      </w:r>
      <w:r w:rsidR="00521662">
        <w:t xml:space="preserve">paragraph </w:t>
      </w:r>
      <w:r w:rsidR="00912430">
        <w:t xml:space="preserve">11 </w:t>
      </w:r>
      <w:r w:rsidRPr="0057761C">
        <w:t>(with any required certificates and approvals obtained), it will count as:</w:t>
      </w:r>
    </w:p>
    <w:p w14:paraId="1A928629" w14:textId="588A7C7B" w:rsidR="0057761C" w:rsidRPr="0057761C" w:rsidRDefault="0057761C" w:rsidP="005A614C">
      <w:pPr>
        <w:pStyle w:val="Numberlistlevel2ListNumber2"/>
      </w:pPr>
      <w:r w:rsidRPr="0057761C">
        <w:t>the building of a home by an owner builder for the purposes of the FHOG</w:t>
      </w:r>
    </w:p>
    <w:p w14:paraId="023185C6" w14:textId="77777777" w:rsidR="0057761C" w:rsidRPr="0057761C" w:rsidRDefault="0057761C" w:rsidP="005A614C">
      <w:pPr>
        <w:pStyle w:val="Numberlistlevel2ListNumber2"/>
      </w:pPr>
      <w:proofErr w:type="gramStart"/>
      <w:r w:rsidRPr="0057761C">
        <w:t>a</w:t>
      </w:r>
      <w:proofErr w:type="gramEnd"/>
      <w:r w:rsidRPr="0057761C">
        <w:t xml:space="preserve"> home being built on the land for the purposes of the THOD or SPCC.</w:t>
      </w:r>
    </w:p>
    <w:p w14:paraId="40E5BD38" w14:textId="5FDD1134" w:rsidR="0057761C" w:rsidRPr="0057761C" w:rsidRDefault="0057761C" w:rsidP="005A614C">
      <w:pPr>
        <w:pStyle w:val="Numberlistlevel1ListNumber"/>
      </w:pPr>
      <w:r w:rsidRPr="0057761C">
        <w:t>For the purposes of the HLPE, a new home does not include the substantial renovation of a previously occupied home</w:t>
      </w:r>
      <w:r w:rsidR="006B4A08">
        <w:t>.</w:t>
      </w:r>
      <w:r w:rsidR="00ED2CD0">
        <w:t xml:space="preserve"> </w:t>
      </w:r>
      <w:r w:rsidR="006B4A08">
        <w:t>T</w:t>
      </w:r>
      <w:r w:rsidRPr="0057761C">
        <w:t>herefore</w:t>
      </w:r>
      <w:r w:rsidR="00ED2CD0">
        <w:t>,</w:t>
      </w:r>
      <w:r w:rsidRPr="0057761C">
        <w:t xml:space="preserve"> such homes will not qualify for the exemption. For further information, refer to Commissioner’s Guideline </w:t>
      </w:r>
      <w:r w:rsidR="00ED2CD0" w:rsidRPr="005A614C">
        <w:t>CG-HI-011</w:t>
      </w:r>
      <w:r w:rsidRPr="0057761C">
        <w:t xml:space="preserve">: </w:t>
      </w:r>
      <w:r w:rsidRPr="0057761C">
        <w:rPr>
          <w:i/>
        </w:rPr>
        <w:t xml:space="preserve">What is a </w:t>
      </w:r>
      <w:r w:rsidR="006B4A08">
        <w:rPr>
          <w:i/>
        </w:rPr>
        <w:t>‘</w:t>
      </w:r>
      <w:r w:rsidRPr="0057761C">
        <w:rPr>
          <w:i/>
        </w:rPr>
        <w:t>new home</w:t>
      </w:r>
      <w:r w:rsidR="006B4A08">
        <w:rPr>
          <w:i/>
        </w:rPr>
        <w:t>’?</w:t>
      </w:r>
    </w:p>
    <w:p w14:paraId="4898E157" w14:textId="77777777" w:rsidR="0020156A" w:rsidRDefault="0020156A" w:rsidP="0020156A">
      <w:pPr>
        <w:pStyle w:val="Heading1"/>
      </w:pPr>
      <w:r>
        <w:t>Legislation</w:t>
      </w:r>
    </w:p>
    <w:p w14:paraId="2C09A8D7" w14:textId="77777777" w:rsidR="0020156A" w:rsidRPr="0020156A" w:rsidRDefault="0020156A" w:rsidP="005A614C">
      <w:pPr>
        <w:pStyle w:val="Numberlistlevel1ListNumber"/>
      </w:pPr>
      <w:r w:rsidRPr="0020156A">
        <w:t xml:space="preserve">Refer to the </w:t>
      </w:r>
      <w:r w:rsidRPr="0020156A">
        <w:rPr>
          <w:i/>
        </w:rPr>
        <w:t>First Home Owner Grant Act</w:t>
      </w:r>
      <w:r w:rsidR="006B4A08">
        <w:rPr>
          <w:i/>
        </w:rPr>
        <w:t xml:space="preserve"> 2000</w:t>
      </w:r>
      <w:r w:rsidRPr="0020156A">
        <w:t xml:space="preserve"> and the </w:t>
      </w:r>
      <w:r w:rsidRPr="0020156A">
        <w:rPr>
          <w:i/>
        </w:rPr>
        <w:t>Stamp Duty Act</w:t>
      </w:r>
      <w:r w:rsidR="006B4A08">
        <w:rPr>
          <w:i/>
        </w:rPr>
        <w:t xml:space="preserve"> 1978</w:t>
      </w:r>
      <w:r w:rsidRPr="0020156A">
        <w:t xml:space="preserve"> for the legislative basis for the home owner assistance schemes.</w:t>
      </w:r>
    </w:p>
    <w:p w14:paraId="099EF89B" w14:textId="3EE9EBE1" w:rsidR="0020156A" w:rsidRDefault="0020156A" w:rsidP="0020156A">
      <w:pPr>
        <w:pStyle w:val="Heading1"/>
      </w:pPr>
      <w:r>
        <w:t xml:space="preserve">Commissioner’s </w:t>
      </w:r>
      <w:r w:rsidR="00ED2CD0">
        <w:t>g</w:t>
      </w:r>
      <w:r>
        <w:t>uidelines</w:t>
      </w:r>
    </w:p>
    <w:p w14:paraId="32B40423" w14:textId="5CC2C304" w:rsidR="0020156A" w:rsidRPr="0020156A" w:rsidRDefault="0020156A" w:rsidP="005A614C">
      <w:pPr>
        <w:pStyle w:val="Numberlistlevel1ListNumber"/>
      </w:pPr>
      <w:r w:rsidRPr="0020156A">
        <w:t xml:space="preserve">Commissioner’s Guideline </w:t>
      </w:r>
      <w:r w:rsidR="00ED2CD0" w:rsidRPr="005A614C">
        <w:t>CG-GEN-001</w:t>
      </w:r>
      <w:r w:rsidR="00ED2CD0">
        <w:t>:</w:t>
      </w:r>
      <w:r w:rsidR="00ED2CD0" w:rsidRPr="00ED2CD0">
        <w:rPr>
          <w:i/>
        </w:rPr>
        <w:t xml:space="preserve"> </w:t>
      </w:r>
      <w:r w:rsidR="00ED2CD0" w:rsidRPr="00315604">
        <w:rPr>
          <w:i/>
        </w:rPr>
        <w:t>Revenue Circulars, Commissioner’s Guidelines and Payroll Tax Rulings: explanation and status</w:t>
      </w:r>
      <w:r w:rsidR="00ED2CD0" w:rsidRPr="007C7591">
        <w:t xml:space="preserve">, which sets out information on the revenue publication system, is incorporated into and </w:t>
      </w:r>
      <w:r w:rsidR="007625D4">
        <w:t xml:space="preserve">to be </w:t>
      </w:r>
      <w:r w:rsidR="00ED2CD0" w:rsidRPr="007C7591">
        <w:t xml:space="preserve">read as one with this </w:t>
      </w:r>
      <w:r w:rsidR="00ED2CD0">
        <w:t>g</w:t>
      </w:r>
      <w:r w:rsidR="00ED2CD0" w:rsidRPr="007C7591">
        <w:t xml:space="preserve">uideline. All </w:t>
      </w:r>
      <w:r w:rsidR="00ED2CD0">
        <w:t>c</w:t>
      </w:r>
      <w:r w:rsidR="00ED2CD0" w:rsidRPr="007C7591">
        <w:t xml:space="preserve">irculars and </w:t>
      </w:r>
      <w:r w:rsidR="00ED2CD0">
        <w:t>g</w:t>
      </w:r>
      <w:r w:rsidR="00ED2CD0" w:rsidRPr="007C7591">
        <w:t xml:space="preserve">uidelines are available </w:t>
      </w:r>
      <w:r w:rsidR="00ED2CD0">
        <w:t>on the</w:t>
      </w:r>
      <w:r w:rsidR="00ED2CD0" w:rsidRPr="007C7591">
        <w:t xml:space="preserve"> TRO website.</w:t>
      </w:r>
    </w:p>
    <w:p w14:paraId="3F0F8489" w14:textId="77777777" w:rsidR="0020156A" w:rsidRDefault="0020156A" w:rsidP="0020156A">
      <w:pPr>
        <w:pStyle w:val="Heading1"/>
      </w:pPr>
      <w:r>
        <w:t>Date of effect</w:t>
      </w:r>
    </w:p>
    <w:p w14:paraId="515C6318" w14:textId="36C06125" w:rsidR="0020156A" w:rsidRDefault="0020156A" w:rsidP="005A614C">
      <w:pPr>
        <w:pStyle w:val="Numberlistlevel1ListNumber"/>
      </w:pPr>
      <w:r w:rsidRPr="0020156A">
        <w:t xml:space="preserve">This version of the </w:t>
      </w:r>
      <w:r w:rsidR="007625D4">
        <w:t>g</w:t>
      </w:r>
      <w:r w:rsidRPr="0020156A">
        <w:t>uideline takes effect from 1 July 2022.</w:t>
      </w:r>
    </w:p>
    <w:p w14:paraId="0F4C8C10" w14:textId="77777777" w:rsidR="004F39A7" w:rsidRDefault="004F39A7" w:rsidP="00ED2CD0">
      <w:pPr>
        <w:pStyle w:val="BodyText"/>
        <w:rPr>
          <w:sz w:val="20"/>
          <w:szCs w:val="20"/>
        </w:rPr>
      </w:pPr>
      <w:r>
        <w:rPr>
          <w:noProof/>
          <w:lang w:eastAsia="en-AU"/>
        </w:rPr>
        <w:drawing>
          <wp:inline distT="0" distB="0" distL="0" distR="0" wp14:anchorId="0460A9E5" wp14:editId="0B627223">
            <wp:extent cx="1311275" cy="786765"/>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1940"/>
                    <a:stretch/>
                  </pic:blipFill>
                  <pic:spPr bwMode="auto">
                    <a:xfrm>
                      <a:off x="0" y="0"/>
                      <a:ext cx="1311275" cy="786765"/>
                    </a:xfrm>
                    <a:prstGeom prst="rect">
                      <a:avLst/>
                    </a:prstGeom>
                    <a:noFill/>
                    <a:ln>
                      <a:noFill/>
                    </a:ln>
                    <a:extLst>
                      <a:ext uri="{53640926-AAD7-44D8-BBD7-CCE9431645EC}">
                        <a14:shadowObscured xmlns:a14="http://schemas.microsoft.com/office/drawing/2010/main"/>
                      </a:ext>
                    </a:extLst>
                  </pic:spPr>
                </pic:pic>
              </a:graphicData>
            </a:graphic>
          </wp:inline>
        </w:drawing>
      </w:r>
    </w:p>
    <w:p w14:paraId="4E365B2E" w14:textId="250D6E48" w:rsidR="00ED2CD0" w:rsidRDefault="00ED2CD0" w:rsidP="00ED2CD0">
      <w:pPr>
        <w:pStyle w:val="BodyText"/>
        <w:rPr>
          <w:sz w:val="20"/>
          <w:szCs w:val="20"/>
        </w:rPr>
      </w:pPr>
      <w:r>
        <w:rPr>
          <w:sz w:val="20"/>
          <w:szCs w:val="20"/>
        </w:rPr>
        <w:t>Sarah Rummery</w:t>
      </w:r>
    </w:p>
    <w:p w14:paraId="1654C186" w14:textId="77777777" w:rsidR="00ED2CD0" w:rsidRDefault="00ED2CD0" w:rsidP="00ED2CD0">
      <w:pPr>
        <w:pStyle w:val="BodyText"/>
        <w:rPr>
          <w:b/>
          <w:sz w:val="20"/>
          <w:szCs w:val="20"/>
        </w:rPr>
      </w:pPr>
      <w:r>
        <w:rPr>
          <w:b/>
          <w:sz w:val="20"/>
          <w:szCs w:val="20"/>
        </w:rPr>
        <w:t>COMMISSIONER OF TERRITORY REVENUE</w:t>
      </w:r>
    </w:p>
    <w:p w14:paraId="4C90E2AF" w14:textId="77777777" w:rsidR="00ED2CD0" w:rsidRDefault="00ED2CD0" w:rsidP="00ED2CD0">
      <w:pPr>
        <w:pStyle w:val="BodyText"/>
        <w:rPr>
          <w:sz w:val="20"/>
          <w:szCs w:val="20"/>
        </w:rPr>
      </w:pPr>
      <w:r>
        <w:rPr>
          <w:sz w:val="20"/>
          <w:szCs w:val="20"/>
        </w:rPr>
        <w:t>Date of issue: 1 July 2022</w:t>
      </w:r>
    </w:p>
    <w:tbl>
      <w:tblPr>
        <w:tblW w:w="5000" w:type="pct"/>
        <w:tblBorders>
          <w:top w:val="single" w:sz="4" w:space="0" w:color="333399"/>
          <w:bottom w:val="single" w:sz="4" w:space="0" w:color="333399"/>
          <w:insideH w:val="single" w:sz="4" w:space="0" w:color="333399"/>
        </w:tblBorders>
        <w:tblCellMar>
          <w:top w:w="57" w:type="dxa"/>
          <w:left w:w="0" w:type="dxa"/>
          <w:bottom w:w="57" w:type="dxa"/>
          <w:right w:w="0" w:type="dxa"/>
        </w:tblCellMar>
        <w:tblLook w:val="01E0" w:firstRow="1" w:lastRow="1" w:firstColumn="1" w:lastColumn="1" w:noHBand="0" w:noVBand="0"/>
      </w:tblPr>
      <w:tblGrid>
        <w:gridCol w:w="4775"/>
        <w:gridCol w:w="5543"/>
      </w:tblGrid>
      <w:tr w:rsidR="00ED2CD0" w14:paraId="768B5AE3" w14:textId="77777777" w:rsidTr="00315604">
        <w:tc>
          <w:tcPr>
            <w:tcW w:w="5000" w:type="pct"/>
            <w:gridSpan w:val="2"/>
            <w:tcBorders>
              <w:top w:val="single" w:sz="4" w:space="0" w:color="333399"/>
              <w:left w:val="nil"/>
              <w:bottom w:val="single" w:sz="4" w:space="0" w:color="333399"/>
              <w:right w:val="nil"/>
            </w:tcBorders>
            <w:hideMark/>
          </w:tcPr>
          <w:p w14:paraId="6D552578" w14:textId="77777777" w:rsidR="00ED2CD0" w:rsidRDefault="00ED2CD0" w:rsidP="00315604">
            <w:pPr>
              <w:spacing w:before="120" w:after="120" w:line="240" w:lineRule="atLeast"/>
              <w:rPr>
                <w:rFonts w:cs="Arial"/>
                <w:sz w:val="20"/>
                <w:szCs w:val="20"/>
              </w:rPr>
            </w:pPr>
            <w:r>
              <w:rPr>
                <w:rFonts w:cs="Arial"/>
                <w:sz w:val="20"/>
                <w:szCs w:val="20"/>
              </w:rPr>
              <w:t>For further information, contact the Territory Revenue Office</w:t>
            </w:r>
          </w:p>
        </w:tc>
      </w:tr>
      <w:tr w:rsidR="00ED2CD0" w14:paraId="3C13DA9F" w14:textId="77777777" w:rsidTr="00315604">
        <w:tc>
          <w:tcPr>
            <w:tcW w:w="2314" w:type="pct"/>
            <w:tcBorders>
              <w:top w:val="single" w:sz="4" w:space="0" w:color="333399"/>
              <w:left w:val="nil"/>
              <w:bottom w:val="single" w:sz="4" w:space="0" w:color="333399"/>
              <w:right w:val="nil"/>
            </w:tcBorders>
            <w:hideMark/>
          </w:tcPr>
          <w:p w14:paraId="5B2A9EB0" w14:textId="77777777" w:rsidR="00ED2CD0" w:rsidRDefault="00ED2CD0" w:rsidP="00315604">
            <w:pPr>
              <w:spacing w:before="120" w:after="120"/>
              <w:rPr>
                <w:rFonts w:cs="Arial"/>
                <w:sz w:val="20"/>
                <w:szCs w:val="20"/>
              </w:rPr>
            </w:pPr>
            <w:r>
              <w:rPr>
                <w:rFonts w:cs="Arial"/>
                <w:sz w:val="20"/>
                <w:szCs w:val="20"/>
              </w:rPr>
              <w:t>GPO Box 1974</w:t>
            </w:r>
          </w:p>
          <w:p w14:paraId="0D16B941" w14:textId="77777777" w:rsidR="00ED2CD0" w:rsidRDefault="00ED2CD0" w:rsidP="00315604">
            <w:pPr>
              <w:spacing w:before="120" w:after="120"/>
              <w:rPr>
                <w:rFonts w:cs="Arial"/>
                <w:sz w:val="20"/>
                <w:szCs w:val="20"/>
              </w:rPr>
            </w:pPr>
            <w:r>
              <w:rPr>
                <w:rFonts w:cs="Arial"/>
                <w:sz w:val="20"/>
                <w:szCs w:val="20"/>
              </w:rPr>
              <w:t>Darwin NT 0801</w:t>
            </w:r>
          </w:p>
          <w:p w14:paraId="3BCDBAFF" w14:textId="77777777" w:rsidR="00ED2CD0" w:rsidRDefault="00ED2CD0" w:rsidP="00315604">
            <w:pPr>
              <w:spacing w:before="120" w:after="120"/>
              <w:rPr>
                <w:rFonts w:cs="Arial"/>
                <w:sz w:val="20"/>
                <w:szCs w:val="20"/>
              </w:rPr>
            </w:pPr>
            <w:r>
              <w:rPr>
                <w:rFonts w:cs="Arial"/>
                <w:sz w:val="20"/>
                <w:szCs w:val="20"/>
              </w:rPr>
              <w:t xml:space="preserve">Email: </w:t>
            </w:r>
            <w:hyperlink r:id="rId13" w:history="1">
              <w:r>
                <w:rPr>
                  <w:rStyle w:val="Hyperlink"/>
                  <w:rFonts w:cs="Arial"/>
                  <w:sz w:val="20"/>
                  <w:szCs w:val="20"/>
                </w:rPr>
                <w:t>ntrevenue@nt.gov.au</w:t>
              </w:r>
            </w:hyperlink>
          </w:p>
        </w:tc>
        <w:tc>
          <w:tcPr>
            <w:tcW w:w="2686" w:type="pct"/>
            <w:tcBorders>
              <w:top w:val="single" w:sz="4" w:space="0" w:color="333399"/>
              <w:left w:val="nil"/>
              <w:bottom w:val="single" w:sz="4" w:space="0" w:color="333399"/>
              <w:right w:val="nil"/>
            </w:tcBorders>
            <w:hideMark/>
          </w:tcPr>
          <w:p w14:paraId="5E8B8DF2" w14:textId="77777777" w:rsidR="00ED2CD0" w:rsidRDefault="00ED2CD0" w:rsidP="00315604">
            <w:pPr>
              <w:spacing w:before="120" w:after="120"/>
              <w:rPr>
                <w:rFonts w:cs="Arial"/>
                <w:sz w:val="20"/>
                <w:szCs w:val="20"/>
              </w:rPr>
            </w:pPr>
            <w:r>
              <w:rPr>
                <w:rFonts w:cs="Arial"/>
                <w:sz w:val="20"/>
                <w:szCs w:val="20"/>
              </w:rPr>
              <w:t>Phone: 1300 305 353</w:t>
            </w:r>
          </w:p>
          <w:p w14:paraId="2AD1576E" w14:textId="77777777" w:rsidR="00ED2CD0" w:rsidRDefault="00ED2CD0" w:rsidP="00315604">
            <w:pPr>
              <w:spacing w:before="120" w:after="120"/>
              <w:rPr>
                <w:rFonts w:cs="Arial"/>
                <w:bCs/>
                <w:sz w:val="20"/>
                <w:szCs w:val="20"/>
              </w:rPr>
            </w:pPr>
            <w:r>
              <w:rPr>
                <w:rFonts w:cs="Arial"/>
                <w:sz w:val="20"/>
                <w:szCs w:val="20"/>
              </w:rPr>
              <w:t xml:space="preserve">Website: </w:t>
            </w:r>
            <w:hyperlink r:id="rId14" w:history="1">
              <w:r>
                <w:rPr>
                  <w:rStyle w:val="Hyperlink"/>
                  <w:rFonts w:cs="Arial"/>
                  <w:sz w:val="20"/>
                  <w:szCs w:val="20"/>
                </w:rPr>
                <w:t>www.revenue.nt.gov.au</w:t>
              </w:r>
            </w:hyperlink>
          </w:p>
        </w:tc>
      </w:tr>
    </w:tbl>
    <w:p w14:paraId="0E584D9F" w14:textId="77777777" w:rsidR="00B14257" w:rsidRPr="00C62A34" w:rsidRDefault="00B14257" w:rsidP="005A614C">
      <w:pPr>
        <w:pStyle w:val="Hidden"/>
        <w:rPr>
          <w:lang w:eastAsia="en-AU"/>
        </w:rPr>
      </w:pPr>
    </w:p>
    <w:sectPr w:rsidR="00B14257" w:rsidRPr="00C62A34" w:rsidSect="004F39A7">
      <w:headerReference w:type="default" r:id="rId15"/>
      <w:footerReference w:type="default" r:id="rId16"/>
      <w:headerReference w:type="first" r:id="rId17"/>
      <w:footerReference w:type="first" r:id="rId18"/>
      <w:pgSz w:w="11906" w:h="16838" w:code="9"/>
      <w:pgMar w:top="794" w:right="794" w:bottom="794" w:left="794" w:header="794"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C0E9C" w14:textId="77777777" w:rsidR="000D65CC" w:rsidRDefault="000D65CC" w:rsidP="007332FF">
      <w:r>
        <w:separator/>
      </w:r>
    </w:p>
  </w:endnote>
  <w:endnote w:type="continuationSeparator" w:id="0">
    <w:p w14:paraId="28C54E54" w14:textId="77777777" w:rsidR="000D65CC" w:rsidRDefault="000D65C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189298" w14:textId="77777777" w:rsidTr="00D47DC7">
      <w:trPr>
        <w:cantSplit/>
        <w:trHeight w:hRule="exact" w:val="850"/>
      </w:trPr>
      <w:tc>
        <w:tcPr>
          <w:tcW w:w="10318" w:type="dxa"/>
          <w:vAlign w:val="bottom"/>
        </w:tcPr>
        <w:p w14:paraId="7C4B0AFE"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0156A">
                <w:rPr>
                  <w:rStyle w:val="PageNumber"/>
                  <w:b/>
                </w:rPr>
                <w:t>TREASURY AND FINANCE</w:t>
              </w:r>
            </w:sdtContent>
          </w:sdt>
        </w:p>
        <w:p w14:paraId="65F1AB95" w14:textId="1AE33213" w:rsidR="00D47DC7" w:rsidRPr="00CE6614" w:rsidRDefault="000D65CC"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20156A">
                <w:rPr>
                  <w:rStyle w:val="PageNumber"/>
                </w:rPr>
                <w:t>1 July 2022</w:t>
              </w:r>
            </w:sdtContent>
          </w:sdt>
          <w:r w:rsidR="0020156A">
            <w:rPr>
              <w:rStyle w:val="PageNumber"/>
            </w:rPr>
            <w:t xml:space="preserve"> | Version </w:t>
          </w:r>
          <w:r w:rsidR="00B87CED">
            <w:rPr>
              <w:rStyle w:val="PageNumber"/>
            </w:rPr>
            <w:t>6</w:t>
          </w:r>
        </w:p>
        <w:p w14:paraId="03504FF8" w14:textId="7E4E68E9"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7402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74027">
            <w:rPr>
              <w:rStyle w:val="PageNumber"/>
              <w:noProof/>
            </w:rPr>
            <w:t>4</w:t>
          </w:r>
          <w:r w:rsidRPr="00AC4488">
            <w:rPr>
              <w:rStyle w:val="PageNumber"/>
            </w:rPr>
            <w:fldChar w:fldCharType="end"/>
          </w:r>
        </w:p>
      </w:tc>
    </w:tr>
  </w:tbl>
  <w:p w14:paraId="38BC9F3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40E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97323D1" w14:textId="77777777" w:rsidTr="008921B4">
      <w:trPr>
        <w:cantSplit/>
        <w:trHeight w:hRule="exact" w:val="1134"/>
      </w:trPr>
      <w:tc>
        <w:tcPr>
          <w:tcW w:w="7767" w:type="dxa"/>
          <w:vAlign w:val="bottom"/>
        </w:tcPr>
        <w:p w14:paraId="489C50F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0156A">
                <w:rPr>
                  <w:rStyle w:val="PageNumber"/>
                  <w:b/>
                </w:rPr>
                <w:t>TREASURY AND FINANCE</w:t>
              </w:r>
            </w:sdtContent>
          </w:sdt>
          <w:r w:rsidR="0020156A">
            <w:rPr>
              <w:rStyle w:val="PageNumber"/>
            </w:rPr>
            <w:t xml:space="preserve"> </w:t>
          </w:r>
        </w:p>
        <w:p w14:paraId="2FDA9096" w14:textId="1C1F2696" w:rsidR="00D47DC7" w:rsidRPr="00CE6614" w:rsidRDefault="000D65CC"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20156A">
                <w:rPr>
                  <w:rStyle w:val="PageNumber"/>
                </w:rPr>
                <w:t>1 July 2022</w:t>
              </w:r>
            </w:sdtContent>
          </w:sdt>
          <w:r w:rsidR="0020156A">
            <w:rPr>
              <w:rStyle w:val="PageNumber"/>
            </w:rPr>
            <w:t xml:space="preserve"> | Version </w:t>
          </w:r>
          <w:r w:rsidR="00B87CED">
            <w:rPr>
              <w:rStyle w:val="PageNumber"/>
            </w:rPr>
            <w:t>6</w:t>
          </w:r>
        </w:p>
        <w:p w14:paraId="6EE98C34" w14:textId="765A4C30"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7402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74027">
            <w:rPr>
              <w:rStyle w:val="PageNumber"/>
              <w:noProof/>
            </w:rPr>
            <w:t>4</w:t>
          </w:r>
          <w:r w:rsidRPr="00AC4488">
            <w:rPr>
              <w:rStyle w:val="PageNumber"/>
            </w:rPr>
            <w:fldChar w:fldCharType="end"/>
          </w:r>
        </w:p>
      </w:tc>
      <w:tc>
        <w:tcPr>
          <w:tcW w:w="2551" w:type="dxa"/>
          <w:vAlign w:val="bottom"/>
        </w:tcPr>
        <w:p w14:paraId="10B48C32" w14:textId="77777777" w:rsidR="0071700C" w:rsidRPr="001E14EB" w:rsidRDefault="0071700C" w:rsidP="0071700C">
          <w:pPr>
            <w:spacing w:after="0"/>
            <w:jc w:val="right"/>
          </w:pPr>
          <w:r>
            <w:rPr>
              <w:noProof/>
              <w:lang w:eastAsia="en-AU"/>
            </w:rPr>
            <w:drawing>
              <wp:inline distT="0" distB="0" distL="0" distR="0" wp14:anchorId="7EC54697" wp14:editId="7132028B">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131F7F8"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7F22" w14:textId="77777777" w:rsidR="000D65CC" w:rsidRDefault="000D65CC" w:rsidP="007332FF">
      <w:r>
        <w:separator/>
      </w:r>
    </w:p>
  </w:footnote>
  <w:footnote w:type="continuationSeparator" w:id="0">
    <w:p w14:paraId="458545A6" w14:textId="77777777" w:rsidR="000D65CC" w:rsidRDefault="000D65CC" w:rsidP="007332FF">
      <w:r>
        <w:continuationSeparator/>
      </w:r>
    </w:p>
  </w:footnote>
  <w:footnote w:id="1">
    <w:p w14:paraId="269879B8" w14:textId="1D2A2AC5" w:rsidR="0057761C" w:rsidRPr="009E37E5" w:rsidRDefault="0057761C" w:rsidP="0057761C">
      <w:pPr>
        <w:pStyle w:val="FootnoteText"/>
        <w:rPr>
          <w:rFonts w:ascii="Arial" w:hAnsi="Arial" w:cs="Arial"/>
          <w:sz w:val="18"/>
          <w:szCs w:val="18"/>
        </w:rPr>
      </w:pPr>
      <w:r w:rsidRPr="009E37E5">
        <w:rPr>
          <w:rStyle w:val="FootnoteReference"/>
          <w:sz w:val="18"/>
          <w:szCs w:val="18"/>
        </w:rPr>
        <w:footnoteRef/>
      </w:r>
      <w:r w:rsidRPr="009E37E5">
        <w:rPr>
          <w:rFonts w:ascii="Arial" w:hAnsi="Arial" w:cs="Arial"/>
          <w:sz w:val="18"/>
          <w:szCs w:val="18"/>
        </w:rPr>
        <w:t xml:space="preserve"> </w:t>
      </w:r>
      <w:r w:rsidRPr="0057761C">
        <w:rPr>
          <w:rFonts w:asciiTheme="minorHAnsi" w:hAnsiTheme="minorHAnsi" w:cs="Arial"/>
          <w:sz w:val="18"/>
          <w:szCs w:val="18"/>
        </w:rPr>
        <w:t xml:space="preserve">Section 4 of the </w:t>
      </w:r>
      <w:r w:rsidRPr="0057761C">
        <w:rPr>
          <w:rFonts w:asciiTheme="minorHAnsi" w:hAnsiTheme="minorHAnsi" w:cs="Arial"/>
          <w:i/>
          <w:sz w:val="18"/>
          <w:szCs w:val="18"/>
        </w:rPr>
        <w:t>First Home Owner Grant Act</w:t>
      </w:r>
      <w:r w:rsidR="00E24F57">
        <w:rPr>
          <w:rFonts w:asciiTheme="minorHAnsi" w:hAnsiTheme="minorHAnsi" w:cs="Arial"/>
          <w:i/>
          <w:sz w:val="18"/>
          <w:szCs w:val="18"/>
        </w:rPr>
        <w:t xml:space="preserve"> 2000</w:t>
      </w:r>
      <w:r w:rsidRPr="0057761C">
        <w:rPr>
          <w:rFonts w:asciiTheme="minorHAnsi" w:hAnsiTheme="minorHAnsi" w:cs="Arial"/>
          <w:sz w:val="18"/>
          <w:szCs w:val="18"/>
        </w:rPr>
        <w:t xml:space="preserve"> and sections 88(1) (‘home’) of the</w:t>
      </w:r>
      <w:r w:rsidRPr="0057761C">
        <w:rPr>
          <w:rFonts w:asciiTheme="minorHAnsi" w:hAnsiTheme="minorHAnsi" w:cs="Arial"/>
          <w:i/>
          <w:sz w:val="18"/>
          <w:szCs w:val="18"/>
        </w:rPr>
        <w:t xml:space="preserve"> Stamp Duty Act</w:t>
      </w:r>
      <w:r w:rsidR="00E24F57">
        <w:rPr>
          <w:rFonts w:asciiTheme="minorHAnsi" w:hAnsiTheme="minorHAnsi" w:cs="Arial"/>
          <w:i/>
          <w:sz w:val="18"/>
          <w:szCs w:val="18"/>
        </w:rPr>
        <w:t xml:space="preserve"> 1978</w:t>
      </w:r>
      <w:r w:rsidRPr="0057761C">
        <w:rPr>
          <w:rFonts w:asciiTheme="minorHAnsi" w:hAnsiTheme="minorHAnsi" w:cs="Arial"/>
          <w:sz w:val="18"/>
          <w:szCs w:val="18"/>
        </w:rPr>
        <w:t xml:space="preserve"> (SDA).</w:t>
      </w:r>
    </w:p>
  </w:footnote>
  <w:footnote w:id="2">
    <w:p w14:paraId="42825EFC" w14:textId="77777777" w:rsidR="0057761C" w:rsidRPr="0057761C" w:rsidRDefault="0057761C" w:rsidP="0057761C">
      <w:pPr>
        <w:pStyle w:val="FootnoteText"/>
        <w:rPr>
          <w:rFonts w:asciiTheme="minorHAnsi" w:hAnsiTheme="minorHAnsi" w:cs="Arial"/>
          <w:sz w:val="18"/>
          <w:szCs w:val="18"/>
        </w:rPr>
      </w:pPr>
      <w:r w:rsidRPr="0057761C">
        <w:rPr>
          <w:rStyle w:val="FootnoteReference"/>
          <w:rFonts w:asciiTheme="minorHAnsi" w:hAnsiTheme="minorHAnsi"/>
          <w:sz w:val="18"/>
          <w:szCs w:val="18"/>
        </w:rPr>
        <w:footnoteRef/>
      </w:r>
      <w:r w:rsidRPr="0057761C">
        <w:rPr>
          <w:rFonts w:asciiTheme="minorHAnsi" w:hAnsiTheme="minorHAnsi" w:cs="Arial"/>
          <w:sz w:val="18"/>
          <w:szCs w:val="18"/>
        </w:rPr>
        <w:t xml:space="preserve"> Section 4 (‘Building Area’), section 6(2) and Parts 4 to 13 of the </w:t>
      </w:r>
      <w:r w:rsidRPr="0057761C">
        <w:rPr>
          <w:rFonts w:asciiTheme="minorHAnsi" w:hAnsiTheme="minorHAnsi" w:cs="Arial"/>
          <w:i/>
          <w:sz w:val="18"/>
          <w:szCs w:val="18"/>
        </w:rPr>
        <w:t>Building Act</w:t>
      </w:r>
      <w:r w:rsidR="00E20F31">
        <w:rPr>
          <w:rFonts w:asciiTheme="minorHAnsi" w:hAnsiTheme="minorHAnsi" w:cs="Arial"/>
          <w:i/>
          <w:sz w:val="18"/>
          <w:szCs w:val="18"/>
        </w:rPr>
        <w:t xml:space="preserve"> 1993</w:t>
      </w:r>
      <w:r w:rsidRPr="0057761C">
        <w:rPr>
          <w:rFonts w:asciiTheme="minorHAnsi" w:hAnsiTheme="minorHAnsi" w:cs="Arial"/>
          <w:sz w:val="18"/>
          <w:szCs w:val="18"/>
        </w:rPr>
        <w:t>.</w:t>
      </w:r>
    </w:p>
  </w:footnote>
  <w:footnote w:id="3">
    <w:p w14:paraId="1E82CCE7" w14:textId="77777777" w:rsidR="0057761C" w:rsidRPr="004A5B44" w:rsidRDefault="0057761C" w:rsidP="0057761C">
      <w:pPr>
        <w:pStyle w:val="FootnoteText"/>
        <w:rPr>
          <w:rFonts w:ascii="Arial" w:hAnsi="Arial" w:cs="Arial"/>
          <w:sz w:val="18"/>
          <w:szCs w:val="18"/>
        </w:rPr>
      </w:pPr>
      <w:r w:rsidRPr="0057761C">
        <w:rPr>
          <w:rStyle w:val="FootnoteReference"/>
          <w:rFonts w:asciiTheme="minorHAnsi" w:hAnsiTheme="minorHAnsi" w:cs="Arial"/>
          <w:sz w:val="18"/>
          <w:szCs w:val="18"/>
        </w:rPr>
        <w:footnoteRef/>
      </w:r>
      <w:r w:rsidRPr="0057761C">
        <w:rPr>
          <w:rFonts w:asciiTheme="minorHAnsi" w:hAnsiTheme="minorHAnsi" w:cs="Arial"/>
          <w:sz w:val="18"/>
          <w:szCs w:val="18"/>
        </w:rPr>
        <w:t xml:space="preserve"> Section 69 of the </w:t>
      </w:r>
      <w:r w:rsidRPr="0057761C">
        <w:rPr>
          <w:rFonts w:asciiTheme="minorHAnsi" w:hAnsiTheme="minorHAnsi" w:cs="Arial"/>
          <w:i/>
          <w:sz w:val="18"/>
          <w:szCs w:val="18"/>
        </w:rPr>
        <w:t>Building Act</w:t>
      </w:r>
      <w:r w:rsidR="00E20F31">
        <w:rPr>
          <w:rFonts w:asciiTheme="minorHAnsi" w:hAnsiTheme="minorHAnsi" w:cs="Arial"/>
          <w:i/>
          <w:sz w:val="18"/>
          <w:szCs w:val="18"/>
        </w:rPr>
        <w:t xml:space="preserve"> 1993</w:t>
      </w:r>
      <w:r w:rsidRPr="0057761C">
        <w:rPr>
          <w:rFonts w:asciiTheme="minorHAnsi" w:hAnsiTheme="minorHAnsi" w:cs="Arial"/>
          <w:sz w:val="18"/>
          <w:szCs w:val="18"/>
        </w:rPr>
        <w:t>.</w:t>
      </w:r>
    </w:p>
  </w:footnote>
  <w:footnote w:id="4">
    <w:p w14:paraId="1AFB8E37" w14:textId="77777777" w:rsidR="0057761C" w:rsidRPr="0020156A" w:rsidRDefault="0057761C" w:rsidP="0057761C">
      <w:pPr>
        <w:pStyle w:val="FootnoteText"/>
        <w:rPr>
          <w:rFonts w:asciiTheme="minorHAnsi" w:hAnsiTheme="minorHAnsi"/>
        </w:rPr>
      </w:pPr>
      <w:r w:rsidRPr="0020156A">
        <w:rPr>
          <w:rStyle w:val="FootnoteReference"/>
          <w:rFonts w:asciiTheme="minorHAnsi" w:hAnsiTheme="minorHAnsi"/>
        </w:rPr>
        <w:footnoteRef/>
      </w:r>
      <w:r w:rsidRPr="0020156A">
        <w:rPr>
          <w:rFonts w:asciiTheme="minorHAnsi" w:hAnsiTheme="minorHAnsi"/>
        </w:rPr>
        <w:t xml:space="preserve"> </w:t>
      </w:r>
      <w:r w:rsidRPr="0020156A">
        <w:rPr>
          <w:rFonts w:asciiTheme="minorHAnsi" w:hAnsiTheme="minorHAnsi" w:cs="Arial"/>
          <w:sz w:val="18"/>
          <w:szCs w:val="18"/>
        </w:rPr>
        <w:t xml:space="preserve">Section </w:t>
      </w:r>
      <w:proofErr w:type="gramStart"/>
      <w:r w:rsidRPr="0020156A">
        <w:rPr>
          <w:rFonts w:asciiTheme="minorHAnsi" w:hAnsiTheme="minorHAnsi" w:cs="Arial"/>
          <w:sz w:val="18"/>
          <w:szCs w:val="18"/>
        </w:rPr>
        <w:t>90D(</w:t>
      </w:r>
      <w:proofErr w:type="gramEnd"/>
      <w:r w:rsidRPr="0020156A">
        <w:rPr>
          <w:rFonts w:asciiTheme="minorHAnsi" w:hAnsiTheme="minorHAnsi" w:cs="Arial"/>
          <w:sz w:val="18"/>
          <w:szCs w:val="18"/>
        </w:rPr>
        <w:t>2)(e) of the SDA.</w:t>
      </w:r>
    </w:p>
  </w:footnote>
  <w:footnote w:id="5">
    <w:p w14:paraId="3F8B94B8" w14:textId="75B77ABD" w:rsidR="0057761C" w:rsidRPr="00512B41" w:rsidRDefault="0057761C" w:rsidP="0057761C">
      <w:pPr>
        <w:pStyle w:val="FootnoteText"/>
        <w:rPr>
          <w:rFonts w:ascii="Arial" w:hAnsi="Arial" w:cs="Arial"/>
          <w:sz w:val="18"/>
          <w:szCs w:val="18"/>
        </w:rPr>
      </w:pPr>
      <w:r w:rsidRPr="0020156A">
        <w:rPr>
          <w:rStyle w:val="FootnoteReference"/>
          <w:rFonts w:asciiTheme="minorHAnsi" w:hAnsiTheme="minorHAnsi" w:cs="Arial"/>
          <w:sz w:val="18"/>
          <w:szCs w:val="18"/>
        </w:rPr>
        <w:footnoteRef/>
      </w:r>
      <w:r w:rsidRPr="0020156A">
        <w:rPr>
          <w:rFonts w:asciiTheme="minorHAnsi" w:hAnsiTheme="minorHAnsi" w:cs="Arial"/>
          <w:sz w:val="18"/>
          <w:szCs w:val="18"/>
        </w:rPr>
        <w:t xml:space="preserve"> Section 18(5) of the</w:t>
      </w:r>
      <w:r w:rsidRPr="0020156A">
        <w:rPr>
          <w:rFonts w:asciiTheme="minorHAnsi" w:hAnsiTheme="minorHAnsi" w:cs="Arial"/>
          <w:i/>
          <w:sz w:val="18"/>
          <w:szCs w:val="18"/>
        </w:rPr>
        <w:t xml:space="preserve"> </w:t>
      </w:r>
      <w:r w:rsidR="00B51B42" w:rsidRPr="0057761C">
        <w:rPr>
          <w:rFonts w:asciiTheme="minorHAnsi" w:hAnsiTheme="minorHAnsi" w:cs="Arial"/>
          <w:i/>
          <w:sz w:val="18"/>
          <w:szCs w:val="18"/>
        </w:rPr>
        <w:t>First Home Owner Grant Act</w:t>
      </w:r>
      <w:r w:rsidR="00B51B42">
        <w:rPr>
          <w:rFonts w:asciiTheme="minorHAnsi" w:hAnsiTheme="minorHAnsi" w:cs="Arial"/>
          <w:i/>
          <w:sz w:val="18"/>
          <w:szCs w:val="18"/>
        </w:rPr>
        <w:t xml:space="preserve"> 2000</w:t>
      </w:r>
      <w:r w:rsidRPr="0020156A">
        <w:rPr>
          <w:rFonts w:asciiTheme="minorHAnsi" w:hAnsiTheme="minorHAnsi" w:cs="Arial"/>
          <w:i/>
          <w:sz w:val="18"/>
          <w:szCs w:val="18"/>
        </w:rPr>
        <w:t xml:space="preserve">; </w:t>
      </w:r>
      <w:r w:rsidRPr="0020156A">
        <w:rPr>
          <w:rFonts w:asciiTheme="minorHAnsi" w:hAnsiTheme="minorHAnsi" w:cs="Arial"/>
          <w:sz w:val="18"/>
          <w:szCs w:val="18"/>
        </w:rPr>
        <w:t xml:space="preserve">section </w:t>
      </w:r>
      <w:proofErr w:type="gramStart"/>
      <w:r w:rsidRPr="0020156A">
        <w:rPr>
          <w:rFonts w:asciiTheme="minorHAnsi" w:hAnsiTheme="minorHAnsi" w:cs="Arial"/>
          <w:sz w:val="18"/>
          <w:szCs w:val="18"/>
        </w:rPr>
        <w:t>90C(</w:t>
      </w:r>
      <w:proofErr w:type="gramEnd"/>
      <w:r w:rsidRPr="0020156A">
        <w:rPr>
          <w:rFonts w:asciiTheme="minorHAnsi" w:hAnsiTheme="minorHAnsi" w:cs="Arial"/>
          <w:sz w:val="18"/>
          <w:szCs w:val="18"/>
        </w:rPr>
        <w:t>1) of the SDA.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BCC8" w14:textId="0B698DEF" w:rsidR="00983000" w:rsidRPr="00162207" w:rsidRDefault="000D65C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53176">
          <w:t>CG-HI-006: Meaning of a ‘home’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B6F0C3A" w14:textId="1904C824" w:rsidR="00E54F9E" w:rsidRDefault="000631C5" w:rsidP="00435082">
        <w:pPr>
          <w:pStyle w:val="Title"/>
        </w:pPr>
        <w:r>
          <w:rPr>
            <w:rStyle w:val="TitleChar"/>
          </w:rPr>
          <w:t>CG-HI-006</w:t>
        </w:r>
        <w:r w:rsidR="00F53176">
          <w:rPr>
            <w:rStyle w:val="TitleChar"/>
          </w:rPr>
          <w:t>: Meaning of a ‘home’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A80"/>
    <w:multiLevelType w:val="hybridMultilevel"/>
    <w:tmpl w:val="09F8E3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DB5A54"/>
    <w:multiLevelType w:val="hybridMultilevel"/>
    <w:tmpl w:val="D5908A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942170"/>
    <w:multiLevelType w:val="multilevel"/>
    <w:tmpl w:val="8B9C796C"/>
    <w:lvl w:ilvl="0">
      <w:start w:val="1"/>
      <w:numFmt w:val="decimal"/>
      <w:pStyle w:val="Numberlistlevel1ListNumber"/>
      <w:lvlText w:val="%1."/>
      <w:lvlJc w:val="left"/>
      <w:pPr>
        <w:ind w:left="425" w:hanging="425"/>
      </w:pPr>
      <w:rPr>
        <w:rFonts w:hint="default"/>
      </w:rPr>
    </w:lvl>
    <w:lvl w:ilvl="1">
      <w:start w:val="1"/>
      <w:numFmt w:val="lowerLetter"/>
      <w:pStyle w:val="Numberlistlevel2ListNumber2"/>
      <w:lvlText w:val="%2."/>
      <w:lvlJc w:val="left"/>
      <w:pPr>
        <w:ind w:left="850" w:hanging="425"/>
      </w:pPr>
      <w:rPr>
        <w:rFonts w:hint="default"/>
      </w:rPr>
    </w:lvl>
    <w:lvl w:ilvl="2">
      <w:start w:val="1"/>
      <w:numFmt w:val="lowerRoman"/>
      <w:pStyle w:val="Numberlistlevel3ListNumber3"/>
      <w:lvlText w:val="%3."/>
      <w:lvlJc w:val="left"/>
      <w:pPr>
        <w:ind w:left="1275" w:hanging="425"/>
      </w:pPr>
      <w:rPr>
        <w:rFonts w:hint="default"/>
      </w:rPr>
    </w:lvl>
    <w:lvl w:ilvl="3">
      <w:start w:val="1"/>
      <w:numFmt w:val="decimal"/>
      <w:pStyle w:val="Numberlistlevel4ListNumber4"/>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7"/>
  </w:num>
  <w:num w:numId="4">
    <w:abstractNumId w:val="26"/>
  </w:num>
  <w:num w:numId="5">
    <w:abstractNumId w:val="19"/>
  </w:num>
  <w:num w:numId="6">
    <w:abstractNumId w:val="10"/>
  </w:num>
  <w:num w:numId="7">
    <w:abstractNumId w:val="28"/>
  </w:num>
  <w:num w:numId="8">
    <w:abstractNumId w:val="18"/>
  </w:num>
  <w:num w:numId="9">
    <w:abstractNumId w:val="0"/>
  </w:num>
  <w:num w:numId="10">
    <w:abstractNumId w:val="5"/>
  </w:num>
  <w:num w:numId="11">
    <w:abstractNumId w:val="14"/>
    <w:lvlOverride w:ilvl="0">
      <w:lvl w:ilvl="0">
        <w:start w:val="1"/>
        <w:numFmt w:val="decimal"/>
        <w:lvlText w:val="%1."/>
        <w:lvlJc w:val="left"/>
        <w:pPr>
          <w:tabs>
            <w:tab w:val="num" w:pos="360"/>
          </w:tabs>
          <w:ind w:left="360" w:hanging="360"/>
        </w:pPr>
        <w:rPr>
          <w:rFonts w:hint="default"/>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12">
    <w:abstractNumId w:val="14"/>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o838QiWKmiBQqpY7tzJ0jFNVWkNXHL2+3X8QvYhJHcG1zR4c+GUgR4oY4/EobYJQLGlbxpXH0kD4t0gTBGo3A==" w:salt="1f1jrj+Jb4hwsv2MymKwTA=="/>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1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31C5"/>
    <w:rsid w:val="0006635A"/>
    <w:rsid w:val="000720BE"/>
    <w:rsid w:val="0007259C"/>
    <w:rsid w:val="00074027"/>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EC6"/>
    <w:rsid w:val="000D1F29"/>
    <w:rsid w:val="000D633D"/>
    <w:rsid w:val="000D65CC"/>
    <w:rsid w:val="000E342B"/>
    <w:rsid w:val="000E3ED2"/>
    <w:rsid w:val="000E5DD2"/>
    <w:rsid w:val="000E6B1A"/>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EE1"/>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156A"/>
    <w:rsid w:val="00203F1C"/>
    <w:rsid w:val="00206936"/>
    <w:rsid w:val="00206C6F"/>
    <w:rsid w:val="00206FBD"/>
    <w:rsid w:val="00207746"/>
    <w:rsid w:val="00225320"/>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10B9"/>
    <w:rsid w:val="002F2885"/>
    <w:rsid w:val="002F45A1"/>
    <w:rsid w:val="0030203D"/>
    <w:rsid w:val="003037F9"/>
    <w:rsid w:val="0030583E"/>
    <w:rsid w:val="00307FE1"/>
    <w:rsid w:val="003164BA"/>
    <w:rsid w:val="003258E6"/>
    <w:rsid w:val="00341AAE"/>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39A7"/>
    <w:rsid w:val="00500F94"/>
    <w:rsid w:val="00502FB3"/>
    <w:rsid w:val="00503DE9"/>
    <w:rsid w:val="0050530C"/>
    <w:rsid w:val="00505DEA"/>
    <w:rsid w:val="00507782"/>
    <w:rsid w:val="00512A04"/>
    <w:rsid w:val="00515BAC"/>
    <w:rsid w:val="00520499"/>
    <w:rsid w:val="00521662"/>
    <w:rsid w:val="005249F5"/>
    <w:rsid w:val="005250C5"/>
    <w:rsid w:val="005260F7"/>
    <w:rsid w:val="00543BD1"/>
    <w:rsid w:val="00556113"/>
    <w:rsid w:val="00564C12"/>
    <w:rsid w:val="005654B8"/>
    <w:rsid w:val="00570D94"/>
    <w:rsid w:val="005762CC"/>
    <w:rsid w:val="0057761C"/>
    <w:rsid w:val="00582D3D"/>
    <w:rsid w:val="00590040"/>
    <w:rsid w:val="00595386"/>
    <w:rsid w:val="00597234"/>
    <w:rsid w:val="005A4AC0"/>
    <w:rsid w:val="005A539B"/>
    <w:rsid w:val="005A5FDF"/>
    <w:rsid w:val="005A614C"/>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B4A08"/>
    <w:rsid w:val="006C0EC2"/>
    <w:rsid w:val="006C6CAF"/>
    <w:rsid w:val="006D66F7"/>
    <w:rsid w:val="00702175"/>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1DAB"/>
    <w:rsid w:val="007625D4"/>
    <w:rsid w:val="0076355D"/>
    <w:rsid w:val="00763A2D"/>
    <w:rsid w:val="007676A4"/>
    <w:rsid w:val="00777795"/>
    <w:rsid w:val="00783A57"/>
    <w:rsid w:val="00784C92"/>
    <w:rsid w:val="007859CD"/>
    <w:rsid w:val="00785C24"/>
    <w:rsid w:val="0078779E"/>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55BE"/>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180F"/>
    <w:rsid w:val="008E510B"/>
    <w:rsid w:val="008F08FE"/>
    <w:rsid w:val="00902B13"/>
    <w:rsid w:val="00911941"/>
    <w:rsid w:val="00912430"/>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2B77"/>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015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1B42"/>
    <w:rsid w:val="00B606A1"/>
    <w:rsid w:val="00B614F7"/>
    <w:rsid w:val="00B61B26"/>
    <w:rsid w:val="00B65E6B"/>
    <w:rsid w:val="00B675B2"/>
    <w:rsid w:val="00B75B25"/>
    <w:rsid w:val="00B81261"/>
    <w:rsid w:val="00B8223E"/>
    <w:rsid w:val="00B832AE"/>
    <w:rsid w:val="00B86678"/>
    <w:rsid w:val="00B87CED"/>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2F51"/>
    <w:rsid w:val="00BF5099"/>
    <w:rsid w:val="00C10B5E"/>
    <w:rsid w:val="00C10F10"/>
    <w:rsid w:val="00C15D4D"/>
    <w:rsid w:val="00C175DC"/>
    <w:rsid w:val="00C30171"/>
    <w:rsid w:val="00C309D8"/>
    <w:rsid w:val="00C420E3"/>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080C"/>
    <w:rsid w:val="00D15D88"/>
    <w:rsid w:val="00D27D49"/>
    <w:rsid w:val="00D27EBE"/>
    <w:rsid w:val="00D36A49"/>
    <w:rsid w:val="00D47DC7"/>
    <w:rsid w:val="00D517C6"/>
    <w:rsid w:val="00D71D84"/>
    <w:rsid w:val="00D72464"/>
    <w:rsid w:val="00D72A57"/>
    <w:rsid w:val="00D74222"/>
    <w:rsid w:val="00D768EB"/>
    <w:rsid w:val="00D81E17"/>
    <w:rsid w:val="00D82D1E"/>
    <w:rsid w:val="00D832D9"/>
    <w:rsid w:val="00D90F00"/>
    <w:rsid w:val="00D96804"/>
    <w:rsid w:val="00D975C0"/>
    <w:rsid w:val="00D979B0"/>
    <w:rsid w:val="00DA5285"/>
    <w:rsid w:val="00DB191D"/>
    <w:rsid w:val="00DB4F91"/>
    <w:rsid w:val="00DB6D0A"/>
    <w:rsid w:val="00DC06BE"/>
    <w:rsid w:val="00DC1F0F"/>
    <w:rsid w:val="00DC3117"/>
    <w:rsid w:val="00DC4E2A"/>
    <w:rsid w:val="00DC5DD9"/>
    <w:rsid w:val="00DC5DEC"/>
    <w:rsid w:val="00DC6D2D"/>
    <w:rsid w:val="00DD4E59"/>
    <w:rsid w:val="00DE33B5"/>
    <w:rsid w:val="00DE5E18"/>
    <w:rsid w:val="00DF0487"/>
    <w:rsid w:val="00DF5EA4"/>
    <w:rsid w:val="00E02681"/>
    <w:rsid w:val="00E02792"/>
    <w:rsid w:val="00E034D8"/>
    <w:rsid w:val="00E04CC0"/>
    <w:rsid w:val="00E15816"/>
    <w:rsid w:val="00E160D5"/>
    <w:rsid w:val="00E20F31"/>
    <w:rsid w:val="00E239FF"/>
    <w:rsid w:val="00E24F57"/>
    <w:rsid w:val="00E27D7B"/>
    <w:rsid w:val="00E30556"/>
    <w:rsid w:val="00E30981"/>
    <w:rsid w:val="00E33136"/>
    <w:rsid w:val="00E34D7C"/>
    <w:rsid w:val="00E3723D"/>
    <w:rsid w:val="00E44C89"/>
    <w:rsid w:val="00E44DC7"/>
    <w:rsid w:val="00E457A6"/>
    <w:rsid w:val="00E54F9E"/>
    <w:rsid w:val="00E61BA2"/>
    <w:rsid w:val="00E63864"/>
    <w:rsid w:val="00E6403F"/>
    <w:rsid w:val="00E75451"/>
    <w:rsid w:val="00E75EA9"/>
    <w:rsid w:val="00E76AD6"/>
    <w:rsid w:val="00E770C4"/>
    <w:rsid w:val="00E84C5A"/>
    <w:rsid w:val="00E861DB"/>
    <w:rsid w:val="00E87D30"/>
    <w:rsid w:val="00E908F1"/>
    <w:rsid w:val="00E93406"/>
    <w:rsid w:val="00E956C5"/>
    <w:rsid w:val="00E95C39"/>
    <w:rsid w:val="00EA2C39"/>
    <w:rsid w:val="00EB0A3C"/>
    <w:rsid w:val="00EB0A96"/>
    <w:rsid w:val="00EB5443"/>
    <w:rsid w:val="00EB77F9"/>
    <w:rsid w:val="00EC5769"/>
    <w:rsid w:val="00EC7D00"/>
    <w:rsid w:val="00ED0304"/>
    <w:rsid w:val="00ED2CD0"/>
    <w:rsid w:val="00ED4FF7"/>
    <w:rsid w:val="00ED5B7B"/>
    <w:rsid w:val="00EE38FA"/>
    <w:rsid w:val="00EE3E2C"/>
    <w:rsid w:val="00EE5D23"/>
    <w:rsid w:val="00EE750D"/>
    <w:rsid w:val="00EF3CA4"/>
    <w:rsid w:val="00EF4637"/>
    <w:rsid w:val="00EF49A8"/>
    <w:rsid w:val="00EF7859"/>
    <w:rsid w:val="00F014DA"/>
    <w:rsid w:val="00F02591"/>
    <w:rsid w:val="00F30AE1"/>
    <w:rsid w:val="00F53176"/>
    <w:rsid w:val="00F5696E"/>
    <w:rsid w:val="00F60EFF"/>
    <w:rsid w:val="00F66E3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BCC5"/>
  <w15:docId w15:val="{E1971A45-C2A2-4478-A7E1-0483B36E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42"/>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57761C"/>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semiHidden/>
    <w:rsid w:val="00B51B42"/>
    <w:pPr>
      <w:spacing w:after="0"/>
    </w:pPr>
    <w:rPr>
      <w:rFonts w:eastAsia="Times New Roman"/>
      <w:sz w:val="20"/>
      <w:szCs w:val="20"/>
      <w:lang w:eastAsia="en-AU"/>
    </w:rPr>
  </w:style>
  <w:style w:type="character" w:customStyle="1" w:styleId="FootnoteTextChar">
    <w:name w:val="Footnote Text Char"/>
    <w:basedOn w:val="DefaultParagraphFont"/>
    <w:link w:val="FootnoteText"/>
    <w:semiHidden/>
    <w:rsid w:val="00B51B42"/>
    <w:rPr>
      <w:rFonts w:ascii="Lato" w:eastAsia="Times New Roman" w:hAnsi="Lato"/>
      <w:sz w:val="20"/>
      <w:szCs w:val="20"/>
      <w:lang w:eastAsia="en-AU"/>
    </w:rPr>
  </w:style>
  <w:style w:type="character" w:styleId="FootnoteReference">
    <w:name w:val="footnote reference"/>
    <w:semiHidden/>
    <w:rsid w:val="00B51B42"/>
    <w:rPr>
      <w:rFonts w:ascii="Lato" w:hAnsi="Lato"/>
      <w:vertAlign w:val="superscript"/>
    </w:rPr>
  </w:style>
  <w:style w:type="numbering" w:customStyle="1" w:styleId="Text">
    <w:name w:val="Text"/>
    <w:rsid w:val="0057761C"/>
    <w:pPr>
      <w:numPr>
        <w:numId w:val="12"/>
      </w:numPr>
    </w:pPr>
  </w:style>
  <w:style w:type="character" w:styleId="FollowedHyperlink">
    <w:name w:val="FollowedHyperlink"/>
    <w:basedOn w:val="DefaultParagraphFont"/>
    <w:uiPriority w:val="99"/>
    <w:semiHidden/>
    <w:unhideWhenUsed/>
    <w:rsid w:val="00E87D30"/>
    <w:rPr>
      <w:color w:val="8C4799" w:themeColor="followedHyperlink"/>
      <w:u w:val="single"/>
    </w:rPr>
  </w:style>
  <w:style w:type="character" w:styleId="CommentReference">
    <w:name w:val="annotation reference"/>
    <w:basedOn w:val="DefaultParagraphFont"/>
    <w:uiPriority w:val="99"/>
    <w:semiHidden/>
    <w:unhideWhenUsed/>
    <w:rsid w:val="00E20F31"/>
    <w:rPr>
      <w:sz w:val="16"/>
      <w:szCs w:val="16"/>
    </w:rPr>
  </w:style>
  <w:style w:type="paragraph" w:styleId="CommentText">
    <w:name w:val="annotation text"/>
    <w:basedOn w:val="Normal"/>
    <w:link w:val="CommentTextChar"/>
    <w:uiPriority w:val="99"/>
    <w:semiHidden/>
    <w:unhideWhenUsed/>
    <w:rsid w:val="00E20F31"/>
    <w:rPr>
      <w:sz w:val="20"/>
      <w:szCs w:val="20"/>
    </w:rPr>
  </w:style>
  <w:style w:type="character" w:customStyle="1" w:styleId="CommentTextChar">
    <w:name w:val="Comment Text Char"/>
    <w:basedOn w:val="DefaultParagraphFont"/>
    <w:link w:val="CommentText"/>
    <w:uiPriority w:val="99"/>
    <w:semiHidden/>
    <w:rsid w:val="00E20F3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20F31"/>
    <w:rPr>
      <w:b/>
      <w:bCs/>
    </w:rPr>
  </w:style>
  <w:style w:type="character" w:customStyle="1" w:styleId="CommentSubjectChar">
    <w:name w:val="Comment Subject Char"/>
    <w:basedOn w:val="CommentTextChar"/>
    <w:link w:val="CommentSubject"/>
    <w:uiPriority w:val="99"/>
    <w:semiHidden/>
    <w:rsid w:val="00E20F31"/>
    <w:rPr>
      <w:rFonts w:ascii="Lato" w:hAnsi="Lato"/>
      <w:b/>
      <w:bCs/>
      <w:sz w:val="20"/>
      <w:szCs w:val="20"/>
    </w:rPr>
  </w:style>
  <w:style w:type="paragraph" w:customStyle="1" w:styleId="Numberlistlevel1ListNumber">
    <w:name w:val="Number list level 1  (List Number)"/>
    <w:basedOn w:val="Normal"/>
    <w:rsid w:val="008E180F"/>
    <w:pPr>
      <w:numPr>
        <w:numId w:val="13"/>
      </w:numPr>
      <w:spacing w:after="120"/>
    </w:pPr>
  </w:style>
  <w:style w:type="paragraph" w:customStyle="1" w:styleId="Numberlistlevel2ListNumber2">
    <w:name w:val="Number list level 2  (List Number 2)"/>
    <w:basedOn w:val="Normal"/>
    <w:rsid w:val="008E180F"/>
    <w:pPr>
      <w:numPr>
        <w:ilvl w:val="1"/>
        <w:numId w:val="13"/>
      </w:numPr>
      <w:spacing w:after="120"/>
    </w:pPr>
  </w:style>
  <w:style w:type="paragraph" w:customStyle="1" w:styleId="Numberlistlevel3ListNumber3">
    <w:name w:val="Number list level 3  (List Number 3)"/>
    <w:basedOn w:val="Normal"/>
    <w:rsid w:val="008E180F"/>
    <w:pPr>
      <w:numPr>
        <w:ilvl w:val="2"/>
        <w:numId w:val="13"/>
      </w:numPr>
      <w:spacing w:after="120"/>
    </w:pPr>
  </w:style>
  <w:style w:type="paragraph" w:customStyle="1" w:styleId="Numberlistlevel4ListNumber4">
    <w:name w:val="Number list level 4  (List Number 4)"/>
    <w:basedOn w:val="Normal"/>
    <w:rsid w:val="008E180F"/>
    <w:pPr>
      <w:numPr>
        <w:ilvl w:val="3"/>
        <w:numId w:val="13"/>
      </w:numPr>
      <w:spacing w:after="120"/>
    </w:pPr>
  </w:style>
  <w:style w:type="paragraph" w:customStyle="1" w:styleId="BodyText1">
    <w:name w:val="Body Text1"/>
    <w:basedOn w:val="BodyText"/>
    <w:qFormat/>
    <w:rsid w:val="008E180F"/>
    <w:pPr>
      <w:spacing w:before="40" w:after="80"/>
    </w:pPr>
    <w:rPr>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revenue@nt.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nt.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ands.nt.gov.au/building/about-u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tlis.nt.gov.au/building-control/" TargetMode="External"/><Relationship Id="rId14" Type="http://schemas.openxmlformats.org/officeDocument/2006/relationships/hyperlink" Target="http://www.revenu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8F9A0-AB5E-4142-8A83-6F8D0194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2</TotalTime>
  <Pages>1</Pages>
  <Words>1652</Words>
  <Characters>8464</Characters>
  <Application>Microsoft Office Word</Application>
  <DocSecurity>8</DocSecurity>
  <Lines>169</Lines>
  <Paragraphs>108</Paragraphs>
  <ScaleCrop>false</ScaleCrop>
  <HeadingPairs>
    <vt:vector size="2" baseType="variant">
      <vt:variant>
        <vt:lpstr>Title</vt:lpstr>
      </vt:variant>
      <vt:variant>
        <vt:i4>1</vt:i4>
      </vt:variant>
    </vt:vector>
  </HeadingPairs>
  <TitlesOfParts>
    <vt:vector size="1" baseType="lpstr">
      <vt:lpstr>CG-HI-006: Meaning of a ‘home’</vt:lpstr>
    </vt:vector>
  </TitlesOfParts>
  <Company>TREASURY AND FINANCE</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CG-HI-006: Meaning of a ‘home’</dc:title>
  <dc:creator>Department of Treasury and Finance</dc:creator>
  <cp:lastModifiedBy>Jessica Symonds</cp:lastModifiedBy>
  <cp:revision>7</cp:revision>
  <cp:lastPrinted>2019-07-29T01:45:00Z</cp:lastPrinted>
  <dcterms:created xsi:type="dcterms:W3CDTF">2022-06-30T01:03:00Z</dcterms:created>
  <dcterms:modified xsi:type="dcterms:W3CDTF">2022-06-30T01:09:00Z</dcterms:modified>
</cp:coreProperties>
</file>