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8D39" w14:textId="06F945EF" w:rsidR="00F1422D" w:rsidRDefault="00EE2FE1">
      <w:pPr>
        <w:pStyle w:val="Title"/>
        <w:rPr>
          <w:b/>
        </w:rPr>
      </w:pPr>
      <w:r>
        <w:rPr>
          <w:noProof/>
          <w:lang w:val="en-AU" w:eastAsia="en-AU"/>
        </w:rPr>
        <w:drawing>
          <wp:anchor distT="0" distB="0" distL="0" distR="0" simplePos="0" relativeHeight="15729152" behindDoc="0" locked="0" layoutInCell="1" allowOverlap="1" wp14:anchorId="54894E34" wp14:editId="3289F64F">
            <wp:simplePos x="0" y="0"/>
            <wp:positionH relativeFrom="page">
              <wp:posOffset>0</wp:posOffset>
            </wp:positionH>
            <wp:positionV relativeFrom="paragraph">
              <wp:posOffset>2645155</wp:posOffset>
            </wp:positionV>
            <wp:extent cx="7552269" cy="54476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269" cy="544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5F"/>
        </w:rPr>
        <w:t>Mineral</w:t>
      </w:r>
      <w:r>
        <w:rPr>
          <w:b/>
          <w:color w:val="1F1F5F"/>
          <w:spacing w:val="-38"/>
        </w:rPr>
        <w:t xml:space="preserve"> </w:t>
      </w:r>
      <w:r>
        <w:rPr>
          <w:b/>
          <w:color w:val="1F1F5F"/>
        </w:rPr>
        <w:t>Royalty</w:t>
      </w:r>
      <w:r>
        <w:rPr>
          <w:b/>
          <w:color w:val="1F1F5F"/>
          <w:spacing w:val="-37"/>
        </w:rPr>
        <w:t xml:space="preserve"> </w:t>
      </w:r>
      <w:r>
        <w:rPr>
          <w:b/>
          <w:color w:val="1F1F5F"/>
        </w:rPr>
        <w:t>Act</w:t>
      </w:r>
      <w:r>
        <w:rPr>
          <w:b/>
          <w:color w:val="1F1F5F"/>
          <w:spacing w:val="-38"/>
        </w:rPr>
        <w:t xml:space="preserve"> </w:t>
      </w:r>
      <w:r>
        <w:rPr>
          <w:b/>
          <w:color w:val="1F1F5F"/>
        </w:rPr>
        <w:t>1982:</w:t>
      </w:r>
      <w:r>
        <w:rPr>
          <w:b/>
          <w:color w:val="1F1F5F"/>
          <w:spacing w:val="-37"/>
        </w:rPr>
        <w:t xml:space="preserve"> </w:t>
      </w:r>
      <w:r>
        <w:rPr>
          <w:b/>
          <w:color w:val="1F1F5F"/>
        </w:rPr>
        <w:t>Royalty Guideline - RG-MRA-007: Capital recognition deduction factors</w:t>
      </w:r>
    </w:p>
    <w:p w14:paraId="6F9C8F3B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42FCE3B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19079AC2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53C8B87A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5659FC68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553504B0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E01A4C8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501B8C7C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4BE94664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4F3E3FE5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22261EAB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2B733DDF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7F194CE1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08A74EC6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1585BF4D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47089762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2FA45D19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4F946165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0A694D51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04C7C5F1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7F0153C9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70F850C9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01401826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12EB174A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5FE92F2C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0FC3A6A8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5FDD39F8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4505CF1D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0AE75438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796A329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18FE4C4A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EC1780A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0F270A93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7CD7574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501FCAFE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EBB42AB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20F99681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220F9A6C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4BA3E69E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9D31CE1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307C9A4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3CCF739E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7D934278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156A0024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1E941303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31AA1AD4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65D40E74" w14:textId="77777777" w:rsidR="00F1422D" w:rsidRDefault="00F1422D">
      <w:pPr>
        <w:pStyle w:val="BodyText"/>
        <w:rPr>
          <w:rFonts w:ascii="Lato Semibold"/>
          <w:b/>
          <w:sz w:val="20"/>
        </w:rPr>
      </w:pPr>
    </w:p>
    <w:p w14:paraId="133B775F" w14:textId="77777777" w:rsidR="00F1422D" w:rsidRDefault="00EE2FE1">
      <w:pPr>
        <w:pStyle w:val="BodyText"/>
        <w:spacing w:before="199"/>
        <w:rPr>
          <w:rFonts w:ascii="Lato Semibold"/>
          <w:b/>
          <w:sz w:val="20"/>
        </w:rPr>
      </w:pPr>
      <w:r>
        <w:rPr>
          <w:noProof/>
          <w:lang w:val="en-AU" w:eastAsia="en-AU"/>
        </w:rPr>
        <w:lastRenderedPageBreak/>
        <w:drawing>
          <wp:anchor distT="0" distB="0" distL="0" distR="0" simplePos="0" relativeHeight="487587840" behindDoc="1" locked="0" layoutInCell="1" allowOverlap="1" wp14:anchorId="71BB113C" wp14:editId="30911126">
            <wp:simplePos x="0" y="0"/>
            <wp:positionH relativeFrom="page">
              <wp:posOffset>5474970</wp:posOffset>
            </wp:positionH>
            <wp:positionV relativeFrom="paragraph">
              <wp:posOffset>294004</wp:posOffset>
            </wp:positionV>
            <wp:extent cx="1549596" cy="55292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96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F3B52" w14:textId="77777777" w:rsidR="00F1422D" w:rsidRDefault="00F1422D">
      <w:pPr>
        <w:rPr>
          <w:rFonts w:ascii="Lato Semibold"/>
          <w:sz w:val="20"/>
        </w:rPr>
        <w:sectPr w:rsidR="00F142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60" w:right="0" w:bottom="280" w:left="0" w:header="720" w:footer="720" w:gutter="0"/>
          <w:cols w:space="720"/>
        </w:sectPr>
      </w:pPr>
    </w:p>
    <w:p w14:paraId="3F73A164" w14:textId="77777777" w:rsidR="00F1422D" w:rsidRDefault="00F1422D">
      <w:pPr>
        <w:pStyle w:val="BodyText"/>
        <w:spacing w:before="12"/>
        <w:rPr>
          <w:rFonts w:ascii="Lato Semibold"/>
          <w:b/>
          <w:sz w:val="9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7934"/>
      </w:tblGrid>
      <w:tr w:rsidR="00F1422D" w14:paraId="4E6998B0" w14:textId="77777777">
        <w:trPr>
          <w:trHeight w:val="606"/>
        </w:trPr>
        <w:tc>
          <w:tcPr>
            <w:tcW w:w="2419" w:type="dxa"/>
            <w:tcBorders>
              <w:top w:val="single" w:sz="4" w:space="0" w:color="1F1F5F"/>
            </w:tcBorders>
            <w:shd w:val="clear" w:color="auto" w:fill="1F1F5F"/>
          </w:tcPr>
          <w:p w14:paraId="520342AF" w14:textId="77777777" w:rsidR="00F1422D" w:rsidRDefault="00EE2FE1">
            <w:pPr>
              <w:pStyle w:val="TableParagraph"/>
              <w:spacing w:before="58"/>
              <w:ind w:left="117"/>
              <w:rPr>
                <w:b/>
              </w:rPr>
            </w:pPr>
            <w:r>
              <w:rPr>
                <w:b/>
                <w:color w:val="FFFFFF"/>
              </w:rPr>
              <w:t>Document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7934" w:type="dxa"/>
            <w:tcBorders>
              <w:top w:val="single" w:sz="4" w:space="0" w:color="1F1F5F"/>
              <w:left w:val="single" w:sz="4" w:space="0" w:color="1F1F5F"/>
              <w:right w:val="single" w:sz="4" w:space="0" w:color="1F1F5F"/>
            </w:tcBorders>
          </w:tcPr>
          <w:p w14:paraId="622206BE" w14:textId="77777777" w:rsidR="00F1422D" w:rsidRDefault="00EE2FE1">
            <w:pPr>
              <w:pStyle w:val="TableParagraph"/>
              <w:spacing w:before="39"/>
              <w:ind w:left="103" w:right="1207" w:hanging="1"/>
            </w:pPr>
            <w:r>
              <w:t>Mineral</w:t>
            </w:r>
            <w:r>
              <w:rPr>
                <w:spacing w:val="-5"/>
              </w:rPr>
              <w:t xml:space="preserve"> </w:t>
            </w:r>
            <w:r>
              <w:t>Royalty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1982:</w:t>
            </w:r>
            <w:r>
              <w:rPr>
                <w:spacing w:val="-3"/>
              </w:rPr>
              <w:t xml:space="preserve"> </w:t>
            </w:r>
            <w:r>
              <w:t>Royalty</w:t>
            </w:r>
            <w:r>
              <w:rPr>
                <w:spacing w:val="-4"/>
              </w:rPr>
              <w:t xml:space="preserve"> </w:t>
            </w:r>
            <w:r>
              <w:t>Guideline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RG-MRA-007:</w:t>
            </w:r>
            <w:r>
              <w:rPr>
                <w:spacing w:val="-3"/>
              </w:rPr>
              <w:t xml:space="preserve"> </w:t>
            </w:r>
            <w:r>
              <w:t>Capital recognition deduction factors</w:t>
            </w:r>
          </w:p>
        </w:tc>
      </w:tr>
      <w:tr w:rsidR="00F1422D" w14:paraId="75DC0865" w14:textId="77777777">
        <w:trPr>
          <w:trHeight w:val="384"/>
        </w:trPr>
        <w:tc>
          <w:tcPr>
            <w:tcW w:w="2419" w:type="dxa"/>
            <w:shd w:val="clear" w:color="auto" w:fill="1F1F5F"/>
          </w:tcPr>
          <w:p w14:paraId="441386D5" w14:textId="77777777" w:rsidR="00F1422D" w:rsidRDefault="00EE2FE1">
            <w:pPr>
              <w:pStyle w:val="TableParagraph"/>
              <w:spacing w:before="59"/>
              <w:ind w:left="117"/>
              <w:rPr>
                <w:b/>
              </w:rPr>
            </w:pPr>
            <w:r>
              <w:rPr>
                <w:b/>
                <w:color w:val="FFFFFF"/>
              </w:rPr>
              <w:t>Contact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  <w:tc>
          <w:tcPr>
            <w:tcW w:w="7934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3C286CA0" w14:textId="77777777" w:rsidR="00F1422D" w:rsidRDefault="00EE2FE1">
            <w:pPr>
              <w:pStyle w:val="TableParagraph"/>
              <w:spacing w:before="59"/>
              <w:ind w:left="103"/>
            </w:pPr>
            <w:r>
              <w:t>Territory</w:t>
            </w:r>
            <w:r>
              <w:rPr>
                <w:spacing w:val="-5"/>
              </w:rPr>
              <w:t xml:space="preserve"> </w:t>
            </w:r>
            <w:r>
              <w:t>Revenue</w:t>
            </w:r>
            <w:r>
              <w:rPr>
                <w:spacing w:val="-6"/>
              </w:rPr>
              <w:t xml:space="preserve"> </w:t>
            </w:r>
            <w:r>
              <w:t>Office,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Treasury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Finance</w:t>
            </w:r>
          </w:p>
        </w:tc>
      </w:tr>
      <w:tr w:rsidR="00F1422D" w14:paraId="7F6EBED0" w14:textId="77777777">
        <w:trPr>
          <w:trHeight w:val="384"/>
        </w:trPr>
        <w:tc>
          <w:tcPr>
            <w:tcW w:w="2419" w:type="dxa"/>
            <w:shd w:val="clear" w:color="auto" w:fill="1F1F5F"/>
          </w:tcPr>
          <w:p w14:paraId="153AF578" w14:textId="77777777" w:rsidR="00F1422D" w:rsidRDefault="00EE2FE1">
            <w:pPr>
              <w:pStyle w:val="TableParagraph"/>
              <w:spacing w:before="59"/>
              <w:ind w:left="117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approved</w:t>
            </w:r>
          </w:p>
        </w:tc>
        <w:tc>
          <w:tcPr>
            <w:tcW w:w="7934" w:type="dxa"/>
            <w:tcBorders>
              <w:left w:val="single" w:sz="4" w:space="0" w:color="1F1F5F"/>
              <w:right w:val="single" w:sz="4" w:space="0" w:color="1F1F5F"/>
            </w:tcBorders>
          </w:tcPr>
          <w:p w14:paraId="11E7A9EE" w14:textId="23B96B4D" w:rsidR="00F1422D" w:rsidRDefault="00F85DEB" w:rsidP="00BD1E7E">
            <w:pPr>
              <w:pStyle w:val="TableParagraph"/>
              <w:spacing w:before="59"/>
              <w:ind w:left="103"/>
            </w:pPr>
            <w:r w:rsidRPr="007D4F1E">
              <w:t xml:space="preserve">6 </w:t>
            </w:r>
            <w:r w:rsidR="00BD1E7E" w:rsidRPr="007D4F1E">
              <w:t>January 2025</w:t>
            </w:r>
          </w:p>
        </w:tc>
      </w:tr>
      <w:tr w:rsidR="00F1422D" w14:paraId="12102F02" w14:textId="77777777">
        <w:trPr>
          <w:trHeight w:val="383"/>
        </w:trPr>
        <w:tc>
          <w:tcPr>
            <w:tcW w:w="2419" w:type="dxa"/>
            <w:tcBorders>
              <w:bottom w:val="single" w:sz="4" w:space="0" w:color="000000"/>
            </w:tcBorders>
            <w:shd w:val="clear" w:color="auto" w:fill="1F1F5F"/>
          </w:tcPr>
          <w:p w14:paraId="569B29F9" w14:textId="77777777" w:rsidR="00F1422D" w:rsidRDefault="00EE2FE1">
            <w:pPr>
              <w:pStyle w:val="TableParagraph"/>
              <w:spacing w:before="59"/>
              <w:ind w:left="117"/>
              <w:rPr>
                <w:b/>
              </w:rPr>
            </w:pPr>
            <w:r>
              <w:rPr>
                <w:b/>
                <w:color w:val="FFFFFF"/>
              </w:rPr>
              <w:t>Document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review</w:t>
            </w:r>
          </w:p>
        </w:tc>
        <w:tc>
          <w:tcPr>
            <w:tcW w:w="7934" w:type="dxa"/>
            <w:tcBorders>
              <w:left w:val="single" w:sz="4" w:space="0" w:color="1F1F5F"/>
              <w:bottom w:val="single" w:sz="4" w:space="0" w:color="000000"/>
              <w:right w:val="single" w:sz="4" w:space="0" w:color="1F1F5F"/>
            </w:tcBorders>
            <w:shd w:val="clear" w:color="auto" w:fill="D9D9D9"/>
          </w:tcPr>
          <w:p w14:paraId="19A60B67" w14:textId="77777777" w:rsidR="00F1422D" w:rsidRDefault="00EE2FE1">
            <w:pPr>
              <w:pStyle w:val="TableParagraph"/>
              <w:spacing w:before="59"/>
              <w:ind w:left="103"/>
            </w:pPr>
            <w:r>
              <w:t>As</w:t>
            </w:r>
            <w:r>
              <w:rPr>
                <w:spacing w:val="-2"/>
              </w:rPr>
              <w:t xml:space="preserve"> required</w:t>
            </w:r>
          </w:p>
        </w:tc>
      </w:tr>
    </w:tbl>
    <w:p w14:paraId="11E8293C" w14:textId="77777777" w:rsidR="00F1422D" w:rsidRDefault="00F1422D">
      <w:pPr>
        <w:pStyle w:val="BodyText"/>
        <w:spacing w:before="20"/>
        <w:rPr>
          <w:rFonts w:ascii="Lato Semibold"/>
          <w:b/>
          <w:sz w:val="20"/>
        </w:rPr>
      </w:pPr>
    </w:p>
    <w:tbl>
      <w:tblPr>
        <w:tblW w:w="0" w:type="auto"/>
        <w:tblInd w:w="804" w:type="dxa"/>
        <w:tblBorders>
          <w:top w:val="single" w:sz="4" w:space="0" w:color="1F1F5F"/>
          <w:left w:val="single" w:sz="4" w:space="0" w:color="1F1F5F"/>
          <w:bottom w:val="single" w:sz="4" w:space="0" w:color="1F1F5F"/>
          <w:right w:val="single" w:sz="4" w:space="0" w:color="1F1F5F"/>
          <w:insideH w:val="single" w:sz="4" w:space="0" w:color="1F1F5F"/>
          <w:insideV w:val="single" w:sz="4" w:space="0" w:color="1F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181"/>
        <w:gridCol w:w="2585"/>
        <w:gridCol w:w="2587"/>
      </w:tblGrid>
      <w:tr w:rsidR="00F1422D" w14:paraId="3EEFD5BC" w14:textId="77777777">
        <w:trPr>
          <w:trHeight w:val="399"/>
        </w:trPr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1F1F5F"/>
          </w:tcPr>
          <w:p w14:paraId="12829D8B" w14:textId="77777777" w:rsidR="00F1422D" w:rsidRDefault="00F1422D">
            <w:pPr>
              <w:pStyle w:val="TableParagraph"/>
              <w:spacing w:before="200"/>
              <w:ind w:left="0"/>
              <w:rPr>
                <w:rFonts w:ascii="Lato Semibold"/>
                <w:b/>
              </w:rPr>
            </w:pPr>
          </w:p>
          <w:p w14:paraId="37E2A08F" w14:textId="77777777" w:rsidR="00F1422D" w:rsidRDefault="00EE2FE1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Version</w:t>
            </w:r>
          </w:p>
        </w:tc>
        <w:tc>
          <w:tcPr>
            <w:tcW w:w="4181" w:type="dxa"/>
            <w:vMerge w:val="restart"/>
            <w:tcBorders>
              <w:top w:val="nil"/>
              <w:bottom w:val="nil"/>
            </w:tcBorders>
            <w:shd w:val="clear" w:color="auto" w:fill="1F1F5F"/>
          </w:tcPr>
          <w:p w14:paraId="0C36573C" w14:textId="77777777" w:rsidR="00F1422D" w:rsidRDefault="00F1422D">
            <w:pPr>
              <w:pStyle w:val="TableParagraph"/>
              <w:spacing w:before="200"/>
              <w:ind w:left="0"/>
              <w:rPr>
                <w:rFonts w:ascii="Lato Semibold"/>
                <w:b/>
              </w:rPr>
            </w:pPr>
          </w:p>
          <w:p w14:paraId="1BBD3EA3" w14:textId="77777777" w:rsidR="00F1422D" w:rsidRDefault="00EE2FE1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Issued</w:t>
            </w:r>
          </w:p>
        </w:tc>
        <w:tc>
          <w:tcPr>
            <w:tcW w:w="5172" w:type="dxa"/>
            <w:gridSpan w:val="2"/>
            <w:tcBorders>
              <w:top w:val="nil"/>
              <w:bottom w:val="nil"/>
            </w:tcBorders>
            <w:shd w:val="clear" w:color="auto" w:fill="1F1F5F"/>
          </w:tcPr>
          <w:p w14:paraId="4618C2A4" w14:textId="77777777" w:rsidR="00F1422D" w:rsidRDefault="00EE2FE1">
            <w:pPr>
              <w:pStyle w:val="TableParagraph"/>
              <w:spacing w:before="71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effect</w:t>
            </w:r>
          </w:p>
        </w:tc>
      </w:tr>
      <w:tr w:rsidR="00F1422D" w14:paraId="06DC1926" w14:textId="77777777">
        <w:trPr>
          <w:trHeight w:val="390"/>
        </w:trPr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1F1F5F"/>
          </w:tcPr>
          <w:p w14:paraId="11E76411" w14:textId="77777777" w:rsidR="00F1422D" w:rsidRDefault="00F1422D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vMerge/>
            <w:tcBorders>
              <w:top w:val="nil"/>
              <w:bottom w:val="nil"/>
            </w:tcBorders>
            <w:shd w:val="clear" w:color="auto" w:fill="1F1F5F"/>
          </w:tcPr>
          <w:p w14:paraId="74F6A0B0" w14:textId="77777777" w:rsidR="00F1422D" w:rsidRDefault="00F1422D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  <w:shd w:val="clear" w:color="auto" w:fill="1F1F5F"/>
          </w:tcPr>
          <w:p w14:paraId="347F68D7" w14:textId="77777777" w:rsidR="00F1422D" w:rsidRDefault="00EE2FE1">
            <w:pPr>
              <w:pStyle w:val="TableParagraph"/>
              <w:spacing w:before="6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From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</w:tcBorders>
            <w:shd w:val="clear" w:color="auto" w:fill="1F1F5F"/>
          </w:tcPr>
          <w:p w14:paraId="16E5BEF9" w14:textId="77777777" w:rsidR="00F1422D" w:rsidRDefault="00EE2FE1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To</w:t>
            </w:r>
          </w:p>
        </w:tc>
      </w:tr>
      <w:tr w:rsidR="00F1422D" w14:paraId="26E5B947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44BD6D3E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3214C455" w14:textId="77777777" w:rsidR="00F1422D" w:rsidRDefault="00EE2FE1">
            <w:pPr>
              <w:pStyle w:val="TableParagraph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August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2011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61BCBE6E" w14:textId="77777777" w:rsidR="00F1422D" w:rsidRDefault="00EE2FE1">
            <w:pPr>
              <w:pStyle w:val="TableParagraph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August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2011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20E25BBA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2012</w:t>
            </w:r>
          </w:p>
        </w:tc>
      </w:tr>
      <w:tr w:rsidR="00F1422D" w14:paraId="5EF0CF1C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56018FF0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14FBDE67" w14:textId="77777777" w:rsidR="00F1422D" w:rsidRDefault="00EE2FE1">
            <w:pPr>
              <w:pStyle w:val="TableParagraph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2012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1D8FE4B2" w14:textId="77777777" w:rsidR="00F1422D" w:rsidRDefault="00EE2FE1">
            <w:pPr>
              <w:pStyle w:val="TableParagraph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2012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34453AE2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2012</w:t>
            </w:r>
          </w:p>
        </w:tc>
      </w:tr>
      <w:tr w:rsidR="00F1422D" w14:paraId="0CF1EDAA" w14:textId="77777777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</w:tcPr>
          <w:p w14:paraId="57464B4C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3EC3928D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2012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6FDA134C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2012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1C232FEA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</w:tr>
      <w:tr w:rsidR="00F1422D" w14:paraId="1C04DF1C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38375B70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3EBBB8DF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42B00D0B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76F12427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2013</w:t>
            </w:r>
          </w:p>
        </w:tc>
      </w:tr>
      <w:tr w:rsidR="00F1422D" w14:paraId="3512718D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01F0013A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6F6BCF8E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2013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1606715A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2013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1037505B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</w:tr>
      <w:tr w:rsidR="00F1422D" w14:paraId="0F87E916" w14:textId="77777777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1F9AF46F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16A0015F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13615216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1796CECA" w14:textId="77777777" w:rsidR="00F1422D" w:rsidRDefault="00EE2FE1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2014</w:t>
            </w:r>
          </w:p>
        </w:tc>
      </w:tr>
      <w:tr w:rsidR="00F1422D" w14:paraId="599DE9D2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6C05B254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31972957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2014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0F19CCF2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2014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6BD80753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2015</w:t>
            </w:r>
          </w:p>
        </w:tc>
      </w:tr>
      <w:tr w:rsidR="00F1422D" w14:paraId="25362B84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1A200212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58FC2BC7" w14:textId="77777777" w:rsidR="00F1422D" w:rsidRDefault="00EE2FE1">
            <w:pPr>
              <w:pStyle w:val="TableParagraph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2015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5D2856D2" w14:textId="77777777" w:rsidR="00F1422D" w:rsidRDefault="00EE2FE1">
            <w:pPr>
              <w:pStyle w:val="TableParagraph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2015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6F9794D9" w14:textId="77777777" w:rsidR="00F1422D" w:rsidRDefault="00EE2FE1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2015</w:t>
            </w:r>
          </w:p>
        </w:tc>
      </w:tr>
      <w:tr w:rsidR="00F1422D" w14:paraId="349C0CB8" w14:textId="77777777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</w:tcPr>
          <w:p w14:paraId="2A3022F9" w14:textId="77777777" w:rsidR="00F1422D" w:rsidRDefault="00EE2FE1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13BA70E5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2015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7289AAC6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2015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266966DE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2016</w:t>
            </w:r>
          </w:p>
        </w:tc>
      </w:tr>
      <w:tr w:rsidR="00F1422D" w14:paraId="53342078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61A0BFEA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6EEF6260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2016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709DEC11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2016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7576374B" w14:textId="77777777" w:rsidR="00F1422D" w:rsidRDefault="00EE2FE1">
            <w:pPr>
              <w:pStyle w:val="TableParagraph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2016</w:t>
            </w:r>
          </w:p>
        </w:tc>
      </w:tr>
      <w:tr w:rsidR="00F1422D" w14:paraId="561FE0C7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11CE8EE9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3C4D4907" w14:textId="77777777" w:rsidR="00F1422D" w:rsidRDefault="00EE2FE1">
            <w:pPr>
              <w:pStyle w:val="TableParagraph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2016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7BF756D9" w14:textId="77777777" w:rsidR="00F1422D" w:rsidRDefault="00EE2FE1">
            <w:pPr>
              <w:pStyle w:val="TableParagraph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2016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5ACBC3B5" w14:textId="77777777" w:rsidR="00F1422D" w:rsidRDefault="00EE2FE1">
            <w:pPr>
              <w:pStyle w:val="TableParagraph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</w:tr>
      <w:tr w:rsidR="00F1422D" w14:paraId="6B982583" w14:textId="77777777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1FFF0CF5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16A0E49B" w14:textId="77777777" w:rsidR="00F1422D" w:rsidRDefault="00EE2FE1">
            <w:pPr>
              <w:pStyle w:val="TableParagraph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356EBA5E" w14:textId="77777777" w:rsidR="00F1422D" w:rsidRDefault="00EE2FE1">
            <w:pPr>
              <w:pStyle w:val="TableParagraph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73F07A7E" w14:textId="77777777" w:rsidR="00F1422D" w:rsidRDefault="00EE2FE1">
            <w:pPr>
              <w:pStyle w:val="TableParagraph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</w:tr>
      <w:tr w:rsidR="00F1422D" w14:paraId="08D13974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46E4089A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352AD915" w14:textId="77777777" w:rsidR="00F1422D" w:rsidRDefault="00EE2FE1">
            <w:pPr>
              <w:pStyle w:val="TableParagraph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47D6CC00" w14:textId="77777777" w:rsidR="00F1422D" w:rsidRDefault="00EE2FE1">
            <w:pPr>
              <w:pStyle w:val="TableParagraph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2017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165CFFE2" w14:textId="77777777" w:rsidR="00F1422D" w:rsidRDefault="00EE2FE1">
            <w:pPr>
              <w:pStyle w:val="TableParagraph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</w:tr>
      <w:tr w:rsidR="00F1422D" w14:paraId="5C354EF0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5D95BB08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5434FBF8" w14:textId="77777777" w:rsidR="00F1422D" w:rsidRDefault="00EE2FE1">
            <w:pPr>
              <w:pStyle w:val="TableParagraph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0FB33FAD" w14:textId="77777777" w:rsidR="00F1422D" w:rsidRDefault="00EE2FE1">
            <w:pPr>
              <w:pStyle w:val="TableParagraph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6A9E7682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2018</w:t>
            </w:r>
          </w:p>
        </w:tc>
      </w:tr>
      <w:tr w:rsidR="00F1422D" w14:paraId="0743F0F1" w14:textId="77777777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</w:tcPr>
          <w:p w14:paraId="042234BE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2F4E118D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2018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61040E5C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2018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73A7CBD7" w14:textId="77777777" w:rsidR="00F1422D" w:rsidRDefault="00EE2FE1">
            <w:pPr>
              <w:pStyle w:val="TableParagraph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</w:tr>
      <w:tr w:rsidR="00F1422D" w14:paraId="2AE564D5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547F0E83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295CA3F0" w14:textId="77777777" w:rsidR="00F1422D" w:rsidRDefault="00EE2FE1">
            <w:pPr>
              <w:pStyle w:val="TableParagraph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6209FAB0" w14:textId="77777777" w:rsidR="00F1422D" w:rsidRDefault="00EE2FE1">
            <w:pPr>
              <w:pStyle w:val="TableParagraph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33E31D3C" w14:textId="77777777" w:rsidR="00F1422D" w:rsidRDefault="00EE2FE1">
            <w:pPr>
              <w:pStyle w:val="TableParagraph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</w:tr>
      <w:tr w:rsidR="00F1422D" w14:paraId="6ED6C2AA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3D5A17A5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4449EDBB" w14:textId="77777777" w:rsidR="00F1422D" w:rsidRDefault="00EE2FE1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2019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63320223" w14:textId="77777777" w:rsidR="00F1422D" w:rsidRDefault="00EE2FE1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2019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1088E570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</w:tr>
      <w:tr w:rsidR="00F1422D" w14:paraId="2BC26F3E" w14:textId="77777777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3FF6F0D0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7F813B8B" w14:textId="77777777" w:rsidR="00F1422D" w:rsidRDefault="00EE2FE1">
            <w:pPr>
              <w:pStyle w:val="TableParagraph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1BD6377D" w14:textId="77777777" w:rsidR="00F1422D" w:rsidRDefault="00EE2FE1">
            <w:pPr>
              <w:pStyle w:val="TableParagraph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041B70C9" w14:textId="77777777" w:rsidR="00F1422D" w:rsidRDefault="00EE2FE1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2020</w:t>
            </w:r>
          </w:p>
        </w:tc>
      </w:tr>
      <w:tr w:rsidR="00F1422D" w14:paraId="7AEFBD7E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5D32550B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6EF577B0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2020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59FD7BF8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2020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6C89BB9F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</w:tr>
      <w:tr w:rsidR="00F1422D" w14:paraId="66C7C271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5A4578FE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363F899B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3E8ED746" w14:textId="77777777" w:rsidR="00F1422D" w:rsidRDefault="00EE2FE1">
            <w:pPr>
              <w:pStyle w:val="TableParagraph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08E57BB7" w14:textId="77777777" w:rsidR="00F1422D" w:rsidRDefault="00EE2FE1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2021</w:t>
            </w:r>
          </w:p>
        </w:tc>
      </w:tr>
      <w:tr w:rsidR="00F1422D" w14:paraId="6522D472" w14:textId="77777777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</w:tcPr>
          <w:p w14:paraId="187B5447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4E5CD87F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2021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5AEA5C86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2021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6BEC5918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</w:tr>
      <w:tr w:rsidR="00F1422D" w14:paraId="26A383AC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043CF475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317AD438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502C2629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48C0C71D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2022</w:t>
            </w:r>
          </w:p>
        </w:tc>
      </w:tr>
      <w:tr w:rsidR="00F1422D" w14:paraId="0B977B06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69FF12AE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797C9C10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2022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3C7BFF82" w14:textId="77777777" w:rsidR="00F1422D" w:rsidRDefault="00EE2FE1">
            <w:pPr>
              <w:pStyle w:val="TableParagrap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2022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7C05F511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F1422D" w14:paraId="60CEBA77" w14:textId="77777777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4D5753BF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2A349391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3E0DD899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343B44E4" w14:textId="77777777" w:rsidR="00F1422D" w:rsidRDefault="00EE2FE1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2023</w:t>
            </w:r>
          </w:p>
        </w:tc>
      </w:tr>
      <w:tr w:rsidR="00F1422D" w14:paraId="73740ED4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</w:tcPr>
          <w:p w14:paraId="75D446B0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6BA8B782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2023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4294F3E2" w14:textId="77777777" w:rsidR="00F1422D" w:rsidRDefault="00EE2FE1">
            <w:pPr>
              <w:pStyle w:val="TableParagraph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2023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675CF01A" w14:textId="77777777" w:rsidR="00F1422D" w:rsidRDefault="00EE2FE1">
            <w:pPr>
              <w:pStyle w:val="TableParagraph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F1422D" w14:paraId="23806F67" w14:textId="77777777">
        <w:trPr>
          <w:trHeight w:val="343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 w14:paraId="4669BEBF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 w14:paraId="61C7763C" w14:textId="77777777" w:rsidR="00F1422D" w:rsidRDefault="00EE2FE1">
            <w:pPr>
              <w:pStyle w:val="TableParagraph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 w14:paraId="3C0FB543" w14:textId="77777777" w:rsidR="00F1422D" w:rsidRDefault="00EE2FE1">
            <w:pPr>
              <w:pStyle w:val="TableParagraph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January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 w14:paraId="41A9A089" w14:textId="77777777" w:rsidR="00F1422D" w:rsidRDefault="00EE2FE1">
            <w:pPr>
              <w:pStyle w:val="TableParagraph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2024</w:t>
            </w:r>
          </w:p>
        </w:tc>
      </w:tr>
      <w:tr w:rsidR="00F1422D" w14:paraId="1579002A" w14:textId="77777777" w:rsidTr="00E84288">
        <w:trPr>
          <w:trHeight w:val="345"/>
        </w:trPr>
        <w:tc>
          <w:tcPr>
            <w:tcW w:w="989" w:type="dxa"/>
            <w:tcBorders>
              <w:top w:val="nil"/>
              <w:bottom w:val="nil"/>
            </w:tcBorders>
          </w:tcPr>
          <w:p w14:paraId="113E8EC6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 w14:paraId="27F7F8EE" w14:textId="77777777" w:rsidR="00F1422D" w:rsidRDefault="00EE2FE1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2024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14:paraId="6F15825F" w14:textId="77777777" w:rsidR="00F1422D" w:rsidRDefault="00EE2FE1">
            <w:pPr>
              <w:pStyle w:val="TableParagrap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 xml:space="preserve">July </w:t>
            </w:r>
            <w:r>
              <w:rPr>
                <w:spacing w:val="-4"/>
              </w:rPr>
              <w:t>2024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14:paraId="27377465" w14:textId="560645FA" w:rsidR="00F1422D" w:rsidRDefault="00F814FF" w:rsidP="00E84288">
            <w:pPr>
              <w:pStyle w:val="TableParagraph"/>
            </w:pPr>
            <w:r w:rsidRPr="007D4F1E">
              <w:rPr>
                <w:spacing w:val="-2"/>
              </w:rPr>
              <w:t>5</w:t>
            </w:r>
            <w:r w:rsidR="00E84288">
              <w:rPr>
                <w:spacing w:val="-2"/>
              </w:rPr>
              <w:t xml:space="preserve"> January 2025</w:t>
            </w:r>
          </w:p>
        </w:tc>
      </w:tr>
      <w:tr w:rsidR="00E84288" w14:paraId="2A420B55" w14:textId="77777777" w:rsidTr="00E84288">
        <w:trPr>
          <w:trHeight w:val="345"/>
        </w:trPr>
        <w:tc>
          <w:tcPr>
            <w:tcW w:w="989" w:type="dxa"/>
            <w:tcBorders>
              <w:top w:val="nil"/>
            </w:tcBorders>
            <w:shd w:val="clear" w:color="auto" w:fill="D9D9D9" w:themeFill="background1" w:themeFillShade="D9"/>
          </w:tcPr>
          <w:p w14:paraId="5E080AF2" w14:textId="77777777" w:rsidR="00E84288" w:rsidRDefault="00E84288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4181" w:type="dxa"/>
            <w:tcBorders>
              <w:top w:val="nil"/>
            </w:tcBorders>
            <w:shd w:val="clear" w:color="auto" w:fill="D9D9D9" w:themeFill="background1" w:themeFillShade="D9"/>
          </w:tcPr>
          <w:p w14:paraId="7598CEE3" w14:textId="49B76AA7" w:rsidR="00E84288" w:rsidRDefault="00E84288" w:rsidP="00E84288">
            <w:pPr>
              <w:pStyle w:val="TableParagraph"/>
              <w:ind w:left="0"/>
            </w:pPr>
            <w:r>
              <w:t xml:space="preserve">  </w:t>
            </w:r>
            <w:r w:rsidR="00F85DEB" w:rsidRPr="007D4F1E">
              <w:t>6</w:t>
            </w:r>
            <w:r>
              <w:t xml:space="preserve"> January 2025</w:t>
            </w:r>
          </w:p>
        </w:tc>
        <w:tc>
          <w:tcPr>
            <w:tcW w:w="2585" w:type="dxa"/>
            <w:tcBorders>
              <w:top w:val="nil"/>
            </w:tcBorders>
            <w:shd w:val="clear" w:color="auto" w:fill="D9D9D9" w:themeFill="background1" w:themeFillShade="D9"/>
          </w:tcPr>
          <w:p w14:paraId="0245C6AA" w14:textId="011EC43D" w:rsidR="00E84288" w:rsidRDefault="00F85DEB" w:rsidP="00F85DEB">
            <w:pPr>
              <w:pStyle w:val="TableParagraph"/>
            </w:pPr>
            <w:r>
              <w:t xml:space="preserve">6 </w:t>
            </w:r>
            <w:r w:rsidR="00E84288">
              <w:t>January 2025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D9D9D9" w:themeFill="background1" w:themeFillShade="D9"/>
          </w:tcPr>
          <w:p w14:paraId="49E32653" w14:textId="77777777" w:rsidR="00E84288" w:rsidRDefault="00E8428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Current</w:t>
            </w:r>
          </w:p>
        </w:tc>
      </w:tr>
    </w:tbl>
    <w:p w14:paraId="42B989CE" w14:textId="77777777" w:rsidR="00F1422D" w:rsidRDefault="00F1422D">
      <w:pPr>
        <w:sectPr w:rsidR="00F1422D">
          <w:headerReference w:type="default" r:id="rId15"/>
          <w:footerReference w:type="default" r:id="rId16"/>
          <w:pgSz w:w="11910" w:h="16840"/>
          <w:pgMar w:top="1160" w:right="0" w:bottom="1620" w:left="0" w:header="792" w:footer="1429" w:gutter="0"/>
          <w:pgNumType w:start="2"/>
          <w:cols w:space="720"/>
        </w:sectPr>
      </w:pPr>
    </w:p>
    <w:p w14:paraId="62E87A14" w14:textId="77777777" w:rsidR="00F1422D" w:rsidRDefault="00F1422D">
      <w:pPr>
        <w:pStyle w:val="BodyText"/>
        <w:spacing w:before="7"/>
        <w:rPr>
          <w:rFonts w:ascii="Lato Semibold"/>
          <w:b/>
          <w:sz w:val="9"/>
        </w:rPr>
      </w:pPr>
    </w:p>
    <w:tbl>
      <w:tblPr>
        <w:tblW w:w="0" w:type="auto"/>
        <w:tblInd w:w="804" w:type="dxa"/>
        <w:tblBorders>
          <w:top w:val="single" w:sz="4" w:space="0" w:color="1F1F5F"/>
          <w:left w:val="single" w:sz="4" w:space="0" w:color="1F1F5F"/>
          <w:bottom w:val="single" w:sz="4" w:space="0" w:color="1F1F5F"/>
          <w:right w:val="single" w:sz="4" w:space="0" w:color="1F1F5F"/>
          <w:insideH w:val="single" w:sz="4" w:space="0" w:color="1F1F5F"/>
          <w:insideV w:val="single" w:sz="4" w:space="0" w:color="1F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362"/>
      </w:tblGrid>
      <w:tr w:rsidR="00F1422D" w14:paraId="7A2ECE3E" w14:textId="77777777">
        <w:trPr>
          <w:trHeight w:val="39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1F1F5F"/>
          </w:tcPr>
          <w:p w14:paraId="0BA02DBB" w14:textId="77777777" w:rsidR="00F1422D" w:rsidRDefault="00EE2FE1">
            <w:pPr>
              <w:pStyle w:val="TableParagraph"/>
              <w:spacing w:before="6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Acronyms</w:t>
            </w:r>
          </w:p>
        </w:tc>
        <w:tc>
          <w:tcPr>
            <w:tcW w:w="8362" w:type="dxa"/>
            <w:tcBorders>
              <w:top w:val="nil"/>
              <w:bottom w:val="nil"/>
            </w:tcBorders>
            <w:shd w:val="clear" w:color="auto" w:fill="1F1F5F"/>
          </w:tcPr>
          <w:p w14:paraId="1B0717F5" w14:textId="77777777" w:rsidR="00F1422D" w:rsidRDefault="00EE2FE1">
            <w:pPr>
              <w:pStyle w:val="TableParagraph"/>
              <w:spacing w:before="68"/>
              <w:ind w:left="105"/>
              <w:rPr>
                <w:b/>
              </w:rPr>
            </w:pPr>
            <w:r>
              <w:rPr>
                <w:b/>
                <w:color w:val="FFFFFF"/>
              </w:rPr>
              <w:t>Full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form</w:t>
            </w:r>
          </w:p>
        </w:tc>
      </w:tr>
      <w:tr w:rsidR="00F1422D" w14:paraId="4DA3B6AC" w14:textId="77777777">
        <w:trPr>
          <w:trHeight w:val="343"/>
        </w:trPr>
        <w:tc>
          <w:tcPr>
            <w:tcW w:w="1980" w:type="dxa"/>
            <w:tcBorders>
              <w:top w:val="nil"/>
              <w:bottom w:val="nil"/>
            </w:tcBorders>
          </w:tcPr>
          <w:p w14:paraId="70AB2239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CRD</w:t>
            </w:r>
          </w:p>
        </w:tc>
        <w:tc>
          <w:tcPr>
            <w:tcW w:w="8362" w:type="dxa"/>
            <w:tcBorders>
              <w:top w:val="nil"/>
              <w:bottom w:val="nil"/>
            </w:tcBorders>
          </w:tcPr>
          <w:p w14:paraId="704CCEBA" w14:textId="77777777" w:rsidR="00F1422D" w:rsidRDefault="00EE2FE1">
            <w:pPr>
              <w:pStyle w:val="TableParagraph"/>
              <w:ind w:left="105"/>
            </w:pPr>
            <w:r>
              <w:t>Capital</w:t>
            </w:r>
            <w:r>
              <w:rPr>
                <w:spacing w:val="-8"/>
              </w:rPr>
              <w:t xml:space="preserve"> </w:t>
            </w:r>
            <w:r>
              <w:t>recognition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deduction</w:t>
            </w:r>
          </w:p>
        </w:tc>
      </w:tr>
      <w:tr w:rsidR="00F1422D" w14:paraId="706EA4CA" w14:textId="77777777">
        <w:trPr>
          <w:trHeight w:val="345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D9D9D9"/>
          </w:tcPr>
          <w:p w14:paraId="1CA3BD21" w14:textId="77777777" w:rsidR="00F1422D" w:rsidRDefault="00EE2FE1">
            <w:pPr>
              <w:pStyle w:val="TableParagraph"/>
            </w:pPr>
            <w:r>
              <w:rPr>
                <w:spacing w:val="-4"/>
              </w:rPr>
              <w:t>ECAE</w:t>
            </w:r>
          </w:p>
        </w:tc>
        <w:tc>
          <w:tcPr>
            <w:tcW w:w="8362" w:type="dxa"/>
            <w:tcBorders>
              <w:top w:val="nil"/>
              <w:bottom w:val="nil"/>
            </w:tcBorders>
            <w:shd w:val="clear" w:color="auto" w:fill="D9D9D9"/>
          </w:tcPr>
          <w:p w14:paraId="509B49E5" w14:textId="77777777" w:rsidR="00F1422D" w:rsidRDefault="00EE2FE1">
            <w:pPr>
              <w:pStyle w:val="TableParagraph"/>
              <w:ind w:left="105"/>
            </w:pPr>
            <w:r>
              <w:t>Eligible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-6"/>
              </w:rPr>
              <w:t xml:space="preserve"> </w:t>
            </w:r>
            <w:r>
              <w:t>assets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expenditure</w:t>
            </w:r>
          </w:p>
        </w:tc>
      </w:tr>
      <w:tr w:rsidR="00F1422D" w14:paraId="09BDED58" w14:textId="77777777">
        <w:trPr>
          <w:trHeight w:val="342"/>
        </w:trPr>
        <w:tc>
          <w:tcPr>
            <w:tcW w:w="1980" w:type="dxa"/>
            <w:tcBorders>
              <w:top w:val="nil"/>
            </w:tcBorders>
          </w:tcPr>
          <w:p w14:paraId="5FB4C7FA" w14:textId="77777777" w:rsidR="00F1422D" w:rsidRDefault="00EE2FE1">
            <w:pPr>
              <w:pStyle w:val="TableParagraph"/>
            </w:pPr>
            <w:r>
              <w:rPr>
                <w:spacing w:val="-5"/>
              </w:rPr>
              <w:t>MRA</w:t>
            </w:r>
          </w:p>
        </w:tc>
        <w:tc>
          <w:tcPr>
            <w:tcW w:w="8362" w:type="dxa"/>
            <w:tcBorders>
              <w:top w:val="nil"/>
            </w:tcBorders>
          </w:tcPr>
          <w:p w14:paraId="35689F8E" w14:textId="77777777" w:rsidR="00F1422D" w:rsidRDefault="00EE2FE1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Mineral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Royalty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1982</w:t>
            </w:r>
          </w:p>
        </w:tc>
      </w:tr>
    </w:tbl>
    <w:p w14:paraId="56470BE1" w14:textId="77777777" w:rsidR="00F1422D" w:rsidRDefault="00F1422D">
      <w:pPr>
        <w:pStyle w:val="BodyText"/>
        <w:spacing w:before="54"/>
        <w:rPr>
          <w:rFonts w:ascii="Lato Semibold"/>
          <w:b/>
          <w:sz w:val="36"/>
        </w:rPr>
      </w:pPr>
    </w:p>
    <w:p w14:paraId="7E9F9871" w14:textId="77777777" w:rsidR="00F1422D" w:rsidRDefault="00EE2FE1">
      <w:pPr>
        <w:spacing w:before="1"/>
        <w:ind w:left="794"/>
        <w:rPr>
          <w:rFonts w:ascii="Lato Semibold"/>
          <w:b/>
          <w:sz w:val="36"/>
        </w:rPr>
      </w:pPr>
      <w:r>
        <w:rPr>
          <w:rFonts w:ascii="Lato Semibold"/>
          <w:b/>
          <w:color w:val="1F1F5F"/>
          <w:spacing w:val="-2"/>
          <w:sz w:val="36"/>
        </w:rPr>
        <w:t>Contents</w:t>
      </w:r>
    </w:p>
    <w:sdt>
      <w:sdtPr>
        <w:id w:val="705524720"/>
        <w:docPartObj>
          <w:docPartGallery w:val="Table of Contents"/>
          <w:docPartUnique/>
        </w:docPartObj>
      </w:sdtPr>
      <w:sdtContent>
        <w:p w14:paraId="4BA821DC" w14:textId="77777777" w:rsidR="00F1422D" w:rsidRDefault="00000000">
          <w:pPr>
            <w:pStyle w:val="TOC1"/>
            <w:tabs>
              <w:tab w:val="right" w:leader="dot" w:pos="11112"/>
            </w:tabs>
          </w:pPr>
          <w:hyperlink w:anchor="_bookmark0" w:history="1">
            <w:r w:rsidR="00EE2FE1">
              <w:rPr>
                <w:spacing w:val="-2"/>
              </w:rPr>
              <w:t>Purpose</w:t>
            </w:r>
            <w:r w:rsidR="00EE2FE1">
              <w:tab/>
            </w:r>
            <w:r w:rsidR="00EE2FE1">
              <w:rPr>
                <w:spacing w:val="-10"/>
              </w:rPr>
              <w:t>3</w:t>
            </w:r>
          </w:hyperlink>
        </w:p>
        <w:p w14:paraId="0C27C3AD" w14:textId="77777777" w:rsidR="00F1422D" w:rsidRDefault="00000000">
          <w:pPr>
            <w:pStyle w:val="TOC1"/>
            <w:tabs>
              <w:tab w:val="right" w:leader="dot" w:pos="11112"/>
            </w:tabs>
            <w:spacing w:before="120"/>
          </w:pPr>
          <w:hyperlink w:anchor="_bookmark1" w:history="1">
            <w:r w:rsidR="00EE2FE1">
              <w:rPr>
                <w:spacing w:val="-2"/>
              </w:rPr>
              <w:t>Introduction</w:t>
            </w:r>
            <w:r w:rsidR="00EE2FE1">
              <w:tab/>
            </w:r>
            <w:r w:rsidR="00EE2FE1">
              <w:rPr>
                <w:spacing w:val="-10"/>
              </w:rPr>
              <w:t>3</w:t>
            </w:r>
          </w:hyperlink>
        </w:p>
        <w:p w14:paraId="6C8A73A6" w14:textId="77777777" w:rsidR="00F1422D" w:rsidRDefault="00000000">
          <w:pPr>
            <w:pStyle w:val="TOC1"/>
            <w:tabs>
              <w:tab w:val="right" w:leader="dot" w:pos="11112"/>
            </w:tabs>
            <w:spacing w:before="120"/>
          </w:pPr>
          <w:hyperlink w:anchor="_bookmark2" w:history="1">
            <w:r w:rsidR="00EE2FE1">
              <w:t>Factors</w:t>
            </w:r>
            <w:r w:rsidR="00EE2FE1">
              <w:rPr>
                <w:spacing w:val="-7"/>
              </w:rPr>
              <w:t xml:space="preserve"> </w:t>
            </w:r>
            <w:r w:rsidR="00EE2FE1">
              <w:t>to</w:t>
            </w:r>
            <w:r w:rsidR="00EE2FE1">
              <w:rPr>
                <w:spacing w:val="-4"/>
              </w:rPr>
              <w:t xml:space="preserve"> </w:t>
            </w:r>
            <w:r w:rsidR="00EE2FE1">
              <w:t>be</w:t>
            </w:r>
            <w:r w:rsidR="00EE2FE1">
              <w:rPr>
                <w:spacing w:val="-4"/>
              </w:rPr>
              <w:t xml:space="preserve"> </w:t>
            </w:r>
            <w:r w:rsidR="00EE2FE1">
              <w:t>used</w:t>
            </w:r>
            <w:r w:rsidR="00EE2FE1">
              <w:rPr>
                <w:spacing w:val="-4"/>
              </w:rPr>
              <w:t xml:space="preserve"> </w:t>
            </w:r>
            <w:r w:rsidR="00EE2FE1">
              <w:t>in</w:t>
            </w:r>
            <w:r w:rsidR="00EE2FE1">
              <w:rPr>
                <w:spacing w:val="-4"/>
              </w:rPr>
              <w:t xml:space="preserve"> </w:t>
            </w:r>
            <w:r w:rsidR="00EE2FE1">
              <w:t>calculating</w:t>
            </w:r>
            <w:r w:rsidR="00EE2FE1">
              <w:rPr>
                <w:spacing w:val="-3"/>
              </w:rPr>
              <w:t xml:space="preserve"> </w:t>
            </w:r>
            <w:r w:rsidR="00EE2FE1">
              <w:t>CRD</w:t>
            </w:r>
            <w:r w:rsidR="00EE2FE1">
              <w:rPr>
                <w:spacing w:val="-4"/>
              </w:rPr>
              <w:t xml:space="preserve"> </w:t>
            </w:r>
            <w:r w:rsidR="00EE2FE1">
              <w:t>and</w:t>
            </w:r>
            <w:r w:rsidR="00EE2FE1">
              <w:rPr>
                <w:spacing w:val="-4"/>
              </w:rPr>
              <w:t xml:space="preserve"> </w:t>
            </w:r>
            <w:r w:rsidR="00EE2FE1">
              <w:t>the</w:t>
            </w:r>
            <w:r w:rsidR="00EE2FE1">
              <w:rPr>
                <w:spacing w:val="-4"/>
              </w:rPr>
              <w:t xml:space="preserve"> </w:t>
            </w:r>
            <w:r w:rsidR="00EE2FE1">
              <w:t>periods</w:t>
            </w:r>
            <w:r w:rsidR="00EE2FE1">
              <w:rPr>
                <w:spacing w:val="-5"/>
              </w:rPr>
              <w:t xml:space="preserve"> </w:t>
            </w:r>
            <w:r w:rsidR="00EE2FE1">
              <w:t>during</w:t>
            </w:r>
            <w:r w:rsidR="00EE2FE1">
              <w:rPr>
                <w:spacing w:val="-2"/>
              </w:rPr>
              <w:t xml:space="preserve"> </w:t>
            </w:r>
            <w:r w:rsidR="00EE2FE1">
              <w:t>which</w:t>
            </w:r>
            <w:r w:rsidR="00EE2FE1">
              <w:rPr>
                <w:spacing w:val="-4"/>
              </w:rPr>
              <w:t xml:space="preserve"> </w:t>
            </w:r>
            <w:r w:rsidR="00EE2FE1">
              <w:t>the</w:t>
            </w:r>
            <w:r w:rsidR="00EE2FE1">
              <w:rPr>
                <w:spacing w:val="-4"/>
              </w:rPr>
              <w:t xml:space="preserve"> </w:t>
            </w:r>
            <w:r w:rsidR="00EE2FE1">
              <w:t>factors</w:t>
            </w:r>
            <w:r w:rsidR="00EE2FE1">
              <w:rPr>
                <w:spacing w:val="-4"/>
              </w:rPr>
              <w:t xml:space="preserve"> apply</w:t>
            </w:r>
            <w:r w:rsidR="00EE2FE1">
              <w:tab/>
            </w:r>
            <w:r w:rsidR="00EE2FE1">
              <w:rPr>
                <w:spacing w:val="-10"/>
              </w:rPr>
              <w:t>4</w:t>
            </w:r>
          </w:hyperlink>
        </w:p>
        <w:p w14:paraId="1683A32A" w14:textId="77777777" w:rsidR="00F1422D" w:rsidRDefault="00000000">
          <w:pPr>
            <w:pStyle w:val="TOC1"/>
            <w:tabs>
              <w:tab w:val="right" w:leader="dot" w:pos="11112"/>
            </w:tabs>
          </w:pPr>
          <w:hyperlink w:anchor="_bookmark3" w:history="1">
            <w:r w:rsidR="00EE2FE1">
              <w:t>MRA</w:t>
            </w:r>
            <w:r w:rsidR="00EE2FE1">
              <w:rPr>
                <w:spacing w:val="-4"/>
              </w:rPr>
              <w:t xml:space="preserve"> </w:t>
            </w:r>
            <w:r w:rsidR="00EE2FE1">
              <w:rPr>
                <w:spacing w:val="-2"/>
              </w:rPr>
              <w:t>publications</w:t>
            </w:r>
            <w:r w:rsidR="00EE2FE1">
              <w:tab/>
            </w:r>
            <w:r w:rsidR="00EE2FE1">
              <w:rPr>
                <w:spacing w:val="-10"/>
              </w:rPr>
              <w:t>5</w:t>
            </w:r>
          </w:hyperlink>
        </w:p>
      </w:sdtContent>
    </w:sdt>
    <w:p w14:paraId="53173F79" w14:textId="77777777" w:rsidR="00F1422D" w:rsidRDefault="00F1422D">
      <w:pPr>
        <w:pStyle w:val="BodyText"/>
        <w:rPr>
          <w:b/>
        </w:rPr>
      </w:pPr>
    </w:p>
    <w:p w14:paraId="3DEAEE28" w14:textId="77777777" w:rsidR="00F1422D" w:rsidRDefault="00F1422D">
      <w:pPr>
        <w:pStyle w:val="BodyText"/>
        <w:spacing w:before="78"/>
        <w:rPr>
          <w:b/>
        </w:rPr>
      </w:pPr>
    </w:p>
    <w:p w14:paraId="78BF4F44" w14:textId="77777777" w:rsidR="00F1422D" w:rsidRDefault="00EE2FE1">
      <w:pPr>
        <w:pStyle w:val="Heading1"/>
        <w:spacing w:before="0"/>
        <w:rPr>
          <w:b/>
        </w:rPr>
      </w:pPr>
      <w:bookmarkStart w:id="0" w:name="Purpose"/>
      <w:bookmarkStart w:id="1" w:name="_bookmark0"/>
      <w:bookmarkEnd w:id="0"/>
      <w:bookmarkEnd w:id="1"/>
      <w:r>
        <w:rPr>
          <w:b/>
          <w:color w:val="1F1F5F"/>
          <w:spacing w:val="-2"/>
        </w:rPr>
        <w:t>Purpose</w:t>
      </w:r>
    </w:p>
    <w:p w14:paraId="5E50E2A1" w14:textId="77777777" w:rsidR="00F1422D" w:rsidRDefault="00EE2FE1">
      <w:pPr>
        <w:pStyle w:val="ListParagraph"/>
        <w:numPr>
          <w:ilvl w:val="0"/>
          <w:numId w:val="1"/>
        </w:numPr>
        <w:tabs>
          <w:tab w:val="left" w:pos="1219"/>
        </w:tabs>
        <w:spacing w:before="199"/>
        <w:ind w:right="856"/>
      </w:pPr>
      <w:r>
        <w:t>This guideline</w:t>
      </w:r>
      <w:r>
        <w:rPr>
          <w:spacing w:val="-1"/>
        </w:rPr>
        <w:t xml:space="preserve"> </w:t>
      </w:r>
      <w:r>
        <w:t>announces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capital recognition</w:t>
      </w:r>
      <w:r>
        <w:rPr>
          <w:spacing w:val="-2"/>
        </w:rPr>
        <w:t xml:space="preserve"> </w:t>
      </w:r>
      <w:r>
        <w:t>deduction (CRD) factors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during which they apply for the purpose of sections 4</w:t>
      </w:r>
      <w:proofErr w:type="gramStart"/>
      <w:r>
        <w:t>C(</w:t>
      </w:r>
      <w:proofErr w:type="gramEnd"/>
      <w:r>
        <w:t xml:space="preserve">2) and (6) of the </w:t>
      </w:r>
      <w:r>
        <w:rPr>
          <w:i/>
        </w:rPr>
        <w:t xml:space="preserve">Mineral Royalty Act 1982 </w:t>
      </w:r>
      <w:r>
        <w:t>(the MRA). This guideline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MRA,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read</w:t>
      </w:r>
      <w:r>
        <w:rPr>
          <w:spacing w:val="-4"/>
        </w:rPr>
        <w:t xml:space="preserve"> </w:t>
      </w:r>
      <w:r>
        <w:t xml:space="preserve">in conjunction with Royalty Guideline RG-MRA-006: </w:t>
      </w:r>
      <w:r>
        <w:rPr>
          <w:i/>
        </w:rPr>
        <w:t>Capital recognition deduction</w:t>
      </w:r>
      <w:r>
        <w:t>.</w:t>
      </w:r>
    </w:p>
    <w:p w14:paraId="60132F4D" w14:textId="77777777" w:rsidR="00F1422D" w:rsidRDefault="00EE2FE1">
      <w:pPr>
        <w:pStyle w:val="ListParagraph"/>
        <w:numPr>
          <w:ilvl w:val="0"/>
          <w:numId w:val="1"/>
        </w:numPr>
        <w:tabs>
          <w:tab w:val="left" w:pos="1219"/>
        </w:tabs>
      </w:pPr>
      <w:r>
        <w:t>This</w:t>
      </w:r>
      <w:r>
        <w:rPr>
          <w:spacing w:val="-3"/>
        </w:rPr>
        <w:t xml:space="preserve"> </w:t>
      </w:r>
      <w:r>
        <w:t>guideline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MRA.</w:t>
      </w:r>
    </w:p>
    <w:p w14:paraId="5B0A7DA1" w14:textId="77777777" w:rsidR="00F1422D" w:rsidRDefault="00EE2FE1">
      <w:pPr>
        <w:pStyle w:val="Heading1"/>
        <w:rPr>
          <w:b/>
        </w:rPr>
      </w:pPr>
      <w:bookmarkStart w:id="2" w:name="Introduction"/>
      <w:bookmarkStart w:id="3" w:name="_bookmark1"/>
      <w:bookmarkEnd w:id="2"/>
      <w:bookmarkEnd w:id="3"/>
      <w:r>
        <w:rPr>
          <w:b/>
          <w:color w:val="1F1F5F"/>
          <w:spacing w:val="-2"/>
        </w:rPr>
        <w:t>Introduction</w:t>
      </w:r>
    </w:p>
    <w:p w14:paraId="3C826F77" w14:textId="77777777" w:rsidR="00F1422D" w:rsidRDefault="00EE2FE1">
      <w:pPr>
        <w:pStyle w:val="ListParagraph"/>
        <w:numPr>
          <w:ilvl w:val="0"/>
          <w:numId w:val="1"/>
        </w:numPr>
        <w:tabs>
          <w:tab w:val="left" w:pos="1219"/>
        </w:tabs>
        <w:spacing w:before="198"/>
        <w:ind w:right="860"/>
        <w:jc w:val="both"/>
      </w:pPr>
      <w:r>
        <w:t>As</w:t>
      </w:r>
      <w:r>
        <w:rPr>
          <w:spacing w:val="-2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Royalty</w:t>
      </w:r>
      <w:r>
        <w:rPr>
          <w:spacing w:val="-5"/>
        </w:rPr>
        <w:t xml:space="preserve"> </w:t>
      </w:r>
      <w:r>
        <w:t>Guideline</w:t>
      </w:r>
      <w:r>
        <w:rPr>
          <w:spacing w:val="-4"/>
        </w:rPr>
        <w:t xml:space="preserve"> </w:t>
      </w:r>
      <w:r>
        <w:t>RG-MRA-006:</w:t>
      </w:r>
      <w:r>
        <w:rPr>
          <w:spacing w:val="-2"/>
        </w:rPr>
        <w:t xml:space="preserve"> </w:t>
      </w:r>
      <w:r>
        <w:rPr>
          <w:i/>
        </w:rPr>
        <w:t>Capital</w:t>
      </w:r>
      <w:r>
        <w:rPr>
          <w:i/>
          <w:spacing w:val="-2"/>
        </w:rPr>
        <w:t xml:space="preserve"> </w:t>
      </w:r>
      <w:r>
        <w:rPr>
          <w:i/>
        </w:rPr>
        <w:t>recognition</w:t>
      </w:r>
      <w:r>
        <w:rPr>
          <w:i/>
          <w:spacing w:val="-3"/>
        </w:rPr>
        <w:t xml:space="preserve"> </w:t>
      </w:r>
      <w:r>
        <w:rPr>
          <w:i/>
        </w:rPr>
        <w:t>deduction</w:t>
      </w:r>
      <w:r>
        <w:t>,</w:t>
      </w:r>
      <w:r>
        <w:rPr>
          <w:spacing w:val="-2"/>
        </w:rPr>
        <w:t xml:space="preserve"> </w:t>
      </w:r>
      <w:r>
        <w:t>CRD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 as follows:</w:t>
      </w:r>
    </w:p>
    <w:p w14:paraId="72FB0A3C" w14:textId="77777777" w:rsidR="00F1422D" w:rsidRDefault="00EE2FE1">
      <w:pPr>
        <w:pStyle w:val="ListParagraph"/>
        <w:numPr>
          <w:ilvl w:val="1"/>
          <w:numId w:val="1"/>
        </w:numPr>
        <w:tabs>
          <w:tab w:val="left" w:pos="1642"/>
          <w:tab w:val="left" w:pos="1644"/>
        </w:tabs>
        <w:ind w:right="1167"/>
        <w:jc w:val="both"/>
      </w:pPr>
      <w:r>
        <w:t>CRD is a fraction of each</w:t>
      </w:r>
      <w:r>
        <w:rPr>
          <w:spacing w:val="-3"/>
        </w:rPr>
        <w:t xml:space="preserve"> </w:t>
      </w:r>
      <w:r>
        <w:t xml:space="preserve">item of ‘eligible capital assets expenditure’ (ECAE) </w:t>
      </w:r>
      <w:proofErr w:type="gramStart"/>
      <w:r>
        <w:t>actually used</w:t>
      </w:r>
      <w:proofErr w:type="gramEnd"/>
      <w:r>
        <w:t xml:space="preserve"> on a production</w:t>
      </w:r>
      <w:r>
        <w:rPr>
          <w:spacing w:val="-4"/>
        </w:rPr>
        <w:t xml:space="preserve"> </w:t>
      </w:r>
      <w:r>
        <w:t>unit,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operations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unit,</w:t>
      </w:r>
      <w:r>
        <w:rPr>
          <w:spacing w:val="-6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 or part of a six-month period of a royalty year.</w:t>
      </w:r>
    </w:p>
    <w:p w14:paraId="23C4901E" w14:textId="77777777" w:rsidR="00F1422D" w:rsidRDefault="00EE2FE1">
      <w:pPr>
        <w:pStyle w:val="ListParagraph"/>
        <w:numPr>
          <w:ilvl w:val="1"/>
          <w:numId w:val="1"/>
        </w:numPr>
        <w:tabs>
          <w:tab w:val="left" w:pos="1641"/>
          <w:tab w:val="left" w:pos="1644"/>
        </w:tabs>
        <w:spacing w:before="202"/>
        <w:ind w:right="1274" w:hanging="426"/>
      </w:pPr>
      <w:r>
        <w:t xml:space="preserve">The fraction, known as the CRD factor, is </w:t>
      </w:r>
      <w:proofErr w:type="gramStart"/>
      <w:r>
        <w:t>published</w:t>
      </w:r>
      <w:proofErr w:type="gramEnd"/>
      <w:r>
        <w:t xml:space="preserve"> or announced from time-to-time by the Secretary,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retrospectively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announcement</w:t>
      </w:r>
      <w:r>
        <w:rPr>
          <w:spacing w:val="-4"/>
        </w:rPr>
        <w:t xml:space="preserve"> </w:t>
      </w:r>
      <w:r>
        <w:t>(being</w:t>
      </w:r>
      <w:r>
        <w:rPr>
          <w:spacing w:val="-3"/>
        </w:rPr>
        <w:t xml:space="preserve"> </w:t>
      </w:r>
      <w:r>
        <w:t>six months before the announcement).</w:t>
      </w:r>
    </w:p>
    <w:p w14:paraId="46D98D2A" w14:textId="77777777" w:rsidR="00F1422D" w:rsidRDefault="00EE2FE1">
      <w:pPr>
        <w:pStyle w:val="ListParagraph"/>
        <w:numPr>
          <w:ilvl w:val="1"/>
          <w:numId w:val="1"/>
        </w:numPr>
        <w:tabs>
          <w:tab w:val="left" w:pos="1642"/>
          <w:tab w:val="left" w:pos="1644"/>
        </w:tabs>
        <w:spacing w:before="199"/>
        <w:ind w:right="1036"/>
      </w:pPr>
      <w:r>
        <w:t>The Secretary</w:t>
      </w:r>
      <w:r>
        <w:rPr>
          <w:spacing w:val="-2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CRD</w:t>
      </w:r>
      <w:r>
        <w:rPr>
          <w:spacing w:val="-1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converting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value capital</w:t>
      </w:r>
      <w:r>
        <w:rPr>
          <w:spacing w:val="-3"/>
        </w:rPr>
        <w:t xml:space="preserve"> </w:t>
      </w:r>
      <w:r>
        <w:t>sum into</w:t>
      </w:r>
      <w:r>
        <w:rPr>
          <w:spacing w:val="-4"/>
        </w:rPr>
        <w:t xml:space="preserve"> </w:t>
      </w:r>
      <w:r>
        <w:t>a series of semi-annual annuities at a prescribed rate of interest.</w:t>
      </w:r>
    </w:p>
    <w:p w14:paraId="23095BED" w14:textId="77777777" w:rsidR="00F1422D" w:rsidRDefault="00EE2FE1">
      <w:pPr>
        <w:pStyle w:val="ListParagraph"/>
        <w:numPr>
          <w:ilvl w:val="1"/>
          <w:numId w:val="1"/>
        </w:numPr>
        <w:tabs>
          <w:tab w:val="left" w:pos="1642"/>
          <w:tab w:val="left" w:pos="1644"/>
        </w:tabs>
        <w:spacing w:before="199"/>
        <w:ind w:right="1029"/>
      </w:pPr>
      <w:r>
        <w:t>The</w:t>
      </w:r>
      <w:r>
        <w:rPr>
          <w:spacing w:val="-1"/>
        </w:rPr>
        <w:t xml:space="preserve"> </w:t>
      </w:r>
      <w:r>
        <w:t>implicit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10-year</w:t>
      </w:r>
      <w:r>
        <w:rPr>
          <w:spacing w:val="-6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Securities,</w:t>
      </w:r>
      <w:r>
        <w:rPr>
          <w:spacing w:val="-4"/>
        </w:rPr>
        <w:t xml:space="preserve"> </w:t>
      </w:r>
      <w:r>
        <w:t>uplifted by 2%.</w:t>
      </w:r>
    </w:p>
    <w:p w14:paraId="39185A81" w14:textId="77777777" w:rsidR="00F1422D" w:rsidRDefault="00EE2FE1">
      <w:pPr>
        <w:pStyle w:val="ListParagraph"/>
        <w:numPr>
          <w:ilvl w:val="1"/>
          <w:numId w:val="1"/>
        </w:numPr>
        <w:tabs>
          <w:tab w:val="left" w:pos="1642"/>
          <w:tab w:val="left" w:pos="1644"/>
        </w:tabs>
        <w:spacing w:before="202"/>
        <w:ind w:right="1202"/>
      </w:pPr>
      <w:r>
        <w:t>Each item of ECAE is allocated a period of years over which a CRD will be allowed. This will generally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aligned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Income</w:t>
      </w:r>
      <w:r>
        <w:rPr>
          <w:i/>
          <w:spacing w:val="-1"/>
        </w:rPr>
        <w:t xml:space="preserve"> </w:t>
      </w:r>
      <w:r>
        <w:rPr>
          <w:i/>
        </w:rPr>
        <w:t>Tax</w:t>
      </w:r>
      <w:r>
        <w:rPr>
          <w:i/>
          <w:spacing w:val="-3"/>
        </w:rPr>
        <w:t xml:space="preserve"> </w:t>
      </w:r>
      <w:r>
        <w:rPr>
          <w:i/>
        </w:rPr>
        <w:t>Assessment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</w:rPr>
        <w:t xml:space="preserve">1936 </w:t>
      </w:r>
      <w:r>
        <w:t>periods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depreciation.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CRD on ECAE is claimed over a period of three, five or 10 years, in accordance with the </w:t>
      </w:r>
      <w:proofErr w:type="gramStart"/>
      <w:r>
        <w:t>capital</w:t>
      </w:r>
      <w:proofErr w:type="gramEnd"/>
    </w:p>
    <w:p w14:paraId="7654E4AC" w14:textId="77777777" w:rsidR="00F1422D" w:rsidRDefault="00EE2FE1">
      <w:pPr>
        <w:ind w:left="1644"/>
        <w:rPr>
          <w:i/>
        </w:rPr>
      </w:pPr>
      <w:r>
        <w:t>deduction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Royalty</w:t>
      </w:r>
      <w:r>
        <w:rPr>
          <w:spacing w:val="-4"/>
        </w:rPr>
        <w:t xml:space="preserve"> </w:t>
      </w:r>
      <w:r>
        <w:t>Guideline</w:t>
      </w:r>
      <w:r>
        <w:rPr>
          <w:spacing w:val="-3"/>
        </w:rPr>
        <w:t xml:space="preserve"> </w:t>
      </w:r>
      <w:r>
        <w:t>RG-MRA-006:</w:t>
      </w:r>
      <w:r>
        <w:rPr>
          <w:spacing w:val="-6"/>
        </w:rPr>
        <w:t xml:space="preserve"> </w:t>
      </w:r>
      <w:r>
        <w:rPr>
          <w:i/>
        </w:rPr>
        <w:t>Capital recognition deduction.</w:t>
      </w:r>
    </w:p>
    <w:p w14:paraId="31D58436" w14:textId="77777777" w:rsidR="00F1422D" w:rsidRDefault="00EE2FE1">
      <w:pPr>
        <w:pStyle w:val="ListParagraph"/>
        <w:numPr>
          <w:ilvl w:val="1"/>
          <w:numId w:val="1"/>
        </w:numPr>
        <w:tabs>
          <w:tab w:val="left" w:pos="1641"/>
          <w:tab w:val="left" w:pos="1643"/>
        </w:tabs>
        <w:spacing w:before="200"/>
        <w:ind w:left="1643" w:right="990"/>
      </w:pP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 of</w:t>
      </w:r>
      <w:r>
        <w:rPr>
          <w:spacing w:val="-2"/>
        </w:rPr>
        <w:t xml:space="preserve"> </w:t>
      </w:r>
      <w:r>
        <w:t>ECAE,</w:t>
      </w:r>
      <w:r>
        <w:rPr>
          <w:spacing w:val="-1"/>
        </w:rPr>
        <w:t xml:space="preserve"> </w:t>
      </w:r>
      <w:r>
        <w:t>CRD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allowable</w:t>
      </w:r>
      <w:r>
        <w:rPr>
          <w:spacing w:val="-3"/>
        </w:rPr>
        <w:t xml:space="preserve"> </w:t>
      </w:r>
      <w:r>
        <w:t>deduction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 not</w:t>
      </w:r>
      <w:r>
        <w:rPr>
          <w:spacing w:val="-4"/>
        </w:rPr>
        <w:t xml:space="preserve"> </w:t>
      </w:r>
      <w:r>
        <w:t>exceeding</w:t>
      </w:r>
      <w:r>
        <w:rPr>
          <w:spacing w:val="-1"/>
        </w:rPr>
        <w:t xml:space="preserve"> </w:t>
      </w:r>
      <w:r>
        <w:t>the period outlined in paragraph 3(5) above, whether that period is a period of uninterrupted use or the sum of fractional periods of use.</w:t>
      </w:r>
    </w:p>
    <w:p w14:paraId="673DCA7B" w14:textId="77777777" w:rsidR="00F1422D" w:rsidRDefault="00F1422D">
      <w:pPr>
        <w:sectPr w:rsidR="00F1422D">
          <w:pgSz w:w="11910" w:h="16840"/>
          <w:pgMar w:top="1160" w:right="0" w:bottom="1620" w:left="0" w:header="792" w:footer="1429" w:gutter="0"/>
          <w:cols w:space="720"/>
        </w:sectPr>
      </w:pPr>
    </w:p>
    <w:p w14:paraId="488DB9BC" w14:textId="77777777" w:rsidR="00F1422D" w:rsidRDefault="00EE2FE1">
      <w:pPr>
        <w:pStyle w:val="ListParagraph"/>
        <w:numPr>
          <w:ilvl w:val="1"/>
          <w:numId w:val="1"/>
        </w:numPr>
        <w:tabs>
          <w:tab w:val="left" w:pos="1642"/>
          <w:tab w:val="left" w:pos="1644"/>
        </w:tabs>
        <w:spacing w:before="119"/>
        <w:ind w:right="849"/>
      </w:pPr>
      <w:r>
        <w:lastRenderedPageBreak/>
        <w:t>Where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ECAE</w:t>
      </w:r>
      <w:r>
        <w:rPr>
          <w:spacing w:val="-3"/>
        </w:rPr>
        <w:t xml:space="preserve"> </w:t>
      </w:r>
      <w:r>
        <w:t>is sold</w:t>
      </w:r>
      <w:r>
        <w:rPr>
          <w:spacing w:val="-1"/>
        </w:rPr>
        <w:t xml:space="preserve"> </w:t>
      </w:r>
      <w:r>
        <w:t>independently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unit 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different from</w:t>
      </w:r>
      <w:r>
        <w:rPr>
          <w:spacing w:val="-2"/>
        </w:rPr>
        <w:t xml:space="preserve"> </w:t>
      </w:r>
      <w:r>
        <w:t xml:space="preserve">its written-down value, and such sale is at arm’s length, the difference is </w:t>
      </w:r>
      <w:proofErr w:type="spellStart"/>
      <w:r>
        <w:t>recognised</w:t>
      </w:r>
      <w:proofErr w:type="spellEnd"/>
      <w:r>
        <w:t xml:space="preserve"> in determining gross </w:t>
      </w:r>
      <w:proofErr w:type="spellStart"/>
      <w:r>
        <w:t>realisation</w:t>
      </w:r>
      <w:proofErr w:type="spellEnd"/>
      <w:r>
        <w:t>, for the purpose of calculating royalty liability.</w:t>
      </w:r>
    </w:p>
    <w:p w14:paraId="001B2E1A" w14:textId="77777777" w:rsidR="00F1422D" w:rsidRDefault="00EE2FE1">
      <w:pPr>
        <w:pStyle w:val="ListParagraph"/>
        <w:numPr>
          <w:ilvl w:val="0"/>
          <w:numId w:val="1"/>
        </w:numPr>
        <w:tabs>
          <w:tab w:val="left" w:pos="1219"/>
        </w:tabs>
        <w:spacing w:before="199"/>
        <w:ind w:right="975"/>
      </w:pPr>
      <w:r>
        <w:t>The announcement of the factors to be used in calculating CRD and the period during which the factors will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made within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six-month</w:t>
      </w:r>
      <w:r>
        <w:rPr>
          <w:spacing w:val="-3"/>
        </w:rPr>
        <w:t xml:space="preserve"> </w:t>
      </w:r>
      <w:r>
        <w:t>period. This</w:t>
      </w:r>
      <w:r>
        <w:rPr>
          <w:spacing w:val="-2"/>
        </w:rPr>
        <w:t xml:space="preserve"> </w:t>
      </w:r>
      <w:r>
        <w:t>allows royalty payers sufficient time to determine their royalty liabilities. In default of the Secretary making an</w:t>
      </w:r>
      <w:r>
        <w:rPr>
          <w:spacing w:val="-2"/>
        </w:rPr>
        <w:t xml:space="preserve"> </w:t>
      </w:r>
      <w:r>
        <w:t>announcement</w:t>
      </w:r>
      <w:r>
        <w:rPr>
          <w:spacing w:val="-1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announcement,</w:t>
      </w:r>
      <w:r>
        <w:rPr>
          <w:spacing w:val="-3"/>
        </w:rPr>
        <w:t xml:space="preserve"> </w:t>
      </w:r>
      <w:r>
        <w:t>the factors</w:t>
      </w:r>
      <w:r>
        <w:rPr>
          <w:spacing w:val="-3"/>
        </w:rPr>
        <w:t xml:space="preserve"> </w:t>
      </w:r>
      <w:r>
        <w:t>announced in</w:t>
      </w:r>
      <w:r>
        <w:rPr>
          <w:spacing w:val="-4"/>
        </w:rPr>
        <w:t xml:space="preserve"> </w:t>
      </w:r>
      <w:r>
        <w:t>the most recent announcement shall continue to apply for the next consecutive six-month periods until the Secretary makes a new announcement of the factors and periods.</w:t>
      </w:r>
    </w:p>
    <w:p w14:paraId="2DC455E4" w14:textId="77777777" w:rsidR="00F1422D" w:rsidRDefault="00EE2FE1">
      <w:pPr>
        <w:pStyle w:val="ListParagraph"/>
        <w:numPr>
          <w:ilvl w:val="0"/>
          <w:numId w:val="1"/>
        </w:numPr>
        <w:tabs>
          <w:tab w:val="left" w:pos="1219"/>
        </w:tabs>
        <w:ind w:right="961"/>
      </w:pPr>
      <w:r>
        <w:t>Announcements of the factors to be used in calculating CRD and the</w:t>
      </w:r>
      <w:r>
        <w:rPr>
          <w:spacing w:val="-1"/>
        </w:rPr>
        <w:t xml:space="preserve"> </w:t>
      </w:r>
      <w:r>
        <w:t>period during which they</w:t>
      </w:r>
      <w:r>
        <w:rPr>
          <w:spacing w:val="-1"/>
        </w:rPr>
        <w:t xml:space="preserve"> </w:t>
      </w:r>
      <w:r>
        <w:t>apply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form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guideline,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 that 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guideline in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 xml:space="preserve">of section 4E of the MRA, for the purposes of the MRA, and will be made publicly available on the Territory Revenue Office website, </w:t>
      </w:r>
      <w:hyperlink r:id="rId17">
        <w:r>
          <w:rPr>
            <w:color w:val="0562C1"/>
            <w:u w:val="single" w:color="0562C1"/>
          </w:rPr>
          <w:t>www.revenue.nt.gov.au</w:t>
        </w:r>
        <w:r>
          <w:t>.</w:t>
        </w:r>
      </w:hyperlink>
    </w:p>
    <w:p w14:paraId="601FD961" w14:textId="77777777" w:rsidR="00F1422D" w:rsidRDefault="00EE2FE1">
      <w:pPr>
        <w:spacing w:before="241"/>
        <w:ind w:left="794" w:right="799"/>
        <w:rPr>
          <w:rFonts w:ascii="Lato Semibold"/>
          <w:b/>
          <w:sz w:val="36"/>
        </w:rPr>
      </w:pPr>
      <w:bookmarkStart w:id="4" w:name="Factors_to_be_used_in_calculating_capita"/>
      <w:bookmarkStart w:id="5" w:name="_bookmark2"/>
      <w:bookmarkEnd w:id="4"/>
      <w:bookmarkEnd w:id="5"/>
      <w:r>
        <w:rPr>
          <w:rFonts w:ascii="Lato Semibold"/>
          <w:b/>
          <w:color w:val="1F1F5F"/>
          <w:sz w:val="36"/>
        </w:rPr>
        <w:t>Factors</w:t>
      </w:r>
      <w:r>
        <w:rPr>
          <w:rFonts w:ascii="Lato Semibold"/>
          <w:b/>
          <w:color w:val="1F1F5F"/>
          <w:spacing w:val="-11"/>
          <w:sz w:val="36"/>
        </w:rPr>
        <w:t xml:space="preserve"> </w:t>
      </w:r>
      <w:r>
        <w:rPr>
          <w:rFonts w:ascii="Lato Semibold"/>
          <w:b/>
          <w:color w:val="1F1F5F"/>
          <w:sz w:val="36"/>
        </w:rPr>
        <w:t>to</w:t>
      </w:r>
      <w:r>
        <w:rPr>
          <w:rFonts w:ascii="Lato Semibold"/>
          <w:b/>
          <w:color w:val="1F1F5F"/>
          <w:spacing w:val="-9"/>
          <w:sz w:val="36"/>
        </w:rPr>
        <w:t xml:space="preserve"> </w:t>
      </w:r>
      <w:r>
        <w:rPr>
          <w:rFonts w:ascii="Lato Semibold"/>
          <w:b/>
          <w:color w:val="1F1F5F"/>
          <w:sz w:val="36"/>
        </w:rPr>
        <w:t>be</w:t>
      </w:r>
      <w:r>
        <w:rPr>
          <w:rFonts w:ascii="Lato Semibold"/>
          <w:b/>
          <w:color w:val="1F1F5F"/>
          <w:spacing w:val="-9"/>
          <w:sz w:val="36"/>
        </w:rPr>
        <w:t xml:space="preserve"> </w:t>
      </w:r>
      <w:r>
        <w:rPr>
          <w:rFonts w:ascii="Lato Semibold"/>
          <w:b/>
          <w:color w:val="1F1F5F"/>
          <w:sz w:val="36"/>
        </w:rPr>
        <w:t>used</w:t>
      </w:r>
      <w:r>
        <w:rPr>
          <w:rFonts w:ascii="Lato Semibold"/>
          <w:b/>
          <w:color w:val="1F1F5F"/>
          <w:spacing w:val="-9"/>
          <w:sz w:val="36"/>
        </w:rPr>
        <w:t xml:space="preserve"> </w:t>
      </w:r>
      <w:r>
        <w:rPr>
          <w:rFonts w:ascii="Lato Semibold"/>
          <w:b/>
          <w:color w:val="1F1F5F"/>
          <w:sz w:val="36"/>
        </w:rPr>
        <w:t>in</w:t>
      </w:r>
      <w:r>
        <w:rPr>
          <w:rFonts w:ascii="Lato Semibold"/>
          <w:b/>
          <w:color w:val="1F1F5F"/>
          <w:spacing w:val="-11"/>
          <w:sz w:val="36"/>
        </w:rPr>
        <w:t xml:space="preserve"> </w:t>
      </w:r>
      <w:r>
        <w:rPr>
          <w:rFonts w:ascii="Lato Semibold"/>
          <w:b/>
          <w:color w:val="1F1F5F"/>
          <w:sz w:val="36"/>
        </w:rPr>
        <w:t>calculating</w:t>
      </w:r>
      <w:r>
        <w:rPr>
          <w:rFonts w:ascii="Lato Semibold"/>
          <w:b/>
          <w:color w:val="1F1F5F"/>
          <w:spacing w:val="-9"/>
          <w:sz w:val="36"/>
        </w:rPr>
        <w:t xml:space="preserve"> </w:t>
      </w:r>
      <w:r>
        <w:rPr>
          <w:rFonts w:ascii="Lato Semibold"/>
          <w:b/>
          <w:color w:val="1F1F5F"/>
          <w:sz w:val="36"/>
        </w:rPr>
        <w:t>capital</w:t>
      </w:r>
      <w:r>
        <w:rPr>
          <w:rFonts w:ascii="Lato Semibold"/>
          <w:b/>
          <w:color w:val="1F1F5F"/>
          <w:spacing w:val="-9"/>
          <w:sz w:val="36"/>
        </w:rPr>
        <w:t xml:space="preserve"> </w:t>
      </w:r>
      <w:r>
        <w:rPr>
          <w:rFonts w:ascii="Lato Semibold"/>
          <w:b/>
          <w:color w:val="1F1F5F"/>
          <w:sz w:val="36"/>
        </w:rPr>
        <w:t>recognition</w:t>
      </w:r>
      <w:r>
        <w:rPr>
          <w:rFonts w:ascii="Lato Semibold"/>
          <w:b/>
          <w:color w:val="1F1F5F"/>
          <w:spacing w:val="-11"/>
          <w:sz w:val="36"/>
        </w:rPr>
        <w:t xml:space="preserve"> </w:t>
      </w:r>
      <w:r>
        <w:rPr>
          <w:rFonts w:ascii="Lato Semibold"/>
          <w:b/>
          <w:color w:val="1F1F5F"/>
          <w:sz w:val="36"/>
        </w:rPr>
        <w:t xml:space="preserve">deduction and the periods during which the factors </w:t>
      </w:r>
      <w:proofErr w:type="gramStart"/>
      <w:r>
        <w:rPr>
          <w:rFonts w:ascii="Lato Semibold"/>
          <w:b/>
          <w:color w:val="1F1F5F"/>
          <w:sz w:val="36"/>
        </w:rPr>
        <w:t>apply</w:t>
      </w:r>
      <w:proofErr w:type="gramEnd"/>
    </w:p>
    <w:p w14:paraId="40E34664" w14:textId="77777777" w:rsidR="00F1422D" w:rsidRDefault="00EE2FE1">
      <w:pPr>
        <w:pStyle w:val="ListParagraph"/>
        <w:numPr>
          <w:ilvl w:val="0"/>
          <w:numId w:val="1"/>
        </w:numPr>
        <w:tabs>
          <w:tab w:val="left" w:pos="1219"/>
        </w:tabs>
        <w:spacing w:before="198"/>
        <w:ind w:right="1111"/>
      </w:pPr>
      <w:r>
        <w:t>The factors,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periods</w:t>
      </w:r>
      <w:r>
        <w:rPr>
          <w:spacing w:val="-6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factors</w:t>
      </w:r>
      <w:r>
        <w:rPr>
          <w:spacing w:val="-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CRD will be allowable to be </w:t>
      </w:r>
      <w:proofErr w:type="gramStart"/>
      <w:r>
        <w:t>taken into account</w:t>
      </w:r>
      <w:proofErr w:type="gramEnd"/>
      <w:r>
        <w:t xml:space="preserve"> for the purposes of calculating CRD, are presented in</w:t>
      </w:r>
      <w:r>
        <w:rPr>
          <w:spacing w:val="80"/>
        </w:rPr>
        <w:t xml:space="preserve"> </w:t>
      </w:r>
      <w:r>
        <w:t>this table.</w:t>
      </w:r>
    </w:p>
    <w:p w14:paraId="6A10303C" w14:textId="77777777" w:rsidR="00F1422D" w:rsidRDefault="00F1422D">
      <w:pPr>
        <w:pStyle w:val="BodyText"/>
        <w:spacing w:before="1"/>
        <w:rPr>
          <w:sz w:val="10"/>
        </w:rPr>
      </w:pP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369"/>
        <w:gridCol w:w="2369"/>
        <w:gridCol w:w="2367"/>
      </w:tblGrid>
      <w:tr w:rsidR="00F1422D" w14:paraId="06731FB4" w14:textId="77777777">
        <w:trPr>
          <w:trHeight w:val="518"/>
        </w:trPr>
        <w:tc>
          <w:tcPr>
            <w:tcW w:w="2782" w:type="dxa"/>
            <w:vMerge w:val="restart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 w14:paraId="0A1759B2" w14:textId="77777777" w:rsidR="00F1422D" w:rsidRDefault="00F1422D">
            <w:pPr>
              <w:pStyle w:val="TableParagraph"/>
              <w:spacing w:before="0"/>
              <w:ind w:left="0"/>
            </w:pPr>
          </w:p>
          <w:p w14:paraId="3CD8CAB8" w14:textId="77777777" w:rsidR="00F1422D" w:rsidRDefault="00F1422D">
            <w:pPr>
              <w:pStyle w:val="TableParagraph"/>
              <w:spacing w:before="106"/>
              <w:ind w:left="0"/>
            </w:pPr>
          </w:p>
          <w:p w14:paraId="63E5D281" w14:textId="77777777" w:rsidR="00F1422D" w:rsidRDefault="00EE2FE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color w:val="FFFFFF"/>
              </w:rPr>
              <w:t>CRD</w:t>
            </w:r>
            <w:r>
              <w:rPr>
                <w:b/>
                <w:color w:val="FFFFFF"/>
                <w:spacing w:val="-2"/>
              </w:rPr>
              <w:t xml:space="preserve"> period</w:t>
            </w:r>
          </w:p>
        </w:tc>
        <w:tc>
          <w:tcPr>
            <w:tcW w:w="7105" w:type="dxa"/>
            <w:gridSpan w:val="3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 w14:paraId="02C97AA8" w14:textId="77777777" w:rsidR="00F1422D" w:rsidRDefault="00EE2FE1">
            <w:pPr>
              <w:pStyle w:val="TableParagraph"/>
              <w:spacing w:before="126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Factors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period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years</w:t>
            </w:r>
          </w:p>
        </w:tc>
      </w:tr>
      <w:tr w:rsidR="00F1422D" w14:paraId="6D4C3A2F" w14:textId="77777777">
        <w:trPr>
          <w:trHeight w:val="499"/>
        </w:trPr>
        <w:tc>
          <w:tcPr>
            <w:tcW w:w="2782" w:type="dxa"/>
            <w:vMerge/>
            <w:tcBorders>
              <w:top w:val="nil"/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 w14:paraId="0993F75D" w14:textId="77777777" w:rsidR="00F1422D" w:rsidRDefault="00F1422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 w14:paraId="0C857363" w14:textId="77777777" w:rsidR="00F1422D" w:rsidRDefault="00EE2FE1">
            <w:pPr>
              <w:pStyle w:val="TableParagraph"/>
              <w:spacing w:before="116"/>
              <w:ind w:left="6"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years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 w14:paraId="76A8418E" w14:textId="77777777" w:rsidR="00F1422D" w:rsidRDefault="00EE2FE1">
            <w:pPr>
              <w:pStyle w:val="TableParagraph"/>
              <w:spacing w:before="116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years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 w14:paraId="2FE7DE69" w14:textId="77777777" w:rsidR="00F1422D" w:rsidRDefault="00EE2FE1">
            <w:pPr>
              <w:pStyle w:val="TableParagraph"/>
              <w:spacing w:before="116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</w:rPr>
              <w:t>10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years</w:t>
            </w:r>
          </w:p>
        </w:tc>
      </w:tr>
      <w:tr w:rsidR="00B97616" w14:paraId="127C36E4" w14:textId="77777777" w:rsidTr="007D4F1E">
        <w:trPr>
          <w:trHeight w:val="763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auto"/>
          </w:tcPr>
          <w:p w14:paraId="5FF72B34" w14:textId="12728778" w:rsidR="00B97616" w:rsidRDefault="00B97616" w:rsidP="00574762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  <w:p w14:paraId="284148D4" w14:textId="77BE28CA" w:rsidR="00B97616" w:rsidRDefault="00B97616" w:rsidP="00574762">
            <w:pPr>
              <w:pStyle w:val="TableParagraph"/>
              <w:spacing w:before="43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2024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auto"/>
          </w:tcPr>
          <w:p w14:paraId="6B93A5CF" w14:textId="3307A6A7" w:rsidR="00B97616" w:rsidRDefault="00B97616" w:rsidP="00574762">
            <w:pPr>
              <w:pStyle w:val="TableParagraph"/>
              <w:spacing w:before="95"/>
              <w:ind w:left="772"/>
            </w:pPr>
            <w:r w:rsidRPr="00B97616">
              <w:t>0.18528</w:t>
            </w:r>
          </w:p>
          <w:p w14:paraId="1A4CEA44" w14:textId="1D516143" w:rsidR="00B97616" w:rsidRDefault="00B97616" w:rsidP="00574762">
            <w:pPr>
              <w:pStyle w:val="TableParagraph"/>
              <w:spacing w:before="43"/>
              <w:ind w:left="772"/>
            </w:pPr>
            <w:r w:rsidRPr="00B97616">
              <w:rPr>
                <w:spacing w:val="-2"/>
              </w:rPr>
              <w:t>0.18520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auto"/>
          </w:tcPr>
          <w:p w14:paraId="13C3F41E" w14:textId="39644F0F" w:rsidR="00B97616" w:rsidRDefault="00B97616" w:rsidP="00574762">
            <w:pPr>
              <w:pStyle w:val="TableParagraph"/>
              <w:spacing w:before="95"/>
              <w:ind w:left="774"/>
            </w:pPr>
            <w:r w:rsidRPr="00717F0A">
              <w:rPr>
                <w:rFonts w:cs="Arial"/>
                <w:szCs w:val="20"/>
              </w:rPr>
              <w:t>0.117</w:t>
            </w:r>
            <w:r w:rsidR="00737399">
              <w:rPr>
                <w:rFonts w:cs="Arial"/>
                <w:szCs w:val="20"/>
              </w:rPr>
              <w:t>90</w:t>
            </w:r>
          </w:p>
          <w:p w14:paraId="5F78EC54" w14:textId="240FF7D2" w:rsidR="00B97616" w:rsidRDefault="00B97616" w:rsidP="00574762">
            <w:pPr>
              <w:pStyle w:val="TableParagraph"/>
              <w:spacing w:before="43"/>
              <w:ind w:left="774"/>
            </w:pPr>
            <w:r w:rsidRPr="00B97616">
              <w:rPr>
                <w:spacing w:val="-2"/>
              </w:rPr>
              <w:t>0.11782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auto"/>
          </w:tcPr>
          <w:p w14:paraId="3D0F2CA8" w14:textId="21A03927" w:rsidR="00B97616" w:rsidRDefault="00B97616" w:rsidP="00574762">
            <w:pPr>
              <w:pStyle w:val="TableParagraph"/>
              <w:spacing w:before="95"/>
              <w:ind w:left="771"/>
            </w:pPr>
            <w:r w:rsidRPr="00B97616">
              <w:t>0.06791</w:t>
            </w:r>
          </w:p>
          <w:p w14:paraId="0A30F037" w14:textId="4B46E755" w:rsidR="00B97616" w:rsidRDefault="00B97616" w:rsidP="00574762">
            <w:pPr>
              <w:pStyle w:val="TableParagraph"/>
              <w:spacing w:before="43"/>
              <w:ind w:left="771"/>
            </w:pPr>
            <w:r w:rsidRPr="00B97616">
              <w:rPr>
                <w:spacing w:val="-2"/>
              </w:rPr>
              <w:t>0.06783</w:t>
            </w:r>
          </w:p>
        </w:tc>
      </w:tr>
      <w:tr w:rsidR="00D50BBF" w14:paraId="250CAEA4" w14:textId="77777777">
        <w:trPr>
          <w:trHeight w:val="763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1BC7CF8E" w14:textId="77777777" w:rsidR="00D50BBF" w:rsidRDefault="00D50BBF" w:rsidP="00D50BBF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5B722C43" w14:textId="77777777" w:rsidR="00D50BBF" w:rsidRDefault="00D50BBF" w:rsidP="00D50BBF">
            <w:pPr>
              <w:pStyle w:val="TableParagraph"/>
              <w:spacing w:before="43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2023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4618F097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0.18551</w:t>
            </w:r>
          </w:p>
          <w:p w14:paraId="45D29A0F" w14:textId="77777777" w:rsidR="00D50BBF" w:rsidRDefault="00D50BBF" w:rsidP="00D50BBF">
            <w:pPr>
              <w:pStyle w:val="TableParagraph"/>
              <w:spacing w:before="43"/>
              <w:ind w:left="772"/>
            </w:pPr>
            <w:r>
              <w:rPr>
                <w:spacing w:val="-2"/>
              </w:rPr>
              <w:t>0.18337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3B6D1D0C" w14:textId="77777777" w:rsidR="00D50BBF" w:rsidRDefault="00D50BBF" w:rsidP="00D50BBF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0.11812</w:t>
            </w:r>
          </w:p>
          <w:p w14:paraId="640028E7" w14:textId="77777777" w:rsidR="00D50BBF" w:rsidRDefault="00D50BBF" w:rsidP="00D50BBF">
            <w:pPr>
              <w:pStyle w:val="TableParagraph"/>
              <w:spacing w:before="43"/>
              <w:ind w:left="774"/>
            </w:pPr>
            <w:r>
              <w:rPr>
                <w:spacing w:val="-2"/>
              </w:rPr>
              <w:t>0.11603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752E140F" w14:textId="77777777" w:rsidR="00D50BBF" w:rsidRDefault="00D50BBF" w:rsidP="00D50BBF">
            <w:pPr>
              <w:pStyle w:val="TableParagraph"/>
              <w:spacing w:before="95"/>
              <w:ind w:left="771"/>
            </w:pPr>
            <w:r>
              <w:rPr>
                <w:spacing w:val="-2"/>
              </w:rPr>
              <w:t>0.06815</w:t>
            </w:r>
          </w:p>
          <w:p w14:paraId="03C4841B" w14:textId="77777777" w:rsidR="00D50BBF" w:rsidRDefault="00D50BBF" w:rsidP="00D50BBF">
            <w:pPr>
              <w:pStyle w:val="TableParagraph"/>
              <w:spacing w:before="43"/>
              <w:ind w:left="771"/>
            </w:pPr>
            <w:r>
              <w:rPr>
                <w:spacing w:val="-2"/>
              </w:rPr>
              <w:t>0.06597</w:t>
            </w:r>
          </w:p>
        </w:tc>
      </w:tr>
      <w:tr w:rsidR="00D50BBF" w14:paraId="07817227" w14:textId="77777777">
        <w:trPr>
          <w:trHeight w:val="760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 w14:paraId="72949135" w14:textId="77777777" w:rsidR="00D50BBF" w:rsidRDefault="00D50BBF" w:rsidP="00D50BBF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489390F8" w14:textId="77777777" w:rsidR="00D50BBF" w:rsidRDefault="00D50BBF" w:rsidP="00D50BBF">
            <w:pPr>
              <w:pStyle w:val="TableParagraph"/>
              <w:spacing w:before="40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2022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 w14:paraId="602D5787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0.18342</w:t>
            </w:r>
          </w:p>
          <w:p w14:paraId="4683C34A" w14:textId="77777777" w:rsidR="00D50BBF" w:rsidRDefault="00D50BBF" w:rsidP="00D50BBF">
            <w:pPr>
              <w:pStyle w:val="TableParagraph"/>
              <w:spacing w:before="40"/>
              <w:ind w:left="772"/>
            </w:pPr>
            <w:r>
              <w:rPr>
                <w:spacing w:val="-2"/>
              </w:rPr>
              <w:t>0.18091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 w14:paraId="47E7C147" w14:textId="77777777" w:rsidR="00D50BBF" w:rsidRDefault="00D50BBF" w:rsidP="00D50BBF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0.11609</w:t>
            </w:r>
          </w:p>
          <w:p w14:paraId="20EEA101" w14:textId="77777777" w:rsidR="00D50BBF" w:rsidRDefault="00D50BBF" w:rsidP="00D50BBF">
            <w:pPr>
              <w:pStyle w:val="TableParagraph"/>
              <w:spacing w:before="40"/>
              <w:ind w:left="774"/>
            </w:pPr>
            <w:r>
              <w:rPr>
                <w:spacing w:val="-2"/>
              </w:rPr>
              <w:t>0.11363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 w14:paraId="7DA35F87" w14:textId="77777777" w:rsidR="00D50BBF" w:rsidRDefault="00D50BBF" w:rsidP="00D50BBF">
            <w:pPr>
              <w:pStyle w:val="TableParagraph"/>
              <w:spacing w:before="95"/>
              <w:ind w:left="771"/>
            </w:pPr>
            <w:r>
              <w:rPr>
                <w:spacing w:val="-2"/>
              </w:rPr>
              <w:t>0.06603</w:t>
            </w:r>
          </w:p>
          <w:p w14:paraId="7F94B8C6" w14:textId="77777777" w:rsidR="00D50BBF" w:rsidRDefault="00D50BBF" w:rsidP="00D50BBF">
            <w:pPr>
              <w:pStyle w:val="TableParagraph"/>
              <w:spacing w:before="40"/>
              <w:ind w:left="771"/>
            </w:pPr>
            <w:r>
              <w:rPr>
                <w:spacing w:val="-2"/>
              </w:rPr>
              <w:t>0.06351</w:t>
            </w:r>
          </w:p>
        </w:tc>
      </w:tr>
      <w:tr w:rsidR="00D50BBF" w14:paraId="06976B3B" w14:textId="77777777">
        <w:trPr>
          <w:trHeight w:val="763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0C04FD24" w14:textId="77777777" w:rsidR="00D50BBF" w:rsidRDefault="00D50BBF" w:rsidP="00D50BBF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2021</w:t>
            </w:r>
          </w:p>
          <w:p w14:paraId="366FFFAE" w14:textId="77777777" w:rsidR="00D50BBF" w:rsidRDefault="00D50BBF" w:rsidP="00D50BBF">
            <w:pPr>
              <w:pStyle w:val="TableParagraph"/>
              <w:spacing w:before="43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2021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01B0997F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0.17690</w:t>
            </w:r>
          </w:p>
          <w:p w14:paraId="6EFD4419" w14:textId="77777777" w:rsidR="00D50BBF" w:rsidRDefault="00D50BBF" w:rsidP="00D50BBF">
            <w:pPr>
              <w:pStyle w:val="TableParagraph"/>
              <w:spacing w:before="43"/>
              <w:ind w:left="772"/>
            </w:pPr>
            <w:r>
              <w:rPr>
                <w:spacing w:val="-2"/>
              </w:rPr>
              <w:t>0.17698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052A5E50" w14:textId="77777777" w:rsidR="00D50BBF" w:rsidRDefault="00D50BBF" w:rsidP="00D50BBF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0.10977</w:t>
            </w:r>
          </w:p>
          <w:p w14:paraId="4570C468" w14:textId="77777777" w:rsidR="00D50BBF" w:rsidRDefault="00D50BBF" w:rsidP="00D50BBF">
            <w:pPr>
              <w:pStyle w:val="TableParagraph"/>
              <w:spacing w:before="43"/>
              <w:ind w:left="774"/>
            </w:pPr>
            <w:r>
              <w:rPr>
                <w:spacing w:val="-2"/>
              </w:rPr>
              <w:t>0.10983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122B9D1B" w14:textId="77777777" w:rsidR="00D50BBF" w:rsidRDefault="00D50BBF" w:rsidP="00D50BBF">
            <w:pPr>
              <w:pStyle w:val="TableParagraph"/>
              <w:spacing w:before="95"/>
              <w:ind w:left="771"/>
            </w:pPr>
            <w:r>
              <w:rPr>
                <w:spacing w:val="-2"/>
              </w:rPr>
              <w:t>0.05958</w:t>
            </w:r>
          </w:p>
          <w:p w14:paraId="2E36C7B0" w14:textId="77777777" w:rsidR="00D50BBF" w:rsidRDefault="00D50BBF" w:rsidP="00D50BBF">
            <w:pPr>
              <w:pStyle w:val="TableParagraph"/>
              <w:spacing w:before="43"/>
              <w:ind w:left="771"/>
            </w:pPr>
            <w:r>
              <w:rPr>
                <w:spacing w:val="-2"/>
              </w:rPr>
              <w:t>0.05965</w:t>
            </w:r>
          </w:p>
        </w:tc>
      </w:tr>
      <w:tr w:rsidR="00D50BBF" w14:paraId="7A5C36B5" w14:textId="77777777">
        <w:trPr>
          <w:trHeight w:val="760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 w14:paraId="79F96410" w14:textId="77777777" w:rsidR="00D50BBF" w:rsidRDefault="00D50BBF" w:rsidP="00D50BBF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2020</w:t>
            </w:r>
          </w:p>
          <w:p w14:paraId="6F80AB67" w14:textId="77777777" w:rsidR="00D50BBF" w:rsidRDefault="00D50BBF" w:rsidP="00D50BBF">
            <w:pPr>
              <w:pStyle w:val="TableParagraph"/>
              <w:spacing w:before="40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2020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 w14:paraId="363C7658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0.17520</w:t>
            </w:r>
          </w:p>
          <w:p w14:paraId="4894E569" w14:textId="77777777" w:rsidR="00D50BBF" w:rsidRDefault="00D50BBF" w:rsidP="00D50BBF">
            <w:pPr>
              <w:pStyle w:val="TableParagraph"/>
              <w:spacing w:before="40"/>
              <w:ind w:left="772"/>
            </w:pPr>
            <w:r>
              <w:rPr>
                <w:spacing w:val="-2"/>
              </w:rPr>
              <w:t>0.17537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 w14:paraId="1331C603" w14:textId="77777777" w:rsidR="00D50BBF" w:rsidRDefault="00D50BBF" w:rsidP="00D50BBF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0.10812</w:t>
            </w:r>
          </w:p>
          <w:p w14:paraId="778624E6" w14:textId="77777777" w:rsidR="00D50BBF" w:rsidRDefault="00D50BBF" w:rsidP="00D50BBF">
            <w:pPr>
              <w:pStyle w:val="TableParagraph"/>
              <w:spacing w:before="40"/>
              <w:ind w:left="774"/>
            </w:pPr>
            <w:r>
              <w:rPr>
                <w:spacing w:val="-2"/>
              </w:rPr>
              <w:t>0.10829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 w14:paraId="70427427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0.05792</w:t>
            </w:r>
          </w:p>
          <w:p w14:paraId="406EEBE3" w14:textId="77777777" w:rsidR="00D50BBF" w:rsidRDefault="00D50BBF" w:rsidP="00D50BBF">
            <w:pPr>
              <w:pStyle w:val="TableParagraph"/>
              <w:spacing w:before="40"/>
              <w:ind w:left="772"/>
            </w:pPr>
            <w:r>
              <w:rPr>
                <w:spacing w:val="-2"/>
              </w:rPr>
              <w:t>0.05810</w:t>
            </w:r>
          </w:p>
        </w:tc>
      </w:tr>
      <w:tr w:rsidR="00D50BBF" w14:paraId="5D400DA9" w14:textId="77777777">
        <w:trPr>
          <w:trHeight w:val="763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3EABB664" w14:textId="77777777" w:rsidR="00D50BBF" w:rsidRDefault="00D50BBF" w:rsidP="00D50BBF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2019</w:t>
            </w:r>
          </w:p>
          <w:p w14:paraId="5C80DEE3" w14:textId="77777777" w:rsidR="00D50BBF" w:rsidRDefault="00D50BBF" w:rsidP="00D50BBF">
            <w:pPr>
              <w:pStyle w:val="TableParagraph"/>
              <w:spacing w:before="43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2019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56F38C05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0.17586</w:t>
            </w:r>
          </w:p>
          <w:p w14:paraId="584F88B0" w14:textId="77777777" w:rsidR="00D50BBF" w:rsidRDefault="00D50BBF" w:rsidP="00D50BBF">
            <w:pPr>
              <w:pStyle w:val="TableParagraph"/>
              <w:spacing w:before="43"/>
              <w:ind w:left="772"/>
            </w:pPr>
            <w:r>
              <w:rPr>
                <w:spacing w:val="-2"/>
              </w:rPr>
              <w:t>0.17815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7E3B9EDA" w14:textId="77777777" w:rsidR="00D50BBF" w:rsidRDefault="00D50BBF" w:rsidP="00D50BBF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0.10876</w:t>
            </w:r>
          </w:p>
          <w:p w14:paraId="504A0602" w14:textId="77777777" w:rsidR="00D50BBF" w:rsidRDefault="00D50BBF" w:rsidP="00D50BBF">
            <w:pPr>
              <w:pStyle w:val="TableParagraph"/>
              <w:spacing w:before="43"/>
              <w:ind w:left="774"/>
            </w:pPr>
            <w:r>
              <w:rPr>
                <w:spacing w:val="-2"/>
              </w:rPr>
              <w:t>0.11097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42D55B76" w14:textId="77777777" w:rsidR="00D50BBF" w:rsidRDefault="00D50BBF" w:rsidP="00D50BBF">
            <w:pPr>
              <w:pStyle w:val="TableParagraph"/>
              <w:spacing w:before="95"/>
              <w:ind w:left="771"/>
            </w:pPr>
            <w:r>
              <w:rPr>
                <w:spacing w:val="-2"/>
              </w:rPr>
              <w:t>0.05857</w:t>
            </w:r>
          </w:p>
          <w:p w14:paraId="0E228474" w14:textId="77777777" w:rsidR="00D50BBF" w:rsidRDefault="00D50BBF" w:rsidP="00D50BBF">
            <w:pPr>
              <w:pStyle w:val="TableParagraph"/>
              <w:spacing w:before="43"/>
              <w:ind w:left="771"/>
            </w:pPr>
            <w:r>
              <w:rPr>
                <w:spacing w:val="-2"/>
              </w:rPr>
              <w:t>0.06080</w:t>
            </w:r>
          </w:p>
        </w:tc>
      </w:tr>
      <w:tr w:rsidR="00D50BBF" w14:paraId="15D4B8A7" w14:textId="77777777">
        <w:trPr>
          <w:trHeight w:val="760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 w14:paraId="7D58FD15" w14:textId="77777777" w:rsidR="00D50BBF" w:rsidRDefault="00D50BBF" w:rsidP="00D50BBF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2018</w:t>
            </w:r>
          </w:p>
          <w:p w14:paraId="59F21606" w14:textId="77777777" w:rsidR="00D50BBF" w:rsidRDefault="00D50BBF" w:rsidP="00D50BBF">
            <w:pPr>
              <w:pStyle w:val="TableParagraph"/>
              <w:spacing w:before="40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2018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 w14:paraId="3743C6B6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0.18038</w:t>
            </w:r>
          </w:p>
          <w:p w14:paraId="3E2B087D" w14:textId="77777777" w:rsidR="00D50BBF" w:rsidRDefault="00D50BBF" w:rsidP="00D50BBF">
            <w:pPr>
              <w:pStyle w:val="TableParagraph"/>
              <w:spacing w:before="40"/>
              <w:ind w:left="772"/>
            </w:pPr>
            <w:r>
              <w:rPr>
                <w:spacing w:val="-2"/>
              </w:rPr>
              <w:t>0.18082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 w14:paraId="13F16B1F" w14:textId="77777777" w:rsidR="00D50BBF" w:rsidRDefault="00D50BBF" w:rsidP="00D50BBF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0.11312</w:t>
            </w:r>
          </w:p>
          <w:p w14:paraId="2FA73138" w14:textId="77777777" w:rsidR="00D50BBF" w:rsidRDefault="00D50BBF" w:rsidP="00D50BBF">
            <w:pPr>
              <w:pStyle w:val="TableParagraph"/>
              <w:spacing w:before="40"/>
              <w:ind w:left="774"/>
            </w:pPr>
            <w:r>
              <w:rPr>
                <w:spacing w:val="-2"/>
              </w:rPr>
              <w:t>0.11355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 w14:paraId="3C180A95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0.06298</w:t>
            </w:r>
          </w:p>
          <w:p w14:paraId="015ADCC9" w14:textId="77777777" w:rsidR="00D50BBF" w:rsidRDefault="00D50BBF" w:rsidP="00D50BBF">
            <w:pPr>
              <w:pStyle w:val="TableParagraph"/>
              <w:spacing w:before="40"/>
              <w:ind w:left="772"/>
            </w:pPr>
            <w:r>
              <w:rPr>
                <w:spacing w:val="-2"/>
              </w:rPr>
              <w:t>0.06342</w:t>
            </w:r>
          </w:p>
        </w:tc>
      </w:tr>
      <w:tr w:rsidR="00D50BBF" w14:paraId="5CAEE65B" w14:textId="77777777">
        <w:trPr>
          <w:trHeight w:val="763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1CBCA9E6" w14:textId="77777777" w:rsidR="00D50BBF" w:rsidRDefault="00D50BBF" w:rsidP="00D50BBF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2017</w:t>
            </w:r>
          </w:p>
          <w:p w14:paraId="0CCEA99F" w14:textId="77777777" w:rsidR="00D50BBF" w:rsidRDefault="00D50BBF" w:rsidP="00D50BBF">
            <w:pPr>
              <w:pStyle w:val="TableParagraph"/>
              <w:spacing w:before="43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2017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6F4DF869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0.18048</w:t>
            </w:r>
          </w:p>
          <w:p w14:paraId="1D3FCCD2" w14:textId="77777777" w:rsidR="00D50BBF" w:rsidRDefault="00D50BBF" w:rsidP="00D50BBF">
            <w:pPr>
              <w:pStyle w:val="TableParagraph"/>
              <w:spacing w:before="43"/>
              <w:ind w:left="772"/>
            </w:pPr>
            <w:r>
              <w:rPr>
                <w:spacing w:val="-2"/>
              </w:rPr>
              <w:t>0.18044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33A1491D" w14:textId="77777777" w:rsidR="00D50BBF" w:rsidRDefault="00D50BBF" w:rsidP="00D50BBF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0.11322</w:t>
            </w:r>
          </w:p>
          <w:p w14:paraId="4D7EB98C" w14:textId="77777777" w:rsidR="00D50BBF" w:rsidRDefault="00D50BBF" w:rsidP="00D50BBF">
            <w:pPr>
              <w:pStyle w:val="TableParagraph"/>
              <w:spacing w:before="43"/>
              <w:ind w:left="774"/>
            </w:pPr>
            <w:r>
              <w:rPr>
                <w:spacing w:val="-2"/>
              </w:rPr>
              <w:t>0.11318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11A10BCD" w14:textId="77777777" w:rsidR="00D50BBF" w:rsidRDefault="00D50BBF" w:rsidP="00D50BBF">
            <w:pPr>
              <w:pStyle w:val="TableParagraph"/>
              <w:spacing w:before="95"/>
              <w:ind w:left="771"/>
            </w:pPr>
            <w:r>
              <w:rPr>
                <w:spacing w:val="-2"/>
              </w:rPr>
              <w:t>0.06308</w:t>
            </w:r>
          </w:p>
          <w:p w14:paraId="6A4E6613" w14:textId="77777777" w:rsidR="00D50BBF" w:rsidRDefault="00D50BBF" w:rsidP="00D50BBF">
            <w:pPr>
              <w:pStyle w:val="TableParagraph"/>
              <w:spacing w:before="43"/>
              <w:ind w:left="771"/>
            </w:pPr>
            <w:r>
              <w:rPr>
                <w:spacing w:val="-2"/>
              </w:rPr>
              <w:t>0.06304</w:t>
            </w:r>
          </w:p>
        </w:tc>
      </w:tr>
      <w:tr w:rsidR="00D50BBF" w14:paraId="2790381B" w14:textId="77777777">
        <w:trPr>
          <w:trHeight w:val="763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 w14:paraId="3CC809C6" w14:textId="77777777" w:rsidR="00D50BBF" w:rsidRDefault="00D50BBF" w:rsidP="00D50BBF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2016</w:t>
            </w:r>
          </w:p>
          <w:p w14:paraId="612BCD2A" w14:textId="77777777" w:rsidR="00D50BBF" w:rsidRDefault="00D50BBF" w:rsidP="00D50BBF">
            <w:pPr>
              <w:pStyle w:val="TableParagraph"/>
              <w:spacing w:before="40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2016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 w14:paraId="686AB519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0.17915</w:t>
            </w:r>
          </w:p>
          <w:p w14:paraId="60B26F0D" w14:textId="77777777" w:rsidR="00D50BBF" w:rsidRDefault="00D50BBF" w:rsidP="00D50BBF">
            <w:pPr>
              <w:pStyle w:val="TableParagraph"/>
              <w:spacing w:before="40"/>
              <w:ind w:left="772"/>
            </w:pPr>
            <w:r>
              <w:rPr>
                <w:spacing w:val="-2"/>
              </w:rPr>
              <w:t>0.17988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 w14:paraId="385B1FF0" w14:textId="77777777" w:rsidR="00D50BBF" w:rsidRDefault="00D50BBF" w:rsidP="00D50BBF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0.11193</w:t>
            </w:r>
          </w:p>
          <w:p w14:paraId="1AE50857" w14:textId="77777777" w:rsidR="00D50BBF" w:rsidRDefault="00D50BBF" w:rsidP="00D50BBF">
            <w:pPr>
              <w:pStyle w:val="TableParagraph"/>
              <w:spacing w:before="40"/>
              <w:ind w:left="774"/>
            </w:pPr>
            <w:r>
              <w:rPr>
                <w:spacing w:val="-2"/>
              </w:rPr>
              <w:t>0.11264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 w14:paraId="5F7DB663" w14:textId="77777777" w:rsidR="00D50BBF" w:rsidRDefault="00D50BBF" w:rsidP="00D50BBF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0.06177</w:t>
            </w:r>
          </w:p>
          <w:p w14:paraId="74CAEA6C" w14:textId="77777777" w:rsidR="00D50BBF" w:rsidRDefault="00D50BBF" w:rsidP="00D50BBF">
            <w:pPr>
              <w:pStyle w:val="TableParagraph"/>
              <w:spacing w:before="40"/>
              <w:ind w:left="772"/>
            </w:pPr>
            <w:r>
              <w:rPr>
                <w:spacing w:val="-2"/>
              </w:rPr>
              <w:t>0.06249</w:t>
            </w:r>
          </w:p>
        </w:tc>
      </w:tr>
    </w:tbl>
    <w:p w14:paraId="62C53BD9" w14:textId="77777777" w:rsidR="00F1422D" w:rsidRDefault="00F1422D">
      <w:pPr>
        <w:sectPr w:rsidR="00F1422D">
          <w:pgSz w:w="11910" w:h="16840"/>
          <w:pgMar w:top="1160" w:right="0" w:bottom="1660" w:left="0" w:header="792" w:footer="1429" w:gutter="0"/>
          <w:cols w:space="720"/>
        </w:sectPr>
      </w:pPr>
    </w:p>
    <w:p w14:paraId="4395DE15" w14:textId="77777777" w:rsidR="00F1422D" w:rsidRDefault="00F1422D">
      <w:pPr>
        <w:pStyle w:val="BodyText"/>
        <w:spacing w:before="7"/>
        <w:rPr>
          <w:sz w:val="9"/>
        </w:rPr>
      </w:pPr>
    </w:p>
    <w:tbl>
      <w:tblPr>
        <w:tblW w:w="0" w:type="auto"/>
        <w:tblInd w:w="1226" w:type="dxa"/>
        <w:tblBorders>
          <w:top w:val="single" w:sz="4" w:space="0" w:color="1F1F5F"/>
          <w:left w:val="single" w:sz="4" w:space="0" w:color="1F1F5F"/>
          <w:bottom w:val="single" w:sz="4" w:space="0" w:color="1F1F5F"/>
          <w:right w:val="single" w:sz="4" w:space="0" w:color="1F1F5F"/>
          <w:insideH w:val="single" w:sz="4" w:space="0" w:color="1F1F5F"/>
          <w:insideV w:val="single" w:sz="4" w:space="0" w:color="1F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369"/>
        <w:gridCol w:w="2369"/>
        <w:gridCol w:w="2367"/>
      </w:tblGrid>
      <w:tr w:rsidR="00F1422D" w14:paraId="5878E9C0" w14:textId="77777777">
        <w:trPr>
          <w:trHeight w:val="518"/>
        </w:trPr>
        <w:tc>
          <w:tcPr>
            <w:tcW w:w="2782" w:type="dxa"/>
            <w:vMerge w:val="restart"/>
            <w:tcBorders>
              <w:top w:val="nil"/>
              <w:bottom w:val="nil"/>
            </w:tcBorders>
            <w:shd w:val="clear" w:color="auto" w:fill="1F1F5F"/>
          </w:tcPr>
          <w:p w14:paraId="677594D5" w14:textId="77777777" w:rsidR="00F1422D" w:rsidRDefault="00F1422D">
            <w:pPr>
              <w:pStyle w:val="TableParagraph"/>
              <w:spacing w:before="0"/>
              <w:ind w:left="0"/>
            </w:pPr>
          </w:p>
          <w:p w14:paraId="24DB9AFA" w14:textId="77777777" w:rsidR="00F1422D" w:rsidRDefault="00F1422D">
            <w:pPr>
              <w:pStyle w:val="TableParagraph"/>
              <w:spacing w:before="104"/>
              <w:ind w:left="0"/>
            </w:pPr>
          </w:p>
          <w:p w14:paraId="17D53C5E" w14:textId="77777777" w:rsidR="00F1422D" w:rsidRDefault="00EE2FE1">
            <w:pPr>
              <w:pStyle w:val="TableParagraph"/>
              <w:spacing w:before="0"/>
              <w:ind w:left="105"/>
              <w:rPr>
                <w:b/>
              </w:rPr>
            </w:pPr>
            <w:r>
              <w:rPr>
                <w:b/>
                <w:color w:val="FFFFFF"/>
              </w:rPr>
              <w:t>CRD</w:t>
            </w:r>
            <w:r>
              <w:rPr>
                <w:b/>
                <w:color w:val="FFFFFF"/>
                <w:spacing w:val="-2"/>
              </w:rPr>
              <w:t xml:space="preserve"> period</w:t>
            </w:r>
          </w:p>
        </w:tc>
        <w:tc>
          <w:tcPr>
            <w:tcW w:w="7105" w:type="dxa"/>
            <w:gridSpan w:val="3"/>
            <w:tcBorders>
              <w:top w:val="nil"/>
              <w:bottom w:val="nil"/>
            </w:tcBorders>
            <w:shd w:val="clear" w:color="auto" w:fill="1F1F5F"/>
          </w:tcPr>
          <w:p w14:paraId="6A79A9ED" w14:textId="77777777" w:rsidR="00F1422D" w:rsidRDefault="00EE2FE1">
            <w:pPr>
              <w:pStyle w:val="TableParagraph"/>
              <w:spacing w:before="126"/>
              <w:ind w:left="3"/>
              <w:jc w:val="center"/>
              <w:rPr>
                <w:b/>
              </w:rPr>
            </w:pPr>
            <w:r>
              <w:rPr>
                <w:b/>
                <w:color w:val="FFFFFF"/>
              </w:rPr>
              <w:t>Factors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period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years</w:t>
            </w:r>
          </w:p>
        </w:tc>
      </w:tr>
      <w:tr w:rsidR="00F1422D" w14:paraId="625C0EBA" w14:textId="77777777">
        <w:trPr>
          <w:trHeight w:val="496"/>
        </w:trPr>
        <w:tc>
          <w:tcPr>
            <w:tcW w:w="2782" w:type="dxa"/>
            <w:vMerge/>
            <w:tcBorders>
              <w:top w:val="nil"/>
              <w:bottom w:val="nil"/>
            </w:tcBorders>
            <w:shd w:val="clear" w:color="auto" w:fill="1F1F5F"/>
          </w:tcPr>
          <w:p w14:paraId="31AC3FDF" w14:textId="77777777" w:rsidR="00F1422D" w:rsidRDefault="00F1422D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1F1F5F"/>
          </w:tcPr>
          <w:p w14:paraId="381B0EAD" w14:textId="77777777" w:rsidR="00F1422D" w:rsidRDefault="00EE2FE1">
            <w:pPr>
              <w:pStyle w:val="TableParagraph"/>
              <w:spacing w:before="114"/>
              <w:ind w:left="6"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years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1F1F5F"/>
          </w:tcPr>
          <w:p w14:paraId="010ED353" w14:textId="77777777" w:rsidR="00F1422D" w:rsidRDefault="00EE2FE1">
            <w:pPr>
              <w:pStyle w:val="TableParagraph"/>
              <w:spacing w:before="114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years</w:t>
            </w:r>
          </w:p>
        </w:tc>
        <w:tc>
          <w:tcPr>
            <w:tcW w:w="2367" w:type="dxa"/>
            <w:tcBorders>
              <w:top w:val="nil"/>
              <w:bottom w:val="nil"/>
            </w:tcBorders>
            <w:shd w:val="clear" w:color="auto" w:fill="1F1F5F"/>
          </w:tcPr>
          <w:p w14:paraId="30CDCDC7" w14:textId="77777777" w:rsidR="00F1422D" w:rsidRDefault="00EE2FE1">
            <w:pPr>
              <w:pStyle w:val="TableParagraph"/>
              <w:spacing w:before="114"/>
              <w:ind w:left="764"/>
              <w:rPr>
                <w:b/>
              </w:rPr>
            </w:pPr>
            <w:r>
              <w:rPr>
                <w:b/>
                <w:color w:val="FFFFFF"/>
              </w:rPr>
              <w:t>10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years</w:t>
            </w:r>
          </w:p>
        </w:tc>
      </w:tr>
      <w:tr w:rsidR="00F1422D" w14:paraId="74A32702" w14:textId="77777777">
        <w:trPr>
          <w:trHeight w:val="763"/>
        </w:trPr>
        <w:tc>
          <w:tcPr>
            <w:tcW w:w="2782" w:type="dxa"/>
            <w:tcBorders>
              <w:top w:val="nil"/>
              <w:bottom w:val="nil"/>
            </w:tcBorders>
            <w:shd w:val="clear" w:color="auto" w:fill="D9D9D9"/>
          </w:tcPr>
          <w:p w14:paraId="00ADED33" w14:textId="77777777" w:rsidR="00F1422D" w:rsidRDefault="00EE2FE1">
            <w:pPr>
              <w:pStyle w:val="TableParagraph"/>
              <w:spacing w:before="95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2015</w:t>
            </w:r>
          </w:p>
          <w:p w14:paraId="2B715D73" w14:textId="77777777" w:rsidR="00F1422D" w:rsidRDefault="00EE2FE1">
            <w:pPr>
              <w:pStyle w:val="TableParagraph"/>
              <w:spacing w:before="40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2015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/>
          </w:tcPr>
          <w:p w14:paraId="371AC6CB" w14:textId="77777777" w:rsidR="00F1422D" w:rsidRDefault="00EE2FE1">
            <w:pPr>
              <w:pStyle w:val="TableParagraph"/>
              <w:spacing w:before="95"/>
              <w:ind w:left="772"/>
            </w:pPr>
            <w:r>
              <w:rPr>
                <w:spacing w:val="-2"/>
              </w:rPr>
              <w:t>0.18086</w:t>
            </w:r>
          </w:p>
          <w:p w14:paraId="194919B3" w14:textId="77777777" w:rsidR="00F1422D" w:rsidRDefault="00EE2FE1">
            <w:pPr>
              <w:pStyle w:val="TableParagraph"/>
              <w:spacing w:before="40"/>
              <w:ind w:left="772"/>
            </w:pPr>
            <w:r>
              <w:rPr>
                <w:spacing w:val="-2"/>
              </w:rPr>
              <w:t>0.18048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/>
          </w:tcPr>
          <w:p w14:paraId="246BAFD0" w14:textId="77777777" w:rsidR="00F1422D" w:rsidRDefault="00EE2FE1">
            <w:pPr>
              <w:pStyle w:val="TableParagraph"/>
              <w:spacing w:before="95"/>
              <w:ind w:left="774"/>
            </w:pPr>
            <w:r>
              <w:rPr>
                <w:spacing w:val="-2"/>
              </w:rPr>
              <w:t>0.11359</w:t>
            </w:r>
          </w:p>
          <w:p w14:paraId="5244727D" w14:textId="77777777" w:rsidR="00F1422D" w:rsidRDefault="00EE2FE1">
            <w:pPr>
              <w:pStyle w:val="TableParagraph"/>
              <w:spacing w:before="40"/>
              <w:ind w:left="774"/>
            </w:pPr>
            <w:r>
              <w:rPr>
                <w:spacing w:val="-2"/>
              </w:rPr>
              <w:t>0.11323</w:t>
            </w:r>
          </w:p>
        </w:tc>
        <w:tc>
          <w:tcPr>
            <w:tcW w:w="2367" w:type="dxa"/>
            <w:tcBorders>
              <w:top w:val="nil"/>
              <w:bottom w:val="nil"/>
            </w:tcBorders>
            <w:shd w:val="clear" w:color="auto" w:fill="D9D9D9"/>
          </w:tcPr>
          <w:p w14:paraId="26E8FA88" w14:textId="77777777" w:rsidR="00F1422D" w:rsidRDefault="00EE2FE1">
            <w:pPr>
              <w:pStyle w:val="TableParagraph"/>
              <w:spacing w:before="95"/>
              <w:ind w:left="771"/>
            </w:pPr>
            <w:r>
              <w:rPr>
                <w:spacing w:val="-2"/>
              </w:rPr>
              <w:t>0.06346</w:t>
            </w:r>
          </w:p>
          <w:p w14:paraId="52DFF412" w14:textId="77777777" w:rsidR="00F1422D" w:rsidRDefault="00EE2FE1">
            <w:pPr>
              <w:pStyle w:val="TableParagraph"/>
              <w:spacing w:before="40"/>
              <w:ind w:left="771"/>
            </w:pPr>
            <w:r>
              <w:rPr>
                <w:spacing w:val="-2"/>
              </w:rPr>
              <w:t>0.06309</w:t>
            </w:r>
          </w:p>
        </w:tc>
      </w:tr>
      <w:tr w:rsidR="00F1422D" w14:paraId="4BCF4FE8" w14:textId="77777777">
        <w:trPr>
          <w:trHeight w:val="760"/>
        </w:trPr>
        <w:tc>
          <w:tcPr>
            <w:tcW w:w="2782" w:type="dxa"/>
            <w:tcBorders>
              <w:top w:val="nil"/>
              <w:bottom w:val="single" w:sz="4" w:space="0" w:color="000000"/>
            </w:tcBorders>
          </w:tcPr>
          <w:p w14:paraId="321C7B14" w14:textId="77777777" w:rsidR="00F1422D" w:rsidRDefault="00EE2FE1">
            <w:pPr>
              <w:pStyle w:val="TableParagraph"/>
              <w:spacing w:before="92"/>
              <w:ind w:left="10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Jul</w:t>
            </w:r>
            <w:r>
              <w:rPr>
                <w:spacing w:val="-1"/>
              </w:rPr>
              <w:t xml:space="preserve"> </w:t>
            </w:r>
            <w:r>
              <w:t>to 31</w:t>
            </w:r>
            <w:r>
              <w:rPr>
                <w:spacing w:val="-2"/>
              </w:rPr>
              <w:t xml:space="preserve"> </w:t>
            </w:r>
            <w:r>
              <w:t>Dec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2014</w:t>
            </w:r>
          </w:p>
          <w:p w14:paraId="09AA71C8" w14:textId="77777777" w:rsidR="00F1422D" w:rsidRDefault="00EE2FE1">
            <w:pPr>
              <w:pStyle w:val="TableParagraph"/>
              <w:spacing w:before="43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 xml:space="preserve">Jun </w:t>
            </w:r>
            <w:r>
              <w:rPr>
                <w:spacing w:val="-4"/>
              </w:rPr>
              <w:t>2014</w:t>
            </w:r>
          </w:p>
        </w:tc>
        <w:tc>
          <w:tcPr>
            <w:tcW w:w="2369" w:type="dxa"/>
            <w:tcBorders>
              <w:top w:val="nil"/>
              <w:bottom w:val="single" w:sz="4" w:space="0" w:color="000000"/>
            </w:tcBorders>
          </w:tcPr>
          <w:p w14:paraId="6ADBAC04" w14:textId="77777777" w:rsidR="00F1422D" w:rsidRDefault="00EE2FE1">
            <w:pPr>
              <w:pStyle w:val="TableParagraph"/>
              <w:spacing w:before="92"/>
              <w:ind w:left="772"/>
            </w:pPr>
            <w:r>
              <w:rPr>
                <w:spacing w:val="-2"/>
              </w:rPr>
              <w:t>0.18256</w:t>
            </w:r>
          </w:p>
          <w:p w14:paraId="086315A9" w14:textId="77777777" w:rsidR="00F1422D" w:rsidRDefault="00EE2FE1">
            <w:pPr>
              <w:pStyle w:val="TableParagraph"/>
              <w:spacing w:before="43"/>
              <w:ind w:left="772"/>
            </w:pPr>
            <w:r>
              <w:rPr>
                <w:spacing w:val="-2"/>
              </w:rPr>
              <w:t>0.18454</w:t>
            </w:r>
          </w:p>
        </w:tc>
        <w:tc>
          <w:tcPr>
            <w:tcW w:w="2369" w:type="dxa"/>
            <w:tcBorders>
              <w:top w:val="nil"/>
              <w:bottom w:val="single" w:sz="4" w:space="0" w:color="000000"/>
            </w:tcBorders>
          </w:tcPr>
          <w:p w14:paraId="5C429FC7" w14:textId="77777777" w:rsidR="00F1422D" w:rsidRDefault="00EE2FE1">
            <w:pPr>
              <w:pStyle w:val="TableParagraph"/>
              <w:spacing w:before="92"/>
              <w:ind w:left="774"/>
            </w:pPr>
            <w:r>
              <w:rPr>
                <w:spacing w:val="-2"/>
              </w:rPr>
              <w:t>0.11523</w:t>
            </w:r>
          </w:p>
          <w:p w14:paraId="02F875A8" w14:textId="77777777" w:rsidR="00F1422D" w:rsidRDefault="00EE2FE1">
            <w:pPr>
              <w:pStyle w:val="TableParagraph"/>
              <w:spacing w:before="43"/>
              <w:ind w:left="774"/>
            </w:pPr>
            <w:r>
              <w:rPr>
                <w:spacing w:val="-2"/>
              </w:rPr>
              <w:t>0.11718</w:t>
            </w:r>
          </w:p>
        </w:tc>
        <w:tc>
          <w:tcPr>
            <w:tcW w:w="2367" w:type="dxa"/>
            <w:tcBorders>
              <w:top w:val="nil"/>
              <w:bottom w:val="single" w:sz="4" w:space="0" w:color="000000"/>
            </w:tcBorders>
          </w:tcPr>
          <w:p w14:paraId="10C651C6" w14:textId="77777777" w:rsidR="00F1422D" w:rsidRDefault="00EE2FE1">
            <w:pPr>
              <w:pStyle w:val="TableParagraph"/>
              <w:spacing w:before="92"/>
              <w:ind w:left="772"/>
            </w:pPr>
            <w:r>
              <w:rPr>
                <w:spacing w:val="-2"/>
              </w:rPr>
              <w:t>0.06515</w:t>
            </w:r>
          </w:p>
          <w:p w14:paraId="233BE510" w14:textId="77777777" w:rsidR="00F1422D" w:rsidRDefault="00EE2FE1">
            <w:pPr>
              <w:pStyle w:val="TableParagraph"/>
              <w:spacing w:before="43"/>
              <w:ind w:left="772"/>
            </w:pPr>
            <w:r>
              <w:rPr>
                <w:spacing w:val="-2"/>
              </w:rPr>
              <w:t>0.06717</w:t>
            </w:r>
          </w:p>
        </w:tc>
      </w:tr>
    </w:tbl>
    <w:p w14:paraId="6B3960DA" w14:textId="77777777" w:rsidR="00F1422D" w:rsidRDefault="00EE2FE1">
      <w:pPr>
        <w:pStyle w:val="Heading1"/>
        <w:spacing w:before="246"/>
        <w:rPr>
          <w:b/>
        </w:rPr>
      </w:pPr>
      <w:bookmarkStart w:id="6" w:name="MRA_publications"/>
      <w:bookmarkStart w:id="7" w:name="_bookmark3"/>
      <w:bookmarkEnd w:id="6"/>
      <w:bookmarkEnd w:id="7"/>
      <w:r>
        <w:rPr>
          <w:b/>
          <w:color w:val="1F1F5F"/>
        </w:rPr>
        <w:t>MRA</w:t>
      </w:r>
      <w:r>
        <w:rPr>
          <w:b/>
          <w:color w:val="1F1F5F"/>
          <w:spacing w:val="-13"/>
        </w:rPr>
        <w:t xml:space="preserve"> </w:t>
      </w:r>
      <w:r>
        <w:rPr>
          <w:b/>
          <w:color w:val="1F1F5F"/>
          <w:spacing w:val="-2"/>
        </w:rPr>
        <w:t>publications</w:t>
      </w:r>
    </w:p>
    <w:p w14:paraId="134588C7" w14:textId="77777777" w:rsidR="00F1422D" w:rsidRDefault="00EE2FE1">
      <w:pPr>
        <w:pStyle w:val="ListParagraph"/>
        <w:numPr>
          <w:ilvl w:val="0"/>
          <w:numId w:val="1"/>
        </w:numPr>
        <w:tabs>
          <w:tab w:val="left" w:pos="1218"/>
        </w:tabs>
        <w:spacing w:before="201"/>
        <w:ind w:left="1218" w:right="1032"/>
      </w:pPr>
      <w:r>
        <w:t>Royalty</w:t>
      </w:r>
      <w:r>
        <w:rPr>
          <w:spacing w:val="-4"/>
        </w:rPr>
        <w:t xml:space="preserve"> </w:t>
      </w:r>
      <w:r>
        <w:t>Guideline</w:t>
      </w:r>
      <w:r>
        <w:rPr>
          <w:spacing w:val="-3"/>
        </w:rPr>
        <w:t xml:space="preserve"> </w:t>
      </w:r>
      <w:r>
        <w:t>RG-MRA-001:</w:t>
      </w:r>
      <w:r>
        <w:rPr>
          <w:spacing w:val="-1"/>
        </w:rPr>
        <w:t xml:space="preserve"> </w:t>
      </w:r>
      <w:r>
        <w:rPr>
          <w:i/>
        </w:rPr>
        <w:t>MRA</w:t>
      </w:r>
      <w:r>
        <w:rPr>
          <w:i/>
          <w:spacing w:val="-4"/>
        </w:rPr>
        <w:t xml:space="preserve"> </w:t>
      </w:r>
      <w:r>
        <w:rPr>
          <w:i/>
        </w:rPr>
        <w:t>guidelines and</w:t>
      </w:r>
      <w:r>
        <w:rPr>
          <w:i/>
          <w:spacing w:val="-3"/>
        </w:rPr>
        <w:t xml:space="preserve"> </w:t>
      </w:r>
      <w:r>
        <w:rPr>
          <w:i/>
        </w:rPr>
        <w:t>advance</w:t>
      </w:r>
      <w:r>
        <w:rPr>
          <w:i/>
          <w:spacing w:val="-4"/>
        </w:rPr>
        <w:t xml:space="preserve"> </w:t>
      </w:r>
      <w:r>
        <w:rPr>
          <w:i/>
        </w:rPr>
        <w:t>opinions</w:t>
      </w:r>
      <w:r>
        <w:t>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 the guideline system, is incorporated into and read as one with this guideline.</w:t>
      </w:r>
    </w:p>
    <w:p w14:paraId="6D9CFE40" w14:textId="77777777" w:rsidR="00F1422D" w:rsidRDefault="00EE2FE1">
      <w:pPr>
        <w:pStyle w:val="BodyText"/>
        <w:spacing w:before="2"/>
        <w:rPr>
          <w:sz w:val="11"/>
        </w:rPr>
      </w:pPr>
      <w:r>
        <w:rPr>
          <w:noProof/>
          <w:lang w:val="en-AU" w:eastAsia="en-AU"/>
        </w:rPr>
        <w:drawing>
          <wp:anchor distT="0" distB="0" distL="0" distR="0" simplePos="0" relativeHeight="487588864" behindDoc="1" locked="0" layoutInCell="1" allowOverlap="1" wp14:anchorId="484BBD70" wp14:editId="1CAF5B57">
            <wp:simplePos x="0" y="0"/>
            <wp:positionH relativeFrom="page">
              <wp:posOffset>515391</wp:posOffset>
            </wp:positionH>
            <wp:positionV relativeFrom="paragraph">
              <wp:posOffset>100947</wp:posOffset>
            </wp:positionV>
            <wp:extent cx="1504188" cy="116395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88" cy="116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2D3CA" w14:textId="77777777" w:rsidR="00F1422D" w:rsidRDefault="00EE2FE1">
      <w:pPr>
        <w:spacing w:before="48"/>
        <w:ind w:left="794"/>
        <w:rPr>
          <w:sz w:val="20"/>
        </w:rPr>
      </w:pPr>
      <w:r>
        <w:rPr>
          <w:sz w:val="20"/>
        </w:rPr>
        <w:t>Sarah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Rummery</w:t>
      </w:r>
    </w:p>
    <w:p w14:paraId="4513ADA5" w14:textId="77777777" w:rsidR="00F1422D" w:rsidRDefault="00EE2FE1">
      <w:pPr>
        <w:spacing w:before="120"/>
        <w:ind w:left="794"/>
        <w:rPr>
          <w:b/>
          <w:sz w:val="20"/>
        </w:rPr>
      </w:pPr>
      <w:r>
        <w:rPr>
          <w:b/>
          <w:spacing w:val="-2"/>
          <w:sz w:val="20"/>
        </w:rPr>
        <w:t>SECRETARY</w:t>
      </w:r>
    </w:p>
    <w:p w14:paraId="1EF974CD" w14:textId="5839B390" w:rsidR="00F1422D" w:rsidRDefault="00EE2FE1">
      <w:pPr>
        <w:spacing w:before="120"/>
        <w:ind w:left="794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issue:</w:t>
      </w:r>
      <w:r>
        <w:rPr>
          <w:spacing w:val="45"/>
          <w:sz w:val="20"/>
        </w:rPr>
        <w:t xml:space="preserve"> </w:t>
      </w:r>
      <w:r w:rsidR="00F814FF" w:rsidRPr="007D4F1E">
        <w:rPr>
          <w:sz w:val="20"/>
        </w:rPr>
        <w:t>6</w:t>
      </w:r>
      <w:r w:rsidRPr="007D4F1E">
        <w:rPr>
          <w:spacing w:val="-3"/>
          <w:sz w:val="20"/>
        </w:rPr>
        <w:t xml:space="preserve"> </w:t>
      </w:r>
      <w:r w:rsidR="00E079FC" w:rsidRPr="007D4F1E">
        <w:rPr>
          <w:sz w:val="20"/>
        </w:rPr>
        <w:t>January</w:t>
      </w:r>
      <w:r w:rsidRPr="007D4F1E">
        <w:rPr>
          <w:spacing w:val="-1"/>
          <w:sz w:val="20"/>
        </w:rPr>
        <w:t xml:space="preserve"> </w:t>
      </w:r>
      <w:r w:rsidR="00E079FC" w:rsidRPr="007D4F1E">
        <w:rPr>
          <w:spacing w:val="-4"/>
          <w:sz w:val="20"/>
        </w:rPr>
        <w:t>2025</w:t>
      </w:r>
    </w:p>
    <w:p w14:paraId="6302987D" w14:textId="77777777" w:rsidR="00F1422D" w:rsidRDefault="00F1422D">
      <w:pPr>
        <w:pStyle w:val="BodyText"/>
        <w:spacing w:before="1"/>
        <w:rPr>
          <w:sz w:val="10"/>
        </w:rPr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6705"/>
      </w:tblGrid>
      <w:tr w:rsidR="00F1422D" w14:paraId="37C62134" w14:textId="77777777">
        <w:trPr>
          <w:trHeight w:val="472"/>
        </w:trPr>
        <w:tc>
          <w:tcPr>
            <w:tcW w:w="10333" w:type="dxa"/>
            <w:gridSpan w:val="2"/>
            <w:tcBorders>
              <w:top w:val="single" w:sz="4" w:space="0" w:color="333399"/>
              <w:bottom w:val="single" w:sz="4" w:space="0" w:color="333399"/>
            </w:tcBorders>
          </w:tcPr>
          <w:p w14:paraId="75A0E034" w14:textId="77777777" w:rsidR="00F1422D" w:rsidRDefault="00EE2FE1">
            <w:pPr>
              <w:pStyle w:val="TableParagraph"/>
              <w:spacing w:before="117"/>
              <w:ind w:left="1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Territory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</w:tr>
      <w:tr w:rsidR="00F1422D" w14:paraId="765BEC1B" w14:textId="77777777">
        <w:trPr>
          <w:trHeight w:val="1074"/>
        </w:trPr>
        <w:tc>
          <w:tcPr>
            <w:tcW w:w="3628" w:type="dxa"/>
            <w:tcBorders>
              <w:top w:val="single" w:sz="4" w:space="0" w:color="333399"/>
              <w:bottom w:val="single" w:sz="4" w:space="0" w:color="333399"/>
            </w:tcBorders>
          </w:tcPr>
          <w:p w14:paraId="46F49A89" w14:textId="77777777" w:rsidR="00F1422D" w:rsidRDefault="00EE2FE1">
            <w:pPr>
              <w:pStyle w:val="TableParagraph"/>
              <w:spacing w:before="116"/>
              <w:ind w:left="14"/>
              <w:rPr>
                <w:sz w:val="20"/>
              </w:rPr>
            </w:pPr>
            <w:r>
              <w:rPr>
                <w:sz w:val="20"/>
              </w:rPr>
              <w:t>GPO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1974</w:t>
            </w:r>
          </w:p>
          <w:p w14:paraId="30D96106" w14:textId="77777777" w:rsidR="00F1422D" w:rsidRDefault="00EE2FE1">
            <w:pPr>
              <w:pStyle w:val="TableParagraph"/>
              <w:spacing w:before="60"/>
              <w:ind w:left="14"/>
              <w:rPr>
                <w:sz w:val="20"/>
              </w:rPr>
            </w:pPr>
            <w:r>
              <w:rPr>
                <w:sz w:val="20"/>
              </w:rPr>
              <w:t>Darwin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0801</w:t>
            </w:r>
          </w:p>
          <w:p w14:paraId="1E6BE232" w14:textId="77777777" w:rsidR="00F1422D" w:rsidRDefault="00EE2FE1">
            <w:pPr>
              <w:pStyle w:val="TableParagraph"/>
              <w:spacing w:before="60"/>
              <w:ind w:left="14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19">
              <w:r>
                <w:rPr>
                  <w:color w:val="0562C1"/>
                  <w:spacing w:val="-2"/>
                  <w:sz w:val="20"/>
                  <w:u w:val="single" w:color="0562C1"/>
                </w:rPr>
                <w:t>ntrevenue@nt.gov.au</w:t>
              </w:r>
            </w:hyperlink>
          </w:p>
        </w:tc>
        <w:tc>
          <w:tcPr>
            <w:tcW w:w="6705" w:type="dxa"/>
            <w:tcBorders>
              <w:top w:val="single" w:sz="4" w:space="0" w:color="333399"/>
              <w:bottom w:val="single" w:sz="4" w:space="0" w:color="333399"/>
            </w:tcBorders>
          </w:tcPr>
          <w:p w14:paraId="2BD168CA" w14:textId="77777777" w:rsidR="00F1422D" w:rsidRDefault="00EE2FE1">
            <w:pPr>
              <w:pStyle w:val="TableParagraph"/>
              <w:spacing w:before="116"/>
              <w:ind w:left="1159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305</w:t>
            </w:r>
            <w:r>
              <w:rPr>
                <w:spacing w:val="-5"/>
                <w:sz w:val="20"/>
              </w:rPr>
              <w:t xml:space="preserve"> 353</w:t>
            </w:r>
          </w:p>
          <w:p w14:paraId="1BADD1F2" w14:textId="77777777" w:rsidR="00F1422D" w:rsidRDefault="00EE2FE1">
            <w:pPr>
              <w:pStyle w:val="TableParagraph"/>
              <w:spacing w:before="60"/>
              <w:ind w:left="1159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-8"/>
                <w:sz w:val="20"/>
              </w:rPr>
              <w:t xml:space="preserve"> </w:t>
            </w:r>
            <w:hyperlink r:id="rId20">
              <w:r>
                <w:rPr>
                  <w:color w:val="0562C1"/>
                  <w:spacing w:val="-2"/>
                  <w:sz w:val="20"/>
                  <w:u w:val="single" w:color="0562C1"/>
                </w:rPr>
                <w:t>www.revenue.nt.gov.au</w:t>
              </w:r>
            </w:hyperlink>
          </w:p>
        </w:tc>
      </w:tr>
    </w:tbl>
    <w:p w14:paraId="3F7DB4AE" w14:textId="77777777" w:rsidR="00F07DDD" w:rsidRDefault="00F07DDD"/>
    <w:sectPr w:rsidR="00F07DDD">
      <w:pgSz w:w="11910" w:h="16840"/>
      <w:pgMar w:top="1160" w:right="0" w:bottom="1660" w:left="0" w:header="792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0EDD" w14:textId="77777777" w:rsidR="00F646EF" w:rsidRDefault="00F646EF">
      <w:r>
        <w:separator/>
      </w:r>
    </w:p>
  </w:endnote>
  <w:endnote w:type="continuationSeparator" w:id="0">
    <w:p w14:paraId="11FED053" w14:textId="77777777" w:rsidR="00F646EF" w:rsidRDefault="00F6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34E4" w14:textId="77777777" w:rsidR="001E5345" w:rsidRDefault="001E5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4279" w14:textId="77777777" w:rsidR="001E5345" w:rsidRDefault="001E5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77C9" w14:textId="77777777" w:rsidR="001E5345" w:rsidRDefault="001E53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3B4E" w14:textId="04102749" w:rsidR="00F1422D" w:rsidRDefault="001E534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B2D1B9" wp14:editId="51755CEA">
              <wp:simplePos x="0" y="0"/>
              <wp:positionH relativeFrom="page">
                <wp:posOffset>492980</wp:posOffset>
              </wp:positionH>
              <wp:positionV relativeFrom="page">
                <wp:posOffset>9724445</wp:posOffset>
              </wp:positionV>
              <wp:extent cx="2496709" cy="4597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670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298EB" w14:textId="77777777" w:rsidR="00F1422D" w:rsidRDefault="00EE2FE1">
                          <w:pPr>
                            <w:spacing w:before="19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Department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TREASURY</w:t>
                          </w:r>
                          <w:r>
                            <w:rPr>
                              <w:b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AND</w:t>
                          </w:r>
                          <w:r>
                            <w:rPr>
                              <w:b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>FINANCE</w:t>
                          </w:r>
                        </w:p>
                        <w:p w14:paraId="527161F0" w14:textId="7D7A150E" w:rsidR="00F1422D" w:rsidRDefault="00F85DEB">
                          <w:pPr>
                            <w:ind w:left="20"/>
                            <w:rPr>
                              <w:sz w:val="19"/>
                            </w:rPr>
                          </w:pPr>
                          <w:r w:rsidRPr="007D4F1E">
                            <w:rPr>
                              <w:sz w:val="19"/>
                            </w:rPr>
                            <w:t>6</w:t>
                          </w:r>
                          <w:r w:rsidRPr="007D4F1E"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 w:rsidR="00BD1E7E" w:rsidRPr="007D4F1E">
                            <w:rPr>
                              <w:sz w:val="19"/>
                            </w:rPr>
                            <w:t>January 2025</w:t>
                          </w:r>
                          <w:r w:rsidR="00EE2FE1"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 w:rsidR="00EE2FE1">
                            <w:rPr>
                              <w:sz w:val="19"/>
                            </w:rPr>
                            <w:t>|</w:t>
                          </w:r>
                          <w:r w:rsidR="00EE2FE1"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 w:rsidR="00EE2FE1">
                            <w:rPr>
                              <w:sz w:val="19"/>
                            </w:rPr>
                            <w:t>Version</w:t>
                          </w:r>
                          <w:r w:rsidR="00BD1E7E">
                            <w:rPr>
                              <w:spacing w:val="-5"/>
                              <w:sz w:val="19"/>
                            </w:rPr>
                            <w:t xml:space="preserve"> 28</w:t>
                          </w:r>
                        </w:p>
                        <w:p w14:paraId="62C7039C" w14:textId="7BA03D7D" w:rsidR="00F1422D" w:rsidRDefault="00EE2FE1">
                          <w:pPr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</w:rPr>
                            <w:fldChar w:fldCharType="separate"/>
                          </w:r>
                          <w:r w:rsidR="005B26DF">
                            <w:rPr>
                              <w:noProof/>
                              <w:sz w:val="19"/>
                            </w:rPr>
                            <w:t>5</w:t>
                          </w:r>
                          <w:r>
                            <w:rPr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 w:rsidR="005B26DF">
                            <w:rPr>
                              <w:noProof/>
                              <w:spacing w:val="-10"/>
                              <w:sz w:val="19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B2D1B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8.8pt;margin-top:765.7pt;width:196.6pt;height:36.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" filled="f" stroked="f">
              <v:textbox inset="0,0,0,0">
                <w:txbxContent>
                  <w:p w14:paraId="66C298EB" w14:textId="77777777" w:rsidR="00F1422D" w:rsidRDefault="00EE2FE1">
                    <w:pPr>
                      <w:spacing w:before="19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Department</w:t>
                    </w:r>
                    <w:r>
                      <w:rPr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TREASURY</w:t>
                    </w:r>
                    <w:r>
                      <w:rPr>
                        <w:b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AND</w:t>
                    </w:r>
                    <w:r>
                      <w:rPr>
                        <w:b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FINANCE</w:t>
                    </w:r>
                  </w:p>
                  <w:p w14:paraId="527161F0" w14:textId="7D7A150E" w:rsidR="00F1422D" w:rsidRDefault="00F85DEB">
                    <w:pPr>
                      <w:ind w:left="20"/>
                      <w:rPr>
                        <w:sz w:val="19"/>
                      </w:rPr>
                    </w:pPr>
                    <w:r w:rsidRPr="007D4F1E">
                      <w:rPr>
                        <w:sz w:val="19"/>
                      </w:rPr>
                      <w:t>6</w:t>
                    </w:r>
                    <w:r w:rsidRPr="007D4F1E">
                      <w:rPr>
                        <w:spacing w:val="-6"/>
                        <w:sz w:val="19"/>
                      </w:rPr>
                      <w:t xml:space="preserve"> </w:t>
                    </w:r>
                    <w:r w:rsidR="00BD1E7E" w:rsidRPr="007D4F1E">
                      <w:rPr>
                        <w:sz w:val="19"/>
                      </w:rPr>
                      <w:t>January 2025</w:t>
                    </w:r>
                    <w:r w:rsidR="00EE2FE1">
                      <w:rPr>
                        <w:spacing w:val="-4"/>
                        <w:sz w:val="19"/>
                      </w:rPr>
                      <w:t xml:space="preserve"> </w:t>
                    </w:r>
                    <w:r w:rsidR="00EE2FE1">
                      <w:rPr>
                        <w:sz w:val="19"/>
                      </w:rPr>
                      <w:t>|</w:t>
                    </w:r>
                    <w:r w:rsidR="00EE2FE1">
                      <w:rPr>
                        <w:spacing w:val="-5"/>
                        <w:sz w:val="19"/>
                      </w:rPr>
                      <w:t xml:space="preserve"> </w:t>
                    </w:r>
                    <w:r w:rsidR="00EE2FE1">
                      <w:rPr>
                        <w:sz w:val="19"/>
                      </w:rPr>
                      <w:t>Version</w:t>
                    </w:r>
                    <w:r w:rsidR="00BD1E7E">
                      <w:rPr>
                        <w:spacing w:val="-5"/>
                        <w:sz w:val="19"/>
                      </w:rPr>
                      <w:t xml:space="preserve"> 28</w:t>
                    </w:r>
                  </w:p>
                  <w:p w14:paraId="62C7039C" w14:textId="7BA03D7D" w:rsidR="00F1422D" w:rsidRDefault="00EE2FE1">
                    <w:pPr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rPr>
                        <w:sz w:val="19"/>
                      </w:rPr>
                      <w:fldChar w:fldCharType="separate"/>
                    </w:r>
                    <w:r w:rsidR="005B26DF">
                      <w:rPr>
                        <w:noProof/>
                        <w:sz w:val="19"/>
                      </w:rPr>
                      <w:t>5</w:t>
                    </w:r>
                    <w:r>
                      <w:rPr>
                        <w:sz w:val="19"/>
                      </w:rPr>
                      <w:fldChar w:fldCharType="end"/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 w:rsidR="005B26DF">
                      <w:rPr>
                        <w:noProof/>
                        <w:spacing w:val="-10"/>
                        <w:sz w:val="19"/>
                      </w:rPr>
                      <w:t>5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2FE1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381D102" wp14:editId="4EF3D135">
              <wp:simplePos x="0" y="0"/>
              <wp:positionH relativeFrom="page">
                <wp:posOffset>504444</wp:posOffset>
              </wp:positionH>
              <wp:positionV relativeFrom="page">
                <wp:posOffset>9633191</wp:posOffset>
              </wp:positionV>
              <wp:extent cx="655193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519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51930" h="6350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551676" y="6108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5DC3FE" id="Graphic 4" o:spid="_x0000_s1026" style="position:absolute;margin-left:39.7pt;margin-top:758.5pt;width:515.9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1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" path="m6551676,l,,,6108r6551676,l655167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6B07" w14:textId="77777777" w:rsidR="00F646EF" w:rsidRDefault="00F646EF">
      <w:r>
        <w:separator/>
      </w:r>
    </w:p>
  </w:footnote>
  <w:footnote w:type="continuationSeparator" w:id="0">
    <w:p w14:paraId="126708CC" w14:textId="77777777" w:rsidR="00F646EF" w:rsidRDefault="00F6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9F19" w14:textId="77777777" w:rsidR="001E5345" w:rsidRDefault="001E5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32E9" w14:textId="77777777" w:rsidR="001E5345" w:rsidRDefault="001E5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4D0F" w14:textId="77777777" w:rsidR="001E5345" w:rsidRDefault="001E5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23D1" w14:textId="77777777" w:rsidR="00F1422D" w:rsidRDefault="00EE2FE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191040" behindDoc="1" locked="0" layoutInCell="1" allowOverlap="1" wp14:anchorId="148ADEBF" wp14:editId="2E8FF39E">
              <wp:simplePos x="0" y="0"/>
              <wp:positionH relativeFrom="page">
                <wp:posOffset>1002283</wp:posOffset>
              </wp:positionH>
              <wp:positionV relativeFrom="page">
                <wp:posOffset>490518</wp:posOffset>
              </wp:positionV>
              <wp:extent cx="6068060" cy="1936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80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75A27" w14:textId="77777777" w:rsidR="00F1422D" w:rsidRDefault="00EE2FE1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Mineral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Royalty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1982: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Royalty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Guideline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RG-MRA-007: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Capital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recognition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deduction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factors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ADEB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.9pt;margin-top:38.6pt;width:477.8pt;height:15.25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" filled="f" stroked="f">
              <v:textbox inset="0,0,0,0">
                <w:txbxContent>
                  <w:p w14:paraId="2AA75A27" w14:textId="77777777" w:rsidR="00F1422D" w:rsidRDefault="00EE2FE1">
                    <w:pPr>
                      <w:pStyle w:val="BodyText"/>
                      <w:spacing w:before="20"/>
                      <w:ind w:left="20"/>
                    </w:pPr>
                    <w:r>
                      <w:t>Mineral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Royalty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1982: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Royalty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Guideline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RG-MRA-007: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Capital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recognition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deduction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factors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EB0"/>
    <w:multiLevelType w:val="hybridMultilevel"/>
    <w:tmpl w:val="3266FE52"/>
    <w:lvl w:ilvl="0" w:tplc="1E7CE48A">
      <w:start w:val="1"/>
      <w:numFmt w:val="decimal"/>
      <w:lvlText w:val="%1."/>
      <w:lvlJc w:val="left"/>
      <w:pPr>
        <w:ind w:left="1219" w:hanging="425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ED24EBE">
      <w:start w:val="1"/>
      <w:numFmt w:val="decimal"/>
      <w:lvlText w:val="(%2)"/>
      <w:lvlJc w:val="left"/>
      <w:pPr>
        <w:ind w:left="1644" w:hanging="425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23474E2">
      <w:numFmt w:val="bullet"/>
      <w:lvlText w:val="•"/>
      <w:lvlJc w:val="left"/>
      <w:pPr>
        <w:ind w:left="2780" w:hanging="425"/>
      </w:pPr>
      <w:rPr>
        <w:rFonts w:hint="default"/>
        <w:lang w:val="en-US" w:eastAsia="en-US" w:bidi="ar-SA"/>
      </w:rPr>
    </w:lvl>
    <w:lvl w:ilvl="3" w:tplc="81AAE2E6">
      <w:numFmt w:val="bullet"/>
      <w:lvlText w:val="•"/>
      <w:lvlJc w:val="left"/>
      <w:pPr>
        <w:ind w:left="3921" w:hanging="425"/>
      </w:pPr>
      <w:rPr>
        <w:rFonts w:hint="default"/>
        <w:lang w:val="en-US" w:eastAsia="en-US" w:bidi="ar-SA"/>
      </w:rPr>
    </w:lvl>
    <w:lvl w:ilvl="4" w:tplc="0C3214D6">
      <w:numFmt w:val="bullet"/>
      <w:lvlText w:val="•"/>
      <w:lvlJc w:val="left"/>
      <w:pPr>
        <w:ind w:left="5062" w:hanging="425"/>
      </w:pPr>
      <w:rPr>
        <w:rFonts w:hint="default"/>
        <w:lang w:val="en-US" w:eastAsia="en-US" w:bidi="ar-SA"/>
      </w:rPr>
    </w:lvl>
    <w:lvl w:ilvl="5" w:tplc="CD4ECD5C">
      <w:numFmt w:val="bullet"/>
      <w:lvlText w:val="•"/>
      <w:lvlJc w:val="left"/>
      <w:pPr>
        <w:ind w:left="6202" w:hanging="425"/>
      </w:pPr>
      <w:rPr>
        <w:rFonts w:hint="default"/>
        <w:lang w:val="en-US" w:eastAsia="en-US" w:bidi="ar-SA"/>
      </w:rPr>
    </w:lvl>
    <w:lvl w:ilvl="6" w:tplc="F71EF714">
      <w:numFmt w:val="bullet"/>
      <w:lvlText w:val="•"/>
      <w:lvlJc w:val="left"/>
      <w:pPr>
        <w:ind w:left="7343" w:hanging="425"/>
      </w:pPr>
      <w:rPr>
        <w:rFonts w:hint="default"/>
        <w:lang w:val="en-US" w:eastAsia="en-US" w:bidi="ar-SA"/>
      </w:rPr>
    </w:lvl>
    <w:lvl w:ilvl="7" w:tplc="83BC601E">
      <w:numFmt w:val="bullet"/>
      <w:lvlText w:val="•"/>
      <w:lvlJc w:val="left"/>
      <w:pPr>
        <w:ind w:left="8484" w:hanging="425"/>
      </w:pPr>
      <w:rPr>
        <w:rFonts w:hint="default"/>
        <w:lang w:val="en-US" w:eastAsia="en-US" w:bidi="ar-SA"/>
      </w:rPr>
    </w:lvl>
    <w:lvl w:ilvl="8" w:tplc="D66A36E0">
      <w:numFmt w:val="bullet"/>
      <w:lvlText w:val="•"/>
      <w:lvlJc w:val="left"/>
      <w:pPr>
        <w:ind w:left="9624" w:hanging="425"/>
      </w:pPr>
      <w:rPr>
        <w:rFonts w:hint="default"/>
        <w:lang w:val="en-US" w:eastAsia="en-US" w:bidi="ar-SA"/>
      </w:rPr>
    </w:lvl>
  </w:abstractNum>
  <w:num w:numId="1" w16cid:durableId="93266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2D"/>
    <w:rsid w:val="0019550A"/>
    <w:rsid w:val="001E5345"/>
    <w:rsid w:val="001F2D79"/>
    <w:rsid w:val="005B26DF"/>
    <w:rsid w:val="0071001B"/>
    <w:rsid w:val="00737399"/>
    <w:rsid w:val="00792DF8"/>
    <w:rsid w:val="007D4F1E"/>
    <w:rsid w:val="00A12126"/>
    <w:rsid w:val="00AE38B5"/>
    <w:rsid w:val="00B97616"/>
    <w:rsid w:val="00BD1E7E"/>
    <w:rsid w:val="00D311B6"/>
    <w:rsid w:val="00D50BBF"/>
    <w:rsid w:val="00E079FC"/>
    <w:rsid w:val="00E84288"/>
    <w:rsid w:val="00EE2FE1"/>
    <w:rsid w:val="00F07DDD"/>
    <w:rsid w:val="00F1422D"/>
    <w:rsid w:val="00F646EF"/>
    <w:rsid w:val="00F814FF"/>
    <w:rsid w:val="00F85DEB"/>
    <w:rsid w:val="00F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623CB"/>
  <w15:docId w15:val="{061FAD4A-38CA-4282-8F44-38A05F2A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paragraph" w:styleId="Heading1">
    <w:name w:val="heading 1"/>
    <w:basedOn w:val="Normal"/>
    <w:uiPriority w:val="1"/>
    <w:qFormat/>
    <w:pPr>
      <w:spacing w:before="241"/>
      <w:ind w:left="794"/>
      <w:outlineLvl w:val="0"/>
    </w:pPr>
    <w:rPr>
      <w:rFonts w:ascii="Lato Semibold" w:eastAsia="Lato Semibold" w:hAnsi="Lato Semibold" w:cs="Lato Semibol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794"/>
    </w:pPr>
    <w:rPr>
      <w:b/>
      <w:b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9"/>
      <w:ind w:left="794" w:right="2105"/>
      <w:jc w:val="both"/>
    </w:pPr>
    <w:rPr>
      <w:rFonts w:ascii="Lato Semibold" w:eastAsia="Lato Semibold" w:hAnsi="Lato Semibold" w:cs="Lato Semibold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20"/>
      <w:ind w:left="1219" w:hanging="425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107"/>
    </w:pPr>
  </w:style>
  <w:style w:type="paragraph" w:styleId="Header">
    <w:name w:val="header"/>
    <w:basedOn w:val="Normal"/>
    <w:link w:val="HeaderChar"/>
    <w:uiPriority w:val="99"/>
    <w:unhideWhenUsed/>
    <w:rsid w:val="00BD1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E7E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BD1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E7E"/>
    <w:rPr>
      <w:rFonts w:ascii="Lato" w:eastAsia="Lato" w:hAnsi="Lato" w:cs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710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01B"/>
    <w:rPr>
      <w:rFonts w:ascii="Lato" w:eastAsia="Lato" w:hAnsi="Lato" w:cs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01B"/>
    <w:rPr>
      <w:rFonts w:ascii="Lato" w:eastAsia="Lato" w:hAnsi="Lato" w:cs="La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1B"/>
    <w:rPr>
      <w:rFonts w:ascii="Segoe UI" w:eastAsia="Lat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7399"/>
    <w:pPr>
      <w:widowControl/>
      <w:autoSpaceDE/>
      <w:autoSpaceDN/>
    </w:pPr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revenue.nt.gov.a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revenue.nt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mailto:ntrevenue@nt.gov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Mineral Royalty Act 1982: Royalty Guideline - RG-MRA-007: Capital recognition deduction factors</vt:lpstr>
    </vt:vector>
  </TitlesOfParts>
  <Company>TREASURY AND FINANCE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Royalty Act 1982: Royalty Guideline - RG-MRA-007: Capital recognition deduction factors</dc:title>
  <dc:creator>Jessica Symonds</dc:creator>
  <cp:lastModifiedBy>Casey Hua</cp:lastModifiedBy>
  <cp:revision>6</cp:revision>
  <cp:lastPrinted>2025-01-06T01:06:00Z</cp:lastPrinted>
  <dcterms:created xsi:type="dcterms:W3CDTF">2025-01-07T07:27:00Z</dcterms:created>
  <dcterms:modified xsi:type="dcterms:W3CDTF">2025-01-07T22:29:00Z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D:20240708225754</vt:lpwstr>
  </property>
</Properties>
</file>