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04F9F8DE95DD4AC7BFDBBE843992524D"/>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186BD15" w14:textId="76B6AB56" w:rsidR="00886C9D" w:rsidRPr="00886C9D" w:rsidRDefault="00990A5D" w:rsidP="00902501">
          <w:pPr>
            <w:pStyle w:val="Title"/>
          </w:pPr>
          <w:r>
            <w:t xml:space="preserve">Guidance document: Machinery of </w:t>
          </w:r>
          <w:r w:rsidR="00BA2A1B">
            <w:t>g</w:t>
          </w:r>
          <w:r>
            <w:t xml:space="preserve">overnment </w:t>
          </w:r>
          <w:r w:rsidR="00BA2A1B">
            <w:t>c</w:t>
          </w:r>
          <w:r>
            <w:t>hanges</w:t>
          </w:r>
        </w:p>
      </w:sdtContent>
    </w:sdt>
    <w:p w14:paraId="5910B7AD" w14:textId="0A10F445" w:rsidR="00964B22" w:rsidRPr="00ED3B50" w:rsidRDefault="00964B22" w:rsidP="00902501">
      <w:pPr>
        <w:pStyle w:val="Subtitle0"/>
        <w:spacing w:before="1080"/>
        <w:rPr>
          <w:sz w:val="96"/>
          <w:szCs w:val="96"/>
        </w:rPr>
      </w:pPr>
    </w:p>
    <w:p w14:paraId="71635B29" w14:textId="77777777" w:rsidR="007761D8" w:rsidRDefault="007761D8" w:rsidP="00902501"/>
    <w:p w14:paraId="0BAD22A4" w14:textId="56AA68D2" w:rsidR="00C62CE4" w:rsidRPr="00C62CE4" w:rsidRDefault="00C51C97" w:rsidP="00902501">
      <w:pPr>
        <w:pStyle w:val="NTGCoverPageDate"/>
        <w:rPr>
          <w:rFonts w:ascii="Lato" w:hAnsi="Lato"/>
          <w:sz w:val="22"/>
        </w:rPr>
      </w:pPr>
      <w:r>
        <w:rPr>
          <w:rFonts w:ascii="Lato" w:hAnsi="Lato"/>
          <w:sz w:val="22"/>
        </w:rPr>
        <w:t>26</w:t>
      </w:r>
      <w:r w:rsidR="00C62CE4" w:rsidRPr="00C62CE4">
        <w:rPr>
          <w:rFonts w:ascii="Lato" w:hAnsi="Lato"/>
          <w:sz w:val="22"/>
        </w:rPr>
        <w:t xml:space="preserve"> </w:t>
      </w:r>
      <w:r>
        <w:rPr>
          <w:rFonts w:ascii="Lato" w:hAnsi="Lato"/>
          <w:sz w:val="22"/>
        </w:rPr>
        <w:t>August 2024</w:t>
      </w:r>
    </w:p>
    <w:p w14:paraId="0C16B30A" w14:textId="654B3CE8" w:rsidR="00C62CE4" w:rsidRPr="00C62CE4" w:rsidRDefault="00C51C97" w:rsidP="00902501">
      <w:pPr>
        <w:pStyle w:val="NTGCoverPageDate"/>
        <w:spacing w:before="0"/>
        <w:rPr>
          <w:rFonts w:ascii="Lato" w:hAnsi="Lato"/>
          <w:sz w:val="22"/>
        </w:rPr>
      </w:pPr>
      <w:r>
        <w:rPr>
          <w:rFonts w:ascii="Lato" w:hAnsi="Lato"/>
          <w:sz w:val="22"/>
        </w:rPr>
        <w:t>Version 1.1</w:t>
      </w:r>
    </w:p>
    <w:p w14:paraId="5DDF48B8" w14:textId="77777777" w:rsidR="00C62CE4" w:rsidRPr="00DD64C2" w:rsidRDefault="00C62CE4" w:rsidP="00902501">
      <w:pPr>
        <w:sectPr w:rsidR="00C62CE4"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Description w:val="Document and author details"/>
      </w:tblPr>
      <w:tblGrid>
        <w:gridCol w:w="2410"/>
        <w:gridCol w:w="7938"/>
      </w:tblGrid>
      <w:tr w:rsidR="003223FE" w14:paraId="492455B0"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9F59CA0" w14:textId="77777777" w:rsidR="003223FE" w:rsidRPr="0054507C" w:rsidRDefault="003223FE" w:rsidP="00902501">
            <w:pPr>
              <w:rPr>
                <w:b/>
              </w:rPr>
            </w:pPr>
            <w:r w:rsidRPr="0054507C">
              <w:rPr>
                <w:b/>
              </w:rPr>
              <w:lastRenderedPageBreak/>
              <w:t>Document title</w:t>
            </w:r>
          </w:p>
        </w:tc>
        <w:tc>
          <w:tcPr>
            <w:tcW w:w="7938" w:type="dxa"/>
          </w:tcPr>
          <w:p w14:paraId="3E86818A" w14:textId="728959A8" w:rsidR="003223FE" w:rsidRPr="006145BB" w:rsidRDefault="00251FAD" w:rsidP="00902501">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AE65F6C604D9466EB1C2AF56AFC2580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A2A1B">
                  <w:t>Guidance document: Machinery of government changes</w:t>
                </w:r>
              </w:sdtContent>
            </w:sdt>
          </w:p>
        </w:tc>
      </w:tr>
      <w:tr w:rsidR="003223FE" w14:paraId="76F4FAAF"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1F81084" w14:textId="77777777" w:rsidR="003223FE" w:rsidRPr="0054507C" w:rsidRDefault="003223FE" w:rsidP="00902501">
            <w:pPr>
              <w:rPr>
                <w:b/>
              </w:rPr>
            </w:pPr>
            <w:r w:rsidRPr="0054507C">
              <w:rPr>
                <w:b/>
              </w:rPr>
              <w:t>Contact details</w:t>
            </w:r>
          </w:p>
        </w:tc>
        <w:tc>
          <w:tcPr>
            <w:tcW w:w="7938" w:type="dxa"/>
          </w:tcPr>
          <w:p w14:paraId="749E47AE" w14:textId="77777777" w:rsidR="00945368" w:rsidRDefault="00945368" w:rsidP="00902501">
            <w:pPr>
              <w:cnfStyle w:val="000000010000" w:firstRow="0" w:lastRow="0" w:firstColumn="0" w:lastColumn="0" w:oddVBand="0" w:evenVBand="0" w:oddHBand="0" w:evenHBand="1" w:firstRowFirstColumn="0" w:firstRowLastColumn="0" w:lastRowFirstColumn="0" w:lastRowLastColumn="0"/>
              <w:rPr>
                <w:bCs/>
              </w:rPr>
            </w:pPr>
            <w:r>
              <w:rPr>
                <w:bCs/>
              </w:rPr>
              <w:t>Financial Management Group</w:t>
            </w:r>
          </w:p>
          <w:p w14:paraId="7730D319" w14:textId="77777777" w:rsidR="00945368" w:rsidRDefault="00945368" w:rsidP="00902501">
            <w:pPr>
              <w:cnfStyle w:val="000000010000" w:firstRow="0" w:lastRow="0" w:firstColumn="0" w:lastColumn="0" w:oddVBand="0" w:evenVBand="0" w:oddHBand="0" w:evenHBand="1" w:firstRowFirstColumn="0" w:firstRowLastColumn="0" w:lastRowFirstColumn="0" w:lastRowLastColumn="0"/>
              <w:rPr>
                <w:bCs/>
              </w:rPr>
            </w:pPr>
            <w:r>
              <w:rPr>
                <w:bCs/>
              </w:rPr>
              <w:t>Department of Treasury and Finance</w:t>
            </w:r>
          </w:p>
          <w:p w14:paraId="271F4DB6" w14:textId="77777777" w:rsidR="003223FE" w:rsidRPr="006145BB" w:rsidRDefault="00251FAD" w:rsidP="00902501">
            <w:pPr>
              <w:cnfStyle w:val="000000010000" w:firstRow="0" w:lastRow="0" w:firstColumn="0" w:lastColumn="0" w:oddVBand="0" w:evenVBand="0" w:oddHBand="0" w:evenHBand="1" w:firstRowFirstColumn="0" w:firstRowLastColumn="0" w:lastRowFirstColumn="0" w:lastRowLastColumn="0"/>
            </w:pPr>
            <w:hyperlink r:id="rId12" w:history="1">
              <w:r w:rsidR="00945368" w:rsidRPr="00FF447B">
                <w:rPr>
                  <w:rStyle w:val="Hyperlink"/>
                  <w:bCs/>
                </w:rPr>
                <w:t>dtf.financialpolicy@nt.gov.au</w:t>
              </w:r>
            </w:hyperlink>
          </w:p>
        </w:tc>
      </w:tr>
      <w:tr w:rsidR="00945368" w14:paraId="5351346C" w14:textId="77777777" w:rsidTr="00C04A3E">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F41F4ED" w14:textId="77777777" w:rsidR="00945368" w:rsidRPr="0054507C" w:rsidRDefault="00945368" w:rsidP="00902501">
            <w:pPr>
              <w:rPr>
                <w:b/>
              </w:rPr>
            </w:pPr>
            <w:r w:rsidRPr="0054507C">
              <w:rPr>
                <w:b/>
              </w:rPr>
              <w:t>Date</w:t>
            </w:r>
            <w:r w:rsidR="00C62CE4">
              <w:rPr>
                <w:b/>
              </w:rPr>
              <w:t xml:space="preserve"> and version</w:t>
            </w:r>
          </w:p>
        </w:tc>
        <w:tc>
          <w:tcPr>
            <w:tcW w:w="7938" w:type="dxa"/>
            <w:vAlign w:val="top"/>
          </w:tcPr>
          <w:p w14:paraId="105DEA90" w14:textId="1A0CE2C2" w:rsidR="00C62CE4" w:rsidRDefault="00C51C97" w:rsidP="00902501">
            <w:pPr>
              <w:cnfStyle w:val="000000000000" w:firstRow="0" w:lastRow="0" w:firstColumn="0" w:lastColumn="0" w:oddVBand="0" w:evenVBand="0" w:oddHBand="0" w:evenHBand="0" w:firstRowFirstColumn="0" w:firstRowLastColumn="0" w:lastRowFirstColumn="0" w:lastRowLastColumn="0"/>
              <w:rPr>
                <w:bCs/>
              </w:rPr>
            </w:pPr>
            <w:r>
              <w:rPr>
                <w:bCs/>
              </w:rPr>
              <w:t>26 August 2024</w:t>
            </w:r>
          </w:p>
          <w:p w14:paraId="7DFC4E35" w14:textId="160B04CC" w:rsidR="00945368" w:rsidRPr="00875E08" w:rsidRDefault="00C51C97" w:rsidP="00902501">
            <w:pPr>
              <w:cnfStyle w:val="000000000000" w:firstRow="0" w:lastRow="0" w:firstColumn="0" w:lastColumn="0" w:oddVBand="0" w:evenVBand="0" w:oddHBand="0" w:evenHBand="0" w:firstRowFirstColumn="0" w:firstRowLastColumn="0" w:lastRowFirstColumn="0" w:lastRowLastColumn="0"/>
              <w:rPr>
                <w:bCs/>
              </w:rPr>
            </w:pPr>
            <w:r>
              <w:rPr>
                <w:bCs/>
              </w:rPr>
              <w:t>Version 1.1</w:t>
            </w:r>
          </w:p>
        </w:tc>
      </w:tr>
      <w:tr w:rsidR="00C62CE4" w14:paraId="6A4658C5" w14:textId="77777777" w:rsidTr="00C04A3E">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D550619" w14:textId="77777777" w:rsidR="00C62CE4" w:rsidRPr="0054507C" w:rsidRDefault="00C62CE4" w:rsidP="00902501">
            <w:pPr>
              <w:rPr>
                <w:b/>
              </w:rPr>
            </w:pPr>
            <w:r w:rsidRPr="0054507C">
              <w:rPr>
                <w:b/>
              </w:rPr>
              <w:t>Approved by</w:t>
            </w:r>
          </w:p>
        </w:tc>
        <w:tc>
          <w:tcPr>
            <w:tcW w:w="7938" w:type="dxa"/>
          </w:tcPr>
          <w:p w14:paraId="5D546D96" w14:textId="77777777" w:rsidR="00C62CE4" w:rsidRDefault="00C51C97" w:rsidP="00902501">
            <w:pPr>
              <w:cnfStyle w:val="000000010000" w:firstRow="0" w:lastRow="0" w:firstColumn="0" w:lastColumn="0" w:oddVBand="0" w:evenVBand="0" w:oddHBand="0" w:evenHBand="1" w:firstRowFirstColumn="0" w:firstRowLastColumn="0" w:lastRowFirstColumn="0" w:lastRowLastColumn="0"/>
              <w:rPr>
                <w:bCs/>
              </w:rPr>
            </w:pPr>
            <w:r>
              <w:rPr>
                <w:bCs/>
              </w:rPr>
              <w:t>Tiziana Hucent</w:t>
            </w:r>
          </w:p>
          <w:p w14:paraId="0094DF47" w14:textId="5C07DEA7" w:rsidR="00C51C97" w:rsidRPr="00C51C97" w:rsidRDefault="00C51C97" w:rsidP="00902501">
            <w:pPr>
              <w:cnfStyle w:val="000000010000" w:firstRow="0" w:lastRow="0" w:firstColumn="0" w:lastColumn="0" w:oddVBand="0" w:evenVBand="0" w:oddHBand="0" w:evenHBand="1" w:firstRowFirstColumn="0" w:firstRowLastColumn="0" w:lastRowFirstColumn="0" w:lastRowLastColumn="0"/>
              <w:rPr>
                <w:bCs/>
              </w:rPr>
            </w:pPr>
            <w:r>
              <w:rPr>
                <w:bCs/>
              </w:rPr>
              <w:t>Executive Director Finance</w:t>
            </w:r>
          </w:p>
        </w:tc>
      </w:tr>
      <w:tr w:rsidR="00C62CE4" w14:paraId="42B36F1B" w14:textId="77777777" w:rsidTr="00C04A3E">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7C85D54" w14:textId="77777777" w:rsidR="00C62CE4" w:rsidRPr="0054507C" w:rsidRDefault="00C62CE4" w:rsidP="00902501">
            <w:pPr>
              <w:rPr>
                <w:b/>
              </w:rPr>
            </w:pPr>
            <w:r>
              <w:rPr>
                <w:b/>
              </w:rPr>
              <w:t>Date approved</w:t>
            </w:r>
          </w:p>
        </w:tc>
        <w:tc>
          <w:tcPr>
            <w:tcW w:w="7938" w:type="dxa"/>
            <w:vAlign w:val="top"/>
          </w:tcPr>
          <w:p w14:paraId="4CB123B3" w14:textId="0B309042" w:rsidR="00C62CE4" w:rsidRDefault="008C3FAB" w:rsidP="00902501">
            <w:pPr>
              <w:cnfStyle w:val="000000000000" w:firstRow="0" w:lastRow="0" w:firstColumn="0" w:lastColumn="0" w:oddVBand="0" w:evenVBand="0" w:oddHBand="0" w:evenHBand="0" w:firstRowFirstColumn="0" w:firstRowLastColumn="0" w:lastRowFirstColumn="0" w:lastRowLastColumn="0"/>
            </w:pPr>
            <w:r>
              <w:rPr>
                <w:bCs/>
              </w:rPr>
              <w:t>10 September</w:t>
            </w:r>
            <w:r w:rsidR="00C62CE4">
              <w:rPr>
                <w:bCs/>
              </w:rPr>
              <w:t xml:space="preserve"> 2020</w:t>
            </w:r>
          </w:p>
        </w:tc>
      </w:tr>
      <w:tr w:rsidR="00C62CE4" w14:paraId="70649D6C" w14:textId="77777777" w:rsidTr="00C04A3E">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8BA39EB" w14:textId="77777777" w:rsidR="00C62CE4" w:rsidRPr="0054507C" w:rsidRDefault="00C62CE4" w:rsidP="00902501">
            <w:pPr>
              <w:rPr>
                <w:b/>
              </w:rPr>
            </w:pPr>
            <w:r w:rsidRPr="0054507C">
              <w:rPr>
                <w:b/>
              </w:rPr>
              <w:t>Document review</w:t>
            </w:r>
          </w:p>
        </w:tc>
        <w:tc>
          <w:tcPr>
            <w:tcW w:w="7938" w:type="dxa"/>
            <w:vAlign w:val="top"/>
          </w:tcPr>
          <w:p w14:paraId="1B4CE7C8" w14:textId="77777777" w:rsidR="00C62CE4" w:rsidRPr="009C4B3E" w:rsidRDefault="00C62CE4" w:rsidP="00902501">
            <w:pPr>
              <w:cnfStyle w:val="000000010000" w:firstRow="0" w:lastRow="0" w:firstColumn="0" w:lastColumn="0" w:oddVBand="0" w:evenVBand="0" w:oddHBand="0" w:evenHBand="1" w:firstRowFirstColumn="0" w:firstRowLastColumn="0" w:lastRowFirstColumn="0" w:lastRowLastColumn="0"/>
              <w:rPr>
                <w:bCs/>
                <w:highlight w:val="yellow"/>
              </w:rPr>
            </w:pPr>
            <w:r>
              <w:t>Every three years</w:t>
            </w:r>
          </w:p>
        </w:tc>
      </w:tr>
    </w:tbl>
    <w:p w14:paraId="5EF83A29" w14:textId="77777777" w:rsidR="003223FE" w:rsidRDefault="003223FE" w:rsidP="00902501"/>
    <w:tbl>
      <w:tblPr>
        <w:tblStyle w:val="NTGtable1"/>
        <w:tblW w:w="10343" w:type="dxa"/>
        <w:tblLayout w:type="fixed"/>
        <w:tblLook w:val="0120" w:firstRow="1" w:lastRow="0" w:firstColumn="0" w:lastColumn="1" w:noHBand="0" w:noVBand="0"/>
        <w:tblDescription w:val="Document version history"/>
      </w:tblPr>
      <w:tblGrid>
        <w:gridCol w:w="1129"/>
        <w:gridCol w:w="2268"/>
        <w:gridCol w:w="2552"/>
        <w:gridCol w:w="4394"/>
      </w:tblGrid>
      <w:tr w:rsidR="003223FE" w:rsidRPr="00E87DE1" w14:paraId="49B8FA0F"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73DC0F88" w14:textId="77777777" w:rsidR="003223FE" w:rsidRPr="00E87DE1" w:rsidRDefault="003223FE" w:rsidP="00902501">
            <w:r w:rsidRPr="00E87DE1">
              <w:rPr>
                <w:w w:val="105"/>
              </w:rPr>
              <w:t>Version</w:t>
            </w:r>
          </w:p>
        </w:tc>
        <w:tc>
          <w:tcPr>
            <w:tcW w:w="2268" w:type="dxa"/>
          </w:tcPr>
          <w:p w14:paraId="5C4CD009" w14:textId="77777777" w:rsidR="003223FE" w:rsidRPr="00E87DE1" w:rsidRDefault="003223FE" w:rsidP="00902501">
            <w:r w:rsidRPr="00E87DE1">
              <w:rPr>
                <w:w w:val="105"/>
              </w:rPr>
              <w:t>Date</w:t>
            </w:r>
          </w:p>
        </w:tc>
        <w:tc>
          <w:tcPr>
            <w:tcW w:w="2552" w:type="dxa"/>
          </w:tcPr>
          <w:p w14:paraId="09D5DE63" w14:textId="77777777" w:rsidR="003223FE" w:rsidRPr="00E87DE1" w:rsidRDefault="003223FE" w:rsidP="00902501">
            <w:r w:rsidRPr="00E87DE1">
              <w:rPr>
                <w:w w:val="105"/>
              </w:rPr>
              <w:t>Author</w:t>
            </w:r>
          </w:p>
        </w:tc>
        <w:tc>
          <w:tcPr>
            <w:tcW w:w="4394" w:type="dxa"/>
          </w:tcPr>
          <w:p w14:paraId="6CC12BC4" w14:textId="77777777" w:rsidR="003223FE" w:rsidRPr="00E87DE1" w:rsidRDefault="003223FE" w:rsidP="00902501">
            <w:r w:rsidRPr="00E87DE1">
              <w:t>Changes made</w:t>
            </w:r>
          </w:p>
        </w:tc>
      </w:tr>
      <w:tr w:rsidR="00945368" w:rsidRPr="00E87DE1" w14:paraId="6A998A14" w14:textId="77777777" w:rsidTr="00C04A3E">
        <w:trPr>
          <w:trHeight w:val="431"/>
        </w:trPr>
        <w:tc>
          <w:tcPr>
            <w:tcW w:w="1129" w:type="dxa"/>
            <w:vAlign w:val="top"/>
          </w:tcPr>
          <w:p w14:paraId="585DF507" w14:textId="77777777" w:rsidR="00945368" w:rsidRPr="006D3B70" w:rsidRDefault="00945368" w:rsidP="00902501">
            <w:r>
              <w:t>1.0</w:t>
            </w:r>
          </w:p>
        </w:tc>
        <w:tc>
          <w:tcPr>
            <w:tcW w:w="2268" w:type="dxa"/>
            <w:vAlign w:val="top"/>
          </w:tcPr>
          <w:p w14:paraId="278DF6BE" w14:textId="0D2004C1" w:rsidR="00945368" w:rsidRPr="006D3B70" w:rsidRDefault="00C62CE4" w:rsidP="00902501">
            <w:r>
              <w:t xml:space="preserve">1 </w:t>
            </w:r>
            <w:r w:rsidR="007564E7">
              <w:t>July</w:t>
            </w:r>
            <w:r w:rsidR="00945368">
              <w:t> 2020</w:t>
            </w:r>
          </w:p>
        </w:tc>
        <w:tc>
          <w:tcPr>
            <w:tcW w:w="2552" w:type="dxa"/>
            <w:vAlign w:val="top"/>
          </w:tcPr>
          <w:p w14:paraId="0C3FB1C4" w14:textId="77777777" w:rsidR="00945368" w:rsidRPr="006D3B70" w:rsidRDefault="00945368" w:rsidP="00902501">
            <w:r>
              <w:t>DTF Financial Policy</w:t>
            </w:r>
          </w:p>
        </w:tc>
        <w:tc>
          <w:tcPr>
            <w:tcW w:w="4394" w:type="dxa"/>
            <w:vAlign w:val="top"/>
          </w:tcPr>
          <w:p w14:paraId="02935E69" w14:textId="77777777" w:rsidR="00945368" w:rsidRPr="006D3B70" w:rsidRDefault="00945368" w:rsidP="00902501">
            <w:r w:rsidRPr="006D3B70">
              <w:t>Initial version</w:t>
            </w:r>
          </w:p>
        </w:tc>
      </w:tr>
      <w:tr w:rsidR="00C51C97" w:rsidRPr="00E87DE1" w14:paraId="4D81F89C" w14:textId="77777777" w:rsidTr="00C04A3E">
        <w:trPr>
          <w:cnfStyle w:val="000000010000" w:firstRow="0" w:lastRow="0" w:firstColumn="0" w:lastColumn="0" w:oddVBand="0" w:evenVBand="0" w:oddHBand="0" w:evenHBand="1" w:firstRowFirstColumn="0" w:firstRowLastColumn="0" w:lastRowFirstColumn="0" w:lastRowLastColumn="0"/>
          <w:trHeight w:val="431"/>
        </w:trPr>
        <w:tc>
          <w:tcPr>
            <w:tcW w:w="1129" w:type="dxa"/>
            <w:vAlign w:val="top"/>
          </w:tcPr>
          <w:p w14:paraId="744421E8" w14:textId="591C9A61" w:rsidR="00C51C97" w:rsidRDefault="00C51C97" w:rsidP="00902501">
            <w:r>
              <w:t>1.1</w:t>
            </w:r>
          </w:p>
        </w:tc>
        <w:tc>
          <w:tcPr>
            <w:tcW w:w="2268" w:type="dxa"/>
            <w:vAlign w:val="top"/>
          </w:tcPr>
          <w:p w14:paraId="74D5A4A2" w14:textId="539CA5A8" w:rsidR="00C51C97" w:rsidRDefault="00C51C97" w:rsidP="00902501">
            <w:r>
              <w:t>26 August 2024</w:t>
            </w:r>
          </w:p>
        </w:tc>
        <w:tc>
          <w:tcPr>
            <w:tcW w:w="2552" w:type="dxa"/>
            <w:vAlign w:val="top"/>
          </w:tcPr>
          <w:p w14:paraId="4319D5A9" w14:textId="2984470E" w:rsidR="00C51C97" w:rsidRDefault="00C51C97" w:rsidP="00902501">
            <w:r>
              <w:t>DTF Financial Policy</w:t>
            </w:r>
          </w:p>
        </w:tc>
        <w:tc>
          <w:tcPr>
            <w:tcW w:w="4394" w:type="dxa"/>
            <w:vAlign w:val="top"/>
          </w:tcPr>
          <w:p w14:paraId="75398613" w14:textId="09EF00D1" w:rsidR="00C51C97" w:rsidRDefault="00C51C97" w:rsidP="00D02E4D">
            <w:r>
              <w:t xml:space="preserve">Minor updates to guidance material to reflect the addition of new </w:t>
            </w:r>
            <w:r w:rsidR="00D02E4D">
              <w:t xml:space="preserve">guidance </w:t>
            </w:r>
            <w:r w:rsidR="00574D98">
              <w:t xml:space="preserve">material: Appendix B </w:t>
            </w:r>
            <w:r w:rsidR="00D02E4D">
              <w:t>– Machinery of government cheat sheet.</w:t>
            </w:r>
          </w:p>
          <w:p w14:paraId="51268325" w14:textId="566AEB51" w:rsidR="009B467E" w:rsidRPr="006D3B70" w:rsidRDefault="009B467E" w:rsidP="00D02E4D">
            <w:r>
              <w:t>Minor amendments to Appendix A – Budge</w:t>
            </w:r>
            <w:r w:rsidR="00ED6E51">
              <w:t>t</w:t>
            </w:r>
            <w:r>
              <w:t xml:space="preserve"> Transfer Agreement</w:t>
            </w:r>
          </w:p>
        </w:tc>
      </w:tr>
    </w:tbl>
    <w:p w14:paraId="3A491B6C" w14:textId="77777777" w:rsidR="003223FE" w:rsidRDefault="003223FE" w:rsidP="00902501"/>
    <w:tbl>
      <w:tblPr>
        <w:tblStyle w:val="NTGtable1"/>
        <w:tblW w:w="10343" w:type="dxa"/>
        <w:tblLayout w:type="fixed"/>
        <w:tblLook w:val="0120" w:firstRow="1" w:lastRow="0" w:firstColumn="0" w:lastColumn="1" w:noHBand="0" w:noVBand="0"/>
        <w:tblDescription w:val="Common acronyms used in this document."/>
      </w:tblPr>
      <w:tblGrid>
        <w:gridCol w:w="1980"/>
        <w:gridCol w:w="8363"/>
      </w:tblGrid>
      <w:tr w:rsidR="003223FE" w:rsidRPr="00E87DE1" w14:paraId="0F1FBB57"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21ADE171" w14:textId="77777777" w:rsidR="003223FE" w:rsidRPr="00E87DE1" w:rsidRDefault="003223FE" w:rsidP="00902501">
            <w:r w:rsidRPr="00E87DE1">
              <w:rPr>
                <w:w w:val="105"/>
              </w:rPr>
              <w:t>Acronyms</w:t>
            </w:r>
          </w:p>
        </w:tc>
        <w:tc>
          <w:tcPr>
            <w:tcW w:w="8363" w:type="dxa"/>
          </w:tcPr>
          <w:p w14:paraId="26AE7DE0" w14:textId="77777777" w:rsidR="003223FE" w:rsidRPr="00E87DE1" w:rsidRDefault="003223FE" w:rsidP="00902501">
            <w:r w:rsidRPr="00E87DE1">
              <w:rPr>
                <w:w w:val="105"/>
              </w:rPr>
              <w:t>Full</w:t>
            </w:r>
            <w:r w:rsidRPr="00E87DE1">
              <w:rPr>
                <w:spacing w:val="-17"/>
                <w:w w:val="105"/>
              </w:rPr>
              <w:t xml:space="preserve"> </w:t>
            </w:r>
            <w:r w:rsidRPr="00E87DE1">
              <w:rPr>
                <w:w w:val="105"/>
              </w:rPr>
              <w:t>form</w:t>
            </w:r>
          </w:p>
        </w:tc>
      </w:tr>
      <w:tr w:rsidR="00C62CE4" w:rsidRPr="00E87DE1" w14:paraId="35F4555B" w14:textId="77777777" w:rsidTr="00C04A3E">
        <w:trPr>
          <w:trHeight w:val="431"/>
        </w:trPr>
        <w:tc>
          <w:tcPr>
            <w:tcW w:w="1980" w:type="dxa"/>
            <w:tcBorders>
              <w:bottom w:val="nil"/>
            </w:tcBorders>
            <w:vAlign w:val="top"/>
          </w:tcPr>
          <w:p w14:paraId="4F62BE96" w14:textId="77777777" w:rsidR="00C62CE4" w:rsidRPr="006D3B70" w:rsidRDefault="00C62CE4" w:rsidP="00902501">
            <w:r>
              <w:t>DTF</w:t>
            </w:r>
          </w:p>
        </w:tc>
        <w:tc>
          <w:tcPr>
            <w:tcW w:w="8363" w:type="dxa"/>
            <w:tcBorders>
              <w:bottom w:val="nil"/>
            </w:tcBorders>
            <w:vAlign w:val="top"/>
          </w:tcPr>
          <w:p w14:paraId="1A36735C" w14:textId="77777777" w:rsidR="00C62CE4" w:rsidRPr="006D3B70" w:rsidRDefault="00C62CE4" w:rsidP="00902501">
            <w:r>
              <w:t xml:space="preserve">Department of Treasury and Finance </w:t>
            </w:r>
          </w:p>
        </w:tc>
      </w:tr>
      <w:tr w:rsidR="00C62CE4" w:rsidRPr="00E87DE1" w14:paraId="78053E7C" w14:textId="77777777" w:rsidTr="00C04A3E">
        <w:trPr>
          <w:cnfStyle w:val="000000010000" w:firstRow="0" w:lastRow="0" w:firstColumn="0" w:lastColumn="0" w:oddVBand="0" w:evenVBand="0" w:oddHBand="0" w:evenHBand="1" w:firstRowFirstColumn="0" w:firstRowLastColumn="0" w:lastRowFirstColumn="0" w:lastRowLastColumn="0"/>
          <w:trHeight w:val="431"/>
        </w:trPr>
        <w:tc>
          <w:tcPr>
            <w:tcW w:w="1980" w:type="dxa"/>
            <w:vAlign w:val="top"/>
          </w:tcPr>
          <w:p w14:paraId="797B6217" w14:textId="77777777" w:rsidR="00C62CE4" w:rsidRDefault="00C62CE4" w:rsidP="00902501">
            <w:r>
              <w:t>FMA</w:t>
            </w:r>
          </w:p>
        </w:tc>
        <w:tc>
          <w:tcPr>
            <w:tcW w:w="8363" w:type="dxa"/>
            <w:vAlign w:val="top"/>
          </w:tcPr>
          <w:p w14:paraId="0D6F0AFD" w14:textId="77777777" w:rsidR="00C62CE4" w:rsidRPr="00C142ED" w:rsidRDefault="00C62CE4" w:rsidP="00902501">
            <w:pPr>
              <w:rPr>
                <w:i/>
              </w:rPr>
            </w:pPr>
            <w:r w:rsidRPr="00C142ED">
              <w:rPr>
                <w:i/>
              </w:rPr>
              <w:t>Financial Management Act 1995</w:t>
            </w:r>
          </w:p>
        </w:tc>
      </w:tr>
      <w:tr w:rsidR="00875466" w:rsidRPr="00E87DE1" w14:paraId="1C39CF22" w14:textId="77777777" w:rsidTr="00C04A3E">
        <w:trPr>
          <w:trHeight w:val="431"/>
        </w:trPr>
        <w:tc>
          <w:tcPr>
            <w:tcW w:w="1980" w:type="dxa"/>
            <w:vAlign w:val="top"/>
          </w:tcPr>
          <w:p w14:paraId="1BDDE537" w14:textId="10FE3AE5" w:rsidR="00875466" w:rsidRDefault="00875466" w:rsidP="00902501">
            <w:r>
              <w:t>FTE</w:t>
            </w:r>
          </w:p>
        </w:tc>
        <w:tc>
          <w:tcPr>
            <w:tcW w:w="8363" w:type="dxa"/>
            <w:vAlign w:val="top"/>
          </w:tcPr>
          <w:p w14:paraId="2AAF2561" w14:textId="2D33C434" w:rsidR="00875466" w:rsidRPr="00875466" w:rsidRDefault="00875466" w:rsidP="00902501">
            <w:r w:rsidRPr="00875466">
              <w:t xml:space="preserve">Full </w:t>
            </w:r>
            <w:r w:rsidR="006B695D">
              <w:t>T</w:t>
            </w:r>
            <w:r w:rsidRPr="00875466">
              <w:t xml:space="preserve">ime </w:t>
            </w:r>
            <w:r w:rsidR="006B695D">
              <w:t>E</w:t>
            </w:r>
            <w:r w:rsidRPr="00875466">
              <w:t>quivalent</w:t>
            </w:r>
          </w:p>
        </w:tc>
      </w:tr>
      <w:tr w:rsidR="00875466" w:rsidRPr="00E87DE1" w14:paraId="7708F346" w14:textId="77777777" w:rsidTr="00C04A3E">
        <w:trPr>
          <w:cnfStyle w:val="000000010000" w:firstRow="0" w:lastRow="0" w:firstColumn="0" w:lastColumn="0" w:oddVBand="0" w:evenVBand="0" w:oddHBand="0" w:evenHBand="1" w:firstRowFirstColumn="0" w:firstRowLastColumn="0" w:lastRowFirstColumn="0" w:lastRowLastColumn="0"/>
          <w:trHeight w:val="431"/>
        </w:trPr>
        <w:tc>
          <w:tcPr>
            <w:tcW w:w="1980" w:type="dxa"/>
            <w:vAlign w:val="top"/>
          </w:tcPr>
          <w:p w14:paraId="77CD35B2" w14:textId="0908E372" w:rsidR="00875466" w:rsidRDefault="00875466" w:rsidP="00902501">
            <w:r>
              <w:t>GAS</w:t>
            </w:r>
          </w:p>
        </w:tc>
        <w:tc>
          <w:tcPr>
            <w:tcW w:w="8363" w:type="dxa"/>
            <w:vAlign w:val="top"/>
          </w:tcPr>
          <w:p w14:paraId="1691EB9F" w14:textId="44CE5574" w:rsidR="00875466" w:rsidRPr="00875466" w:rsidRDefault="00875466" w:rsidP="00902501">
            <w:r w:rsidRPr="00875466">
              <w:t>Government Accounting System</w:t>
            </w:r>
          </w:p>
        </w:tc>
      </w:tr>
      <w:tr w:rsidR="00E01823" w:rsidRPr="00E87DE1" w14:paraId="77F591C2" w14:textId="77777777" w:rsidTr="00C04A3E">
        <w:trPr>
          <w:trHeight w:val="431"/>
        </w:trPr>
        <w:tc>
          <w:tcPr>
            <w:tcW w:w="1980" w:type="dxa"/>
            <w:vAlign w:val="top"/>
          </w:tcPr>
          <w:p w14:paraId="77810E88" w14:textId="7C6B2DC1" w:rsidR="00E01823" w:rsidRDefault="00E01823" w:rsidP="00902501">
            <w:r>
              <w:t>LTF</w:t>
            </w:r>
          </w:p>
        </w:tc>
        <w:tc>
          <w:tcPr>
            <w:tcW w:w="8363" w:type="dxa"/>
            <w:vAlign w:val="top"/>
          </w:tcPr>
          <w:p w14:paraId="2D177523" w14:textId="14A7E3D2" w:rsidR="00E01823" w:rsidRPr="00875466" w:rsidRDefault="00E01823" w:rsidP="00902501">
            <w:r>
              <w:t xml:space="preserve">Ledger Transfer </w:t>
            </w:r>
            <w:r w:rsidR="006B695D">
              <w:t>Facility</w:t>
            </w:r>
          </w:p>
        </w:tc>
      </w:tr>
      <w:tr w:rsidR="00A030E3" w:rsidRPr="00E87DE1" w14:paraId="62BDD962" w14:textId="77777777" w:rsidTr="00C04A3E">
        <w:trPr>
          <w:cnfStyle w:val="000000010000" w:firstRow="0" w:lastRow="0" w:firstColumn="0" w:lastColumn="0" w:oddVBand="0" w:evenVBand="0" w:oddHBand="0" w:evenHBand="1" w:firstRowFirstColumn="0" w:firstRowLastColumn="0" w:lastRowFirstColumn="0" w:lastRowLastColumn="0"/>
          <w:trHeight w:val="431"/>
        </w:trPr>
        <w:tc>
          <w:tcPr>
            <w:tcW w:w="1980" w:type="dxa"/>
            <w:vAlign w:val="top"/>
          </w:tcPr>
          <w:p w14:paraId="2655ADFB" w14:textId="28E84D73" w:rsidR="00A030E3" w:rsidRDefault="00A030E3" w:rsidP="00902501">
            <w:r>
              <w:t>MoG</w:t>
            </w:r>
          </w:p>
        </w:tc>
        <w:tc>
          <w:tcPr>
            <w:tcW w:w="8363" w:type="dxa"/>
            <w:vAlign w:val="top"/>
          </w:tcPr>
          <w:p w14:paraId="40003353" w14:textId="72EFEA6C" w:rsidR="00A030E3" w:rsidRDefault="00A030E3" w:rsidP="00902501">
            <w:r>
              <w:t>Machinery of government</w:t>
            </w:r>
          </w:p>
        </w:tc>
      </w:tr>
      <w:tr w:rsidR="006B695D" w:rsidRPr="00E87DE1" w14:paraId="66C29B9F" w14:textId="77777777" w:rsidTr="00C04A3E">
        <w:trPr>
          <w:trHeight w:val="431"/>
        </w:trPr>
        <w:tc>
          <w:tcPr>
            <w:tcW w:w="1980" w:type="dxa"/>
            <w:vAlign w:val="top"/>
          </w:tcPr>
          <w:p w14:paraId="1CE535E4" w14:textId="338738A1" w:rsidR="006B695D" w:rsidRDefault="006B695D" w:rsidP="00902501">
            <w:r>
              <w:t>SDC</w:t>
            </w:r>
          </w:p>
        </w:tc>
        <w:tc>
          <w:tcPr>
            <w:tcW w:w="8363" w:type="dxa"/>
            <w:vAlign w:val="top"/>
          </w:tcPr>
          <w:p w14:paraId="20513748" w14:textId="6D430261" w:rsidR="006B695D" w:rsidRDefault="006B695D" w:rsidP="00902501">
            <w:r>
              <w:t>Source Destination Code</w:t>
            </w:r>
          </w:p>
        </w:tc>
      </w:tr>
      <w:tr w:rsidR="00A030E3" w:rsidRPr="00E87DE1" w14:paraId="48021A31" w14:textId="77777777" w:rsidTr="00C04A3E">
        <w:trPr>
          <w:cnfStyle w:val="000000010000" w:firstRow="0" w:lastRow="0" w:firstColumn="0" w:lastColumn="0" w:oddVBand="0" w:evenVBand="0" w:oddHBand="0" w:evenHBand="1" w:firstRowFirstColumn="0" w:firstRowLastColumn="0" w:lastRowFirstColumn="0" w:lastRowLastColumn="0"/>
          <w:trHeight w:val="431"/>
        </w:trPr>
        <w:tc>
          <w:tcPr>
            <w:tcW w:w="1980" w:type="dxa"/>
            <w:vAlign w:val="top"/>
          </w:tcPr>
          <w:p w14:paraId="2C037EC0" w14:textId="77777777" w:rsidR="00A030E3" w:rsidRPr="00DD6DEB" w:rsidRDefault="00A030E3" w:rsidP="00902501">
            <w:r>
              <w:t>TD</w:t>
            </w:r>
          </w:p>
        </w:tc>
        <w:tc>
          <w:tcPr>
            <w:tcW w:w="8363" w:type="dxa"/>
            <w:vAlign w:val="top"/>
          </w:tcPr>
          <w:p w14:paraId="1D224D74" w14:textId="77777777" w:rsidR="00A030E3" w:rsidRPr="00A23858" w:rsidRDefault="00A030E3" w:rsidP="00902501">
            <w:r>
              <w:t>Treasurer’s Direction</w:t>
            </w:r>
          </w:p>
        </w:tc>
      </w:tr>
      <w:tr w:rsidR="00A030E3" w:rsidRPr="00E87DE1" w14:paraId="4225AF97" w14:textId="77777777" w:rsidTr="00C04A3E">
        <w:trPr>
          <w:trHeight w:val="431"/>
        </w:trPr>
        <w:tc>
          <w:tcPr>
            <w:tcW w:w="1980" w:type="dxa"/>
            <w:vAlign w:val="top"/>
          </w:tcPr>
          <w:p w14:paraId="778D7D3A" w14:textId="1E5A3AA8" w:rsidR="00A030E3" w:rsidRDefault="00A030E3" w:rsidP="00902501">
            <w:r>
              <w:t>PSEMA</w:t>
            </w:r>
          </w:p>
        </w:tc>
        <w:tc>
          <w:tcPr>
            <w:tcW w:w="8363" w:type="dxa"/>
            <w:vAlign w:val="top"/>
          </w:tcPr>
          <w:p w14:paraId="0A0A2477" w14:textId="4C39A3F7" w:rsidR="00A030E3" w:rsidRDefault="00A030E3" w:rsidP="00902501">
            <w:r w:rsidRPr="0070363B">
              <w:rPr>
                <w:i/>
              </w:rPr>
              <w:t>Public Sector Employment and Management Act</w:t>
            </w:r>
            <w:r w:rsidRPr="00D15DB3">
              <w:rPr>
                <w:i/>
              </w:rPr>
              <w:t xml:space="preserve"> </w:t>
            </w:r>
            <w:r w:rsidRPr="0070363B">
              <w:rPr>
                <w:i/>
              </w:rPr>
              <w:t>1993</w:t>
            </w:r>
          </w:p>
        </w:tc>
      </w:tr>
    </w:tbl>
    <w:p w14:paraId="13B3B118" w14:textId="77777777" w:rsidR="00702D61" w:rsidRDefault="00702D61" w:rsidP="0090250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F9D9512" w14:textId="77777777" w:rsidR="00964B22" w:rsidRPr="00645942" w:rsidRDefault="00964B22" w:rsidP="00902501">
          <w:pPr>
            <w:pStyle w:val="TOCHeading"/>
            <w:tabs>
              <w:tab w:val="left" w:pos="9444"/>
            </w:tabs>
            <w:rPr>
              <w:lang w:eastAsia="ja-JP"/>
            </w:rPr>
          </w:pPr>
          <w:r w:rsidRPr="00645942">
            <w:t>Contents</w:t>
          </w:r>
        </w:p>
        <w:p w14:paraId="42544BF5" w14:textId="42F51E72" w:rsidR="004C6D55" w:rsidRDefault="006747E0">
          <w:pPr>
            <w:pStyle w:val="TOC1"/>
            <w:rPr>
              <w:rFonts w:asciiTheme="minorHAnsi" w:eastAsiaTheme="minorEastAsia" w:hAnsiTheme="minorHAnsi" w:cstheme="minorBidi"/>
              <w:b w:val="0"/>
              <w:noProof/>
              <w:lang w:eastAsia="en-AU"/>
            </w:rPr>
          </w:pPr>
          <w:r w:rsidRPr="00645942">
            <w:rPr>
              <w:rFonts w:eastAsiaTheme="minorEastAsia" w:cs="Arial"/>
              <w:lang w:eastAsia="en-AU"/>
            </w:rPr>
            <w:fldChar w:fldCharType="begin"/>
          </w:r>
          <w:r w:rsidRPr="00645942">
            <w:rPr>
              <w:rFonts w:eastAsiaTheme="minorEastAsia" w:cs="Arial"/>
              <w:lang w:eastAsia="en-AU"/>
            </w:rPr>
            <w:instrText xml:space="preserve"> TOC \o "1-4" \h \z \u </w:instrText>
          </w:r>
          <w:r w:rsidRPr="00645942">
            <w:rPr>
              <w:rFonts w:eastAsiaTheme="minorEastAsia" w:cs="Arial"/>
              <w:lang w:eastAsia="en-AU"/>
            </w:rPr>
            <w:fldChar w:fldCharType="separate"/>
          </w:r>
          <w:hyperlink w:anchor="_Toc175560445" w:history="1">
            <w:r w:rsidR="004C6D55" w:rsidRPr="00A174D7">
              <w:rPr>
                <w:rStyle w:val="Hyperlink"/>
                <w:noProof/>
              </w:rPr>
              <w:t>1. Introduction</w:t>
            </w:r>
            <w:r w:rsidR="004C6D55">
              <w:rPr>
                <w:noProof/>
                <w:webHidden/>
              </w:rPr>
              <w:tab/>
            </w:r>
            <w:r w:rsidR="004C6D55">
              <w:rPr>
                <w:noProof/>
                <w:webHidden/>
              </w:rPr>
              <w:fldChar w:fldCharType="begin"/>
            </w:r>
            <w:r w:rsidR="004C6D55">
              <w:rPr>
                <w:noProof/>
                <w:webHidden/>
              </w:rPr>
              <w:instrText xml:space="preserve"> PAGEREF _Toc175560445 \h </w:instrText>
            </w:r>
            <w:r w:rsidR="004C6D55">
              <w:rPr>
                <w:noProof/>
                <w:webHidden/>
              </w:rPr>
            </w:r>
            <w:r w:rsidR="004C6D55">
              <w:rPr>
                <w:noProof/>
                <w:webHidden/>
              </w:rPr>
              <w:fldChar w:fldCharType="separate"/>
            </w:r>
            <w:r w:rsidR="004C6D55">
              <w:rPr>
                <w:noProof/>
                <w:webHidden/>
              </w:rPr>
              <w:t>5</w:t>
            </w:r>
            <w:r w:rsidR="004C6D55">
              <w:rPr>
                <w:noProof/>
                <w:webHidden/>
              </w:rPr>
              <w:fldChar w:fldCharType="end"/>
            </w:r>
          </w:hyperlink>
        </w:p>
        <w:p w14:paraId="36F2C8A7" w14:textId="4EED5330" w:rsidR="004C6D55" w:rsidRDefault="00251FAD">
          <w:pPr>
            <w:pStyle w:val="TOC2"/>
            <w:rPr>
              <w:rFonts w:asciiTheme="minorHAnsi" w:eastAsiaTheme="minorEastAsia" w:hAnsiTheme="minorHAnsi" w:cstheme="minorBidi"/>
              <w:noProof/>
              <w:lang w:eastAsia="en-AU"/>
            </w:rPr>
          </w:pPr>
          <w:hyperlink w:anchor="_Toc175560446" w:history="1">
            <w:r w:rsidR="004C6D55" w:rsidRPr="00A174D7">
              <w:rPr>
                <w:rStyle w:val="Hyperlink"/>
                <w:noProof/>
              </w:rPr>
              <w:t>1.1. Purpose</w:t>
            </w:r>
            <w:r w:rsidR="004C6D55">
              <w:rPr>
                <w:noProof/>
                <w:webHidden/>
              </w:rPr>
              <w:tab/>
            </w:r>
            <w:r w:rsidR="004C6D55">
              <w:rPr>
                <w:noProof/>
                <w:webHidden/>
              </w:rPr>
              <w:fldChar w:fldCharType="begin"/>
            </w:r>
            <w:r w:rsidR="004C6D55">
              <w:rPr>
                <w:noProof/>
                <w:webHidden/>
              </w:rPr>
              <w:instrText xml:space="preserve"> PAGEREF _Toc175560446 \h </w:instrText>
            </w:r>
            <w:r w:rsidR="004C6D55">
              <w:rPr>
                <w:noProof/>
                <w:webHidden/>
              </w:rPr>
            </w:r>
            <w:r w:rsidR="004C6D55">
              <w:rPr>
                <w:noProof/>
                <w:webHidden/>
              </w:rPr>
              <w:fldChar w:fldCharType="separate"/>
            </w:r>
            <w:r w:rsidR="004C6D55">
              <w:rPr>
                <w:noProof/>
                <w:webHidden/>
              </w:rPr>
              <w:t>5</w:t>
            </w:r>
            <w:r w:rsidR="004C6D55">
              <w:rPr>
                <w:noProof/>
                <w:webHidden/>
              </w:rPr>
              <w:fldChar w:fldCharType="end"/>
            </w:r>
          </w:hyperlink>
        </w:p>
        <w:p w14:paraId="1B086F8F" w14:textId="497EF73D" w:rsidR="004C6D55" w:rsidRDefault="00251FAD">
          <w:pPr>
            <w:pStyle w:val="TOC2"/>
            <w:rPr>
              <w:rFonts w:asciiTheme="minorHAnsi" w:eastAsiaTheme="minorEastAsia" w:hAnsiTheme="minorHAnsi" w:cstheme="minorBidi"/>
              <w:noProof/>
              <w:lang w:eastAsia="en-AU"/>
            </w:rPr>
          </w:pPr>
          <w:hyperlink w:anchor="_Toc175560447" w:history="1">
            <w:r w:rsidR="004C6D55" w:rsidRPr="00A174D7">
              <w:rPr>
                <w:rStyle w:val="Hyperlink"/>
                <w:noProof/>
              </w:rPr>
              <w:t>1.2. Statement</w:t>
            </w:r>
            <w:r w:rsidR="004C6D55">
              <w:rPr>
                <w:noProof/>
                <w:webHidden/>
              </w:rPr>
              <w:tab/>
            </w:r>
            <w:r w:rsidR="004C6D55">
              <w:rPr>
                <w:noProof/>
                <w:webHidden/>
              </w:rPr>
              <w:fldChar w:fldCharType="begin"/>
            </w:r>
            <w:r w:rsidR="004C6D55">
              <w:rPr>
                <w:noProof/>
                <w:webHidden/>
              </w:rPr>
              <w:instrText xml:space="preserve"> PAGEREF _Toc175560447 \h </w:instrText>
            </w:r>
            <w:r w:rsidR="004C6D55">
              <w:rPr>
                <w:noProof/>
                <w:webHidden/>
              </w:rPr>
            </w:r>
            <w:r w:rsidR="004C6D55">
              <w:rPr>
                <w:noProof/>
                <w:webHidden/>
              </w:rPr>
              <w:fldChar w:fldCharType="separate"/>
            </w:r>
            <w:r w:rsidR="004C6D55">
              <w:rPr>
                <w:noProof/>
                <w:webHidden/>
              </w:rPr>
              <w:t>5</w:t>
            </w:r>
            <w:r w:rsidR="004C6D55">
              <w:rPr>
                <w:noProof/>
                <w:webHidden/>
              </w:rPr>
              <w:fldChar w:fldCharType="end"/>
            </w:r>
          </w:hyperlink>
        </w:p>
        <w:p w14:paraId="2DAC7FF7" w14:textId="6FEC17A7" w:rsidR="004C6D55" w:rsidRDefault="00251FAD">
          <w:pPr>
            <w:pStyle w:val="TOC2"/>
            <w:rPr>
              <w:rFonts w:asciiTheme="minorHAnsi" w:eastAsiaTheme="minorEastAsia" w:hAnsiTheme="minorHAnsi" w:cstheme="minorBidi"/>
              <w:noProof/>
              <w:lang w:eastAsia="en-AU"/>
            </w:rPr>
          </w:pPr>
          <w:hyperlink w:anchor="_Toc175560448" w:history="1">
            <w:r w:rsidR="004C6D55" w:rsidRPr="00A174D7">
              <w:rPr>
                <w:rStyle w:val="Hyperlink"/>
                <w:noProof/>
              </w:rPr>
              <w:t>1.3. Legislative basis and related documents</w:t>
            </w:r>
            <w:r w:rsidR="004C6D55">
              <w:rPr>
                <w:noProof/>
                <w:webHidden/>
              </w:rPr>
              <w:tab/>
            </w:r>
            <w:r w:rsidR="004C6D55">
              <w:rPr>
                <w:noProof/>
                <w:webHidden/>
              </w:rPr>
              <w:fldChar w:fldCharType="begin"/>
            </w:r>
            <w:r w:rsidR="004C6D55">
              <w:rPr>
                <w:noProof/>
                <w:webHidden/>
              </w:rPr>
              <w:instrText xml:space="preserve"> PAGEREF _Toc175560448 \h </w:instrText>
            </w:r>
            <w:r w:rsidR="004C6D55">
              <w:rPr>
                <w:noProof/>
                <w:webHidden/>
              </w:rPr>
            </w:r>
            <w:r w:rsidR="004C6D55">
              <w:rPr>
                <w:noProof/>
                <w:webHidden/>
              </w:rPr>
              <w:fldChar w:fldCharType="separate"/>
            </w:r>
            <w:r w:rsidR="004C6D55">
              <w:rPr>
                <w:noProof/>
                <w:webHidden/>
              </w:rPr>
              <w:t>5</w:t>
            </w:r>
            <w:r w:rsidR="004C6D55">
              <w:rPr>
                <w:noProof/>
                <w:webHidden/>
              </w:rPr>
              <w:fldChar w:fldCharType="end"/>
            </w:r>
          </w:hyperlink>
        </w:p>
        <w:p w14:paraId="4DB5F75A" w14:textId="7B1BE209" w:rsidR="004C6D55" w:rsidRDefault="00251FAD">
          <w:pPr>
            <w:pStyle w:val="TOC1"/>
            <w:rPr>
              <w:rFonts w:asciiTheme="minorHAnsi" w:eastAsiaTheme="minorEastAsia" w:hAnsiTheme="minorHAnsi" w:cstheme="minorBidi"/>
              <w:b w:val="0"/>
              <w:noProof/>
              <w:lang w:eastAsia="en-AU"/>
            </w:rPr>
          </w:pPr>
          <w:hyperlink w:anchor="_Toc175560449" w:history="1">
            <w:r w:rsidR="004C6D55" w:rsidRPr="00A174D7">
              <w:rPr>
                <w:rStyle w:val="Hyperlink"/>
                <w:noProof/>
              </w:rPr>
              <w:t>2. What is a machinery of government change?</w:t>
            </w:r>
            <w:r w:rsidR="004C6D55">
              <w:rPr>
                <w:noProof/>
                <w:webHidden/>
              </w:rPr>
              <w:tab/>
            </w:r>
            <w:r w:rsidR="004C6D55">
              <w:rPr>
                <w:noProof/>
                <w:webHidden/>
              </w:rPr>
              <w:fldChar w:fldCharType="begin"/>
            </w:r>
            <w:r w:rsidR="004C6D55">
              <w:rPr>
                <w:noProof/>
                <w:webHidden/>
              </w:rPr>
              <w:instrText xml:space="preserve"> PAGEREF _Toc175560449 \h </w:instrText>
            </w:r>
            <w:r w:rsidR="004C6D55">
              <w:rPr>
                <w:noProof/>
                <w:webHidden/>
              </w:rPr>
            </w:r>
            <w:r w:rsidR="004C6D55">
              <w:rPr>
                <w:noProof/>
                <w:webHidden/>
              </w:rPr>
              <w:fldChar w:fldCharType="separate"/>
            </w:r>
            <w:r w:rsidR="004C6D55">
              <w:rPr>
                <w:noProof/>
                <w:webHidden/>
              </w:rPr>
              <w:t>5</w:t>
            </w:r>
            <w:r w:rsidR="004C6D55">
              <w:rPr>
                <w:noProof/>
                <w:webHidden/>
              </w:rPr>
              <w:fldChar w:fldCharType="end"/>
            </w:r>
          </w:hyperlink>
        </w:p>
        <w:p w14:paraId="58DF229E" w14:textId="6F47EC23" w:rsidR="004C6D55" w:rsidRDefault="00251FAD">
          <w:pPr>
            <w:pStyle w:val="TOC1"/>
            <w:rPr>
              <w:rFonts w:asciiTheme="minorHAnsi" w:eastAsiaTheme="minorEastAsia" w:hAnsiTheme="minorHAnsi" w:cstheme="minorBidi"/>
              <w:b w:val="0"/>
              <w:noProof/>
              <w:lang w:eastAsia="en-AU"/>
            </w:rPr>
          </w:pPr>
          <w:hyperlink w:anchor="_Toc175560450" w:history="1">
            <w:r w:rsidR="004C6D55" w:rsidRPr="00A174D7">
              <w:rPr>
                <w:rStyle w:val="Hyperlink"/>
                <w:noProof/>
              </w:rPr>
              <w:t>3. Process for machinery of government changes</w:t>
            </w:r>
            <w:r w:rsidR="004C6D55">
              <w:rPr>
                <w:noProof/>
                <w:webHidden/>
              </w:rPr>
              <w:tab/>
            </w:r>
            <w:r w:rsidR="004C6D55">
              <w:rPr>
                <w:noProof/>
                <w:webHidden/>
              </w:rPr>
              <w:fldChar w:fldCharType="begin"/>
            </w:r>
            <w:r w:rsidR="004C6D55">
              <w:rPr>
                <w:noProof/>
                <w:webHidden/>
              </w:rPr>
              <w:instrText xml:space="preserve"> PAGEREF _Toc175560450 \h </w:instrText>
            </w:r>
            <w:r w:rsidR="004C6D55">
              <w:rPr>
                <w:noProof/>
                <w:webHidden/>
              </w:rPr>
            </w:r>
            <w:r w:rsidR="004C6D55">
              <w:rPr>
                <w:noProof/>
                <w:webHidden/>
              </w:rPr>
              <w:fldChar w:fldCharType="separate"/>
            </w:r>
            <w:r w:rsidR="004C6D55">
              <w:rPr>
                <w:noProof/>
                <w:webHidden/>
              </w:rPr>
              <w:t>6</w:t>
            </w:r>
            <w:r w:rsidR="004C6D55">
              <w:rPr>
                <w:noProof/>
                <w:webHidden/>
              </w:rPr>
              <w:fldChar w:fldCharType="end"/>
            </w:r>
          </w:hyperlink>
        </w:p>
        <w:p w14:paraId="033FE8F6" w14:textId="011A685C" w:rsidR="004C6D55" w:rsidRDefault="00251FAD">
          <w:pPr>
            <w:pStyle w:val="TOC2"/>
            <w:rPr>
              <w:rFonts w:asciiTheme="minorHAnsi" w:eastAsiaTheme="minorEastAsia" w:hAnsiTheme="minorHAnsi" w:cstheme="minorBidi"/>
              <w:noProof/>
              <w:lang w:eastAsia="en-AU"/>
            </w:rPr>
          </w:pPr>
          <w:hyperlink w:anchor="_Toc175560451" w:history="1">
            <w:r w:rsidR="004C6D55" w:rsidRPr="00A174D7">
              <w:rPr>
                <w:rStyle w:val="Hyperlink"/>
                <w:noProof/>
              </w:rPr>
              <w:t>3.1. Agreements</w:t>
            </w:r>
            <w:r w:rsidR="004C6D55">
              <w:rPr>
                <w:noProof/>
                <w:webHidden/>
              </w:rPr>
              <w:tab/>
            </w:r>
            <w:r w:rsidR="004C6D55">
              <w:rPr>
                <w:noProof/>
                <w:webHidden/>
              </w:rPr>
              <w:fldChar w:fldCharType="begin"/>
            </w:r>
            <w:r w:rsidR="004C6D55">
              <w:rPr>
                <w:noProof/>
                <w:webHidden/>
              </w:rPr>
              <w:instrText xml:space="preserve"> PAGEREF _Toc175560451 \h </w:instrText>
            </w:r>
            <w:r w:rsidR="004C6D55">
              <w:rPr>
                <w:noProof/>
                <w:webHidden/>
              </w:rPr>
            </w:r>
            <w:r w:rsidR="004C6D55">
              <w:rPr>
                <w:noProof/>
                <w:webHidden/>
              </w:rPr>
              <w:fldChar w:fldCharType="separate"/>
            </w:r>
            <w:r w:rsidR="004C6D55">
              <w:rPr>
                <w:noProof/>
                <w:webHidden/>
              </w:rPr>
              <w:t>6</w:t>
            </w:r>
            <w:r w:rsidR="004C6D55">
              <w:rPr>
                <w:noProof/>
                <w:webHidden/>
              </w:rPr>
              <w:fldChar w:fldCharType="end"/>
            </w:r>
          </w:hyperlink>
        </w:p>
        <w:p w14:paraId="45D8C583" w14:textId="2F7BE8CB" w:rsidR="004C6D55" w:rsidRDefault="00251FAD">
          <w:pPr>
            <w:pStyle w:val="TOC3"/>
            <w:tabs>
              <w:tab w:val="right" w:leader="dot" w:pos="10308"/>
            </w:tabs>
            <w:rPr>
              <w:rFonts w:asciiTheme="minorHAnsi" w:eastAsiaTheme="minorEastAsia" w:hAnsiTheme="minorHAnsi" w:cstheme="minorBidi"/>
              <w:noProof/>
              <w:lang w:eastAsia="en-AU"/>
            </w:rPr>
          </w:pPr>
          <w:hyperlink w:anchor="_Toc175560452" w:history="1">
            <w:r w:rsidR="004C6D55" w:rsidRPr="00A174D7">
              <w:rPr>
                <w:rStyle w:val="Hyperlink"/>
                <w:noProof/>
              </w:rPr>
              <w:t>3.1.1. Whole of government perspective</w:t>
            </w:r>
            <w:r w:rsidR="004C6D55">
              <w:rPr>
                <w:noProof/>
                <w:webHidden/>
              </w:rPr>
              <w:tab/>
            </w:r>
            <w:r w:rsidR="004C6D55">
              <w:rPr>
                <w:noProof/>
                <w:webHidden/>
              </w:rPr>
              <w:fldChar w:fldCharType="begin"/>
            </w:r>
            <w:r w:rsidR="004C6D55">
              <w:rPr>
                <w:noProof/>
                <w:webHidden/>
              </w:rPr>
              <w:instrText xml:space="preserve"> PAGEREF _Toc175560452 \h </w:instrText>
            </w:r>
            <w:r w:rsidR="004C6D55">
              <w:rPr>
                <w:noProof/>
                <w:webHidden/>
              </w:rPr>
            </w:r>
            <w:r w:rsidR="004C6D55">
              <w:rPr>
                <w:noProof/>
                <w:webHidden/>
              </w:rPr>
              <w:fldChar w:fldCharType="separate"/>
            </w:r>
            <w:r w:rsidR="004C6D55">
              <w:rPr>
                <w:noProof/>
                <w:webHidden/>
              </w:rPr>
              <w:t>6</w:t>
            </w:r>
            <w:r w:rsidR="004C6D55">
              <w:rPr>
                <w:noProof/>
                <w:webHidden/>
              </w:rPr>
              <w:fldChar w:fldCharType="end"/>
            </w:r>
          </w:hyperlink>
        </w:p>
        <w:p w14:paraId="281E0983" w14:textId="4ED5EDAA" w:rsidR="004C6D55" w:rsidRDefault="00251FAD">
          <w:pPr>
            <w:pStyle w:val="TOC3"/>
            <w:tabs>
              <w:tab w:val="right" w:leader="dot" w:pos="10308"/>
            </w:tabs>
            <w:rPr>
              <w:rFonts w:asciiTheme="minorHAnsi" w:eastAsiaTheme="minorEastAsia" w:hAnsiTheme="minorHAnsi" w:cstheme="minorBidi"/>
              <w:noProof/>
              <w:lang w:eastAsia="en-AU"/>
            </w:rPr>
          </w:pPr>
          <w:hyperlink w:anchor="_Toc175560453" w:history="1">
            <w:r w:rsidR="004C6D55" w:rsidRPr="00A174D7">
              <w:rPr>
                <w:rStyle w:val="Hyperlink"/>
                <w:noProof/>
              </w:rPr>
              <w:t>3.1.2. In good faith</w:t>
            </w:r>
            <w:r w:rsidR="004C6D55">
              <w:rPr>
                <w:noProof/>
                <w:webHidden/>
              </w:rPr>
              <w:tab/>
            </w:r>
            <w:r w:rsidR="004C6D55">
              <w:rPr>
                <w:noProof/>
                <w:webHidden/>
              </w:rPr>
              <w:fldChar w:fldCharType="begin"/>
            </w:r>
            <w:r w:rsidR="004C6D55">
              <w:rPr>
                <w:noProof/>
                <w:webHidden/>
              </w:rPr>
              <w:instrText xml:space="preserve"> PAGEREF _Toc175560453 \h </w:instrText>
            </w:r>
            <w:r w:rsidR="004C6D55">
              <w:rPr>
                <w:noProof/>
                <w:webHidden/>
              </w:rPr>
            </w:r>
            <w:r w:rsidR="004C6D55">
              <w:rPr>
                <w:noProof/>
                <w:webHidden/>
              </w:rPr>
              <w:fldChar w:fldCharType="separate"/>
            </w:r>
            <w:r w:rsidR="004C6D55">
              <w:rPr>
                <w:noProof/>
                <w:webHidden/>
              </w:rPr>
              <w:t>6</w:t>
            </w:r>
            <w:r w:rsidR="004C6D55">
              <w:rPr>
                <w:noProof/>
                <w:webHidden/>
              </w:rPr>
              <w:fldChar w:fldCharType="end"/>
            </w:r>
          </w:hyperlink>
        </w:p>
        <w:p w14:paraId="235FA5AE" w14:textId="38DAAE94" w:rsidR="004C6D55" w:rsidRDefault="00251FAD">
          <w:pPr>
            <w:pStyle w:val="TOC3"/>
            <w:tabs>
              <w:tab w:val="right" w:leader="dot" w:pos="10308"/>
            </w:tabs>
            <w:rPr>
              <w:rFonts w:asciiTheme="minorHAnsi" w:eastAsiaTheme="minorEastAsia" w:hAnsiTheme="minorHAnsi" w:cstheme="minorBidi"/>
              <w:noProof/>
              <w:lang w:eastAsia="en-AU"/>
            </w:rPr>
          </w:pPr>
          <w:hyperlink w:anchor="_Toc175560454" w:history="1">
            <w:r w:rsidR="004C6D55" w:rsidRPr="00A174D7">
              <w:rPr>
                <w:rStyle w:val="Hyperlink"/>
                <w:noProof/>
              </w:rPr>
              <w:t>3.1.3. Key outcomes and decisions clearly documented</w:t>
            </w:r>
            <w:r w:rsidR="004C6D55">
              <w:rPr>
                <w:noProof/>
                <w:webHidden/>
              </w:rPr>
              <w:tab/>
            </w:r>
            <w:r w:rsidR="004C6D55">
              <w:rPr>
                <w:noProof/>
                <w:webHidden/>
              </w:rPr>
              <w:fldChar w:fldCharType="begin"/>
            </w:r>
            <w:r w:rsidR="004C6D55">
              <w:rPr>
                <w:noProof/>
                <w:webHidden/>
              </w:rPr>
              <w:instrText xml:space="preserve"> PAGEREF _Toc175560454 \h </w:instrText>
            </w:r>
            <w:r w:rsidR="004C6D55">
              <w:rPr>
                <w:noProof/>
                <w:webHidden/>
              </w:rPr>
            </w:r>
            <w:r w:rsidR="004C6D55">
              <w:rPr>
                <w:noProof/>
                <w:webHidden/>
              </w:rPr>
              <w:fldChar w:fldCharType="separate"/>
            </w:r>
            <w:r w:rsidR="004C6D55">
              <w:rPr>
                <w:noProof/>
                <w:webHidden/>
              </w:rPr>
              <w:t>6</w:t>
            </w:r>
            <w:r w:rsidR="004C6D55">
              <w:rPr>
                <w:noProof/>
                <w:webHidden/>
              </w:rPr>
              <w:fldChar w:fldCharType="end"/>
            </w:r>
          </w:hyperlink>
        </w:p>
        <w:p w14:paraId="2763DBCE" w14:textId="05122BAC" w:rsidR="004C6D55" w:rsidRDefault="00251FAD">
          <w:pPr>
            <w:pStyle w:val="TOC3"/>
            <w:tabs>
              <w:tab w:val="right" w:leader="dot" w:pos="10308"/>
            </w:tabs>
            <w:rPr>
              <w:rFonts w:asciiTheme="minorHAnsi" w:eastAsiaTheme="minorEastAsia" w:hAnsiTheme="minorHAnsi" w:cstheme="minorBidi"/>
              <w:noProof/>
              <w:lang w:eastAsia="en-AU"/>
            </w:rPr>
          </w:pPr>
          <w:hyperlink w:anchor="_Toc175560455" w:history="1">
            <w:r w:rsidR="004C6D55" w:rsidRPr="00A174D7">
              <w:rPr>
                <w:rStyle w:val="Hyperlink"/>
                <w:noProof/>
              </w:rPr>
              <w:t>3.1.4. Timeframe for agreement</w:t>
            </w:r>
            <w:r w:rsidR="004C6D55">
              <w:rPr>
                <w:noProof/>
                <w:webHidden/>
              </w:rPr>
              <w:tab/>
            </w:r>
            <w:r w:rsidR="004C6D55">
              <w:rPr>
                <w:noProof/>
                <w:webHidden/>
              </w:rPr>
              <w:fldChar w:fldCharType="begin"/>
            </w:r>
            <w:r w:rsidR="004C6D55">
              <w:rPr>
                <w:noProof/>
                <w:webHidden/>
              </w:rPr>
              <w:instrText xml:space="preserve"> PAGEREF _Toc175560455 \h </w:instrText>
            </w:r>
            <w:r w:rsidR="004C6D55">
              <w:rPr>
                <w:noProof/>
                <w:webHidden/>
              </w:rPr>
            </w:r>
            <w:r w:rsidR="004C6D55">
              <w:rPr>
                <w:noProof/>
                <w:webHidden/>
              </w:rPr>
              <w:fldChar w:fldCharType="separate"/>
            </w:r>
            <w:r w:rsidR="004C6D55">
              <w:rPr>
                <w:noProof/>
                <w:webHidden/>
              </w:rPr>
              <w:t>7</w:t>
            </w:r>
            <w:r w:rsidR="004C6D55">
              <w:rPr>
                <w:noProof/>
                <w:webHidden/>
              </w:rPr>
              <w:fldChar w:fldCharType="end"/>
            </w:r>
          </w:hyperlink>
        </w:p>
        <w:p w14:paraId="3CF42E46" w14:textId="50040EBE" w:rsidR="004C6D55" w:rsidRDefault="00251FAD">
          <w:pPr>
            <w:pStyle w:val="TOC3"/>
            <w:tabs>
              <w:tab w:val="right" w:leader="dot" w:pos="10308"/>
            </w:tabs>
            <w:rPr>
              <w:rFonts w:asciiTheme="minorHAnsi" w:eastAsiaTheme="minorEastAsia" w:hAnsiTheme="minorHAnsi" w:cstheme="minorBidi"/>
              <w:noProof/>
              <w:lang w:eastAsia="en-AU"/>
            </w:rPr>
          </w:pPr>
          <w:hyperlink w:anchor="_Toc175560456" w:history="1">
            <w:r w:rsidR="004C6D55" w:rsidRPr="00A174D7">
              <w:rPr>
                <w:rStyle w:val="Hyperlink"/>
                <w:noProof/>
              </w:rPr>
              <w:t>3.1.5. Dispute resolution</w:t>
            </w:r>
            <w:r w:rsidR="004C6D55">
              <w:rPr>
                <w:noProof/>
                <w:webHidden/>
              </w:rPr>
              <w:tab/>
            </w:r>
            <w:r w:rsidR="004C6D55">
              <w:rPr>
                <w:noProof/>
                <w:webHidden/>
              </w:rPr>
              <w:fldChar w:fldCharType="begin"/>
            </w:r>
            <w:r w:rsidR="004C6D55">
              <w:rPr>
                <w:noProof/>
                <w:webHidden/>
              </w:rPr>
              <w:instrText xml:space="preserve"> PAGEREF _Toc175560456 \h </w:instrText>
            </w:r>
            <w:r w:rsidR="004C6D55">
              <w:rPr>
                <w:noProof/>
                <w:webHidden/>
              </w:rPr>
            </w:r>
            <w:r w:rsidR="004C6D55">
              <w:rPr>
                <w:noProof/>
                <w:webHidden/>
              </w:rPr>
              <w:fldChar w:fldCharType="separate"/>
            </w:r>
            <w:r w:rsidR="004C6D55">
              <w:rPr>
                <w:noProof/>
                <w:webHidden/>
              </w:rPr>
              <w:t>7</w:t>
            </w:r>
            <w:r w:rsidR="004C6D55">
              <w:rPr>
                <w:noProof/>
                <w:webHidden/>
              </w:rPr>
              <w:fldChar w:fldCharType="end"/>
            </w:r>
          </w:hyperlink>
        </w:p>
        <w:p w14:paraId="7EA0155C" w14:textId="09601AAF" w:rsidR="004C6D55" w:rsidRDefault="00251FAD">
          <w:pPr>
            <w:pStyle w:val="TOC3"/>
            <w:tabs>
              <w:tab w:val="right" w:leader="dot" w:pos="10308"/>
            </w:tabs>
            <w:rPr>
              <w:rFonts w:asciiTheme="minorHAnsi" w:eastAsiaTheme="minorEastAsia" w:hAnsiTheme="minorHAnsi" w:cstheme="minorBidi"/>
              <w:noProof/>
              <w:lang w:eastAsia="en-AU"/>
            </w:rPr>
          </w:pPr>
          <w:hyperlink w:anchor="_Toc175560457" w:history="1">
            <w:r w:rsidR="004C6D55" w:rsidRPr="00A174D7">
              <w:rPr>
                <w:rStyle w:val="Hyperlink"/>
                <w:noProof/>
              </w:rPr>
              <w:t>3.1.6. Budget transfer methodologies</w:t>
            </w:r>
            <w:r w:rsidR="004C6D55">
              <w:rPr>
                <w:noProof/>
                <w:webHidden/>
              </w:rPr>
              <w:tab/>
            </w:r>
            <w:r w:rsidR="004C6D55">
              <w:rPr>
                <w:noProof/>
                <w:webHidden/>
              </w:rPr>
              <w:fldChar w:fldCharType="begin"/>
            </w:r>
            <w:r w:rsidR="004C6D55">
              <w:rPr>
                <w:noProof/>
                <w:webHidden/>
              </w:rPr>
              <w:instrText xml:space="preserve"> PAGEREF _Toc175560457 \h </w:instrText>
            </w:r>
            <w:r w:rsidR="004C6D55">
              <w:rPr>
                <w:noProof/>
                <w:webHidden/>
              </w:rPr>
            </w:r>
            <w:r w:rsidR="004C6D55">
              <w:rPr>
                <w:noProof/>
                <w:webHidden/>
              </w:rPr>
              <w:fldChar w:fldCharType="separate"/>
            </w:r>
            <w:r w:rsidR="004C6D55">
              <w:rPr>
                <w:noProof/>
                <w:webHidden/>
              </w:rPr>
              <w:t>7</w:t>
            </w:r>
            <w:r w:rsidR="004C6D55">
              <w:rPr>
                <w:noProof/>
                <w:webHidden/>
              </w:rPr>
              <w:fldChar w:fldCharType="end"/>
            </w:r>
          </w:hyperlink>
        </w:p>
        <w:p w14:paraId="5E6053C5" w14:textId="1AAA78B3" w:rsidR="004C6D55" w:rsidRDefault="00251FAD">
          <w:pPr>
            <w:pStyle w:val="TOC2"/>
            <w:rPr>
              <w:rFonts w:asciiTheme="minorHAnsi" w:eastAsiaTheme="minorEastAsia" w:hAnsiTheme="minorHAnsi" w:cstheme="minorBidi"/>
              <w:noProof/>
              <w:lang w:eastAsia="en-AU"/>
            </w:rPr>
          </w:pPr>
          <w:hyperlink w:anchor="_Toc175560458" w:history="1">
            <w:r w:rsidR="004C6D55" w:rsidRPr="00A174D7">
              <w:rPr>
                <w:rStyle w:val="Hyperlink"/>
                <w:noProof/>
              </w:rPr>
              <w:t>3.2. Transfer of functions</w:t>
            </w:r>
            <w:r w:rsidR="004C6D55">
              <w:rPr>
                <w:noProof/>
                <w:webHidden/>
              </w:rPr>
              <w:tab/>
            </w:r>
            <w:r w:rsidR="004C6D55">
              <w:rPr>
                <w:noProof/>
                <w:webHidden/>
              </w:rPr>
              <w:fldChar w:fldCharType="begin"/>
            </w:r>
            <w:r w:rsidR="004C6D55">
              <w:rPr>
                <w:noProof/>
                <w:webHidden/>
              </w:rPr>
              <w:instrText xml:space="preserve"> PAGEREF _Toc175560458 \h </w:instrText>
            </w:r>
            <w:r w:rsidR="004C6D55">
              <w:rPr>
                <w:noProof/>
                <w:webHidden/>
              </w:rPr>
            </w:r>
            <w:r w:rsidR="004C6D55">
              <w:rPr>
                <w:noProof/>
                <w:webHidden/>
              </w:rPr>
              <w:fldChar w:fldCharType="separate"/>
            </w:r>
            <w:r w:rsidR="004C6D55">
              <w:rPr>
                <w:noProof/>
                <w:webHidden/>
              </w:rPr>
              <w:t>8</w:t>
            </w:r>
            <w:r w:rsidR="004C6D55">
              <w:rPr>
                <w:noProof/>
                <w:webHidden/>
              </w:rPr>
              <w:fldChar w:fldCharType="end"/>
            </w:r>
          </w:hyperlink>
        </w:p>
        <w:p w14:paraId="307A9564" w14:textId="4AFB46B5" w:rsidR="004C6D55" w:rsidRDefault="00251FAD">
          <w:pPr>
            <w:pStyle w:val="TOC3"/>
            <w:tabs>
              <w:tab w:val="right" w:leader="dot" w:pos="10308"/>
            </w:tabs>
            <w:rPr>
              <w:rFonts w:asciiTheme="minorHAnsi" w:eastAsiaTheme="minorEastAsia" w:hAnsiTheme="minorHAnsi" w:cstheme="minorBidi"/>
              <w:noProof/>
              <w:lang w:eastAsia="en-AU"/>
            </w:rPr>
          </w:pPr>
          <w:hyperlink w:anchor="_Toc175560459" w:history="1">
            <w:r w:rsidR="004C6D55" w:rsidRPr="00A174D7">
              <w:rPr>
                <w:rStyle w:val="Hyperlink"/>
                <w:noProof/>
              </w:rPr>
              <w:t>3.2.1. Cost neutral</w:t>
            </w:r>
            <w:r w:rsidR="004C6D55">
              <w:rPr>
                <w:noProof/>
                <w:webHidden/>
              </w:rPr>
              <w:tab/>
            </w:r>
            <w:r w:rsidR="004C6D55">
              <w:rPr>
                <w:noProof/>
                <w:webHidden/>
              </w:rPr>
              <w:fldChar w:fldCharType="begin"/>
            </w:r>
            <w:r w:rsidR="004C6D55">
              <w:rPr>
                <w:noProof/>
                <w:webHidden/>
              </w:rPr>
              <w:instrText xml:space="preserve"> PAGEREF _Toc175560459 \h </w:instrText>
            </w:r>
            <w:r w:rsidR="004C6D55">
              <w:rPr>
                <w:noProof/>
                <w:webHidden/>
              </w:rPr>
            </w:r>
            <w:r w:rsidR="004C6D55">
              <w:rPr>
                <w:noProof/>
                <w:webHidden/>
              </w:rPr>
              <w:fldChar w:fldCharType="separate"/>
            </w:r>
            <w:r w:rsidR="004C6D55">
              <w:rPr>
                <w:noProof/>
                <w:webHidden/>
              </w:rPr>
              <w:t>8</w:t>
            </w:r>
            <w:r w:rsidR="004C6D55">
              <w:rPr>
                <w:noProof/>
                <w:webHidden/>
              </w:rPr>
              <w:fldChar w:fldCharType="end"/>
            </w:r>
          </w:hyperlink>
        </w:p>
        <w:p w14:paraId="69C1FB96" w14:textId="3A4D8FE6" w:rsidR="004C6D55" w:rsidRDefault="00251FAD">
          <w:pPr>
            <w:pStyle w:val="TOC3"/>
            <w:tabs>
              <w:tab w:val="right" w:leader="dot" w:pos="10308"/>
            </w:tabs>
            <w:rPr>
              <w:rFonts w:asciiTheme="minorHAnsi" w:eastAsiaTheme="minorEastAsia" w:hAnsiTheme="minorHAnsi" w:cstheme="minorBidi"/>
              <w:noProof/>
              <w:lang w:eastAsia="en-AU"/>
            </w:rPr>
          </w:pPr>
          <w:hyperlink w:anchor="_Toc175560460" w:history="1">
            <w:r w:rsidR="004C6D55" w:rsidRPr="00A174D7">
              <w:rPr>
                <w:rStyle w:val="Hyperlink"/>
                <w:noProof/>
              </w:rPr>
              <w:t>3.2.2. Costs to include in a transfer of functions</w:t>
            </w:r>
            <w:r w:rsidR="004C6D55">
              <w:rPr>
                <w:noProof/>
                <w:webHidden/>
              </w:rPr>
              <w:tab/>
            </w:r>
            <w:r w:rsidR="004C6D55">
              <w:rPr>
                <w:noProof/>
                <w:webHidden/>
              </w:rPr>
              <w:fldChar w:fldCharType="begin"/>
            </w:r>
            <w:r w:rsidR="004C6D55">
              <w:rPr>
                <w:noProof/>
                <w:webHidden/>
              </w:rPr>
              <w:instrText xml:space="preserve"> PAGEREF _Toc175560460 \h </w:instrText>
            </w:r>
            <w:r w:rsidR="004C6D55">
              <w:rPr>
                <w:noProof/>
                <w:webHidden/>
              </w:rPr>
            </w:r>
            <w:r w:rsidR="004C6D55">
              <w:rPr>
                <w:noProof/>
                <w:webHidden/>
              </w:rPr>
              <w:fldChar w:fldCharType="separate"/>
            </w:r>
            <w:r w:rsidR="004C6D55">
              <w:rPr>
                <w:noProof/>
                <w:webHidden/>
              </w:rPr>
              <w:t>8</w:t>
            </w:r>
            <w:r w:rsidR="004C6D55">
              <w:rPr>
                <w:noProof/>
                <w:webHidden/>
              </w:rPr>
              <w:fldChar w:fldCharType="end"/>
            </w:r>
          </w:hyperlink>
        </w:p>
        <w:p w14:paraId="51DD96A9" w14:textId="30728F79" w:rsidR="004C6D55" w:rsidRDefault="00251FAD">
          <w:pPr>
            <w:pStyle w:val="TOC3"/>
            <w:tabs>
              <w:tab w:val="right" w:leader="dot" w:pos="10308"/>
            </w:tabs>
            <w:rPr>
              <w:rFonts w:asciiTheme="minorHAnsi" w:eastAsiaTheme="minorEastAsia" w:hAnsiTheme="minorHAnsi" w:cstheme="minorBidi"/>
              <w:noProof/>
              <w:lang w:eastAsia="en-AU"/>
            </w:rPr>
          </w:pPr>
          <w:hyperlink w:anchor="_Toc175560461" w:history="1">
            <w:r w:rsidR="004C6D55" w:rsidRPr="00A174D7">
              <w:rPr>
                <w:rStyle w:val="Hyperlink"/>
                <w:noProof/>
              </w:rPr>
              <w:t>3.2.3. Budget transfer agreements</w:t>
            </w:r>
            <w:r w:rsidR="004C6D55">
              <w:rPr>
                <w:noProof/>
                <w:webHidden/>
              </w:rPr>
              <w:tab/>
            </w:r>
            <w:r w:rsidR="004C6D55">
              <w:rPr>
                <w:noProof/>
                <w:webHidden/>
              </w:rPr>
              <w:fldChar w:fldCharType="begin"/>
            </w:r>
            <w:r w:rsidR="004C6D55">
              <w:rPr>
                <w:noProof/>
                <w:webHidden/>
              </w:rPr>
              <w:instrText xml:space="preserve"> PAGEREF _Toc175560461 \h </w:instrText>
            </w:r>
            <w:r w:rsidR="004C6D55">
              <w:rPr>
                <w:noProof/>
                <w:webHidden/>
              </w:rPr>
            </w:r>
            <w:r w:rsidR="004C6D55">
              <w:rPr>
                <w:noProof/>
                <w:webHidden/>
              </w:rPr>
              <w:fldChar w:fldCharType="separate"/>
            </w:r>
            <w:r w:rsidR="004C6D55">
              <w:rPr>
                <w:noProof/>
                <w:webHidden/>
              </w:rPr>
              <w:t>9</w:t>
            </w:r>
            <w:r w:rsidR="004C6D55">
              <w:rPr>
                <w:noProof/>
                <w:webHidden/>
              </w:rPr>
              <w:fldChar w:fldCharType="end"/>
            </w:r>
          </w:hyperlink>
        </w:p>
        <w:p w14:paraId="3CE9C42F" w14:textId="0C026677" w:rsidR="004C6D55" w:rsidRDefault="00251FAD">
          <w:pPr>
            <w:pStyle w:val="TOC1"/>
            <w:rPr>
              <w:rFonts w:asciiTheme="minorHAnsi" w:eastAsiaTheme="minorEastAsia" w:hAnsiTheme="minorHAnsi" w:cstheme="minorBidi"/>
              <w:b w:val="0"/>
              <w:noProof/>
              <w:lang w:eastAsia="en-AU"/>
            </w:rPr>
          </w:pPr>
          <w:hyperlink w:anchor="_Toc175560462" w:history="1">
            <w:r w:rsidR="004C6D55" w:rsidRPr="00A174D7">
              <w:rPr>
                <w:rStyle w:val="Hyperlink"/>
                <w:noProof/>
              </w:rPr>
              <w:t>4. Accounting for machinery of government changes</w:t>
            </w:r>
            <w:r w:rsidR="004C6D55">
              <w:rPr>
                <w:noProof/>
                <w:webHidden/>
              </w:rPr>
              <w:tab/>
            </w:r>
            <w:r w:rsidR="004C6D55">
              <w:rPr>
                <w:noProof/>
                <w:webHidden/>
              </w:rPr>
              <w:fldChar w:fldCharType="begin"/>
            </w:r>
            <w:r w:rsidR="004C6D55">
              <w:rPr>
                <w:noProof/>
                <w:webHidden/>
              </w:rPr>
              <w:instrText xml:space="preserve"> PAGEREF _Toc175560462 \h </w:instrText>
            </w:r>
            <w:r w:rsidR="004C6D55">
              <w:rPr>
                <w:noProof/>
                <w:webHidden/>
              </w:rPr>
            </w:r>
            <w:r w:rsidR="004C6D55">
              <w:rPr>
                <w:noProof/>
                <w:webHidden/>
              </w:rPr>
              <w:fldChar w:fldCharType="separate"/>
            </w:r>
            <w:r w:rsidR="004C6D55">
              <w:rPr>
                <w:noProof/>
                <w:webHidden/>
              </w:rPr>
              <w:t>9</w:t>
            </w:r>
            <w:r w:rsidR="004C6D55">
              <w:rPr>
                <w:noProof/>
                <w:webHidden/>
              </w:rPr>
              <w:fldChar w:fldCharType="end"/>
            </w:r>
          </w:hyperlink>
        </w:p>
        <w:p w14:paraId="6F182367" w14:textId="4199AA95" w:rsidR="004C6D55" w:rsidRDefault="00251FAD">
          <w:pPr>
            <w:pStyle w:val="TOC2"/>
            <w:rPr>
              <w:rFonts w:asciiTheme="minorHAnsi" w:eastAsiaTheme="minorEastAsia" w:hAnsiTheme="minorHAnsi" w:cstheme="minorBidi"/>
              <w:noProof/>
              <w:lang w:eastAsia="en-AU"/>
            </w:rPr>
          </w:pPr>
          <w:hyperlink w:anchor="_Toc175560463" w:history="1">
            <w:r w:rsidR="004C6D55" w:rsidRPr="00A174D7">
              <w:rPr>
                <w:rStyle w:val="Hyperlink"/>
                <w:noProof/>
              </w:rPr>
              <w:t>4.1. Effective dates</w:t>
            </w:r>
            <w:r w:rsidR="004C6D55">
              <w:rPr>
                <w:noProof/>
                <w:webHidden/>
              </w:rPr>
              <w:tab/>
            </w:r>
            <w:r w:rsidR="004C6D55">
              <w:rPr>
                <w:noProof/>
                <w:webHidden/>
              </w:rPr>
              <w:fldChar w:fldCharType="begin"/>
            </w:r>
            <w:r w:rsidR="004C6D55">
              <w:rPr>
                <w:noProof/>
                <w:webHidden/>
              </w:rPr>
              <w:instrText xml:space="preserve"> PAGEREF _Toc175560463 \h </w:instrText>
            </w:r>
            <w:r w:rsidR="004C6D55">
              <w:rPr>
                <w:noProof/>
                <w:webHidden/>
              </w:rPr>
            </w:r>
            <w:r w:rsidR="004C6D55">
              <w:rPr>
                <w:noProof/>
                <w:webHidden/>
              </w:rPr>
              <w:fldChar w:fldCharType="separate"/>
            </w:r>
            <w:r w:rsidR="004C6D55">
              <w:rPr>
                <w:noProof/>
                <w:webHidden/>
              </w:rPr>
              <w:t>9</w:t>
            </w:r>
            <w:r w:rsidR="004C6D55">
              <w:rPr>
                <w:noProof/>
                <w:webHidden/>
              </w:rPr>
              <w:fldChar w:fldCharType="end"/>
            </w:r>
          </w:hyperlink>
        </w:p>
        <w:p w14:paraId="0C130894" w14:textId="101B4A39" w:rsidR="004C6D55" w:rsidRDefault="00251FAD">
          <w:pPr>
            <w:pStyle w:val="TOC3"/>
            <w:tabs>
              <w:tab w:val="right" w:leader="dot" w:pos="10308"/>
            </w:tabs>
            <w:rPr>
              <w:rFonts w:asciiTheme="minorHAnsi" w:eastAsiaTheme="minorEastAsia" w:hAnsiTheme="minorHAnsi" w:cstheme="minorBidi"/>
              <w:noProof/>
              <w:lang w:eastAsia="en-AU"/>
            </w:rPr>
          </w:pPr>
          <w:hyperlink w:anchor="_Toc175560464" w:history="1">
            <w:r w:rsidR="004C6D55" w:rsidRPr="00A174D7">
              <w:rPr>
                <w:rStyle w:val="Hyperlink"/>
                <w:noProof/>
              </w:rPr>
              <w:t>4.1.1. Effective date for the transfer of budget and accounting purposes</w:t>
            </w:r>
            <w:r w:rsidR="004C6D55">
              <w:rPr>
                <w:noProof/>
                <w:webHidden/>
              </w:rPr>
              <w:tab/>
            </w:r>
            <w:r w:rsidR="004C6D55">
              <w:rPr>
                <w:noProof/>
                <w:webHidden/>
              </w:rPr>
              <w:fldChar w:fldCharType="begin"/>
            </w:r>
            <w:r w:rsidR="004C6D55">
              <w:rPr>
                <w:noProof/>
                <w:webHidden/>
              </w:rPr>
              <w:instrText xml:space="preserve"> PAGEREF _Toc175560464 \h </w:instrText>
            </w:r>
            <w:r w:rsidR="004C6D55">
              <w:rPr>
                <w:noProof/>
                <w:webHidden/>
              </w:rPr>
            </w:r>
            <w:r w:rsidR="004C6D55">
              <w:rPr>
                <w:noProof/>
                <w:webHidden/>
              </w:rPr>
              <w:fldChar w:fldCharType="separate"/>
            </w:r>
            <w:r w:rsidR="004C6D55">
              <w:rPr>
                <w:noProof/>
                <w:webHidden/>
              </w:rPr>
              <w:t>9</w:t>
            </w:r>
            <w:r w:rsidR="004C6D55">
              <w:rPr>
                <w:noProof/>
                <w:webHidden/>
              </w:rPr>
              <w:fldChar w:fldCharType="end"/>
            </w:r>
          </w:hyperlink>
        </w:p>
        <w:p w14:paraId="513CC771" w14:textId="3CEF99E1" w:rsidR="004C6D55" w:rsidRDefault="00251FAD">
          <w:pPr>
            <w:pStyle w:val="TOC3"/>
            <w:tabs>
              <w:tab w:val="right" w:leader="dot" w:pos="10308"/>
            </w:tabs>
            <w:rPr>
              <w:rFonts w:asciiTheme="minorHAnsi" w:eastAsiaTheme="minorEastAsia" w:hAnsiTheme="minorHAnsi" w:cstheme="minorBidi"/>
              <w:noProof/>
              <w:lang w:eastAsia="en-AU"/>
            </w:rPr>
          </w:pPr>
          <w:hyperlink w:anchor="_Toc175560465" w:history="1">
            <w:r w:rsidR="004C6D55" w:rsidRPr="00A174D7">
              <w:rPr>
                <w:rStyle w:val="Hyperlink"/>
                <w:noProof/>
              </w:rPr>
              <w:t>4.1.2. Effective date for the transfer of legislative responsibilities</w:t>
            </w:r>
            <w:r w:rsidR="004C6D55">
              <w:rPr>
                <w:noProof/>
                <w:webHidden/>
              </w:rPr>
              <w:tab/>
            </w:r>
            <w:r w:rsidR="004C6D55">
              <w:rPr>
                <w:noProof/>
                <w:webHidden/>
              </w:rPr>
              <w:fldChar w:fldCharType="begin"/>
            </w:r>
            <w:r w:rsidR="004C6D55">
              <w:rPr>
                <w:noProof/>
                <w:webHidden/>
              </w:rPr>
              <w:instrText xml:space="preserve"> PAGEREF _Toc175560465 \h </w:instrText>
            </w:r>
            <w:r w:rsidR="004C6D55">
              <w:rPr>
                <w:noProof/>
                <w:webHidden/>
              </w:rPr>
            </w:r>
            <w:r w:rsidR="004C6D55">
              <w:rPr>
                <w:noProof/>
                <w:webHidden/>
              </w:rPr>
              <w:fldChar w:fldCharType="separate"/>
            </w:r>
            <w:r w:rsidR="004C6D55">
              <w:rPr>
                <w:noProof/>
                <w:webHidden/>
              </w:rPr>
              <w:t>9</w:t>
            </w:r>
            <w:r w:rsidR="004C6D55">
              <w:rPr>
                <w:noProof/>
                <w:webHidden/>
              </w:rPr>
              <w:fldChar w:fldCharType="end"/>
            </w:r>
          </w:hyperlink>
        </w:p>
        <w:p w14:paraId="23BC244D" w14:textId="213027AF" w:rsidR="004C6D55" w:rsidRDefault="00251FAD">
          <w:pPr>
            <w:pStyle w:val="TOC2"/>
            <w:rPr>
              <w:rFonts w:asciiTheme="minorHAnsi" w:eastAsiaTheme="minorEastAsia" w:hAnsiTheme="minorHAnsi" w:cstheme="minorBidi"/>
              <w:noProof/>
              <w:lang w:eastAsia="en-AU"/>
            </w:rPr>
          </w:pPr>
          <w:hyperlink w:anchor="_Toc175560466" w:history="1">
            <w:r w:rsidR="004C6D55" w:rsidRPr="00A174D7">
              <w:rPr>
                <w:rStyle w:val="Hyperlink"/>
                <w:noProof/>
              </w:rPr>
              <w:t>4.2. Transfer of budgets</w:t>
            </w:r>
            <w:r w:rsidR="004C6D55">
              <w:rPr>
                <w:noProof/>
                <w:webHidden/>
              </w:rPr>
              <w:tab/>
            </w:r>
            <w:r w:rsidR="004C6D55">
              <w:rPr>
                <w:noProof/>
                <w:webHidden/>
              </w:rPr>
              <w:fldChar w:fldCharType="begin"/>
            </w:r>
            <w:r w:rsidR="004C6D55">
              <w:rPr>
                <w:noProof/>
                <w:webHidden/>
              </w:rPr>
              <w:instrText xml:space="preserve"> PAGEREF _Toc175560466 \h </w:instrText>
            </w:r>
            <w:r w:rsidR="004C6D55">
              <w:rPr>
                <w:noProof/>
                <w:webHidden/>
              </w:rPr>
            </w:r>
            <w:r w:rsidR="004C6D55">
              <w:rPr>
                <w:noProof/>
                <w:webHidden/>
              </w:rPr>
              <w:fldChar w:fldCharType="separate"/>
            </w:r>
            <w:r w:rsidR="004C6D55">
              <w:rPr>
                <w:noProof/>
                <w:webHidden/>
              </w:rPr>
              <w:t>9</w:t>
            </w:r>
            <w:r w:rsidR="004C6D55">
              <w:rPr>
                <w:noProof/>
                <w:webHidden/>
              </w:rPr>
              <w:fldChar w:fldCharType="end"/>
            </w:r>
          </w:hyperlink>
        </w:p>
        <w:p w14:paraId="03C9672E" w14:textId="1A2F97BB" w:rsidR="004C6D55" w:rsidRDefault="00251FAD">
          <w:pPr>
            <w:pStyle w:val="TOC3"/>
            <w:tabs>
              <w:tab w:val="right" w:leader="dot" w:pos="10308"/>
            </w:tabs>
            <w:rPr>
              <w:rFonts w:asciiTheme="minorHAnsi" w:eastAsiaTheme="minorEastAsia" w:hAnsiTheme="minorHAnsi" w:cstheme="minorBidi"/>
              <w:noProof/>
              <w:lang w:eastAsia="en-AU"/>
            </w:rPr>
          </w:pPr>
          <w:hyperlink w:anchor="_Toc175560467" w:history="1">
            <w:r w:rsidR="004C6D55" w:rsidRPr="00A174D7">
              <w:rPr>
                <w:rStyle w:val="Hyperlink"/>
                <w:noProof/>
              </w:rPr>
              <w:t>4.2.1. Overview</w:t>
            </w:r>
            <w:r w:rsidR="004C6D55">
              <w:rPr>
                <w:noProof/>
                <w:webHidden/>
              </w:rPr>
              <w:tab/>
            </w:r>
            <w:r w:rsidR="004C6D55">
              <w:rPr>
                <w:noProof/>
                <w:webHidden/>
              </w:rPr>
              <w:fldChar w:fldCharType="begin"/>
            </w:r>
            <w:r w:rsidR="004C6D55">
              <w:rPr>
                <w:noProof/>
                <w:webHidden/>
              </w:rPr>
              <w:instrText xml:space="preserve"> PAGEREF _Toc175560467 \h </w:instrText>
            </w:r>
            <w:r w:rsidR="004C6D55">
              <w:rPr>
                <w:noProof/>
                <w:webHidden/>
              </w:rPr>
            </w:r>
            <w:r w:rsidR="004C6D55">
              <w:rPr>
                <w:noProof/>
                <w:webHidden/>
              </w:rPr>
              <w:fldChar w:fldCharType="separate"/>
            </w:r>
            <w:r w:rsidR="004C6D55">
              <w:rPr>
                <w:noProof/>
                <w:webHidden/>
              </w:rPr>
              <w:t>9</w:t>
            </w:r>
            <w:r w:rsidR="004C6D55">
              <w:rPr>
                <w:noProof/>
                <w:webHidden/>
              </w:rPr>
              <w:fldChar w:fldCharType="end"/>
            </w:r>
          </w:hyperlink>
        </w:p>
        <w:p w14:paraId="608814F1" w14:textId="1E6EB42D" w:rsidR="004C6D55" w:rsidRDefault="00251FAD">
          <w:pPr>
            <w:pStyle w:val="TOC3"/>
            <w:tabs>
              <w:tab w:val="right" w:leader="dot" w:pos="10308"/>
            </w:tabs>
            <w:rPr>
              <w:rFonts w:asciiTheme="minorHAnsi" w:eastAsiaTheme="minorEastAsia" w:hAnsiTheme="minorHAnsi" w:cstheme="minorBidi"/>
              <w:noProof/>
              <w:lang w:eastAsia="en-AU"/>
            </w:rPr>
          </w:pPr>
          <w:hyperlink w:anchor="_Toc175560468" w:history="1">
            <w:r w:rsidR="004C6D55" w:rsidRPr="00A174D7">
              <w:rPr>
                <w:rStyle w:val="Hyperlink"/>
                <w:noProof/>
              </w:rPr>
              <w:t>4.2.2. APEX budget journals</w:t>
            </w:r>
            <w:r w:rsidR="004C6D55">
              <w:rPr>
                <w:noProof/>
                <w:webHidden/>
              </w:rPr>
              <w:tab/>
            </w:r>
            <w:r w:rsidR="004C6D55">
              <w:rPr>
                <w:noProof/>
                <w:webHidden/>
              </w:rPr>
              <w:fldChar w:fldCharType="begin"/>
            </w:r>
            <w:r w:rsidR="004C6D55">
              <w:rPr>
                <w:noProof/>
                <w:webHidden/>
              </w:rPr>
              <w:instrText xml:space="preserve"> PAGEREF _Toc175560468 \h </w:instrText>
            </w:r>
            <w:r w:rsidR="004C6D55">
              <w:rPr>
                <w:noProof/>
                <w:webHidden/>
              </w:rPr>
            </w:r>
            <w:r w:rsidR="004C6D55">
              <w:rPr>
                <w:noProof/>
                <w:webHidden/>
              </w:rPr>
              <w:fldChar w:fldCharType="separate"/>
            </w:r>
            <w:r w:rsidR="004C6D55">
              <w:rPr>
                <w:noProof/>
                <w:webHidden/>
              </w:rPr>
              <w:t>10</w:t>
            </w:r>
            <w:r w:rsidR="004C6D55">
              <w:rPr>
                <w:noProof/>
                <w:webHidden/>
              </w:rPr>
              <w:fldChar w:fldCharType="end"/>
            </w:r>
          </w:hyperlink>
        </w:p>
        <w:p w14:paraId="5F985B75" w14:textId="750AEE04" w:rsidR="004C6D55" w:rsidRDefault="00251FAD">
          <w:pPr>
            <w:pStyle w:val="TOC2"/>
            <w:rPr>
              <w:rFonts w:asciiTheme="minorHAnsi" w:eastAsiaTheme="minorEastAsia" w:hAnsiTheme="minorHAnsi" w:cstheme="minorBidi"/>
              <w:noProof/>
              <w:lang w:eastAsia="en-AU"/>
            </w:rPr>
          </w:pPr>
          <w:hyperlink w:anchor="_Toc175560469" w:history="1">
            <w:r w:rsidR="004C6D55" w:rsidRPr="00A174D7">
              <w:rPr>
                <w:rStyle w:val="Hyperlink"/>
                <w:noProof/>
              </w:rPr>
              <w:t>4.3. Transfer of actuals</w:t>
            </w:r>
            <w:r w:rsidR="004C6D55">
              <w:rPr>
                <w:noProof/>
                <w:webHidden/>
              </w:rPr>
              <w:tab/>
            </w:r>
            <w:r w:rsidR="004C6D55">
              <w:rPr>
                <w:noProof/>
                <w:webHidden/>
              </w:rPr>
              <w:fldChar w:fldCharType="begin"/>
            </w:r>
            <w:r w:rsidR="004C6D55">
              <w:rPr>
                <w:noProof/>
                <w:webHidden/>
              </w:rPr>
              <w:instrText xml:space="preserve"> PAGEREF _Toc175560469 \h </w:instrText>
            </w:r>
            <w:r w:rsidR="004C6D55">
              <w:rPr>
                <w:noProof/>
                <w:webHidden/>
              </w:rPr>
            </w:r>
            <w:r w:rsidR="004C6D55">
              <w:rPr>
                <w:noProof/>
                <w:webHidden/>
              </w:rPr>
              <w:fldChar w:fldCharType="separate"/>
            </w:r>
            <w:r w:rsidR="004C6D55">
              <w:rPr>
                <w:noProof/>
                <w:webHidden/>
              </w:rPr>
              <w:t>10</w:t>
            </w:r>
            <w:r w:rsidR="004C6D55">
              <w:rPr>
                <w:noProof/>
                <w:webHidden/>
              </w:rPr>
              <w:fldChar w:fldCharType="end"/>
            </w:r>
          </w:hyperlink>
        </w:p>
        <w:p w14:paraId="72F985A5" w14:textId="465B0F3F" w:rsidR="004C6D55" w:rsidRDefault="00251FAD">
          <w:pPr>
            <w:pStyle w:val="TOC3"/>
            <w:tabs>
              <w:tab w:val="right" w:leader="dot" w:pos="10308"/>
            </w:tabs>
            <w:rPr>
              <w:rFonts w:asciiTheme="minorHAnsi" w:eastAsiaTheme="minorEastAsia" w:hAnsiTheme="minorHAnsi" w:cstheme="minorBidi"/>
              <w:noProof/>
              <w:lang w:eastAsia="en-AU"/>
            </w:rPr>
          </w:pPr>
          <w:hyperlink w:anchor="_Toc175560470" w:history="1">
            <w:r w:rsidR="004C6D55" w:rsidRPr="00A174D7">
              <w:rPr>
                <w:rStyle w:val="Hyperlink"/>
                <w:noProof/>
              </w:rPr>
              <w:t>4.3.1. Overview</w:t>
            </w:r>
            <w:r w:rsidR="004C6D55">
              <w:rPr>
                <w:noProof/>
                <w:webHidden/>
              </w:rPr>
              <w:tab/>
            </w:r>
            <w:r w:rsidR="004C6D55">
              <w:rPr>
                <w:noProof/>
                <w:webHidden/>
              </w:rPr>
              <w:fldChar w:fldCharType="begin"/>
            </w:r>
            <w:r w:rsidR="004C6D55">
              <w:rPr>
                <w:noProof/>
                <w:webHidden/>
              </w:rPr>
              <w:instrText xml:space="preserve"> PAGEREF _Toc175560470 \h </w:instrText>
            </w:r>
            <w:r w:rsidR="004C6D55">
              <w:rPr>
                <w:noProof/>
                <w:webHidden/>
              </w:rPr>
            </w:r>
            <w:r w:rsidR="004C6D55">
              <w:rPr>
                <w:noProof/>
                <w:webHidden/>
              </w:rPr>
              <w:fldChar w:fldCharType="separate"/>
            </w:r>
            <w:r w:rsidR="004C6D55">
              <w:rPr>
                <w:noProof/>
                <w:webHidden/>
              </w:rPr>
              <w:t>10</w:t>
            </w:r>
            <w:r w:rsidR="004C6D55">
              <w:rPr>
                <w:noProof/>
                <w:webHidden/>
              </w:rPr>
              <w:fldChar w:fldCharType="end"/>
            </w:r>
          </w:hyperlink>
        </w:p>
        <w:p w14:paraId="69890B97" w14:textId="6299376E" w:rsidR="004C6D55" w:rsidRDefault="00251FAD">
          <w:pPr>
            <w:pStyle w:val="TOC3"/>
            <w:tabs>
              <w:tab w:val="right" w:leader="dot" w:pos="10308"/>
            </w:tabs>
            <w:rPr>
              <w:rFonts w:asciiTheme="minorHAnsi" w:eastAsiaTheme="minorEastAsia" w:hAnsiTheme="minorHAnsi" w:cstheme="minorBidi"/>
              <w:noProof/>
              <w:lang w:eastAsia="en-AU"/>
            </w:rPr>
          </w:pPr>
          <w:hyperlink w:anchor="_Toc175560471" w:history="1">
            <w:r w:rsidR="004C6D55" w:rsidRPr="00A174D7">
              <w:rPr>
                <w:rStyle w:val="Hyperlink"/>
                <w:noProof/>
              </w:rPr>
              <w:t>4.3.2. Timeframes for actual transfers</w:t>
            </w:r>
            <w:r w:rsidR="004C6D55">
              <w:rPr>
                <w:noProof/>
                <w:webHidden/>
              </w:rPr>
              <w:tab/>
            </w:r>
            <w:r w:rsidR="004C6D55">
              <w:rPr>
                <w:noProof/>
                <w:webHidden/>
              </w:rPr>
              <w:fldChar w:fldCharType="begin"/>
            </w:r>
            <w:r w:rsidR="004C6D55">
              <w:rPr>
                <w:noProof/>
                <w:webHidden/>
              </w:rPr>
              <w:instrText xml:space="preserve"> PAGEREF _Toc175560471 \h </w:instrText>
            </w:r>
            <w:r w:rsidR="004C6D55">
              <w:rPr>
                <w:noProof/>
                <w:webHidden/>
              </w:rPr>
            </w:r>
            <w:r w:rsidR="004C6D55">
              <w:rPr>
                <w:noProof/>
                <w:webHidden/>
              </w:rPr>
              <w:fldChar w:fldCharType="separate"/>
            </w:r>
            <w:r w:rsidR="004C6D55">
              <w:rPr>
                <w:noProof/>
                <w:webHidden/>
              </w:rPr>
              <w:t>10</w:t>
            </w:r>
            <w:r w:rsidR="004C6D55">
              <w:rPr>
                <w:noProof/>
                <w:webHidden/>
              </w:rPr>
              <w:fldChar w:fldCharType="end"/>
            </w:r>
          </w:hyperlink>
        </w:p>
        <w:p w14:paraId="498E9B69" w14:textId="5866B295" w:rsidR="004C6D55" w:rsidRDefault="00251FAD">
          <w:pPr>
            <w:pStyle w:val="TOC3"/>
            <w:tabs>
              <w:tab w:val="right" w:leader="dot" w:pos="10308"/>
            </w:tabs>
            <w:rPr>
              <w:rFonts w:asciiTheme="minorHAnsi" w:eastAsiaTheme="minorEastAsia" w:hAnsiTheme="minorHAnsi" w:cstheme="minorBidi"/>
              <w:noProof/>
              <w:lang w:eastAsia="en-AU"/>
            </w:rPr>
          </w:pPr>
          <w:hyperlink w:anchor="_Toc175560472" w:history="1">
            <w:r w:rsidR="004C6D55" w:rsidRPr="00A174D7">
              <w:rPr>
                <w:rStyle w:val="Hyperlink"/>
                <w:noProof/>
              </w:rPr>
              <w:t>4.3.3. Ledger Transfer Facility wizard</w:t>
            </w:r>
            <w:r w:rsidR="004C6D55">
              <w:rPr>
                <w:noProof/>
                <w:webHidden/>
              </w:rPr>
              <w:tab/>
            </w:r>
            <w:r w:rsidR="004C6D55">
              <w:rPr>
                <w:noProof/>
                <w:webHidden/>
              </w:rPr>
              <w:fldChar w:fldCharType="begin"/>
            </w:r>
            <w:r w:rsidR="004C6D55">
              <w:rPr>
                <w:noProof/>
                <w:webHidden/>
              </w:rPr>
              <w:instrText xml:space="preserve"> PAGEREF _Toc175560472 \h </w:instrText>
            </w:r>
            <w:r w:rsidR="004C6D55">
              <w:rPr>
                <w:noProof/>
                <w:webHidden/>
              </w:rPr>
            </w:r>
            <w:r w:rsidR="004C6D55">
              <w:rPr>
                <w:noProof/>
                <w:webHidden/>
              </w:rPr>
              <w:fldChar w:fldCharType="separate"/>
            </w:r>
            <w:r w:rsidR="004C6D55">
              <w:rPr>
                <w:noProof/>
                <w:webHidden/>
              </w:rPr>
              <w:t>10</w:t>
            </w:r>
            <w:r w:rsidR="004C6D55">
              <w:rPr>
                <w:noProof/>
                <w:webHidden/>
              </w:rPr>
              <w:fldChar w:fldCharType="end"/>
            </w:r>
          </w:hyperlink>
        </w:p>
        <w:p w14:paraId="7EECF923" w14:textId="2B6BF7FB" w:rsidR="004C6D55" w:rsidRDefault="00251FAD">
          <w:pPr>
            <w:pStyle w:val="TOC3"/>
            <w:tabs>
              <w:tab w:val="right" w:leader="dot" w:pos="10308"/>
            </w:tabs>
            <w:rPr>
              <w:rFonts w:asciiTheme="minorHAnsi" w:eastAsiaTheme="minorEastAsia" w:hAnsiTheme="minorHAnsi" w:cstheme="minorBidi"/>
              <w:noProof/>
              <w:lang w:eastAsia="en-AU"/>
            </w:rPr>
          </w:pPr>
          <w:hyperlink w:anchor="_Toc175560473" w:history="1">
            <w:r w:rsidR="004C6D55" w:rsidRPr="00A174D7">
              <w:rPr>
                <w:rStyle w:val="Hyperlink"/>
                <w:noProof/>
              </w:rPr>
              <w:t>4.3.4. Government Accounting System (GAS) general ledger journals</w:t>
            </w:r>
            <w:r w:rsidR="004C6D55">
              <w:rPr>
                <w:noProof/>
                <w:webHidden/>
              </w:rPr>
              <w:tab/>
            </w:r>
            <w:r w:rsidR="004C6D55">
              <w:rPr>
                <w:noProof/>
                <w:webHidden/>
              </w:rPr>
              <w:fldChar w:fldCharType="begin"/>
            </w:r>
            <w:r w:rsidR="004C6D55">
              <w:rPr>
                <w:noProof/>
                <w:webHidden/>
              </w:rPr>
              <w:instrText xml:space="preserve"> PAGEREF _Toc175560473 \h </w:instrText>
            </w:r>
            <w:r w:rsidR="004C6D55">
              <w:rPr>
                <w:noProof/>
                <w:webHidden/>
              </w:rPr>
            </w:r>
            <w:r w:rsidR="004C6D55">
              <w:rPr>
                <w:noProof/>
                <w:webHidden/>
              </w:rPr>
              <w:fldChar w:fldCharType="separate"/>
            </w:r>
            <w:r w:rsidR="004C6D55">
              <w:rPr>
                <w:noProof/>
                <w:webHidden/>
              </w:rPr>
              <w:t>11</w:t>
            </w:r>
            <w:r w:rsidR="004C6D55">
              <w:rPr>
                <w:noProof/>
                <w:webHidden/>
              </w:rPr>
              <w:fldChar w:fldCharType="end"/>
            </w:r>
          </w:hyperlink>
        </w:p>
        <w:p w14:paraId="641EA66E" w14:textId="48EA51C9" w:rsidR="004C6D55" w:rsidRDefault="00251FAD">
          <w:pPr>
            <w:pStyle w:val="TOC2"/>
            <w:rPr>
              <w:rFonts w:asciiTheme="minorHAnsi" w:eastAsiaTheme="minorEastAsia" w:hAnsiTheme="minorHAnsi" w:cstheme="minorBidi"/>
              <w:noProof/>
              <w:lang w:eastAsia="en-AU"/>
            </w:rPr>
          </w:pPr>
          <w:hyperlink w:anchor="_Toc175560474" w:history="1">
            <w:r w:rsidR="004C6D55" w:rsidRPr="00A174D7">
              <w:rPr>
                <w:rStyle w:val="Hyperlink"/>
                <w:noProof/>
              </w:rPr>
              <w:t>4.4. Infrastructure</w:t>
            </w:r>
            <w:r w:rsidR="004C6D55">
              <w:rPr>
                <w:noProof/>
                <w:webHidden/>
              </w:rPr>
              <w:tab/>
            </w:r>
            <w:r w:rsidR="004C6D55">
              <w:rPr>
                <w:noProof/>
                <w:webHidden/>
              </w:rPr>
              <w:fldChar w:fldCharType="begin"/>
            </w:r>
            <w:r w:rsidR="004C6D55">
              <w:rPr>
                <w:noProof/>
                <w:webHidden/>
              </w:rPr>
              <w:instrText xml:space="preserve"> PAGEREF _Toc175560474 \h </w:instrText>
            </w:r>
            <w:r w:rsidR="004C6D55">
              <w:rPr>
                <w:noProof/>
                <w:webHidden/>
              </w:rPr>
            </w:r>
            <w:r w:rsidR="004C6D55">
              <w:rPr>
                <w:noProof/>
                <w:webHidden/>
              </w:rPr>
              <w:fldChar w:fldCharType="separate"/>
            </w:r>
            <w:r w:rsidR="004C6D55">
              <w:rPr>
                <w:noProof/>
                <w:webHidden/>
              </w:rPr>
              <w:t>11</w:t>
            </w:r>
            <w:r w:rsidR="004C6D55">
              <w:rPr>
                <w:noProof/>
                <w:webHidden/>
              </w:rPr>
              <w:fldChar w:fldCharType="end"/>
            </w:r>
          </w:hyperlink>
        </w:p>
        <w:p w14:paraId="06E3A766" w14:textId="69E5657D" w:rsidR="004C6D55" w:rsidRDefault="00251FAD">
          <w:pPr>
            <w:pStyle w:val="TOC2"/>
            <w:rPr>
              <w:rFonts w:asciiTheme="minorHAnsi" w:eastAsiaTheme="minorEastAsia" w:hAnsiTheme="minorHAnsi" w:cstheme="minorBidi"/>
              <w:noProof/>
              <w:lang w:eastAsia="en-AU"/>
            </w:rPr>
          </w:pPr>
          <w:hyperlink w:anchor="_Toc175560475" w:history="1">
            <w:r w:rsidR="004C6D55" w:rsidRPr="00A174D7">
              <w:rPr>
                <w:rStyle w:val="Hyperlink"/>
                <w:noProof/>
              </w:rPr>
              <w:t>4.5. Exclusions</w:t>
            </w:r>
            <w:r w:rsidR="004C6D55">
              <w:rPr>
                <w:noProof/>
                <w:webHidden/>
              </w:rPr>
              <w:tab/>
            </w:r>
            <w:r w:rsidR="004C6D55">
              <w:rPr>
                <w:noProof/>
                <w:webHidden/>
              </w:rPr>
              <w:fldChar w:fldCharType="begin"/>
            </w:r>
            <w:r w:rsidR="004C6D55">
              <w:rPr>
                <w:noProof/>
                <w:webHidden/>
              </w:rPr>
              <w:instrText xml:space="preserve"> PAGEREF _Toc175560475 \h </w:instrText>
            </w:r>
            <w:r w:rsidR="004C6D55">
              <w:rPr>
                <w:noProof/>
                <w:webHidden/>
              </w:rPr>
            </w:r>
            <w:r w:rsidR="004C6D55">
              <w:rPr>
                <w:noProof/>
                <w:webHidden/>
              </w:rPr>
              <w:fldChar w:fldCharType="separate"/>
            </w:r>
            <w:r w:rsidR="004C6D55">
              <w:rPr>
                <w:noProof/>
                <w:webHidden/>
              </w:rPr>
              <w:t>11</w:t>
            </w:r>
            <w:r w:rsidR="004C6D55">
              <w:rPr>
                <w:noProof/>
                <w:webHidden/>
              </w:rPr>
              <w:fldChar w:fldCharType="end"/>
            </w:r>
          </w:hyperlink>
        </w:p>
        <w:p w14:paraId="6699BAEF" w14:textId="401351C1" w:rsidR="004C6D55" w:rsidRDefault="00251FAD">
          <w:pPr>
            <w:pStyle w:val="TOC1"/>
            <w:rPr>
              <w:rFonts w:asciiTheme="minorHAnsi" w:eastAsiaTheme="minorEastAsia" w:hAnsiTheme="minorHAnsi" w:cstheme="minorBidi"/>
              <w:b w:val="0"/>
              <w:noProof/>
              <w:lang w:eastAsia="en-AU"/>
            </w:rPr>
          </w:pPr>
          <w:hyperlink w:anchor="_Toc175560476" w:history="1">
            <w:r w:rsidR="004C6D55" w:rsidRPr="00A174D7">
              <w:rPr>
                <w:rStyle w:val="Hyperlink"/>
                <w:noProof/>
              </w:rPr>
              <w:t>5. Key roles and responsibilities</w:t>
            </w:r>
            <w:r w:rsidR="004C6D55">
              <w:rPr>
                <w:noProof/>
                <w:webHidden/>
              </w:rPr>
              <w:tab/>
            </w:r>
            <w:r w:rsidR="004C6D55">
              <w:rPr>
                <w:noProof/>
                <w:webHidden/>
              </w:rPr>
              <w:fldChar w:fldCharType="begin"/>
            </w:r>
            <w:r w:rsidR="004C6D55">
              <w:rPr>
                <w:noProof/>
                <w:webHidden/>
              </w:rPr>
              <w:instrText xml:space="preserve"> PAGEREF _Toc175560476 \h </w:instrText>
            </w:r>
            <w:r w:rsidR="004C6D55">
              <w:rPr>
                <w:noProof/>
                <w:webHidden/>
              </w:rPr>
            </w:r>
            <w:r w:rsidR="004C6D55">
              <w:rPr>
                <w:noProof/>
                <w:webHidden/>
              </w:rPr>
              <w:fldChar w:fldCharType="separate"/>
            </w:r>
            <w:r w:rsidR="004C6D55">
              <w:rPr>
                <w:noProof/>
                <w:webHidden/>
              </w:rPr>
              <w:t>11</w:t>
            </w:r>
            <w:r w:rsidR="004C6D55">
              <w:rPr>
                <w:noProof/>
                <w:webHidden/>
              </w:rPr>
              <w:fldChar w:fldCharType="end"/>
            </w:r>
          </w:hyperlink>
        </w:p>
        <w:p w14:paraId="32A55C95" w14:textId="5E04A5F9" w:rsidR="004C6D55" w:rsidRDefault="00251FAD">
          <w:pPr>
            <w:pStyle w:val="TOC3"/>
            <w:tabs>
              <w:tab w:val="right" w:leader="dot" w:pos="10308"/>
            </w:tabs>
            <w:rPr>
              <w:rFonts w:asciiTheme="minorHAnsi" w:eastAsiaTheme="minorEastAsia" w:hAnsiTheme="minorHAnsi" w:cstheme="minorBidi"/>
              <w:noProof/>
              <w:lang w:eastAsia="en-AU"/>
            </w:rPr>
          </w:pPr>
          <w:hyperlink w:anchor="_Toc175560477" w:history="1">
            <w:r w:rsidR="004C6D55" w:rsidRPr="00A174D7">
              <w:rPr>
                <w:rStyle w:val="Hyperlink"/>
                <w:noProof/>
              </w:rPr>
              <w:t>5.1.1. Department of the Chief Minister and Cabinet</w:t>
            </w:r>
            <w:r w:rsidR="004C6D55">
              <w:rPr>
                <w:noProof/>
                <w:webHidden/>
              </w:rPr>
              <w:tab/>
            </w:r>
            <w:r w:rsidR="004C6D55">
              <w:rPr>
                <w:noProof/>
                <w:webHidden/>
              </w:rPr>
              <w:fldChar w:fldCharType="begin"/>
            </w:r>
            <w:r w:rsidR="004C6D55">
              <w:rPr>
                <w:noProof/>
                <w:webHidden/>
              </w:rPr>
              <w:instrText xml:space="preserve"> PAGEREF _Toc175560477 \h </w:instrText>
            </w:r>
            <w:r w:rsidR="004C6D55">
              <w:rPr>
                <w:noProof/>
                <w:webHidden/>
              </w:rPr>
            </w:r>
            <w:r w:rsidR="004C6D55">
              <w:rPr>
                <w:noProof/>
                <w:webHidden/>
              </w:rPr>
              <w:fldChar w:fldCharType="separate"/>
            </w:r>
            <w:r w:rsidR="004C6D55">
              <w:rPr>
                <w:noProof/>
                <w:webHidden/>
              </w:rPr>
              <w:t>11</w:t>
            </w:r>
            <w:r w:rsidR="004C6D55">
              <w:rPr>
                <w:noProof/>
                <w:webHidden/>
              </w:rPr>
              <w:fldChar w:fldCharType="end"/>
            </w:r>
          </w:hyperlink>
        </w:p>
        <w:p w14:paraId="0CDDA057" w14:textId="1F415E30" w:rsidR="004C6D55" w:rsidRDefault="00251FAD">
          <w:pPr>
            <w:pStyle w:val="TOC3"/>
            <w:tabs>
              <w:tab w:val="right" w:leader="dot" w:pos="10308"/>
            </w:tabs>
            <w:rPr>
              <w:rFonts w:asciiTheme="minorHAnsi" w:eastAsiaTheme="minorEastAsia" w:hAnsiTheme="minorHAnsi" w:cstheme="minorBidi"/>
              <w:noProof/>
              <w:lang w:eastAsia="en-AU"/>
            </w:rPr>
          </w:pPr>
          <w:hyperlink w:anchor="_Toc175560478" w:history="1">
            <w:r w:rsidR="004C6D55" w:rsidRPr="00A174D7">
              <w:rPr>
                <w:rStyle w:val="Hyperlink"/>
                <w:noProof/>
              </w:rPr>
              <w:t>5.1.2. Commissioner for Public Employment</w:t>
            </w:r>
            <w:r w:rsidR="004C6D55">
              <w:rPr>
                <w:noProof/>
                <w:webHidden/>
              </w:rPr>
              <w:tab/>
            </w:r>
            <w:r w:rsidR="004C6D55">
              <w:rPr>
                <w:noProof/>
                <w:webHidden/>
              </w:rPr>
              <w:fldChar w:fldCharType="begin"/>
            </w:r>
            <w:r w:rsidR="004C6D55">
              <w:rPr>
                <w:noProof/>
                <w:webHidden/>
              </w:rPr>
              <w:instrText xml:space="preserve"> PAGEREF _Toc175560478 \h </w:instrText>
            </w:r>
            <w:r w:rsidR="004C6D55">
              <w:rPr>
                <w:noProof/>
                <w:webHidden/>
              </w:rPr>
            </w:r>
            <w:r w:rsidR="004C6D55">
              <w:rPr>
                <w:noProof/>
                <w:webHidden/>
              </w:rPr>
              <w:fldChar w:fldCharType="separate"/>
            </w:r>
            <w:r w:rsidR="004C6D55">
              <w:rPr>
                <w:noProof/>
                <w:webHidden/>
              </w:rPr>
              <w:t>12</w:t>
            </w:r>
            <w:r w:rsidR="004C6D55">
              <w:rPr>
                <w:noProof/>
                <w:webHidden/>
              </w:rPr>
              <w:fldChar w:fldCharType="end"/>
            </w:r>
          </w:hyperlink>
        </w:p>
        <w:p w14:paraId="2D5CE5C6" w14:textId="1D7B9B4D" w:rsidR="004C6D55" w:rsidRDefault="00251FAD">
          <w:pPr>
            <w:pStyle w:val="TOC3"/>
            <w:tabs>
              <w:tab w:val="right" w:leader="dot" w:pos="10308"/>
            </w:tabs>
            <w:rPr>
              <w:rFonts w:asciiTheme="minorHAnsi" w:eastAsiaTheme="minorEastAsia" w:hAnsiTheme="minorHAnsi" w:cstheme="minorBidi"/>
              <w:noProof/>
              <w:lang w:eastAsia="en-AU"/>
            </w:rPr>
          </w:pPr>
          <w:hyperlink w:anchor="_Toc175560479" w:history="1">
            <w:r w:rsidR="004C6D55" w:rsidRPr="00A174D7">
              <w:rPr>
                <w:rStyle w:val="Hyperlink"/>
                <w:noProof/>
              </w:rPr>
              <w:t>5.1.3. Department of Treasury and Finance</w:t>
            </w:r>
            <w:r w:rsidR="004C6D55">
              <w:rPr>
                <w:noProof/>
                <w:webHidden/>
              </w:rPr>
              <w:tab/>
            </w:r>
            <w:r w:rsidR="004C6D55">
              <w:rPr>
                <w:noProof/>
                <w:webHidden/>
              </w:rPr>
              <w:fldChar w:fldCharType="begin"/>
            </w:r>
            <w:r w:rsidR="004C6D55">
              <w:rPr>
                <w:noProof/>
                <w:webHidden/>
              </w:rPr>
              <w:instrText xml:space="preserve"> PAGEREF _Toc175560479 \h </w:instrText>
            </w:r>
            <w:r w:rsidR="004C6D55">
              <w:rPr>
                <w:noProof/>
                <w:webHidden/>
              </w:rPr>
            </w:r>
            <w:r w:rsidR="004C6D55">
              <w:rPr>
                <w:noProof/>
                <w:webHidden/>
              </w:rPr>
              <w:fldChar w:fldCharType="separate"/>
            </w:r>
            <w:r w:rsidR="004C6D55">
              <w:rPr>
                <w:noProof/>
                <w:webHidden/>
              </w:rPr>
              <w:t>12</w:t>
            </w:r>
            <w:r w:rsidR="004C6D55">
              <w:rPr>
                <w:noProof/>
                <w:webHidden/>
              </w:rPr>
              <w:fldChar w:fldCharType="end"/>
            </w:r>
          </w:hyperlink>
        </w:p>
        <w:p w14:paraId="5FE7B14C" w14:textId="5E483319" w:rsidR="004C6D55" w:rsidRDefault="00251FAD">
          <w:pPr>
            <w:pStyle w:val="TOC3"/>
            <w:tabs>
              <w:tab w:val="right" w:leader="dot" w:pos="10308"/>
            </w:tabs>
            <w:rPr>
              <w:rFonts w:asciiTheme="minorHAnsi" w:eastAsiaTheme="minorEastAsia" w:hAnsiTheme="minorHAnsi" w:cstheme="minorBidi"/>
              <w:noProof/>
              <w:lang w:eastAsia="en-AU"/>
            </w:rPr>
          </w:pPr>
          <w:hyperlink w:anchor="_Toc175560480" w:history="1">
            <w:r w:rsidR="004C6D55" w:rsidRPr="00A174D7">
              <w:rPr>
                <w:rStyle w:val="Hyperlink"/>
                <w:noProof/>
              </w:rPr>
              <w:t>5.1.4. Department of Corporate and Digital Development</w:t>
            </w:r>
            <w:r w:rsidR="004C6D55">
              <w:rPr>
                <w:noProof/>
                <w:webHidden/>
              </w:rPr>
              <w:tab/>
            </w:r>
            <w:r w:rsidR="004C6D55">
              <w:rPr>
                <w:noProof/>
                <w:webHidden/>
              </w:rPr>
              <w:fldChar w:fldCharType="begin"/>
            </w:r>
            <w:r w:rsidR="004C6D55">
              <w:rPr>
                <w:noProof/>
                <w:webHidden/>
              </w:rPr>
              <w:instrText xml:space="preserve"> PAGEREF _Toc175560480 \h </w:instrText>
            </w:r>
            <w:r w:rsidR="004C6D55">
              <w:rPr>
                <w:noProof/>
                <w:webHidden/>
              </w:rPr>
            </w:r>
            <w:r w:rsidR="004C6D55">
              <w:rPr>
                <w:noProof/>
                <w:webHidden/>
              </w:rPr>
              <w:fldChar w:fldCharType="separate"/>
            </w:r>
            <w:r w:rsidR="004C6D55">
              <w:rPr>
                <w:noProof/>
                <w:webHidden/>
              </w:rPr>
              <w:t>12</w:t>
            </w:r>
            <w:r w:rsidR="004C6D55">
              <w:rPr>
                <w:noProof/>
                <w:webHidden/>
              </w:rPr>
              <w:fldChar w:fldCharType="end"/>
            </w:r>
          </w:hyperlink>
        </w:p>
        <w:p w14:paraId="56899EAE" w14:textId="04F1A3C9" w:rsidR="004C6D55" w:rsidRDefault="00251FAD">
          <w:pPr>
            <w:pStyle w:val="TOC3"/>
            <w:tabs>
              <w:tab w:val="right" w:leader="dot" w:pos="10308"/>
            </w:tabs>
            <w:rPr>
              <w:rFonts w:asciiTheme="minorHAnsi" w:eastAsiaTheme="minorEastAsia" w:hAnsiTheme="minorHAnsi" w:cstheme="minorBidi"/>
              <w:noProof/>
              <w:lang w:eastAsia="en-AU"/>
            </w:rPr>
          </w:pPr>
          <w:hyperlink w:anchor="_Toc175560481" w:history="1">
            <w:r w:rsidR="004C6D55" w:rsidRPr="00A174D7">
              <w:rPr>
                <w:rStyle w:val="Hyperlink"/>
                <w:noProof/>
              </w:rPr>
              <w:t>5.1.5. Department of Infrastructure, Planning and Logistics</w:t>
            </w:r>
            <w:r w:rsidR="004C6D55">
              <w:rPr>
                <w:noProof/>
                <w:webHidden/>
              </w:rPr>
              <w:tab/>
            </w:r>
            <w:r w:rsidR="004C6D55">
              <w:rPr>
                <w:noProof/>
                <w:webHidden/>
              </w:rPr>
              <w:fldChar w:fldCharType="begin"/>
            </w:r>
            <w:r w:rsidR="004C6D55">
              <w:rPr>
                <w:noProof/>
                <w:webHidden/>
              </w:rPr>
              <w:instrText xml:space="preserve"> PAGEREF _Toc175560481 \h </w:instrText>
            </w:r>
            <w:r w:rsidR="004C6D55">
              <w:rPr>
                <w:noProof/>
                <w:webHidden/>
              </w:rPr>
            </w:r>
            <w:r w:rsidR="004C6D55">
              <w:rPr>
                <w:noProof/>
                <w:webHidden/>
              </w:rPr>
              <w:fldChar w:fldCharType="separate"/>
            </w:r>
            <w:r w:rsidR="004C6D55">
              <w:rPr>
                <w:noProof/>
                <w:webHidden/>
              </w:rPr>
              <w:t>12</w:t>
            </w:r>
            <w:r w:rsidR="004C6D55">
              <w:rPr>
                <w:noProof/>
                <w:webHidden/>
              </w:rPr>
              <w:fldChar w:fldCharType="end"/>
            </w:r>
          </w:hyperlink>
        </w:p>
        <w:p w14:paraId="78994C87" w14:textId="5443F7C5" w:rsidR="004C6D55" w:rsidRDefault="00251FAD">
          <w:pPr>
            <w:pStyle w:val="TOC3"/>
            <w:tabs>
              <w:tab w:val="right" w:leader="dot" w:pos="10308"/>
            </w:tabs>
            <w:rPr>
              <w:rFonts w:asciiTheme="minorHAnsi" w:eastAsiaTheme="minorEastAsia" w:hAnsiTheme="minorHAnsi" w:cstheme="minorBidi"/>
              <w:noProof/>
              <w:lang w:eastAsia="en-AU"/>
            </w:rPr>
          </w:pPr>
          <w:hyperlink w:anchor="_Toc175560482" w:history="1">
            <w:r w:rsidR="004C6D55" w:rsidRPr="00A174D7">
              <w:rPr>
                <w:rStyle w:val="Hyperlink"/>
                <w:noProof/>
              </w:rPr>
              <w:t>5.1.6. Chief executives</w:t>
            </w:r>
            <w:r w:rsidR="004C6D55">
              <w:rPr>
                <w:noProof/>
                <w:webHidden/>
              </w:rPr>
              <w:tab/>
            </w:r>
            <w:r w:rsidR="004C6D55">
              <w:rPr>
                <w:noProof/>
                <w:webHidden/>
              </w:rPr>
              <w:fldChar w:fldCharType="begin"/>
            </w:r>
            <w:r w:rsidR="004C6D55">
              <w:rPr>
                <w:noProof/>
                <w:webHidden/>
              </w:rPr>
              <w:instrText xml:space="preserve"> PAGEREF _Toc175560482 \h </w:instrText>
            </w:r>
            <w:r w:rsidR="004C6D55">
              <w:rPr>
                <w:noProof/>
                <w:webHidden/>
              </w:rPr>
            </w:r>
            <w:r w:rsidR="004C6D55">
              <w:rPr>
                <w:noProof/>
                <w:webHidden/>
              </w:rPr>
              <w:fldChar w:fldCharType="separate"/>
            </w:r>
            <w:r w:rsidR="004C6D55">
              <w:rPr>
                <w:noProof/>
                <w:webHidden/>
              </w:rPr>
              <w:t>13</w:t>
            </w:r>
            <w:r w:rsidR="004C6D55">
              <w:rPr>
                <w:noProof/>
                <w:webHidden/>
              </w:rPr>
              <w:fldChar w:fldCharType="end"/>
            </w:r>
          </w:hyperlink>
        </w:p>
        <w:p w14:paraId="2C19D6A6" w14:textId="34088661" w:rsidR="004C6D55" w:rsidRDefault="00251FAD">
          <w:pPr>
            <w:pStyle w:val="TOC1"/>
            <w:rPr>
              <w:rFonts w:asciiTheme="minorHAnsi" w:eastAsiaTheme="minorEastAsia" w:hAnsiTheme="minorHAnsi" w:cstheme="minorBidi"/>
              <w:b w:val="0"/>
              <w:noProof/>
              <w:lang w:eastAsia="en-AU"/>
            </w:rPr>
          </w:pPr>
          <w:hyperlink w:anchor="_Toc175560483" w:history="1">
            <w:r w:rsidR="004C6D55" w:rsidRPr="00A174D7">
              <w:rPr>
                <w:rStyle w:val="Hyperlink"/>
                <w:noProof/>
              </w:rPr>
              <w:t>6. Delegations</w:t>
            </w:r>
            <w:r w:rsidR="004C6D55">
              <w:rPr>
                <w:noProof/>
                <w:webHidden/>
              </w:rPr>
              <w:tab/>
            </w:r>
            <w:r w:rsidR="004C6D55">
              <w:rPr>
                <w:noProof/>
                <w:webHidden/>
              </w:rPr>
              <w:fldChar w:fldCharType="begin"/>
            </w:r>
            <w:r w:rsidR="004C6D55">
              <w:rPr>
                <w:noProof/>
                <w:webHidden/>
              </w:rPr>
              <w:instrText xml:space="preserve"> PAGEREF _Toc175560483 \h </w:instrText>
            </w:r>
            <w:r w:rsidR="004C6D55">
              <w:rPr>
                <w:noProof/>
                <w:webHidden/>
              </w:rPr>
            </w:r>
            <w:r w:rsidR="004C6D55">
              <w:rPr>
                <w:noProof/>
                <w:webHidden/>
              </w:rPr>
              <w:fldChar w:fldCharType="separate"/>
            </w:r>
            <w:r w:rsidR="004C6D55">
              <w:rPr>
                <w:noProof/>
                <w:webHidden/>
              </w:rPr>
              <w:t>13</w:t>
            </w:r>
            <w:r w:rsidR="004C6D55">
              <w:rPr>
                <w:noProof/>
                <w:webHidden/>
              </w:rPr>
              <w:fldChar w:fldCharType="end"/>
            </w:r>
          </w:hyperlink>
        </w:p>
        <w:p w14:paraId="764C5EAA" w14:textId="4BFF3F91" w:rsidR="004C6D55" w:rsidRDefault="00251FAD">
          <w:pPr>
            <w:pStyle w:val="TOC1"/>
            <w:rPr>
              <w:rFonts w:asciiTheme="minorHAnsi" w:eastAsiaTheme="minorEastAsia" w:hAnsiTheme="minorHAnsi" w:cstheme="minorBidi"/>
              <w:b w:val="0"/>
              <w:noProof/>
              <w:lang w:eastAsia="en-AU"/>
            </w:rPr>
          </w:pPr>
          <w:hyperlink w:anchor="_Toc175560484" w:history="1">
            <w:r w:rsidR="004C6D55" w:rsidRPr="00A174D7">
              <w:rPr>
                <w:rStyle w:val="Hyperlink"/>
                <w:noProof/>
              </w:rPr>
              <w:t>7. Recordkeeping and reporting requirements</w:t>
            </w:r>
            <w:r w:rsidR="004C6D55">
              <w:rPr>
                <w:noProof/>
                <w:webHidden/>
              </w:rPr>
              <w:tab/>
            </w:r>
            <w:r w:rsidR="004C6D55">
              <w:rPr>
                <w:noProof/>
                <w:webHidden/>
              </w:rPr>
              <w:fldChar w:fldCharType="begin"/>
            </w:r>
            <w:r w:rsidR="004C6D55">
              <w:rPr>
                <w:noProof/>
                <w:webHidden/>
              </w:rPr>
              <w:instrText xml:space="preserve"> PAGEREF _Toc175560484 \h </w:instrText>
            </w:r>
            <w:r w:rsidR="004C6D55">
              <w:rPr>
                <w:noProof/>
                <w:webHidden/>
              </w:rPr>
            </w:r>
            <w:r w:rsidR="004C6D55">
              <w:rPr>
                <w:noProof/>
                <w:webHidden/>
              </w:rPr>
              <w:fldChar w:fldCharType="separate"/>
            </w:r>
            <w:r w:rsidR="004C6D55">
              <w:rPr>
                <w:noProof/>
                <w:webHidden/>
              </w:rPr>
              <w:t>13</w:t>
            </w:r>
            <w:r w:rsidR="004C6D55">
              <w:rPr>
                <w:noProof/>
                <w:webHidden/>
              </w:rPr>
              <w:fldChar w:fldCharType="end"/>
            </w:r>
          </w:hyperlink>
        </w:p>
        <w:p w14:paraId="73EB87C9" w14:textId="146358D9" w:rsidR="00964B22" w:rsidRPr="002F2780" w:rsidRDefault="006747E0" w:rsidP="00902501">
          <w:pPr>
            <w:rPr>
              <w:rFonts w:eastAsiaTheme="minorEastAsia" w:cs="Arial"/>
              <w:b/>
              <w:lang w:eastAsia="en-AU"/>
            </w:rPr>
          </w:pPr>
          <w:r w:rsidRPr="00645942">
            <w:rPr>
              <w:rFonts w:eastAsiaTheme="minorEastAsia" w:cs="Arial"/>
              <w:lang w:eastAsia="en-AU"/>
            </w:rPr>
            <w:fldChar w:fldCharType="end"/>
          </w:r>
        </w:p>
      </w:sdtContent>
    </w:sdt>
    <w:p w14:paraId="2DC51505" w14:textId="77777777" w:rsidR="00964B22" w:rsidRPr="002F2780" w:rsidRDefault="00964B22" w:rsidP="00902501">
      <w:pPr>
        <w:sectPr w:rsidR="00964B22" w:rsidRPr="002F2780" w:rsidSect="00C800F1">
          <w:headerReference w:type="first" r:id="rId13"/>
          <w:footerReference w:type="first" r:id="rId14"/>
          <w:pgSz w:w="11906" w:h="16838" w:code="9"/>
          <w:pgMar w:top="794" w:right="794" w:bottom="794" w:left="794" w:header="794" w:footer="794" w:gutter="0"/>
          <w:cols w:space="708"/>
          <w:titlePg/>
          <w:docGrid w:linePitch="360"/>
        </w:sectPr>
      </w:pPr>
    </w:p>
    <w:p w14:paraId="7CC422FA" w14:textId="77777777" w:rsidR="00945368" w:rsidRPr="00516F1C" w:rsidRDefault="00945368" w:rsidP="00902501">
      <w:pPr>
        <w:pStyle w:val="Heading1"/>
        <w:keepLines/>
        <w:pageBreakBefore/>
        <w:ind w:left="432" w:hanging="432"/>
      </w:pPr>
      <w:bookmarkStart w:id="0" w:name="_Toc175560445"/>
      <w:r>
        <w:t>I</w:t>
      </w:r>
      <w:r w:rsidRPr="00516F1C">
        <w:t>ntroduction</w:t>
      </w:r>
      <w:bookmarkEnd w:id="0"/>
    </w:p>
    <w:p w14:paraId="0B7EB993" w14:textId="77777777" w:rsidR="00945368" w:rsidRPr="00516F1C" w:rsidRDefault="00945368" w:rsidP="00902501">
      <w:pPr>
        <w:pStyle w:val="Heading2"/>
        <w:keepLines/>
      </w:pPr>
      <w:bookmarkStart w:id="1" w:name="_Toc31719129"/>
      <w:bookmarkStart w:id="2" w:name="_Toc175560446"/>
      <w:r w:rsidRPr="00516F1C">
        <w:t>Purpose</w:t>
      </w:r>
      <w:bookmarkEnd w:id="1"/>
      <w:bookmarkEnd w:id="2"/>
    </w:p>
    <w:p w14:paraId="17A1ED7C" w14:textId="3BDF99EB" w:rsidR="00C62CE4" w:rsidRDefault="00C62CE4" w:rsidP="00902501">
      <w:bookmarkStart w:id="3" w:name="_Toc31719130"/>
      <w:r>
        <w:t>To provide b</w:t>
      </w:r>
      <w:r w:rsidR="00D52458">
        <w:t>etter</w:t>
      </w:r>
      <w:r>
        <w:t xml:space="preserve"> practice guidance to assist accountable officers and agencies </w:t>
      </w:r>
      <w:r w:rsidR="00902501">
        <w:t xml:space="preserve">to </w:t>
      </w:r>
      <w:r>
        <w:t>meet their obligations under the Treasurer’s Direction</w:t>
      </w:r>
      <w:r w:rsidR="003F2E83">
        <w:t xml:space="preserve"> (TD)</w:t>
      </w:r>
      <w:r>
        <w:t xml:space="preserve"> – </w:t>
      </w:r>
      <w:r w:rsidR="00990A5D">
        <w:t xml:space="preserve">Machinery of </w:t>
      </w:r>
      <w:r w:rsidR="00BA2A1B">
        <w:t>g</w:t>
      </w:r>
      <w:r w:rsidR="00990A5D">
        <w:t xml:space="preserve">overnment </w:t>
      </w:r>
      <w:r w:rsidR="00BA2A1B">
        <w:t>c</w:t>
      </w:r>
      <w:r w:rsidR="00990A5D">
        <w:t>hanges</w:t>
      </w:r>
      <w:r>
        <w:t xml:space="preserve">, the </w:t>
      </w:r>
      <w:r w:rsidRPr="00C142ED">
        <w:rPr>
          <w:i/>
        </w:rPr>
        <w:t xml:space="preserve">Financial Management </w:t>
      </w:r>
      <w:r w:rsidR="00902501" w:rsidRPr="00C142ED">
        <w:rPr>
          <w:i/>
        </w:rPr>
        <w:t>Act</w:t>
      </w:r>
      <w:r w:rsidR="00902501">
        <w:rPr>
          <w:i/>
        </w:rPr>
        <w:t> </w:t>
      </w:r>
      <w:r w:rsidRPr="00C142ED">
        <w:rPr>
          <w:i/>
        </w:rPr>
        <w:t>1995</w:t>
      </w:r>
      <w:r w:rsidRPr="00F859F1">
        <w:t xml:space="preserve"> (FMA)</w:t>
      </w:r>
      <w:r>
        <w:rPr>
          <w:i/>
        </w:rPr>
        <w:t xml:space="preserve"> </w:t>
      </w:r>
      <w:r>
        <w:t>and other relevant legislation.</w:t>
      </w:r>
    </w:p>
    <w:p w14:paraId="3A20608D" w14:textId="5E02E8E9" w:rsidR="00C62CE4" w:rsidRDefault="00C62CE4" w:rsidP="004D4D0F">
      <w:r>
        <w:t xml:space="preserve">Guidance material in this document is not mandatory. If a conflict arises between this guidance document and </w:t>
      </w:r>
      <w:r w:rsidR="003F2E83">
        <w:t>TD</w:t>
      </w:r>
      <w:r>
        <w:t xml:space="preserve"> or other legislative requirements, the legislation takes precedence followed by the T</w:t>
      </w:r>
      <w:r w:rsidR="003F2E83">
        <w:t>D.</w:t>
      </w:r>
    </w:p>
    <w:p w14:paraId="0724C509" w14:textId="65644F90" w:rsidR="00C62CE4" w:rsidRDefault="00E140B0" w:rsidP="004D4D0F">
      <w:r>
        <w:t>The TD’s</w:t>
      </w:r>
      <w:r w:rsidR="00C62CE4">
        <w:t xml:space="preserve"> generally designate responsibility to the accountable officer. Unless specifically excluded by t</w:t>
      </w:r>
      <w:r w:rsidR="003F2E83">
        <w:t>he FMA or TD</w:t>
      </w:r>
      <w:r w:rsidR="00C62CE4">
        <w:t>, accountable officers may choose to delegate certain responsibilities and functions to agency employees. This can be through a number of mechanisms, such as accountable officer approved policies, procedures and agency delegations.</w:t>
      </w:r>
    </w:p>
    <w:p w14:paraId="28A7AC82" w14:textId="77777777" w:rsidR="00945368" w:rsidRPr="00516F1C" w:rsidRDefault="00945368" w:rsidP="004D4D0F">
      <w:pPr>
        <w:pStyle w:val="Heading2"/>
        <w:keepLines/>
      </w:pPr>
      <w:bookmarkStart w:id="4" w:name="_Toc175560447"/>
      <w:r w:rsidRPr="00516F1C">
        <w:t>Statement</w:t>
      </w:r>
      <w:bookmarkEnd w:id="3"/>
      <w:bookmarkEnd w:id="4"/>
    </w:p>
    <w:p w14:paraId="4995E74D" w14:textId="5A5A8613" w:rsidR="00945368" w:rsidRPr="00516F1C" w:rsidRDefault="00E140B0" w:rsidP="004D4D0F">
      <w:r>
        <w:t>The objective</w:t>
      </w:r>
      <w:r w:rsidR="00C62CE4" w:rsidRPr="00C61F0F">
        <w:t xml:space="preserve"> of the </w:t>
      </w:r>
      <w:r w:rsidR="003F2E83">
        <w:t>TD</w:t>
      </w:r>
      <w:r w:rsidR="00C62CE4">
        <w:t xml:space="preserve"> – </w:t>
      </w:r>
      <w:r w:rsidR="00990A5D">
        <w:t xml:space="preserve">Machinery of </w:t>
      </w:r>
      <w:r w:rsidR="00D52458">
        <w:t>g</w:t>
      </w:r>
      <w:r w:rsidR="00990A5D">
        <w:t xml:space="preserve">overnment </w:t>
      </w:r>
      <w:r w:rsidR="00D52458">
        <w:t>c</w:t>
      </w:r>
      <w:r w:rsidR="00990A5D">
        <w:t>hanges</w:t>
      </w:r>
      <w:r w:rsidR="00C62CE4">
        <w:t xml:space="preserve"> </w:t>
      </w:r>
      <w:r w:rsidR="00C62CE4" w:rsidRPr="00C61F0F">
        <w:t xml:space="preserve">and this guide </w:t>
      </w:r>
      <w:r w:rsidR="00C62CE4">
        <w:t xml:space="preserve">is to provide a framework for </w:t>
      </w:r>
      <w:r w:rsidR="00746BD4">
        <w:t xml:space="preserve">the principles and methodology for </w:t>
      </w:r>
      <w:r w:rsidR="004859A2">
        <w:t xml:space="preserve">agencies to follow in </w:t>
      </w:r>
      <w:r w:rsidR="00763796">
        <w:t xml:space="preserve">administering </w:t>
      </w:r>
      <w:r w:rsidR="00C62CE4">
        <w:t xml:space="preserve">and </w:t>
      </w:r>
      <w:r w:rsidR="00763796">
        <w:t xml:space="preserve">accounting </w:t>
      </w:r>
      <w:r w:rsidR="004859A2">
        <w:t xml:space="preserve">for </w:t>
      </w:r>
      <w:r w:rsidR="009A1181">
        <w:t xml:space="preserve">Northern Territory </w:t>
      </w:r>
      <w:r w:rsidR="00C62CE4">
        <w:t xml:space="preserve">Government </w:t>
      </w:r>
      <w:r w:rsidR="00990A5D">
        <w:t>machinery of government changes</w:t>
      </w:r>
      <w:r w:rsidR="004859A2">
        <w:t>.</w:t>
      </w:r>
    </w:p>
    <w:p w14:paraId="16D74047" w14:textId="77777777" w:rsidR="00945368" w:rsidRPr="0094453D" w:rsidRDefault="00945368" w:rsidP="004D4D0F">
      <w:pPr>
        <w:pStyle w:val="Heading2"/>
        <w:keepLines/>
      </w:pPr>
      <w:bookmarkStart w:id="5" w:name="_Toc31719131"/>
      <w:bookmarkStart w:id="6" w:name="_Toc175560448"/>
      <w:r w:rsidRPr="0094453D">
        <w:t>Legislative basis and related documents</w:t>
      </w:r>
      <w:bookmarkEnd w:id="5"/>
      <w:bookmarkEnd w:id="6"/>
    </w:p>
    <w:p w14:paraId="5AC9AC52" w14:textId="7C787FF9" w:rsidR="00C62CE4" w:rsidRDefault="00C62CE4" w:rsidP="004D4D0F">
      <w:pPr>
        <w:pStyle w:val="ListBullet"/>
      </w:pPr>
      <w:r>
        <w:t>FMA</w:t>
      </w:r>
    </w:p>
    <w:p w14:paraId="03DB4A2D" w14:textId="4BD609D1" w:rsidR="0094453D" w:rsidRPr="0094453D" w:rsidRDefault="0094453D" w:rsidP="004D4D0F">
      <w:pPr>
        <w:pStyle w:val="ListBullet"/>
        <w:rPr>
          <w:i/>
        </w:rPr>
      </w:pPr>
      <w:r w:rsidRPr="0094453D">
        <w:rPr>
          <w:i/>
        </w:rPr>
        <w:t>Interpretation Act 1978</w:t>
      </w:r>
    </w:p>
    <w:p w14:paraId="4BC8BF56" w14:textId="7DCB85DC" w:rsidR="00E37F7F" w:rsidRDefault="00E37F7F" w:rsidP="004D4D0F">
      <w:pPr>
        <w:pStyle w:val="ListBullet"/>
      </w:pPr>
      <w:r>
        <w:t>Legal Note 30 – Delegations – How are they affected by changes of staff and position restructures?</w:t>
      </w:r>
    </w:p>
    <w:p w14:paraId="5FD2C8AE" w14:textId="332FA7C4" w:rsidR="00664057" w:rsidRDefault="00664057" w:rsidP="004D4D0F">
      <w:pPr>
        <w:pStyle w:val="ListBullet"/>
      </w:pPr>
      <w:r w:rsidRPr="0070363B">
        <w:rPr>
          <w:i/>
        </w:rPr>
        <w:t>Public Sector Employment and Management Act</w:t>
      </w:r>
      <w:r w:rsidRPr="00D15DB3">
        <w:rPr>
          <w:i/>
        </w:rPr>
        <w:t xml:space="preserve"> </w:t>
      </w:r>
      <w:r w:rsidRPr="0070363B">
        <w:rPr>
          <w:i/>
        </w:rPr>
        <w:t>1993</w:t>
      </w:r>
      <w:r w:rsidR="00E14BA2">
        <w:rPr>
          <w:i/>
        </w:rPr>
        <w:t xml:space="preserve"> </w:t>
      </w:r>
      <w:r w:rsidR="00E14BA2" w:rsidRPr="00E14BA2">
        <w:t>(PSEMA)</w:t>
      </w:r>
    </w:p>
    <w:p w14:paraId="05E4BF67" w14:textId="1D1277E5" w:rsidR="00C62CE4" w:rsidRDefault="003F2E83" w:rsidP="004D4D0F">
      <w:pPr>
        <w:pStyle w:val="ListBullet"/>
      </w:pPr>
      <w:r>
        <w:t>TD</w:t>
      </w:r>
      <w:r w:rsidR="00C62CE4">
        <w:t xml:space="preserve"> – </w:t>
      </w:r>
      <w:r w:rsidR="00763796">
        <w:t xml:space="preserve">Machinery of </w:t>
      </w:r>
      <w:r w:rsidR="003159F0">
        <w:t>g</w:t>
      </w:r>
      <w:r w:rsidR="00763796">
        <w:t xml:space="preserve">overnment </w:t>
      </w:r>
      <w:r w:rsidR="003159F0">
        <w:t>c</w:t>
      </w:r>
      <w:r w:rsidR="00763796">
        <w:t>hanges</w:t>
      </w:r>
      <w:r w:rsidR="00564523">
        <w:t>.</w:t>
      </w:r>
    </w:p>
    <w:p w14:paraId="35CBEFA1" w14:textId="6999D065" w:rsidR="00945368" w:rsidRDefault="00C62CE4" w:rsidP="004D4D0F">
      <w:pPr>
        <w:pStyle w:val="Heading1"/>
      </w:pPr>
      <w:bookmarkStart w:id="7" w:name="_Toc175560449"/>
      <w:r>
        <w:t xml:space="preserve">What is </w:t>
      </w:r>
      <w:r w:rsidR="00763796">
        <w:t>a machinery of government change</w:t>
      </w:r>
      <w:r>
        <w:t>?</w:t>
      </w:r>
      <w:bookmarkEnd w:id="7"/>
    </w:p>
    <w:p w14:paraId="0251F219" w14:textId="78F8835D" w:rsidR="000F1217" w:rsidRDefault="00902501" w:rsidP="004D4D0F">
      <w:pPr>
        <w:pStyle w:val="ListNumber"/>
      </w:pPr>
      <w:r>
        <w:t>M</w:t>
      </w:r>
      <w:r w:rsidR="00763796">
        <w:t>achinery of government</w:t>
      </w:r>
      <w:r w:rsidR="004859A2">
        <w:t xml:space="preserve"> (</w:t>
      </w:r>
      <w:proofErr w:type="spellStart"/>
      <w:r w:rsidR="004859A2">
        <w:t>MoG</w:t>
      </w:r>
      <w:proofErr w:type="spellEnd"/>
      <w:r w:rsidR="004859A2">
        <w:t>)</w:t>
      </w:r>
      <w:r w:rsidR="00763796">
        <w:t xml:space="preserve"> </w:t>
      </w:r>
      <w:r w:rsidR="000F1217">
        <w:t>refers</w:t>
      </w:r>
      <w:r w:rsidR="00C36E06">
        <w:t xml:space="preserve"> </w:t>
      </w:r>
      <w:r w:rsidR="000F1217">
        <w:t>to</w:t>
      </w:r>
      <w:r w:rsidR="00C36E06">
        <w:t xml:space="preserve"> underlying structures that direct the way the public sector operate</w:t>
      </w:r>
      <w:r w:rsidR="00983392">
        <w:t>s</w:t>
      </w:r>
      <w:r w:rsidR="00824C11">
        <w:t xml:space="preserve"> and includes the parliamentary system, </w:t>
      </w:r>
      <w:r>
        <w:t xml:space="preserve">Cabinet, </w:t>
      </w:r>
      <w:r w:rsidR="00824C11">
        <w:t>ministry and legislation.</w:t>
      </w:r>
      <w:r w:rsidR="000F1217">
        <w:t xml:space="preserve"> </w:t>
      </w:r>
      <w:r w:rsidR="00824C11">
        <w:t>Th</w:t>
      </w:r>
      <w:r w:rsidR="006C736D">
        <w:t>ese</w:t>
      </w:r>
      <w:r w:rsidR="00824C11">
        <w:t xml:space="preserve"> structure</w:t>
      </w:r>
      <w:r w:rsidR="006C736D">
        <w:t>s</w:t>
      </w:r>
      <w:r w:rsidR="00824C11">
        <w:t xml:space="preserve"> </w:t>
      </w:r>
      <w:r w:rsidR="00E140B0">
        <w:t xml:space="preserve">include </w:t>
      </w:r>
      <w:r w:rsidR="00C36E06">
        <w:t>the allocation of functions and responsibilities between agencies and ministers</w:t>
      </w:r>
      <w:r w:rsidR="000F1217">
        <w:t xml:space="preserve">. </w:t>
      </w:r>
    </w:p>
    <w:p w14:paraId="276D87CE" w14:textId="70D48B68" w:rsidR="000951C2" w:rsidRDefault="00567325" w:rsidP="004D4D0F">
      <w:r>
        <w:t xml:space="preserve">A </w:t>
      </w:r>
      <w:proofErr w:type="spellStart"/>
      <w:r w:rsidR="004859A2">
        <w:t>MoG</w:t>
      </w:r>
      <w:proofErr w:type="spellEnd"/>
      <w:r w:rsidR="000F1217">
        <w:t xml:space="preserve"> change </w:t>
      </w:r>
      <w:r w:rsidR="000951C2">
        <w:t>re</w:t>
      </w:r>
      <w:r w:rsidR="006C736D">
        <w:t>lates</w:t>
      </w:r>
      <w:r w:rsidR="000951C2">
        <w:t xml:space="preserve"> to the</w:t>
      </w:r>
      <w:r w:rsidR="000F1217">
        <w:t xml:space="preserve"> reallocation of </w:t>
      </w:r>
      <w:r w:rsidR="00E140B0">
        <w:t xml:space="preserve">certain </w:t>
      </w:r>
      <w:r w:rsidR="000F1217">
        <w:t xml:space="preserve">functions and responsibilities, </w:t>
      </w:r>
      <w:r w:rsidR="000951C2">
        <w:t>arising from revisions to the Administrative Arrangement</w:t>
      </w:r>
      <w:r w:rsidR="006C736D">
        <w:t>s</w:t>
      </w:r>
      <w:r w:rsidR="000951C2">
        <w:t xml:space="preserve"> Order by </w:t>
      </w:r>
      <w:r w:rsidR="00902501">
        <w:t xml:space="preserve">government </w:t>
      </w:r>
      <w:r w:rsidR="009B5D8E">
        <w:t xml:space="preserve">or </w:t>
      </w:r>
      <w:r w:rsidR="000951C2">
        <w:t>at the discretion of the relevant ministers</w:t>
      </w:r>
      <w:r w:rsidR="008F26E2">
        <w:t>,</w:t>
      </w:r>
      <w:r w:rsidR="00902865">
        <w:t xml:space="preserve"> </w:t>
      </w:r>
      <w:r w:rsidR="000951C2">
        <w:t>chief executives</w:t>
      </w:r>
      <w:r w:rsidR="008F26E2">
        <w:t xml:space="preserve"> or </w:t>
      </w:r>
      <w:r w:rsidR="009B5D8E">
        <w:t xml:space="preserve">by </w:t>
      </w:r>
      <w:r w:rsidR="008F26E2">
        <w:t>Cabinet decision.</w:t>
      </w:r>
    </w:p>
    <w:p w14:paraId="6C9AA90D" w14:textId="4E143354" w:rsidR="000951C2" w:rsidRDefault="004D5A1C" w:rsidP="004D4D0F">
      <w:pPr>
        <w:pStyle w:val="ListParagraph"/>
      </w:pPr>
      <w:r>
        <w:t xml:space="preserve">A </w:t>
      </w:r>
      <w:r w:rsidR="00244852">
        <w:t>MoG</w:t>
      </w:r>
      <w:r w:rsidR="000951C2">
        <w:t xml:space="preserve"> change include</w:t>
      </w:r>
      <w:r>
        <w:t>s</w:t>
      </w:r>
      <w:r w:rsidR="000951C2">
        <w:t>:</w:t>
      </w:r>
    </w:p>
    <w:p w14:paraId="071FADED" w14:textId="74BADDE0" w:rsidR="000951C2" w:rsidRDefault="000951C2" w:rsidP="004D4D0F">
      <w:pPr>
        <w:pStyle w:val="ListBullet"/>
      </w:pPr>
      <w:r>
        <w:t xml:space="preserve">transferring a function or parts thereof, from one agency to another </w:t>
      </w:r>
    </w:p>
    <w:p w14:paraId="348BBB87" w14:textId="77777777" w:rsidR="000951C2" w:rsidRDefault="000951C2" w:rsidP="004D4D0F">
      <w:pPr>
        <w:pStyle w:val="ListBullet"/>
      </w:pPr>
      <w:r>
        <w:t>amalgamating two or more agencies into one agency</w:t>
      </w:r>
    </w:p>
    <w:p w14:paraId="012A80DD" w14:textId="7801F7E0" w:rsidR="000951C2" w:rsidRDefault="000E41C3" w:rsidP="004D4D0F">
      <w:pPr>
        <w:pStyle w:val="ListBullet"/>
      </w:pPr>
      <w:r>
        <w:t>ceasing</w:t>
      </w:r>
      <w:r w:rsidR="000951C2">
        <w:t xml:space="preserve"> an individual function or agency</w:t>
      </w:r>
    </w:p>
    <w:p w14:paraId="07134F70" w14:textId="631EA705" w:rsidR="00C62CE4" w:rsidRPr="000951C2" w:rsidRDefault="000951C2" w:rsidP="004D4D0F">
      <w:pPr>
        <w:pStyle w:val="ListBullet"/>
      </w:pPr>
      <w:proofErr w:type="gramStart"/>
      <w:r>
        <w:t>creating</w:t>
      </w:r>
      <w:proofErr w:type="gramEnd"/>
      <w:r>
        <w:t xml:space="preserve"> an individual</w:t>
      </w:r>
      <w:bookmarkStart w:id="8" w:name="_GoBack"/>
      <w:bookmarkEnd w:id="8"/>
      <w:r>
        <w:t xml:space="preserve"> function or agency.</w:t>
      </w:r>
    </w:p>
    <w:p w14:paraId="1670A723" w14:textId="6758E4BE" w:rsidR="00C62CE4" w:rsidRPr="00502ACE" w:rsidRDefault="005E3A7C" w:rsidP="004D4D0F">
      <w:pPr>
        <w:pStyle w:val="Heading1"/>
      </w:pPr>
      <w:bookmarkStart w:id="9" w:name="_Toc175560450"/>
      <w:r>
        <w:t xml:space="preserve">Process for </w:t>
      </w:r>
      <w:r w:rsidR="000E2A4A">
        <w:t>machinery of government changes</w:t>
      </w:r>
      <w:bookmarkEnd w:id="9"/>
    </w:p>
    <w:p w14:paraId="42723226" w14:textId="0EE7EDA9" w:rsidR="00824C11" w:rsidRDefault="00E140B0" w:rsidP="004D4D0F">
      <w:pPr>
        <w:pStyle w:val="Heading2"/>
      </w:pPr>
      <w:bookmarkStart w:id="10" w:name="_Toc175560451"/>
      <w:r>
        <w:t>Agreements</w:t>
      </w:r>
      <w:bookmarkEnd w:id="10"/>
    </w:p>
    <w:p w14:paraId="300620DB" w14:textId="54E397CD" w:rsidR="00CC35EE" w:rsidRDefault="006A1167" w:rsidP="004D4D0F">
      <w:pPr>
        <w:pStyle w:val="Heading3"/>
        <w:ind w:left="756" w:hanging="756"/>
      </w:pPr>
      <w:bookmarkStart w:id="11" w:name="_Toc175560452"/>
      <w:r>
        <w:t xml:space="preserve">Whole of government </w:t>
      </w:r>
      <w:r w:rsidR="00C909F3">
        <w:t>perspective</w:t>
      </w:r>
      <w:bookmarkEnd w:id="11"/>
    </w:p>
    <w:p w14:paraId="43ECDEC4" w14:textId="24F5021B" w:rsidR="00AA005E" w:rsidRDefault="006012BC" w:rsidP="004D4D0F">
      <w:pPr>
        <w:pStyle w:val="ListNumber"/>
      </w:pPr>
      <w:r>
        <w:t xml:space="preserve">Agencies must </w:t>
      </w:r>
      <w:r w:rsidR="00E140B0">
        <w:t xml:space="preserve">discuss </w:t>
      </w:r>
      <w:r>
        <w:t xml:space="preserve">the transfer of functions </w:t>
      </w:r>
      <w:r w:rsidR="000450BF">
        <w:t xml:space="preserve">with </w:t>
      </w:r>
      <w:r>
        <w:t xml:space="preserve">a whole of government </w:t>
      </w:r>
      <w:r w:rsidR="00AA005E">
        <w:t xml:space="preserve">perspective, </w:t>
      </w:r>
      <w:r w:rsidR="006C736D">
        <w:t>and</w:t>
      </w:r>
      <w:r w:rsidR="00EF61B4">
        <w:t xml:space="preserve"> a focus on the best outcome for government r</w:t>
      </w:r>
      <w:r>
        <w:t xml:space="preserve">ather than </w:t>
      </w:r>
      <w:r w:rsidR="00AA005E">
        <w:t>for</w:t>
      </w:r>
      <w:r>
        <w:t xml:space="preserve"> </w:t>
      </w:r>
      <w:r w:rsidR="00AA005E">
        <w:t xml:space="preserve">the </w:t>
      </w:r>
      <w:r w:rsidR="009B5D8E">
        <w:t>individual agency</w:t>
      </w:r>
      <w:r w:rsidR="00E140B0">
        <w:t>. W</w:t>
      </w:r>
      <w:r w:rsidR="009B5D8E">
        <w:t xml:space="preserve">here possible </w:t>
      </w:r>
      <w:r w:rsidR="00E140B0">
        <w:t xml:space="preserve">transfers should be </w:t>
      </w:r>
      <w:r w:rsidR="00AA005E">
        <w:t>aligned to government objectives and</w:t>
      </w:r>
      <w:r w:rsidR="00D2087C">
        <w:t xml:space="preserve"> aimed at</w:t>
      </w:r>
      <w:r w:rsidR="00AA005E">
        <w:t xml:space="preserve"> </w:t>
      </w:r>
      <w:r w:rsidR="002816FD">
        <w:t>improv</w:t>
      </w:r>
      <w:r w:rsidR="00D2087C">
        <w:t>ing</w:t>
      </w:r>
      <w:r w:rsidR="002816FD">
        <w:t xml:space="preserve"> the delivery </w:t>
      </w:r>
      <w:r w:rsidR="00D2087C">
        <w:t xml:space="preserve">or </w:t>
      </w:r>
      <w:r w:rsidR="001A1439">
        <w:t xml:space="preserve">outcomes </w:t>
      </w:r>
      <w:r w:rsidR="002816FD">
        <w:t>of the functions</w:t>
      </w:r>
      <w:r w:rsidR="00063D95">
        <w:t xml:space="preserve"> transferred</w:t>
      </w:r>
      <w:r w:rsidR="002816FD">
        <w:t>.</w:t>
      </w:r>
    </w:p>
    <w:p w14:paraId="52DEF9D9" w14:textId="4079C658" w:rsidR="0097665F" w:rsidRDefault="0097665F" w:rsidP="004D4D0F">
      <w:pPr>
        <w:pStyle w:val="ListNumber"/>
      </w:pPr>
      <w:r>
        <w:t>Agencies are to ensure sufficient resources are provided to support any function being transferred.</w:t>
      </w:r>
    </w:p>
    <w:p w14:paraId="49B600A9" w14:textId="010B2651" w:rsidR="00CC35EE" w:rsidRDefault="00164CE3" w:rsidP="004D4D0F">
      <w:pPr>
        <w:pStyle w:val="Heading3"/>
        <w:ind w:left="756" w:hanging="756"/>
      </w:pPr>
      <w:bookmarkStart w:id="12" w:name="_Toc175560453"/>
      <w:r>
        <w:t>In good faith</w:t>
      </w:r>
      <w:bookmarkEnd w:id="12"/>
    </w:p>
    <w:p w14:paraId="17F949E8" w14:textId="1D8438F9" w:rsidR="000D4DD6" w:rsidRPr="00645942" w:rsidRDefault="00632C9D" w:rsidP="004D4D0F">
      <w:pPr>
        <w:pStyle w:val="ListNumber"/>
        <w:tabs>
          <w:tab w:val="left" w:pos="6738"/>
        </w:tabs>
      </w:pPr>
      <w:r>
        <w:t>A</w:t>
      </w:r>
      <w:r w:rsidR="00164CE3">
        <w:t xml:space="preserve">gencies must conduct </w:t>
      </w:r>
      <w:r w:rsidR="000450BF">
        <w:t xml:space="preserve">discussions </w:t>
      </w:r>
      <w:r w:rsidR="00164CE3">
        <w:t>in good faith</w:t>
      </w:r>
      <w:r w:rsidR="009E33D9">
        <w:t xml:space="preserve">. </w:t>
      </w:r>
      <w:r w:rsidR="003055FC">
        <w:t xml:space="preserve">This implies </w:t>
      </w:r>
      <w:r w:rsidR="00AB3857">
        <w:t xml:space="preserve">fair, open and </w:t>
      </w:r>
      <w:r>
        <w:t xml:space="preserve">honest </w:t>
      </w:r>
      <w:r w:rsidR="000450BF">
        <w:t xml:space="preserve">discussion </w:t>
      </w:r>
      <w:r w:rsidR="00AB3857">
        <w:t>w</w:t>
      </w:r>
      <w:r w:rsidR="003055FC">
        <w:t>here</w:t>
      </w:r>
      <w:r w:rsidR="00AB3857">
        <w:t xml:space="preserve"> al</w:t>
      </w:r>
      <w:r w:rsidR="00F00565">
        <w:t xml:space="preserve">l </w:t>
      </w:r>
      <w:r w:rsidR="003055FC">
        <w:t xml:space="preserve">relevant </w:t>
      </w:r>
      <w:r w:rsidR="00F00565">
        <w:t xml:space="preserve">resources </w:t>
      </w:r>
      <w:r w:rsidR="00EA32D3">
        <w:t xml:space="preserve">and costs </w:t>
      </w:r>
      <w:r w:rsidR="00AB3857">
        <w:t xml:space="preserve">attached </w:t>
      </w:r>
      <w:r w:rsidR="00AB3857" w:rsidRPr="00645942">
        <w:t xml:space="preserve">to a function </w:t>
      </w:r>
      <w:r w:rsidR="003055FC" w:rsidRPr="00645942">
        <w:t xml:space="preserve">are </w:t>
      </w:r>
      <w:r w:rsidR="00AB3857" w:rsidRPr="00645942">
        <w:t>identified</w:t>
      </w:r>
      <w:r w:rsidR="009E33D9" w:rsidRPr="00645942">
        <w:t xml:space="preserve"> and made available to all </w:t>
      </w:r>
      <w:r w:rsidR="000450BF">
        <w:t xml:space="preserve">affected </w:t>
      </w:r>
      <w:r w:rsidR="009E33D9" w:rsidRPr="00645942">
        <w:t>agencies.</w:t>
      </w:r>
      <w:r w:rsidR="003055FC" w:rsidRPr="00645942">
        <w:t xml:space="preserve"> </w:t>
      </w:r>
    </w:p>
    <w:p w14:paraId="0C96374F" w14:textId="1608D8A6" w:rsidR="00CC35EE" w:rsidRPr="00645942" w:rsidRDefault="00D15D34" w:rsidP="004D4D0F">
      <w:pPr>
        <w:pStyle w:val="ListNumber"/>
        <w:tabs>
          <w:tab w:val="left" w:pos="6738"/>
        </w:tabs>
      </w:pPr>
      <w:r w:rsidRPr="00645942">
        <w:t xml:space="preserve">Examples of </w:t>
      </w:r>
      <w:r w:rsidR="00D6390D" w:rsidRPr="00645942">
        <w:t>r</w:t>
      </w:r>
      <w:r w:rsidR="00F00565" w:rsidRPr="00645942">
        <w:t xml:space="preserve">esources </w:t>
      </w:r>
      <w:r w:rsidR="00AB3857" w:rsidRPr="00645942">
        <w:t>and costs that should</w:t>
      </w:r>
      <w:r w:rsidR="00D6390D" w:rsidRPr="00645942">
        <w:t xml:space="preserve"> be identified </w:t>
      </w:r>
      <w:r w:rsidR="00F00565" w:rsidRPr="00645942">
        <w:t>i</w:t>
      </w:r>
      <w:r w:rsidR="00C56083" w:rsidRPr="00645942">
        <w:t>nclude:</w:t>
      </w:r>
    </w:p>
    <w:p w14:paraId="135256C5" w14:textId="4F74E15D" w:rsidR="00F00565" w:rsidRPr="00645942" w:rsidRDefault="00F00565" w:rsidP="004D4D0F">
      <w:pPr>
        <w:pStyle w:val="ListBullet"/>
      </w:pPr>
      <w:r w:rsidRPr="00645942">
        <w:t>budgets</w:t>
      </w:r>
    </w:p>
    <w:p w14:paraId="51F68E0B" w14:textId="0F8ACAD6" w:rsidR="00F00565" w:rsidRPr="00645942" w:rsidRDefault="00F00565" w:rsidP="004D4D0F">
      <w:pPr>
        <w:pStyle w:val="ListBullet"/>
      </w:pPr>
      <w:r w:rsidRPr="00645942">
        <w:t>assets and liabilities</w:t>
      </w:r>
    </w:p>
    <w:p w14:paraId="5A94329B" w14:textId="0C7CC7BB" w:rsidR="00F00565" w:rsidRPr="00645942" w:rsidRDefault="00C56083" w:rsidP="004D4D0F">
      <w:pPr>
        <w:pStyle w:val="ListBullet"/>
      </w:pPr>
      <w:r w:rsidRPr="00645942">
        <w:t>employee numbers</w:t>
      </w:r>
      <w:r w:rsidR="000450BF">
        <w:t xml:space="preserve"> and positions</w:t>
      </w:r>
      <w:r w:rsidRPr="00645942">
        <w:t>, pay and conditions, and details of employees on leave or temporarily reassigned</w:t>
      </w:r>
    </w:p>
    <w:p w14:paraId="55DAF479" w14:textId="6129FDD4" w:rsidR="00C56083" w:rsidRPr="00645942" w:rsidRDefault="00C56083" w:rsidP="004D4D0F">
      <w:pPr>
        <w:pStyle w:val="ListBullet"/>
      </w:pPr>
      <w:r w:rsidRPr="00645942">
        <w:t>contract registers</w:t>
      </w:r>
    </w:p>
    <w:p w14:paraId="5C10C2A8" w14:textId="28E4A6F8" w:rsidR="00C56083" w:rsidRPr="00645942" w:rsidRDefault="00C56083" w:rsidP="004D4D0F">
      <w:pPr>
        <w:pStyle w:val="ListBullet"/>
      </w:pPr>
      <w:r w:rsidRPr="00645942">
        <w:t>intellectual property</w:t>
      </w:r>
    </w:p>
    <w:p w14:paraId="66E64964" w14:textId="5E4D2EC5" w:rsidR="00C56083" w:rsidRPr="00645942" w:rsidRDefault="00C56083" w:rsidP="004D4D0F">
      <w:pPr>
        <w:pStyle w:val="ListBullet"/>
      </w:pPr>
      <w:r w:rsidRPr="00645942">
        <w:t>information and communication technology</w:t>
      </w:r>
    </w:p>
    <w:p w14:paraId="52082FDB" w14:textId="062FB3B5" w:rsidR="00C56083" w:rsidRPr="00645942" w:rsidRDefault="00C56083" w:rsidP="004D4D0F">
      <w:pPr>
        <w:pStyle w:val="ListBullet"/>
      </w:pPr>
      <w:r w:rsidRPr="00645942">
        <w:t>legislative responsibilities</w:t>
      </w:r>
    </w:p>
    <w:p w14:paraId="3636BF91" w14:textId="77777777" w:rsidR="00555D67" w:rsidRPr="00645942" w:rsidRDefault="00C56083" w:rsidP="004D4D0F">
      <w:pPr>
        <w:pStyle w:val="ListBullet"/>
      </w:pPr>
      <w:r w:rsidRPr="00645942">
        <w:t>contracts, licences, guarantees and indemnities, tax rulings, risks and compliance programs</w:t>
      </w:r>
    </w:p>
    <w:p w14:paraId="6F0DD6B5" w14:textId="72248CE8" w:rsidR="00C56083" w:rsidRPr="00645942" w:rsidRDefault="00555D67" w:rsidP="004D4D0F">
      <w:pPr>
        <w:pStyle w:val="ListBullet"/>
      </w:pPr>
      <w:proofErr w:type="gramStart"/>
      <w:r w:rsidRPr="00645942">
        <w:t>shared</w:t>
      </w:r>
      <w:proofErr w:type="gramEnd"/>
      <w:r w:rsidRPr="00645942">
        <w:t xml:space="preserve"> </w:t>
      </w:r>
      <w:r w:rsidR="00B31A87" w:rsidRPr="00645942">
        <w:t xml:space="preserve">corporate </w:t>
      </w:r>
      <w:r w:rsidRPr="00645942">
        <w:t>services that support the function</w:t>
      </w:r>
      <w:r w:rsidR="004E48DB" w:rsidRPr="00645942">
        <w:t>.</w:t>
      </w:r>
    </w:p>
    <w:p w14:paraId="4CBDF887" w14:textId="7D3573E2" w:rsidR="004E48DB" w:rsidRDefault="00925C41" w:rsidP="004D4D0F">
      <w:pPr>
        <w:pStyle w:val="ListBullet"/>
        <w:numPr>
          <w:ilvl w:val="0"/>
          <w:numId w:val="0"/>
        </w:numPr>
      </w:pPr>
      <w:r w:rsidRPr="00645942">
        <w:t>Where there are difficulties with clearly identifying resources or costs associated with a partial transfer of a function or program transfer, agencies must agree on a methodology for estimating t</w:t>
      </w:r>
      <w:r w:rsidR="004E48DB" w:rsidRPr="00645942">
        <w:t>hese resources</w:t>
      </w:r>
      <w:r w:rsidR="000A0317" w:rsidRPr="00645942">
        <w:t xml:space="preserve"> or costs</w:t>
      </w:r>
      <w:r w:rsidR="004E48DB" w:rsidRPr="00645942">
        <w:t xml:space="preserve">. </w:t>
      </w:r>
      <w:r w:rsidRPr="00645942">
        <w:t xml:space="preserve"> Section </w:t>
      </w:r>
      <w:r w:rsidR="003C3933" w:rsidRPr="00645942">
        <w:t>3.1.6</w:t>
      </w:r>
      <w:r w:rsidR="004E48DB" w:rsidRPr="00645942">
        <w:t xml:space="preserve"> </w:t>
      </w:r>
      <w:r w:rsidRPr="00645942">
        <w:t xml:space="preserve">provides examples of budget transfer methodologies </w:t>
      </w:r>
      <w:r w:rsidR="00BA73E9" w:rsidRPr="00645942">
        <w:t xml:space="preserve">which </w:t>
      </w:r>
      <w:r w:rsidRPr="00645942">
        <w:t>agencies</w:t>
      </w:r>
      <w:r w:rsidR="00BA73E9" w:rsidRPr="00645942">
        <w:t xml:space="preserve"> </w:t>
      </w:r>
      <w:r w:rsidR="000450BF">
        <w:t xml:space="preserve">can use </w:t>
      </w:r>
      <w:r>
        <w:t xml:space="preserve">for </w:t>
      </w:r>
      <w:r w:rsidR="000450BF">
        <w:t xml:space="preserve">agreeing </w:t>
      </w:r>
      <w:r>
        <w:t xml:space="preserve">transfers of budget. </w:t>
      </w:r>
    </w:p>
    <w:p w14:paraId="5D6A3BB8" w14:textId="46F98EA8" w:rsidR="006012BC" w:rsidRDefault="00A3387B" w:rsidP="004D4D0F">
      <w:pPr>
        <w:pStyle w:val="Heading3"/>
      </w:pPr>
      <w:bookmarkStart w:id="13" w:name="_Toc175560454"/>
      <w:r>
        <w:t>Key o</w:t>
      </w:r>
      <w:r w:rsidR="006012BC">
        <w:t xml:space="preserve">utcomes </w:t>
      </w:r>
      <w:r>
        <w:t xml:space="preserve">and decisions </w:t>
      </w:r>
      <w:r w:rsidR="006012BC">
        <w:t>clearly documented</w:t>
      </w:r>
      <w:bookmarkEnd w:id="13"/>
    </w:p>
    <w:p w14:paraId="5CE85FB4" w14:textId="3D6D0FC3" w:rsidR="000400C0" w:rsidRDefault="002A29BD" w:rsidP="004D4D0F">
      <w:pPr>
        <w:pStyle w:val="ListBullet"/>
        <w:numPr>
          <w:ilvl w:val="0"/>
          <w:numId w:val="0"/>
        </w:numPr>
      </w:pPr>
      <w:r>
        <w:t>A</w:t>
      </w:r>
      <w:r w:rsidR="00A3387B">
        <w:t xml:space="preserve">n agency </w:t>
      </w:r>
      <w:r>
        <w:t xml:space="preserve">must </w:t>
      </w:r>
      <w:r w:rsidR="00481912">
        <w:t xml:space="preserve">clearly document the outcomes </w:t>
      </w:r>
      <w:r w:rsidR="00A3387B">
        <w:t xml:space="preserve">and </w:t>
      </w:r>
      <w:r w:rsidR="000450BF">
        <w:t>reasoning it has agreed with the other agency</w:t>
      </w:r>
      <w:r w:rsidR="000400C0">
        <w:t>. This should include the following at a minimum:</w:t>
      </w:r>
    </w:p>
    <w:p w14:paraId="56CA17F6" w14:textId="77777777" w:rsidR="000400C0" w:rsidRDefault="000400C0" w:rsidP="004D4D0F">
      <w:pPr>
        <w:pStyle w:val="ListBullet"/>
        <w:numPr>
          <w:ilvl w:val="0"/>
          <w:numId w:val="24"/>
        </w:numPr>
      </w:pPr>
      <w:r>
        <w:t xml:space="preserve">a description of what parties have agreed to transfer </w:t>
      </w:r>
    </w:p>
    <w:p w14:paraId="22223C88" w14:textId="77777777" w:rsidR="000400C0" w:rsidRDefault="000400C0" w:rsidP="004D4D0F">
      <w:pPr>
        <w:pStyle w:val="ListBullet"/>
        <w:numPr>
          <w:ilvl w:val="0"/>
          <w:numId w:val="24"/>
        </w:numPr>
      </w:pPr>
      <w:r>
        <w:t>total amounts to be transferred</w:t>
      </w:r>
    </w:p>
    <w:p w14:paraId="572D1966" w14:textId="77777777" w:rsidR="000400C0" w:rsidRDefault="000400C0" w:rsidP="004D4D0F">
      <w:pPr>
        <w:pStyle w:val="ListBullet"/>
        <w:numPr>
          <w:ilvl w:val="0"/>
          <w:numId w:val="24"/>
        </w:numPr>
      </w:pPr>
      <w:r>
        <w:t>methodologies used in determining the transfer amount</w:t>
      </w:r>
    </w:p>
    <w:p w14:paraId="3617C6E5" w14:textId="0197140B" w:rsidR="006012BC" w:rsidRDefault="000400C0" w:rsidP="004D4D0F">
      <w:pPr>
        <w:pStyle w:val="ListBullet"/>
        <w:numPr>
          <w:ilvl w:val="0"/>
          <w:numId w:val="24"/>
        </w:numPr>
      </w:pPr>
      <w:proofErr w:type="gramStart"/>
      <w:r>
        <w:t>when</w:t>
      </w:r>
      <w:proofErr w:type="gramEnd"/>
      <w:r>
        <w:t xml:space="preserve"> transfers are to occur. </w:t>
      </w:r>
    </w:p>
    <w:p w14:paraId="23F2D0FB" w14:textId="400A45C2" w:rsidR="00A3387B" w:rsidRDefault="000400C0" w:rsidP="004D4D0F">
      <w:pPr>
        <w:pStyle w:val="ListBullet"/>
        <w:numPr>
          <w:ilvl w:val="0"/>
          <w:numId w:val="0"/>
        </w:numPr>
      </w:pPr>
      <w:r>
        <w:t>Where agencies are unable to come to a complete agreement, they must still clearly document any positions agreed on by all parties to assist</w:t>
      </w:r>
      <w:r w:rsidR="00041C7C">
        <w:t xml:space="preserve"> with a d</w:t>
      </w:r>
      <w:r w:rsidR="00A3387B">
        <w:t>ispute resolution</w:t>
      </w:r>
      <w:r w:rsidR="00041C7C">
        <w:t xml:space="preserve"> process</w:t>
      </w:r>
      <w:r>
        <w:t>, should it be required.</w:t>
      </w:r>
    </w:p>
    <w:p w14:paraId="142801B6" w14:textId="60A9A325" w:rsidR="00D6390D" w:rsidRDefault="00194580" w:rsidP="004D4D0F">
      <w:pPr>
        <w:pStyle w:val="Heading3"/>
      </w:pPr>
      <w:bookmarkStart w:id="14" w:name="_Toc175560455"/>
      <w:r>
        <w:t>Time</w:t>
      </w:r>
      <w:r w:rsidR="00887644">
        <w:t>frame</w:t>
      </w:r>
      <w:r>
        <w:t xml:space="preserve"> for </w:t>
      </w:r>
      <w:r w:rsidR="000450BF">
        <w:t>agreement</w:t>
      </w:r>
      <w:bookmarkEnd w:id="14"/>
    </w:p>
    <w:p w14:paraId="765C2097" w14:textId="345FE9EF" w:rsidR="00887644" w:rsidRPr="00645942" w:rsidRDefault="0023585E" w:rsidP="004D4D0F">
      <w:pPr>
        <w:pStyle w:val="ListNumber"/>
      </w:pPr>
      <w:r>
        <w:t xml:space="preserve">Given </w:t>
      </w:r>
      <w:r w:rsidR="00610597">
        <w:t>MoG</w:t>
      </w:r>
      <w:r>
        <w:t xml:space="preserve"> changes can occur at any time, </w:t>
      </w:r>
      <w:r w:rsidR="00496D61">
        <w:t xml:space="preserve">discussions </w:t>
      </w:r>
      <w:r w:rsidR="00784FC1" w:rsidRPr="00645942">
        <w:t xml:space="preserve">should be conducted as soon as possible to ensure </w:t>
      </w:r>
      <w:r w:rsidR="00887644" w:rsidRPr="00645942">
        <w:t xml:space="preserve">sufficient time is </w:t>
      </w:r>
      <w:r w:rsidR="00FA5BC9" w:rsidRPr="00645942">
        <w:t xml:space="preserve">given </w:t>
      </w:r>
      <w:r w:rsidR="00887644" w:rsidRPr="00645942">
        <w:t xml:space="preserve">to </w:t>
      </w:r>
      <w:r w:rsidR="00FA5BC9" w:rsidRPr="00645942">
        <w:t>agree on</w:t>
      </w:r>
      <w:r w:rsidR="00887644" w:rsidRPr="00645942">
        <w:t xml:space="preserve"> function transfers</w:t>
      </w:r>
      <w:r w:rsidRPr="00645942">
        <w:t xml:space="preserve"> and meet agency reporting requirements</w:t>
      </w:r>
      <w:r w:rsidR="00887644" w:rsidRPr="00645942">
        <w:t>.</w:t>
      </w:r>
    </w:p>
    <w:p w14:paraId="72F30533" w14:textId="1153154D" w:rsidR="00FA5BC9" w:rsidRPr="00645942" w:rsidRDefault="00FA5BC9" w:rsidP="004D4D0F">
      <w:pPr>
        <w:pStyle w:val="ListNumber"/>
      </w:pPr>
      <w:r w:rsidRPr="00645942">
        <w:t xml:space="preserve">Agencies impacted by </w:t>
      </w:r>
      <w:r w:rsidR="000450BF">
        <w:t xml:space="preserve">a MoG change </w:t>
      </w:r>
      <w:r w:rsidR="008F1BB0" w:rsidRPr="00645942">
        <w:t xml:space="preserve">must agree on the amount and methodology for budget transfers </w:t>
      </w:r>
      <w:r w:rsidRPr="00645942">
        <w:t xml:space="preserve">within 30 days from the </w:t>
      </w:r>
      <w:r w:rsidR="007C4DA0" w:rsidRPr="00645942">
        <w:t>commencement</w:t>
      </w:r>
      <w:r w:rsidRPr="00645942">
        <w:t xml:space="preserve"> date of the </w:t>
      </w:r>
      <w:r w:rsidR="007C4DA0" w:rsidRPr="00645942">
        <w:t>revised A</w:t>
      </w:r>
      <w:r w:rsidRPr="00645942">
        <w:t>dministrative</w:t>
      </w:r>
      <w:r w:rsidR="007C4DA0" w:rsidRPr="00645942">
        <w:t xml:space="preserve"> Arrangements Order</w:t>
      </w:r>
      <w:r w:rsidR="000450BF">
        <w:t xml:space="preserve"> or as soon as practicable for all other transfers</w:t>
      </w:r>
      <w:r w:rsidR="00CE791F" w:rsidRPr="00645942">
        <w:t>.</w:t>
      </w:r>
    </w:p>
    <w:p w14:paraId="3BD982D0" w14:textId="13355882" w:rsidR="00784FC1" w:rsidRPr="00645942" w:rsidRDefault="0014292D" w:rsidP="004D4D0F">
      <w:pPr>
        <w:pStyle w:val="Heading3"/>
      </w:pPr>
      <w:bookmarkStart w:id="15" w:name="_Toc175560456"/>
      <w:r w:rsidRPr="00645942">
        <w:t>D</w:t>
      </w:r>
      <w:r w:rsidR="00FA5BC9" w:rsidRPr="00645942">
        <w:t>ispute resolution</w:t>
      </w:r>
      <w:bookmarkEnd w:id="15"/>
      <w:r w:rsidRPr="00645942">
        <w:t xml:space="preserve"> </w:t>
      </w:r>
    </w:p>
    <w:p w14:paraId="423FCF3A" w14:textId="4E7BD7FC" w:rsidR="00050036" w:rsidRPr="00645942" w:rsidRDefault="00876F54" w:rsidP="004D4D0F">
      <w:pPr>
        <w:pStyle w:val="ListNumber"/>
      </w:pPr>
      <w:r w:rsidRPr="00645942">
        <w:t>Agencies are encouraged to reach an agreement for</w:t>
      </w:r>
      <w:r w:rsidR="000450BF">
        <w:t xml:space="preserve"> staff, asset and budget transfer relating to</w:t>
      </w:r>
      <w:r w:rsidRPr="00645942">
        <w:t xml:space="preserve"> </w:t>
      </w:r>
      <w:r w:rsidR="00610597" w:rsidRPr="00645942">
        <w:t>MoG</w:t>
      </w:r>
      <w:r w:rsidR="009C1B1A" w:rsidRPr="00645942">
        <w:t xml:space="preserve"> change</w:t>
      </w:r>
      <w:r w:rsidR="000450BF">
        <w:t>s</w:t>
      </w:r>
      <w:r w:rsidR="009C1B1A" w:rsidRPr="00645942">
        <w:t xml:space="preserve"> </w:t>
      </w:r>
      <w:r w:rsidR="00050036" w:rsidRPr="00645942">
        <w:t>independently, however, where this is not possible, the Department of Treasury and Finance</w:t>
      </w:r>
      <w:r w:rsidR="009621EC" w:rsidRPr="00645942">
        <w:t xml:space="preserve"> (DTF)</w:t>
      </w:r>
      <w:r w:rsidR="00050036" w:rsidRPr="00645942">
        <w:t xml:space="preserve"> </w:t>
      </w:r>
      <w:r w:rsidR="00F40685" w:rsidRPr="00645942">
        <w:t xml:space="preserve">may </w:t>
      </w:r>
      <w:r w:rsidR="00050036" w:rsidRPr="00645942">
        <w:t>be engaged as an independent arbitrator.</w:t>
      </w:r>
    </w:p>
    <w:p w14:paraId="0080C1B1" w14:textId="0F888D1C" w:rsidR="00FA5BC9" w:rsidRPr="00645942" w:rsidRDefault="00C97774" w:rsidP="004D4D0F">
      <w:pPr>
        <w:pStyle w:val="ListNumber"/>
      </w:pPr>
      <w:r w:rsidRPr="00645942">
        <w:t>Agencies must notify the Under Treasurer</w:t>
      </w:r>
      <w:r w:rsidR="00610597" w:rsidRPr="00645942">
        <w:t xml:space="preserve"> as soon as practicable where they cannot reach an agreement for budget and actual transfers within timeframes stipulated in the </w:t>
      </w:r>
      <w:r w:rsidR="003F2E83" w:rsidRPr="00645942">
        <w:t>TD</w:t>
      </w:r>
      <w:r w:rsidR="00F40685" w:rsidRPr="00645942">
        <w:t xml:space="preserve"> – Machinery of government changes</w:t>
      </w:r>
      <w:r w:rsidR="00610597" w:rsidRPr="00645942">
        <w:t xml:space="preserve">. </w:t>
      </w:r>
      <w:r w:rsidR="00F23A03" w:rsidRPr="00645942">
        <w:t xml:space="preserve"> </w:t>
      </w:r>
      <w:r w:rsidR="000450BF">
        <w:t>T</w:t>
      </w:r>
      <w:r w:rsidR="001C7E93" w:rsidRPr="00645942">
        <w:t xml:space="preserve">he </w:t>
      </w:r>
      <w:r w:rsidR="007B0C98" w:rsidRPr="00645942">
        <w:t xml:space="preserve">Under Treasurer will </w:t>
      </w:r>
      <w:r w:rsidR="006C41DD" w:rsidRPr="00645942">
        <w:t>make a</w:t>
      </w:r>
      <w:r w:rsidR="004665A7" w:rsidRPr="00645942">
        <w:t xml:space="preserve"> binding </w:t>
      </w:r>
      <w:r w:rsidR="000450BF">
        <w:t xml:space="preserve">decision </w:t>
      </w:r>
      <w:r w:rsidR="006C41DD" w:rsidRPr="00645942">
        <w:t xml:space="preserve">on the </w:t>
      </w:r>
      <w:r w:rsidR="000450BF">
        <w:t>transfer</w:t>
      </w:r>
      <w:r w:rsidR="007B0C98" w:rsidRPr="00645942">
        <w:t>.</w:t>
      </w:r>
    </w:p>
    <w:p w14:paraId="1F674203" w14:textId="6B732C13" w:rsidR="0043298D" w:rsidRPr="00645942" w:rsidRDefault="001C7E93" w:rsidP="004D4D0F">
      <w:pPr>
        <w:pStyle w:val="ListNumber"/>
      </w:pPr>
      <w:r w:rsidRPr="00645942">
        <w:t xml:space="preserve">Where the Under Treasurer intervenes to make a binding </w:t>
      </w:r>
      <w:r w:rsidR="000450BF">
        <w:t xml:space="preserve">decision </w:t>
      </w:r>
      <w:r w:rsidR="007D3E21" w:rsidRPr="00645942">
        <w:t>for budget</w:t>
      </w:r>
      <w:r w:rsidR="00C97774" w:rsidRPr="00645942">
        <w:t xml:space="preserve"> and or actuals </w:t>
      </w:r>
      <w:r w:rsidR="007D3E21" w:rsidRPr="00645942">
        <w:t>transfer amounts</w:t>
      </w:r>
      <w:r w:rsidR="00D40A3C" w:rsidRPr="00645942">
        <w:t xml:space="preserve">, </w:t>
      </w:r>
      <w:r w:rsidR="0076211E" w:rsidRPr="00645942">
        <w:t>affected agencies will be asked to supply relevant information to assist the Under Treasurer to make this</w:t>
      </w:r>
      <w:r w:rsidR="000450BF">
        <w:t xml:space="preserve"> decision</w:t>
      </w:r>
      <w:r w:rsidR="0076211E" w:rsidRPr="00645942">
        <w:t xml:space="preserve">. </w:t>
      </w:r>
      <w:r w:rsidR="00B30640" w:rsidRPr="00645942">
        <w:t xml:space="preserve">Agencies </w:t>
      </w:r>
      <w:r w:rsidRPr="00645942">
        <w:t>must provide information within the timeframe specified in the request</w:t>
      </w:r>
      <w:r w:rsidR="0076211E" w:rsidRPr="00645942">
        <w:t xml:space="preserve"> from </w:t>
      </w:r>
      <w:r w:rsidR="00C97774" w:rsidRPr="00645942">
        <w:t xml:space="preserve">DTF </w:t>
      </w:r>
      <w:r w:rsidR="0076211E" w:rsidRPr="00645942">
        <w:t xml:space="preserve">to ensure the </w:t>
      </w:r>
      <w:r w:rsidR="00E25E16">
        <w:t>decision can be</w:t>
      </w:r>
      <w:r w:rsidR="00411BAD" w:rsidRPr="00645942">
        <w:t xml:space="preserve"> based on adequate information, noting</w:t>
      </w:r>
      <w:r w:rsidR="00FA28FB" w:rsidRPr="00645942">
        <w:t xml:space="preserve"> t</w:t>
      </w:r>
      <w:r w:rsidR="000450BF">
        <w:t>hat the strength of each agency’</w:t>
      </w:r>
      <w:r w:rsidR="00FA28FB" w:rsidRPr="00645942">
        <w:t xml:space="preserve">s case is dependent on the quality of </w:t>
      </w:r>
      <w:r w:rsidR="007C4944" w:rsidRPr="00645942">
        <w:t xml:space="preserve">supporting </w:t>
      </w:r>
      <w:r w:rsidR="00FA28FB" w:rsidRPr="00645942">
        <w:t>information provided</w:t>
      </w:r>
      <w:r w:rsidR="00DA034F" w:rsidRPr="00645942">
        <w:t>.</w:t>
      </w:r>
      <w:r w:rsidR="00FA28FB" w:rsidRPr="00645942">
        <w:t xml:space="preserve"> </w:t>
      </w:r>
      <w:r w:rsidR="00DA034F" w:rsidRPr="00645942">
        <w:t xml:space="preserve"> Information provided may </w:t>
      </w:r>
      <w:r w:rsidR="0076211E" w:rsidRPr="00645942">
        <w:t>include resources and costs identified in good faith outlined in section 3.</w:t>
      </w:r>
      <w:r w:rsidR="009621EC" w:rsidRPr="00645942">
        <w:t>1</w:t>
      </w:r>
      <w:r w:rsidR="0076211E" w:rsidRPr="00645942">
        <w:t>.2 and documentation on what has been agreed by parties during earlier</w:t>
      </w:r>
      <w:r w:rsidR="00E25E16">
        <w:t xml:space="preserve"> discussions</w:t>
      </w:r>
      <w:r w:rsidR="0076211E" w:rsidRPr="00645942">
        <w:t>, if any.</w:t>
      </w:r>
    </w:p>
    <w:p w14:paraId="797A404D" w14:textId="77777777" w:rsidR="00811038" w:rsidRPr="00645942" w:rsidRDefault="00811038" w:rsidP="004D4D0F">
      <w:pPr>
        <w:pStyle w:val="Heading3"/>
      </w:pPr>
      <w:bookmarkStart w:id="16" w:name="_Toc175560457"/>
      <w:r w:rsidRPr="00645942">
        <w:t>Budget transfer methodologies</w:t>
      </w:r>
      <w:bookmarkEnd w:id="16"/>
    </w:p>
    <w:p w14:paraId="764099EC" w14:textId="3C159BBF" w:rsidR="00811038" w:rsidRDefault="00E25E16" w:rsidP="004D4D0F">
      <w:pPr>
        <w:pStyle w:val="ListNumber"/>
        <w:tabs>
          <w:tab w:val="left" w:pos="6738"/>
        </w:tabs>
      </w:pPr>
      <w:r>
        <w:t>T</w:t>
      </w:r>
      <w:r w:rsidR="00BF08AC" w:rsidRPr="00645942">
        <w:t>he</w:t>
      </w:r>
      <w:r w:rsidR="00897A35" w:rsidRPr="00645942">
        <w:t xml:space="preserve"> table below lists a number of methodologies</w:t>
      </w:r>
      <w:r>
        <w:t xml:space="preserve"> that could be used for determining the budget amounts to be transferred.</w:t>
      </w:r>
      <w:r w:rsidR="00897A35" w:rsidRPr="00645942">
        <w:t xml:space="preserve"> </w:t>
      </w:r>
      <w:r w:rsidR="004E470A" w:rsidRPr="00645942">
        <w:t>Where actual resources</w:t>
      </w:r>
      <w:r w:rsidR="008F143E" w:rsidRPr="00645942">
        <w:t xml:space="preserve"> or costs</w:t>
      </w:r>
      <w:r w:rsidR="004E470A" w:rsidRPr="00645942">
        <w:t xml:space="preserve"> can be</w:t>
      </w:r>
      <w:r w:rsidR="00E81E4F" w:rsidRPr="00645942">
        <w:t xml:space="preserve"> reliably </w:t>
      </w:r>
      <w:r w:rsidR="004E470A" w:rsidRPr="00645942">
        <w:t>determined, agencies should rely on these</w:t>
      </w:r>
      <w:r w:rsidR="00E81E4F" w:rsidRPr="00645942">
        <w:t xml:space="preserve"> as a basis for allocating resources</w:t>
      </w:r>
      <w:r w:rsidR="008F143E" w:rsidRPr="00645942">
        <w:t xml:space="preserve"> or costs</w:t>
      </w:r>
      <w:r w:rsidR="00E81E4F" w:rsidRPr="00645942">
        <w:t xml:space="preserve"> over the use of estimates</w:t>
      </w:r>
      <w:r w:rsidR="00C422E2">
        <w:t xml:space="preserve"> and ensure that budget transferred is no less than actual costs.</w:t>
      </w:r>
    </w:p>
    <w:tbl>
      <w:tblPr>
        <w:tblStyle w:val="NTGtable"/>
        <w:tblW w:w="10343" w:type="dxa"/>
        <w:tblInd w:w="0" w:type="dxa"/>
        <w:tblLook w:val="04A0" w:firstRow="1" w:lastRow="0" w:firstColumn="1" w:lastColumn="0" w:noHBand="0" w:noVBand="1"/>
      </w:tblPr>
      <w:tblGrid>
        <w:gridCol w:w="2122"/>
        <w:gridCol w:w="2126"/>
        <w:gridCol w:w="6095"/>
      </w:tblGrid>
      <w:tr w:rsidR="00811038" w14:paraId="093858A3" w14:textId="77777777" w:rsidTr="00F66DE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1F1F5F" w:themeColor="text1"/>
              <w:left w:val="single" w:sz="4" w:space="0" w:color="1F1F5F" w:themeColor="text1"/>
              <w:bottom w:val="nil"/>
              <w:right w:val="single" w:sz="4" w:space="0" w:color="1F1F5F" w:themeColor="text1"/>
            </w:tcBorders>
          </w:tcPr>
          <w:p w14:paraId="275DFCC1" w14:textId="77777777" w:rsidR="00811038" w:rsidRDefault="00811038" w:rsidP="004D4D0F">
            <w:pPr>
              <w:pStyle w:val="ListNumber"/>
              <w:spacing w:before="60" w:beforeAutospacing="0" w:after="60" w:afterAutospacing="0"/>
              <w:rPr>
                <w:b w:val="0"/>
                <w:szCs w:val="20"/>
                <w:lang w:eastAsia="en-AU"/>
              </w:rPr>
            </w:pPr>
            <w:r>
              <w:rPr>
                <w:b w:val="0"/>
                <w:szCs w:val="20"/>
                <w:lang w:eastAsia="en-AU"/>
              </w:rPr>
              <w:t>Transaction type</w:t>
            </w:r>
          </w:p>
        </w:tc>
        <w:tc>
          <w:tcPr>
            <w:tcW w:w="2126" w:type="dxa"/>
            <w:tcBorders>
              <w:top w:val="single" w:sz="4" w:space="0" w:color="1F1F5F" w:themeColor="text1"/>
              <w:left w:val="single" w:sz="4" w:space="0" w:color="1F1F5F" w:themeColor="text1"/>
              <w:bottom w:val="nil"/>
              <w:right w:val="single" w:sz="4" w:space="0" w:color="1F1F5F" w:themeColor="text1"/>
            </w:tcBorders>
          </w:tcPr>
          <w:p w14:paraId="5BB64211" w14:textId="77777777" w:rsidR="00811038" w:rsidRDefault="00811038" w:rsidP="004D4D0F">
            <w:pPr>
              <w:pStyle w:val="ListNumbe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b w:val="0"/>
                <w:szCs w:val="20"/>
                <w:lang w:eastAsia="en-AU"/>
              </w:rPr>
            </w:pPr>
            <w:r>
              <w:rPr>
                <w:b w:val="0"/>
                <w:szCs w:val="20"/>
                <w:lang w:eastAsia="en-AU"/>
              </w:rPr>
              <w:t>Components</w:t>
            </w:r>
          </w:p>
        </w:tc>
        <w:tc>
          <w:tcPr>
            <w:tcW w:w="6095" w:type="dxa"/>
            <w:tcBorders>
              <w:top w:val="single" w:sz="4" w:space="0" w:color="1F1F5F" w:themeColor="text1"/>
              <w:left w:val="single" w:sz="4" w:space="0" w:color="1F1F5F" w:themeColor="text1"/>
              <w:bottom w:val="nil"/>
              <w:right w:val="single" w:sz="4" w:space="0" w:color="1F1F5F" w:themeColor="text1"/>
            </w:tcBorders>
          </w:tcPr>
          <w:p w14:paraId="7A116ABA" w14:textId="77777777" w:rsidR="00811038" w:rsidRDefault="00811038" w:rsidP="004D4D0F">
            <w:pPr>
              <w:pStyle w:val="ListNumbe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b w:val="0"/>
                <w:szCs w:val="20"/>
                <w:lang w:eastAsia="en-AU"/>
              </w:rPr>
            </w:pPr>
            <w:r>
              <w:rPr>
                <w:b w:val="0"/>
                <w:szCs w:val="20"/>
                <w:lang w:eastAsia="en-AU"/>
              </w:rPr>
              <w:t>Methodology</w:t>
            </w:r>
          </w:p>
        </w:tc>
      </w:tr>
      <w:tr w:rsidR="00811038" w14:paraId="5D18789B"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51AD0A74" w14:textId="77777777" w:rsidR="00811038" w:rsidRDefault="00811038" w:rsidP="004D4D0F">
            <w:pPr>
              <w:pStyle w:val="ListNumber"/>
              <w:spacing w:before="60" w:after="60"/>
              <w:rPr>
                <w:szCs w:val="20"/>
                <w:lang w:eastAsia="en-AU"/>
              </w:rPr>
            </w:pPr>
            <w:r>
              <w:rPr>
                <w:szCs w:val="20"/>
                <w:lang w:eastAsia="en-AU"/>
              </w:rPr>
              <w:t>Transfer of position</w:t>
            </w:r>
          </w:p>
        </w:tc>
        <w:tc>
          <w:tcPr>
            <w:tcW w:w="2126" w:type="dxa"/>
            <w:tcBorders>
              <w:top w:val="nil"/>
              <w:left w:val="single" w:sz="4" w:space="0" w:color="1F1F5F" w:themeColor="text1"/>
              <w:bottom w:val="nil"/>
              <w:right w:val="single" w:sz="4" w:space="0" w:color="1F1F5F" w:themeColor="text1"/>
            </w:tcBorders>
          </w:tcPr>
          <w:p w14:paraId="7676E88B"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Salary</w:t>
            </w:r>
          </w:p>
        </w:tc>
        <w:tc>
          <w:tcPr>
            <w:tcW w:w="6095" w:type="dxa"/>
            <w:tcBorders>
              <w:top w:val="nil"/>
              <w:left w:val="single" w:sz="4" w:space="0" w:color="1F1F5F" w:themeColor="text1"/>
              <w:bottom w:val="nil"/>
              <w:right w:val="single" w:sz="4" w:space="0" w:color="1F1F5F" w:themeColor="text1"/>
            </w:tcBorders>
          </w:tcPr>
          <w:p w14:paraId="4AC4059F"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Actual salary for occupied position</w:t>
            </w:r>
          </w:p>
        </w:tc>
      </w:tr>
      <w:tr w:rsidR="00811038" w14:paraId="7A4052E7" w14:textId="77777777" w:rsidTr="00F66DE9">
        <w:trPr>
          <w:cnfStyle w:val="000000010000" w:firstRow="0" w:lastRow="0" w:firstColumn="0" w:lastColumn="0" w:oddVBand="0" w:evenVBand="0" w:oddHBand="0" w:evenHBand="1" w:firstRowFirstColumn="0" w:firstRowLastColumn="0" w:lastRowFirstColumn="0" w:lastRowLastColumn="0"/>
          <w:cantSplit/>
          <w:trHeight w:val="376"/>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0ED7B5F7" w14:textId="77777777" w:rsidR="00811038" w:rsidRDefault="00811038" w:rsidP="004D4D0F">
            <w:pPr>
              <w:rPr>
                <w:szCs w:val="20"/>
                <w:lang w:eastAsia="en-AU"/>
              </w:rPr>
            </w:pPr>
          </w:p>
        </w:tc>
        <w:tc>
          <w:tcPr>
            <w:tcW w:w="2126" w:type="dxa"/>
            <w:tcBorders>
              <w:top w:val="nil"/>
              <w:left w:val="single" w:sz="4" w:space="0" w:color="1F1F5F" w:themeColor="text1"/>
              <w:bottom w:val="nil"/>
              <w:right w:val="single" w:sz="4" w:space="0" w:color="1F1F5F" w:themeColor="text1"/>
            </w:tcBorders>
          </w:tcPr>
          <w:p w14:paraId="046C8E8A"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Salary</w:t>
            </w:r>
          </w:p>
        </w:tc>
        <w:tc>
          <w:tcPr>
            <w:tcW w:w="6095" w:type="dxa"/>
            <w:tcBorders>
              <w:top w:val="nil"/>
              <w:left w:val="single" w:sz="4" w:space="0" w:color="1F1F5F" w:themeColor="text1"/>
              <w:bottom w:val="nil"/>
              <w:right w:val="single" w:sz="4" w:space="0" w:color="1F1F5F" w:themeColor="text1"/>
            </w:tcBorders>
          </w:tcPr>
          <w:p w14:paraId="53A4F463"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Mid-range salary of designation for unoccupied position</w:t>
            </w:r>
          </w:p>
        </w:tc>
      </w:tr>
      <w:tr w:rsidR="00811038" w14:paraId="0E53573C"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10B95910"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319A7914"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Salary</w:t>
            </w:r>
          </w:p>
        </w:tc>
        <w:tc>
          <w:tcPr>
            <w:tcW w:w="6095" w:type="dxa"/>
            <w:tcBorders>
              <w:top w:val="nil"/>
              <w:left w:val="single" w:sz="4" w:space="0" w:color="1F1F5F" w:themeColor="text1"/>
              <w:bottom w:val="nil"/>
              <w:right w:val="single" w:sz="4" w:space="0" w:color="1F1F5F" w:themeColor="text1"/>
            </w:tcBorders>
          </w:tcPr>
          <w:p w14:paraId="0E23CBEF" w14:textId="5DC588AE"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 xml:space="preserve">Proportion of total personnel budget that reflects proportion of total </w:t>
            </w:r>
            <w:r w:rsidR="006A2BF7">
              <w:rPr>
                <w:szCs w:val="20"/>
                <w:lang w:eastAsia="en-AU"/>
              </w:rPr>
              <w:t>full-t</w:t>
            </w:r>
            <w:r w:rsidR="003647C4">
              <w:rPr>
                <w:szCs w:val="20"/>
                <w:lang w:eastAsia="en-AU"/>
              </w:rPr>
              <w:t xml:space="preserve">ime </w:t>
            </w:r>
            <w:r w:rsidR="006A2BF7">
              <w:rPr>
                <w:szCs w:val="20"/>
                <w:lang w:eastAsia="en-AU"/>
              </w:rPr>
              <w:t xml:space="preserve">equivalent </w:t>
            </w:r>
            <w:r w:rsidR="003647C4">
              <w:rPr>
                <w:szCs w:val="20"/>
                <w:lang w:eastAsia="en-AU"/>
              </w:rPr>
              <w:t>(FTE)</w:t>
            </w:r>
            <w:r>
              <w:rPr>
                <w:szCs w:val="20"/>
                <w:lang w:eastAsia="en-AU"/>
              </w:rPr>
              <w:t xml:space="preserve"> to be transferred</w:t>
            </w:r>
          </w:p>
        </w:tc>
      </w:tr>
      <w:tr w:rsidR="00811038" w14:paraId="7DA203B6" w14:textId="77777777" w:rsidTr="00F66D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2E46503F"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5A81443F"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Personnel on</w:t>
            </w:r>
            <w:r>
              <w:rPr>
                <w:szCs w:val="20"/>
                <w:lang w:eastAsia="en-AU"/>
              </w:rPr>
              <w:softHyphen/>
            </w:r>
            <w:r>
              <w:rPr>
                <w:szCs w:val="20"/>
                <w:lang w:eastAsia="en-AU"/>
              </w:rPr>
              <w:softHyphen/>
            </w:r>
            <w:r>
              <w:rPr>
                <w:szCs w:val="20"/>
                <w:lang w:eastAsia="en-AU"/>
              </w:rPr>
              <w:noBreakHyphen/>
              <w:t>costs</w:t>
            </w:r>
          </w:p>
        </w:tc>
        <w:tc>
          <w:tcPr>
            <w:tcW w:w="6095" w:type="dxa"/>
            <w:tcBorders>
              <w:top w:val="nil"/>
              <w:left w:val="single" w:sz="4" w:space="0" w:color="1F1F5F" w:themeColor="text1"/>
              <w:bottom w:val="nil"/>
              <w:right w:val="single" w:sz="4" w:space="0" w:color="1F1F5F" w:themeColor="text1"/>
            </w:tcBorders>
          </w:tcPr>
          <w:p w14:paraId="2C240A0B"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Percentage of salary to cover payroll tax, superannuation and other relevant allowances</w:t>
            </w:r>
          </w:p>
        </w:tc>
      </w:tr>
      <w:tr w:rsidR="00811038" w14:paraId="3A7CD639"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4B755467"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6F33D3D9"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Personnel on</w:t>
            </w:r>
            <w:r>
              <w:rPr>
                <w:szCs w:val="20"/>
                <w:lang w:eastAsia="en-AU"/>
              </w:rPr>
              <w:softHyphen/>
            </w:r>
            <w:r>
              <w:rPr>
                <w:szCs w:val="20"/>
                <w:lang w:eastAsia="en-AU"/>
              </w:rPr>
              <w:softHyphen/>
            </w:r>
            <w:r>
              <w:rPr>
                <w:szCs w:val="20"/>
                <w:lang w:eastAsia="en-AU"/>
              </w:rPr>
              <w:noBreakHyphen/>
              <w:t>costs</w:t>
            </w:r>
          </w:p>
        </w:tc>
        <w:tc>
          <w:tcPr>
            <w:tcW w:w="6095" w:type="dxa"/>
            <w:tcBorders>
              <w:top w:val="nil"/>
              <w:left w:val="single" w:sz="4" w:space="0" w:color="1F1F5F" w:themeColor="text1"/>
              <w:bottom w:val="nil"/>
              <w:right w:val="single" w:sz="4" w:space="0" w:color="1F1F5F" w:themeColor="text1"/>
            </w:tcBorders>
          </w:tcPr>
          <w:p w14:paraId="32532345" w14:textId="039E92CB"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15 to 20 per</w:t>
            </w:r>
            <w:r w:rsidR="006A2BF7">
              <w:rPr>
                <w:szCs w:val="20"/>
                <w:lang w:eastAsia="en-AU"/>
              </w:rPr>
              <w:t xml:space="preserve"> </w:t>
            </w:r>
            <w:r>
              <w:rPr>
                <w:szCs w:val="20"/>
                <w:lang w:eastAsia="en-AU"/>
              </w:rPr>
              <w:t>cent of salary</w:t>
            </w:r>
          </w:p>
        </w:tc>
      </w:tr>
      <w:tr w:rsidR="00811038" w14:paraId="36557006" w14:textId="77777777" w:rsidTr="00F66D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62331F79"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5E4B4BD5" w14:textId="2F33AAA0"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 xml:space="preserve">Salary </w:t>
            </w:r>
            <w:r w:rsidR="006A2BF7">
              <w:rPr>
                <w:szCs w:val="20"/>
                <w:lang w:eastAsia="en-AU"/>
              </w:rPr>
              <w:t xml:space="preserve">and personnel </w:t>
            </w:r>
            <w:r>
              <w:rPr>
                <w:szCs w:val="20"/>
                <w:lang w:eastAsia="en-AU"/>
              </w:rPr>
              <w:t>on</w:t>
            </w:r>
            <w:r>
              <w:rPr>
                <w:szCs w:val="20"/>
                <w:lang w:eastAsia="en-AU"/>
              </w:rPr>
              <w:softHyphen/>
            </w:r>
            <w:r>
              <w:rPr>
                <w:szCs w:val="20"/>
                <w:lang w:eastAsia="en-AU"/>
              </w:rPr>
              <w:softHyphen/>
            </w:r>
            <w:r>
              <w:rPr>
                <w:szCs w:val="20"/>
                <w:lang w:eastAsia="en-AU"/>
              </w:rPr>
              <w:noBreakHyphen/>
              <w:t>costs</w:t>
            </w:r>
          </w:p>
        </w:tc>
        <w:tc>
          <w:tcPr>
            <w:tcW w:w="6095" w:type="dxa"/>
            <w:tcBorders>
              <w:top w:val="nil"/>
              <w:left w:val="single" w:sz="4" w:space="0" w:color="1F1F5F" w:themeColor="text1"/>
              <w:bottom w:val="nil"/>
              <w:right w:val="single" w:sz="4" w:space="0" w:color="1F1F5F" w:themeColor="text1"/>
            </w:tcBorders>
          </w:tcPr>
          <w:p w14:paraId="09A91348"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Proportion of total personnel budget that reflects proportion of total FTE to be transferred</w:t>
            </w:r>
          </w:p>
        </w:tc>
      </w:tr>
      <w:tr w:rsidR="00811038" w14:paraId="5C48850B"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06B758DF"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42D90973"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Operational costs</w:t>
            </w:r>
          </w:p>
        </w:tc>
        <w:tc>
          <w:tcPr>
            <w:tcW w:w="6095" w:type="dxa"/>
            <w:tcBorders>
              <w:top w:val="nil"/>
              <w:left w:val="single" w:sz="4" w:space="0" w:color="1F1F5F" w:themeColor="text1"/>
              <w:bottom w:val="nil"/>
              <w:right w:val="single" w:sz="4" w:space="0" w:color="1F1F5F" w:themeColor="text1"/>
            </w:tcBorders>
          </w:tcPr>
          <w:p w14:paraId="1B4C6196"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$10 000 for positions with minimal travel requirements</w:t>
            </w:r>
          </w:p>
        </w:tc>
      </w:tr>
      <w:tr w:rsidR="00811038" w14:paraId="38222F94" w14:textId="77777777" w:rsidTr="00F66D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6524D0C2"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5069938B"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Operational costs</w:t>
            </w:r>
          </w:p>
        </w:tc>
        <w:tc>
          <w:tcPr>
            <w:tcW w:w="6095" w:type="dxa"/>
            <w:tcBorders>
              <w:top w:val="nil"/>
              <w:left w:val="single" w:sz="4" w:space="0" w:color="1F1F5F" w:themeColor="text1"/>
              <w:bottom w:val="nil"/>
              <w:right w:val="single" w:sz="4" w:space="0" w:color="1F1F5F" w:themeColor="text1"/>
            </w:tcBorders>
          </w:tcPr>
          <w:p w14:paraId="7D4E1901" w14:textId="2818941B"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$20 000 for positions with regular or extensive travel requirements</w:t>
            </w:r>
            <w:r w:rsidR="007C4944">
              <w:rPr>
                <w:szCs w:val="20"/>
                <w:lang w:eastAsia="en-AU"/>
              </w:rPr>
              <w:t xml:space="preserve"> (</w:t>
            </w:r>
            <w:r w:rsidR="0098002F">
              <w:rPr>
                <w:szCs w:val="20"/>
                <w:lang w:eastAsia="en-AU"/>
              </w:rPr>
              <w:t>for example</w:t>
            </w:r>
            <w:r w:rsidR="006A2BF7">
              <w:rPr>
                <w:szCs w:val="20"/>
                <w:lang w:eastAsia="en-AU"/>
              </w:rPr>
              <w:t>,</w:t>
            </w:r>
            <w:r w:rsidR="0098002F">
              <w:rPr>
                <w:szCs w:val="20"/>
                <w:lang w:eastAsia="en-AU"/>
              </w:rPr>
              <w:t xml:space="preserve"> executive contract officers)</w:t>
            </w:r>
          </w:p>
        </w:tc>
      </w:tr>
      <w:tr w:rsidR="00811038" w14:paraId="6BA3FC3D"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single" w:sz="4" w:space="0" w:color="auto"/>
              <w:right w:val="single" w:sz="4" w:space="0" w:color="1F1F5F" w:themeColor="text1"/>
            </w:tcBorders>
          </w:tcPr>
          <w:p w14:paraId="1288101E"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single" w:sz="4" w:space="0" w:color="auto"/>
              <w:right w:val="single" w:sz="4" w:space="0" w:color="1F1F5F" w:themeColor="text1"/>
            </w:tcBorders>
          </w:tcPr>
          <w:p w14:paraId="08DF1017"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Operational costs</w:t>
            </w:r>
          </w:p>
        </w:tc>
        <w:tc>
          <w:tcPr>
            <w:tcW w:w="6095" w:type="dxa"/>
            <w:tcBorders>
              <w:top w:val="nil"/>
              <w:left w:val="single" w:sz="4" w:space="0" w:color="1F1F5F" w:themeColor="text1"/>
              <w:bottom w:val="single" w:sz="4" w:space="0" w:color="auto"/>
              <w:right w:val="single" w:sz="4" w:space="0" w:color="1F1F5F" w:themeColor="text1"/>
            </w:tcBorders>
          </w:tcPr>
          <w:p w14:paraId="7078F6E1"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Proportion of total operational costs budget that reflects proportion of total FTE to be transferred</w:t>
            </w:r>
          </w:p>
        </w:tc>
      </w:tr>
      <w:tr w:rsidR="00811038" w14:paraId="618409C6" w14:textId="77777777" w:rsidTr="00F66D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1F1F5F" w:themeColor="text1"/>
              <w:bottom w:val="nil"/>
              <w:right w:val="single" w:sz="4" w:space="0" w:color="1F1F5F" w:themeColor="text1"/>
            </w:tcBorders>
          </w:tcPr>
          <w:p w14:paraId="0D109C96" w14:textId="77777777" w:rsidR="00811038" w:rsidRDefault="00811038" w:rsidP="004D4D0F">
            <w:pPr>
              <w:pStyle w:val="ListNumber"/>
              <w:spacing w:before="60" w:after="60"/>
              <w:rPr>
                <w:szCs w:val="20"/>
                <w:lang w:eastAsia="en-AU"/>
              </w:rPr>
            </w:pPr>
            <w:r>
              <w:rPr>
                <w:szCs w:val="20"/>
                <w:lang w:eastAsia="en-AU"/>
              </w:rPr>
              <w:t>Transfer of whole work unit or a cost centre</w:t>
            </w:r>
          </w:p>
        </w:tc>
        <w:tc>
          <w:tcPr>
            <w:tcW w:w="2126" w:type="dxa"/>
            <w:tcBorders>
              <w:top w:val="single" w:sz="4" w:space="0" w:color="auto"/>
              <w:left w:val="single" w:sz="4" w:space="0" w:color="1F1F5F" w:themeColor="text1"/>
              <w:bottom w:val="nil"/>
              <w:right w:val="single" w:sz="4" w:space="0" w:color="1F1F5F" w:themeColor="text1"/>
            </w:tcBorders>
          </w:tcPr>
          <w:p w14:paraId="5153D3AC"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Direct expenses</w:t>
            </w:r>
          </w:p>
        </w:tc>
        <w:tc>
          <w:tcPr>
            <w:tcW w:w="6095" w:type="dxa"/>
            <w:tcBorders>
              <w:top w:val="single" w:sz="4" w:space="0" w:color="auto"/>
              <w:left w:val="single" w:sz="4" w:space="0" w:color="1F1F5F" w:themeColor="text1"/>
              <w:bottom w:val="nil"/>
              <w:right w:val="single" w:sz="4" w:space="0" w:color="1F1F5F" w:themeColor="text1"/>
            </w:tcBorders>
          </w:tcPr>
          <w:p w14:paraId="17EC5BA2"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Total work unit or cost centre budget</w:t>
            </w:r>
          </w:p>
        </w:tc>
      </w:tr>
      <w:tr w:rsidR="00811038" w14:paraId="3925C47E"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2177EC6A"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10B55F2D"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Corporate and overhead expenses</w:t>
            </w:r>
          </w:p>
        </w:tc>
        <w:tc>
          <w:tcPr>
            <w:tcW w:w="6095" w:type="dxa"/>
            <w:tcBorders>
              <w:top w:val="nil"/>
              <w:left w:val="single" w:sz="4" w:space="0" w:color="1F1F5F" w:themeColor="text1"/>
              <w:bottom w:val="nil"/>
              <w:right w:val="single" w:sz="4" w:space="0" w:color="1F1F5F" w:themeColor="text1"/>
            </w:tcBorders>
          </w:tcPr>
          <w:p w14:paraId="1910EB76"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Proportion of total corporate and governance output budget based on a proportion of the work unit or cost centre’s FTE or employee expense budget compared to the agency’s total FTE or employee expense budget</w:t>
            </w:r>
          </w:p>
        </w:tc>
      </w:tr>
      <w:tr w:rsidR="00811038" w14:paraId="2657C4E9" w14:textId="77777777" w:rsidTr="00F66D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single" w:sz="4" w:space="0" w:color="auto"/>
              <w:right w:val="single" w:sz="4" w:space="0" w:color="1F1F5F" w:themeColor="text1"/>
            </w:tcBorders>
          </w:tcPr>
          <w:p w14:paraId="78EFD935"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single" w:sz="4" w:space="0" w:color="auto"/>
              <w:right w:val="single" w:sz="4" w:space="0" w:color="1F1F5F" w:themeColor="text1"/>
            </w:tcBorders>
          </w:tcPr>
          <w:p w14:paraId="246CB261"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Revenues</w:t>
            </w:r>
          </w:p>
        </w:tc>
        <w:tc>
          <w:tcPr>
            <w:tcW w:w="6095" w:type="dxa"/>
            <w:tcBorders>
              <w:top w:val="nil"/>
              <w:left w:val="single" w:sz="4" w:space="0" w:color="1F1F5F" w:themeColor="text1"/>
              <w:bottom w:val="single" w:sz="4" w:space="0" w:color="auto"/>
              <w:right w:val="single" w:sz="4" w:space="0" w:color="1F1F5F" w:themeColor="text1"/>
            </w:tcBorders>
          </w:tcPr>
          <w:p w14:paraId="7903EAE8"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Agency revenue, including Commonwealth payments and Territory income</w:t>
            </w:r>
          </w:p>
        </w:tc>
      </w:tr>
      <w:tr w:rsidR="00811038" w14:paraId="67C03396"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1F1F5F" w:themeColor="text1"/>
              <w:bottom w:val="nil"/>
              <w:right w:val="single" w:sz="4" w:space="0" w:color="1F1F5F" w:themeColor="text1"/>
            </w:tcBorders>
          </w:tcPr>
          <w:p w14:paraId="1029F796" w14:textId="77777777" w:rsidR="00811038" w:rsidRDefault="00811038" w:rsidP="004D4D0F">
            <w:pPr>
              <w:pStyle w:val="ListNumber"/>
              <w:spacing w:before="60" w:after="60"/>
              <w:rPr>
                <w:szCs w:val="20"/>
                <w:lang w:eastAsia="en-AU"/>
              </w:rPr>
            </w:pPr>
            <w:r>
              <w:rPr>
                <w:szCs w:val="20"/>
                <w:lang w:eastAsia="en-AU"/>
              </w:rPr>
              <w:t>Transfer of an output or output group</w:t>
            </w:r>
          </w:p>
        </w:tc>
        <w:tc>
          <w:tcPr>
            <w:tcW w:w="2126" w:type="dxa"/>
            <w:tcBorders>
              <w:top w:val="single" w:sz="4" w:space="0" w:color="auto"/>
              <w:left w:val="single" w:sz="4" w:space="0" w:color="1F1F5F" w:themeColor="text1"/>
              <w:bottom w:val="nil"/>
              <w:right w:val="single" w:sz="4" w:space="0" w:color="1F1F5F" w:themeColor="text1"/>
            </w:tcBorders>
          </w:tcPr>
          <w:p w14:paraId="350C0046"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Direct expenses</w:t>
            </w:r>
          </w:p>
        </w:tc>
        <w:tc>
          <w:tcPr>
            <w:tcW w:w="6095" w:type="dxa"/>
            <w:tcBorders>
              <w:top w:val="single" w:sz="4" w:space="0" w:color="auto"/>
              <w:left w:val="single" w:sz="4" w:space="0" w:color="1F1F5F" w:themeColor="text1"/>
              <w:bottom w:val="nil"/>
              <w:right w:val="single" w:sz="4" w:space="0" w:color="1F1F5F" w:themeColor="text1"/>
            </w:tcBorders>
          </w:tcPr>
          <w:p w14:paraId="28733B8C" w14:textId="6EAF8895"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 xml:space="preserve">Budget for the output or output group as published in the latest </w:t>
            </w:r>
            <w:r w:rsidR="006A2BF7">
              <w:rPr>
                <w:szCs w:val="20"/>
                <w:lang w:eastAsia="en-AU"/>
              </w:rPr>
              <w:t>Budget Paper No</w:t>
            </w:r>
            <w:r>
              <w:rPr>
                <w:szCs w:val="20"/>
                <w:lang w:eastAsia="en-AU"/>
              </w:rPr>
              <w:t>. 3, plus relevant material variations approved by Cabinet since publication</w:t>
            </w:r>
          </w:p>
        </w:tc>
      </w:tr>
      <w:tr w:rsidR="00811038" w14:paraId="3653B880" w14:textId="77777777" w:rsidTr="00F66D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nil"/>
              <w:right w:val="single" w:sz="4" w:space="0" w:color="1F1F5F" w:themeColor="text1"/>
            </w:tcBorders>
          </w:tcPr>
          <w:p w14:paraId="5387F781"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nil"/>
              <w:right w:val="single" w:sz="4" w:space="0" w:color="1F1F5F" w:themeColor="text1"/>
            </w:tcBorders>
          </w:tcPr>
          <w:p w14:paraId="222EECED"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Corporate and overhead expenses</w:t>
            </w:r>
          </w:p>
        </w:tc>
        <w:tc>
          <w:tcPr>
            <w:tcW w:w="6095" w:type="dxa"/>
            <w:tcBorders>
              <w:top w:val="nil"/>
              <w:left w:val="single" w:sz="4" w:space="0" w:color="1F1F5F" w:themeColor="text1"/>
              <w:bottom w:val="nil"/>
              <w:right w:val="single" w:sz="4" w:space="0" w:color="1F1F5F" w:themeColor="text1"/>
            </w:tcBorders>
          </w:tcPr>
          <w:p w14:paraId="7D440A7F" w14:textId="77777777" w:rsidR="00811038" w:rsidRDefault="00811038" w:rsidP="004D4D0F">
            <w:pPr>
              <w:pStyle w:val="ListNumber"/>
              <w:spacing w:before="60" w:after="60"/>
              <w:cnfStyle w:val="000000010000" w:firstRow="0" w:lastRow="0" w:firstColumn="0" w:lastColumn="0" w:oddVBand="0" w:evenVBand="0" w:oddHBand="0" w:evenHBand="1" w:firstRowFirstColumn="0" w:firstRowLastColumn="0" w:lastRowFirstColumn="0" w:lastRowLastColumn="0"/>
              <w:rPr>
                <w:szCs w:val="20"/>
                <w:lang w:eastAsia="en-AU"/>
              </w:rPr>
            </w:pPr>
            <w:r>
              <w:rPr>
                <w:szCs w:val="20"/>
                <w:lang w:eastAsia="en-AU"/>
              </w:rPr>
              <w:t>Proportion of total corporate and governance output budget based on a proportion of the work unit or cost centre’s FTE or employee expense budget compared to the agency’s total FTE or employee expense budget</w:t>
            </w:r>
          </w:p>
        </w:tc>
      </w:tr>
      <w:tr w:rsidR="00811038" w14:paraId="274A618B" w14:textId="77777777" w:rsidTr="00F66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1F1F5F" w:themeColor="text1"/>
              <w:bottom w:val="single" w:sz="4" w:space="0" w:color="auto"/>
              <w:right w:val="single" w:sz="4" w:space="0" w:color="1F1F5F" w:themeColor="text1"/>
            </w:tcBorders>
          </w:tcPr>
          <w:p w14:paraId="44D9E4D6" w14:textId="77777777" w:rsidR="00811038" w:rsidRDefault="00811038" w:rsidP="004D4D0F">
            <w:pPr>
              <w:pStyle w:val="ListNumber"/>
              <w:spacing w:before="60" w:after="60"/>
              <w:rPr>
                <w:szCs w:val="20"/>
                <w:lang w:eastAsia="en-AU"/>
              </w:rPr>
            </w:pPr>
          </w:p>
        </w:tc>
        <w:tc>
          <w:tcPr>
            <w:tcW w:w="2126" w:type="dxa"/>
            <w:tcBorders>
              <w:top w:val="nil"/>
              <w:left w:val="single" w:sz="4" w:space="0" w:color="1F1F5F" w:themeColor="text1"/>
              <w:bottom w:val="single" w:sz="4" w:space="0" w:color="auto"/>
              <w:right w:val="single" w:sz="4" w:space="0" w:color="1F1F5F" w:themeColor="text1"/>
            </w:tcBorders>
          </w:tcPr>
          <w:p w14:paraId="762CB384"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Revenues</w:t>
            </w:r>
          </w:p>
        </w:tc>
        <w:tc>
          <w:tcPr>
            <w:tcW w:w="6095" w:type="dxa"/>
            <w:tcBorders>
              <w:top w:val="nil"/>
              <w:left w:val="single" w:sz="4" w:space="0" w:color="1F1F5F" w:themeColor="text1"/>
              <w:bottom w:val="single" w:sz="4" w:space="0" w:color="auto"/>
              <w:right w:val="single" w:sz="4" w:space="0" w:color="1F1F5F" w:themeColor="text1"/>
            </w:tcBorders>
          </w:tcPr>
          <w:p w14:paraId="2BEFBDA0" w14:textId="77777777" w:rsidR="00811038" w:rsidRDefault="00811038" w:rsidP="004D4D0F">
            <w:pPr>
              <w:pStyle w:val="ListNumber"/>
              <w:spacing w:before="60" w:after="60"/>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Agency revenue, including Commonwealth payments and Territory income</w:t>
            </w:r>
          </w:p>
        </w:tc>
      </w:tr>
    </w:tbl>
    <w:p w14:paraId="274086BA" w14:textId="76BB5FF7" w:rsidR="007B0C98" w:rsidRDefault="007B0C98" w:rsidP="004D4D0F">
      <w:pPr>
        <w:pStyle w:val="ListNumber"/>
      </w:pPr>
    </w:p>
    <w:p w14:paraId="5903D512" w14:textId="0BA3B219" w:rsidR="006C41DD" w:rsidRDefault="006C41DD" w:rsidP="004D4D0F">
      <w:pPr>
        <w:pStyle w:val="Heading2"/>
      </w:pPr>
      <w:bookmarkStart w:id="17" w:name="_Toc175560458"/>
      <w:r>
        <w:t>Transfer of functions</w:t>
      </w:r>
      <w:bookmarkEnd w:id="17"/>
    </w:p>
    <w:p w14:paraId="7291AF21" w14:textId="7F1290D7" w:rsidR="0014292D" w:rsidRDefault="007D7BF1" w:rsidP="004D4D0F">
      <w:pPr>
        <w:pStyle w:val="Heading3"/>
      </w:pPr>
      <w:bookmarkStart w:id="18" w:name="_Toc175560459"/>
      <w:r>
        <w:t>Cost neutral</w:t>
      </w:r>
      <w:bookmarkEnd w:id="18"/>
    </w:p>
    <w:p w14:paraId="446DDFAF" w14:textId="4D58BE6A" w:rsidR="007C4944" w:rsidRPr="00645942" w:rsidRDefault="007D7BF1" w:rsidP="004D4D0F">
      <w:pPr>
        <w:rPr>
          <w:lang w:eastAsia="en-AU"/>
        </w:rPr>
      </w:pPr>
      <w:r w:rsidRPr="00645942">
        <w:rPr>
          <w:lang w:eastAsia="en-AU"/>
        </w:rPr>
        <w:t xml:space="preserve">The transfer of functions must be cost-neutral from a whole of government perspective. </w:t>
      </w:r>
      <w:r w:rsidR="00C35D34" w:rsidRPr="00645942">
        <w:rPr>
          <w:lang w:eastAsia="en-AU"/>
        </w:rPr>
        <w:t xml:space="preserve">There should be no impact </w:t>
      </w:r>
      <w:r w:rsidR="00C422E2">
        <w:rPr>
          <w:lang w:eastAsia="en-AU"/>
        </w:rPr>
        <w:t xml:space="preserve">on </w:t>
      </w:r>
      <w:r w:rsidR="00C35D34" w:rsidRPr="00645942">
        <w:rPr>
          <w:lang w:eastAsia="en-AU"/>
        </w:rPr>
        <w:t>whole of government financial statements as a</w:t>
      </w:r>
      <w:r w:rsidRPr="00645942">
        <w:rPr>
          <w:lang w:eastAsia="en-AU"/>
        </w:rPr>
        <w:t>ny transfer</w:t>
      </w:r>
      <w:r w:rsidR="000A7FB3" w:rsidRPr="00645942">
        <w:rPr>
          <w:lang w:eastAsia="en-AU"/>
        </w:rPr>
        <w:t>s</w:t>
      </w:r>
      <w:r w:rsidRPr="00645942">
        <w:rPr>
          <w:lang w:eastAsia="en-AU"/>
        </w:rPr>
        <w:t xml:space="preserve"> of revenues, expenses, assets </w:t>
      </w:r>
      <w:r w:rsidR="00C35D34" w:rsidRPr="00645942">
        <w:rPr>
          <w:lang w:eastAsia="en-AU"/>
        </w:rPr>
        <w:t>or</w:t>
      </w:r>
      <w:r w:rsidRPr="00645942">
        <w:rPr>
          <w:lang w:eastAsia="en-AU"/>
        </w:rPr>
        <w:t xml:space="preserve"> liabilities </w:t>
      </w:r>
      <w:r w:rsidR="00C35D34" w:rsidRPr="00645942">
        <w:rPr>
          <w:lang w:eastAsia="en-AU"/>
        </w:rPr>
        <w:t>f</w:t>
      </w:r>
      <w:r w:rsidR="000A7FB3" w:rsidRPr="00645942">
        <w:rPr>
          <w:lang w:eastAsia="en-AU"/>
        </w:rPr>
        <w:t xml:space="preserve">rom </w:t>
      </w:r>
      <w:r w:rsidR="00C35D34" w:rsidRPr="00645942">
        <w:rPr>
          <w:lang w:eastAsia="en-AU"/>
        </w:rPr>
        <w:t>one</w:t>
      </w:r>
      <w:r w:rsidRPr="00645942">
        <w:rPr>
          <w:lang w:eastAsia="en-AU"/>
        </w:rPr>
        <w:t xml:space="preserve"> agency </w:t>
      </w:r>
      <w:r w:rsidR="00C35D34" w:rsidRPr="00645942">
        <w:rPr>
          <w:lang w:eastAsia="en-AU"/>
        </w:rPr>
        <w:t>should</w:t>
      </w:r>
      <w:r w:rsidRPr="00645942">
        <w:rPr>
          <w:lang w:eastAsia="en-AU"/>
        </w:rPr>
        <w:t xml:space="preserve"> </w:t>
      </w:r>
      <w:r w:rsidR="000A7FB3" w:rsidRPr="00645942">
        <w:rPr>
          <w:lang w:eastAsia="en-AU"/>
        </w:rPr>
        <w:t>be recognised in a receiving agenc</w:t>
      </w:r>
      <w:r w:rsidR="00F743D0" w:rsidRPr="00645942">
        <w:rPr>
          <w:lang w:eastAsia="en-AU"/>
        </w:rPr>
        <w:t>y’s</w:t>
      </w:r>
      <w:r w:rsidR="000A7FB3" w:rsidRPr="00645942">
        <w:rPr>
          <w:lang w:eastAsia="en-AU"/>
        </w:rPr>
        <w:t xml:space="preserve"> financial statements.</w:t>
      </w:r>
      <w:r w:rsidR="007C4944" w:rsidRPr="00645942">
        <w:rPr>
          <w:lang w:eastAsia="en-AU"/>
        </w:rPr>
        <w:t xml:space="preserve"> The transferring agency should ensure suffi</w:t>
      </w:r>
      <w:r w:rsidR="00F743D0" w:rsidRPr="00645942">
        <w:rPr>
          <w:lang w:eastAsia="en-AU"/>
        </w:rPr>
        <w:t xml:space="preserve">cient budget is transferred to </w:t>
      </w:r>
      <w:r w:rsidR="007C4944" w:rsidRPr="00645942">
        <w:rPr>
          <w:lang w:eastAsia="en-AU"/>
        </w:rPr>
        <w:t>cover the cost of all actual positions transferred</w:t>
      </w:r>
      <w:r w:rsidR="00F743D0" w:rsidRPr="00645942">
        <w:rPr>
          <w:lang w:eastAsia="en-AU"/>
        </w:rPr>
        <w:t xml:space="preserve"> (noting that a reasonable allowance can be made for vacancy rates)</w:t>
      </w:r>
      <w:r w:rsidR="007C4944" w:rsidRPr="00645942">
        <w:rPr>
          <w:lang w:eastAsia="en-AU"/>
        </w:rPr>
        <w:t xml:space="preserve">. Receiving agencies should not inherit unrealised savings that have been managed through underspends in other areas of the agency. </w:t>
      </w:r>
    </w:p>
    <w:p w14:paraId="2E670601" w14:textId="071F8A3A" w:rsidR="00C35D34" w:rsidRPr="00645942" w:rsidRDefault="009B7E48" w:rsidP="004D4D0F">
      <w:pPr>
        <w:rPr>
          <w:lang w:eastAsia="en-AU"/>
        </w:rPr>
      </w:pPr>
      <w:r w:rsidRPr="00645942">
        <w:rPr>
          <w:lang w:eastAsia="en-AU"/>
        </w:rPr>
        <w:t>For example, w</w:t>
      </w:r>
      <w:r w:rsidRPr="00645942">
        <w:t>here partial positions are transferred (for example, a senior executive position that oversees multiple f</w:t>
      </w:r>
      <w:r w:rsidR="00811EA7" w:rsidRPr="00645942">
        <w:t>unctions, only some of which is</w:t>
      </w:r>
      <w:r w:rsidRPr="00645942">
        <w:t xml:space="preserve"> being transferred), accountable officers are expected to negotiate in good faith and understand the requirement for MoG</w:t>
      </w:r>
      <w:r w:rsidR="00811EA7" w:rsidRPr="00645942">
        <w:t xml:space="preserve"> changes</w:t>
      </w:r>
      <w:r w:rsidRPr="00645942">
        <w:t xml:space="preserve"> </w:t>
      </w:r>
      <w:r w:rsidR="004D4D0F" w:rsidRPr="00645942">
        <w:t xml:space="preserve">are </w:t>
      </w:r>
      <w:r w:rsidRPr="00645942">
        <w:t xml:space="preserve">to be cost neutral at the whole of government level </w:t>
      </w:r>
      <w:r w:rsidR="004D4D0F" w:rsidRPr="00645942">
        <w:t xml:space="preserve">and </w:t>
      </w:r>
      <w:r w:rsidRPr="00645942">
        <w:t>will require one or both parties to manage any resulting cost pressures through efficiencies across the broader organisation(s).</w:t>
      </w:r>
    </w:p>
    <w:p w14:paraId="56D1624B" w14:textId="5FECCD3E" w:rsidR="007D7BF1" w:rsidRPr="00645942" w:rsidRDefault="00DF7900" w:rsidP="004D4D0F">
      <w:pPr>
        <w:pStyle w:val="Heading3"/>
      </w:pPr>
      <w:bookmarkStart w:id="19" w:name="_Toc175560460"/>
      <w:r w:rsidRPr="00645942">
        <w:t>Costs to</w:t>
      </w:r>
      <w:r w:rsidR="007D7BF1" w:rsidRPr="00645942">
        <w:t xml:space="preserve"> include in </w:t>
      </w:r>
      <w:r w:rsidRPr="00645942">
        <w:t xml:space="preserve">a </w:t>
      </w:r>
      <w:r w:rsidR="007D7BF1" w:rsidRPr="00645942">
        <w:t xml:space="preserve">transfer of </w:t>
      </w:r>
      <w:r w:rsidR="00CD772A" w:rsidRPr="00645942">
        <w:t>functions</w:t>
      </w:r>
      <w:bookmarkEnd w:id="19"/>
    </w:p>
    <w:p w14:paraId="1F1D1C02" w14:textId="3DED5317" w:rsidR="007D7BF1" w:rsidRDefault="00DF7900" w:rsidP="004D4D0F">
      <w:pPr>
        <w:rPr>
          <w:lang w:eastAsia="en-AU"/>
        </w:rPr>
      </w:pPr>
      <w:r w:rsidRPr="00645942">
        <w:rPr>
          <w:lang w:eastAsia="en-AU"/>
        </w:rPr>
        <w:t xml:space="preserve">The transfer of a function must include any associated corporate costs </w:t>
      </w:r>
      <w:r w:rsidR="00FD639B" w:rsidRPr="00645942">
        <w:rPr>
          <w:lang w:eastAsia="en-AU"/>
        </w:rPr>
        <w:t>and employee</w:t>
      </w:r>
      <w:r w:rsidR="007C386E" w:rsidRPr="00645942">
        <w:rPr>
          <w:lang w:eastAsia="en-AU"/>
        </w:rPr>
        <w:t xml:space="preserve"> cost</w:t>
      </w:r>
      <w:r w:rsidR="00FD639B" w:rsidRPr="00645942">
        <w:rPr>
          <w:lang w:eastAsia="en-AU"/>
        </w:rPr>
        <w:t>s</w:t>
      </w:r>
      <w:r w:rsidR="007C386E" w:rsidRPr="00645942">
        <w:rPr>
          <w:lang w:eastAsia="en-AU"/>
        </w:rPr>
        <w:t xml:space="preserve"> including </w:t>
      </w:r>
      <w:r w:rsidR="00FD639B" w:rsidRPr="00645942">
        <w:rPr>
          <w:lang w:eastAsia="en-AU"/>
        </w:rPr>
        <w:t>personnel and operational on-costs</w:t>
      </w:r>
      <w:r w:rsidR="007C386E" w:rsidRPr="00645942">
        <w:rPr>
          <w:lang w:eastAsia="en-AU"/>
        </w:rPr>
        <w:t xml:space="preserve">. </w:t>
      </w:r>
      <w:r w:rsidR="00D773F0" w:rsidRPr="00645942">
        <w:rPr>
          <w:lang w:eastAsia="en-AU"/>
        </w:rPr>
        <w:t xml:space="preserve">These costs are to be clearly identified </w:t>
      </w:r>
      <w:r w:rsidR="000A7FB3" w:rsidRPr="00645942">
        <w:rPr>
          <w:lang w:eastAsia="en-AU"/>
        </w:rPr>
        <w:t xml:space="preserve">by the transferring agency in accordance with the </w:t>
      </w:r>
      <w:r w:rsidR="00C422E2">
        <w:rPr>
          <w:lang w:eastAsia="en-AU"/>
        </w:rPr>
        <w:t xml:space="preserve">agreement </w:t>
      </w:r>
      <w:r w:rsidR="000A7FB3" w:rsidRPr="00645942">
        <w:rPr>
          <w:lang w:eastAsia="en-AU"/>
        </w:rPr>
        <w:t xml:space="preserve">principles discussed in section 3.1. Where costs are not clearly identifiable, agencies may refer to section </w:t>
      </w:r>
      <w:r w:rsidR="00EC4A9C" w:rsidRPr="00645942">
        <w:rPr>
          <w:lang w:eastAsia="en-AU"/>
        </w:rPr>
        <w:t>3.1.6</w:t>
      </w:r>
      <w:r w:rsidR="000A7FB3" w:rsidRPr="00645942">
        <w:rPr>
          <w:lang w:eastAsia="en-AU"/>
        </w:rPr>
        <w:t xml:space="preserve"> for examples of methodologies </w:t>
      </w:r>
      <w:r w:rsidR="004D4D0F" w:rsidRPr="00645942">
        <w:rPr>
          <w:lang w:eastAsia="en-AU"/>
        </w:rPr>
        <w:t xml:space="preserve">that </w:t>
      </w:r>
      <w:r w:rsidR="000A7FB3" w:rsidRPr="00645942">
        <w:rPr>
          <w:lang w:eastAsia="en-AU"/>
        </w:rPr>
        <w:t>may be adopted in determining</w:t>
      </w:r>
      <w:r w:rsidR="000928E3" w:rsidRPr="00645942">
        <w:rPr>
          <w:lang w:eastAsia="en-AU"/>
        </w:rPr>
        <w:t xml:space="preserve"> these costs.</w:t>
      </w:r>
    </w:p>
    <w:p w14:paraId="5499639C" w14:textId="46677E32" w:rsidR="00496D61" w:rsidRDefault="00496D61" w:rsidP="004D4D0F">
      <w:pPr>
        <w:rPr>
          <w:lang w:eastAsia="en-AU"/>
        </w:rPr>
      </w:pPr>
    </w:p>
    <w:p w14:paraId="0B612A4B" w14:textId="77777777" w:rsidR="00496D61" w:rsidRPr="00645942" w:rsidRDefault="00496D61" w:rsidP="004D4D0F">
      <w:pPr>
        <w:rPr>
          <w:lang w:eastAsia="en-AU"/>
        </w:rPr>
      </w:pPr>
    </w:p>
    <w:p w14:paraId="59DE61E9" w14:textId="219DAC43" w:rsidR="004759A9" w:rsidRPr="00645942" w:rsidRDefault="00124F4B" w:rsidP="004D4D0F">
      <w:pPr>
        <w:pStyle w:val="Heading3"/>
      </w:pPr>
      <w:bookmarkStart w:id="20" w:name="_Toc175560461"/>
      <w:r w:rsidRPr="00645942">
        <w:t>Budget t</w:t>
      </w:r>
      <w:r w:rsidR="004759A9" w:rsidRPr="00645942">
        <w:t>ransfer agreements</w:t>
      </w:r>
      <w:bookmarkEnd w:id="20"/>
    </w:p>
    <w:p w14:paraId="5E7D3527" w14:textId="6A343D93" w:rsidR="004759A9" w:rsidRPr="00645942" w:rsidRDefault="007D7BF1" w:rsidP="004D4D0F">
      <w:pPr>
        <w:pStyle w:val="ListNumber"/>
      </w:pPr>
      <w:r w:rsidRPr="00645942">
        <w:rPr>
          <w:lang w:eastAsia="en-AU"/>
        </w:rPr>
        <w:t xml:space="preserve">The transfers of functions must be formalised with </w:t>
      </w:r>
      <w:r w:rsidR="003E3921" w:rsidRPr="00645942">
        <w:rPr>
          <w:lang w:eastAsia="en-AU"/>
        </w:rPr>
        <w:t xml:space="preserve">budget </w:t>
      </w:r>
      <w:r w:rsidR="004759A9" w:rsidRPr="00645942">
        <w:rPr>
          <w:lang w:eastAsia="en-AU"/>
        </w:rPr>
        <w:t xml:space="preserve">transfer agreements signed </w:t>
      </w:r>
      <w:r w:rsidR="004759A9" w:rsidRPr="00645942">
        <w:t>by the accountable officers</w:t>
      </w:r>
      <w:r w:rsidR="00C04A3E" w:rsidRPr="00645942">
        <w:t xml:space="preserve"> of all agencies</w:t>
      </w:r>
      <w:r w:rsidR="00C422E2">
        <w:t xml:space="preserve"> involved in the </w:t>
      </w:r>
      <w:r w:rsidR="00496D61">
        <w:t>transfer,</w:t>
      </w:r>
      <w:r w:rsidR="006C41DD" w:rsidRPr="00645942">
        <w:t xml:space="preserve"> unless a </w:t>
      </w:r>
      <w:r w:rsidR="00C422E2">
        <w:t xml:space="preserve">decision </w:t>
      </w:r>
      <w:r w:rsidR="006C41DD" w:rsidRPr="00645942">
        <w:t>was made by the Under Treasurer</w:t>
      </w:r>
      <w:r w:rsidR="004759A9" w:rsidRPr="00645942">
        <w:t>.</w:t>
      </w:r>
      <w:r w:rsidR="00C04A3E" w:rsidRPr="00645942">
        <w:t xml:space="preserve"> </w:t>
      </w:r>
    </w:p>
    <w:p w14:paraId="5D0E23A7" w14:textId="6BC2C574" w:rsidR="004759A9" w:rsidRPr="00645942" w:rsidRDefault="006D40F2" w:rsidP="004D4D0F">
      <w:pPr>
        <w:pStyle w:val="ListBullet"/>
        <w:numPr>
          <w:ilvl w:val="0"/>
          <w:numId w:val="0"/>
        </w:numPr>
        <w:rPr>
          <w:lang w:eastAsia="en-AU"/>
        </w:rPr>
      </w:pPr>
      <w:r w:rsidRPr="00645942">
        <w:rPr>
          <w:lang w:eastAsia="en-AU"/>
        </w:rPr>
        <w:t xml:space="preserve">A template </w:t>
      </w:r>
      <w:r w:rsidR="00520D56" w:rsidRPr="00645942">
        <w:rPr>
          <w:lang w:eastAsia="en-AU"/>
        </w:rPr>
        <w:t xml:space="preserve">budget </w:t>
      </w:r>
      <w:r w:rsidRPr="00645942">
        <w:rPr>
          <w:lang w:eastAsia="en-AU"/>
        </w:rPr>
        <w:t>transfer agreement is provided</w:t>
      </w:r>
      <w:r w:rsidR="00526EB1" w:rsidRPr="00645942">
        <w:rPr>
          <w:lang w:eastAsia="en-AU"/>
        </w:rPr>
        <w:t xml:space="preserve"> at </w:t>
      </w:r>
      <w:r w:rsidR="007C4944" w:rsidRPr="00645942">
        <w:rPr>
          <w:lang w:eastAsia="en-AU"/>
        </w:rPr>
        <w:t>A</w:t>
      </w:r>
      <w:r w:rsidR="00D842F0" w:rsidRPr="00645942">
        <w:rPr>
          <w:lang w:eastAsia="en-AU"/>
        </w:rPr>
        <w:t xml:space="preserve">ppendix </w:t>
      </w:r>
      <w:r w:rsidR="00AD3615" w:rsidRPr="00645942">
        <w:rPr>
          <w:lang w:eastAsia="en-AU"/>
        </w:rPr>
        <w:t>A</w:t>
      </w:r>
      <w:r w:rsidRPr="00645942">
        <w:rPr>
          <w:lang w:eastAsia="en-AU"/>
        </w:rPr>
        <w:t>. Agencies may use their</w:t>
      </w:r>
      <w:r w:rsidR="00CE7005" w:rsidRPr="00645942">
        <w:rPr>
          <w:lang w:eastAsia="en-AU"/>
        </w:rPr>
        <w:t xml:space="preserve"> own</w:t>
      </w:r>
      <w:r w:rsidRPr="00645942">
        <w:rPr>
          <w:lang w:eastAsia="en-AU"/>
        </w:rPr>
        <w:t xml:space="preserve"> </w:t>
      </w:r>
      <w:r w:rsidR="00520D56" w:rsidRPr="00645942">
        <w:rPr>
          <w:lang w:eastAsia="en-AU"/>
        </w:rPr>
        <w:t xml:space="preserve">budget </w:t>
      </w:r>
      <w:r w:rsidR="00CE7005" w:rsidRPr="00645942">
        <w:rPr>
          <w:lang w:eastAsia="en-AU"/>
        </w:rPr>
        <w:t>transfer agreement templates</w:t>
      </w:r>
      <w:r w:rsidRPr="00645942">
        <w:rPr>
          <w:lang w:eastAsia="en-AU"/>
        </w:rPr>
        <w:t>,</w:t>
      </w:r>
      <w:r w:rsidR="00DC09FD" w:rsidRPr="00645942">
        <w:rPr>
          <w:lang w:eastAsia="en-AU"/>
        </w:rPr>
        <w:t xml:space="preserve"> however must include the following information at a minimum where applicable: </w:t>
      </w:r>
    </w:p>
    <w:p w14:paraId="4CAAF37E" w14:textId="77E5EB59" w:rsidR="00C04A3E" w:rsidRPr="00645942" w:rsidRDefault="00C04A3E" w:rsidP="004D4D0F">
      <w:pPr>
        <w:pStyle w:val="ListBullet"/>
      </w:pPr>
      <w:r w:rsidRPr="00645942">
        <w:t>names of the t</w:t>
      </w:r>
      <w:r w:rsidR="00C90866">
        <w:t>ransferring and receiving agencies</w:t>
      </w:r>
    </w:p>
    <w:p w14:paraId="14AFE033" w14:textId="5F7EF53E" w:rsidR="00C04A3E" w:rsidRPr="00645942" w:rsidRDefault="00C04A3E" w:rsidP="004D4D0F">
      <w:pPr>
        <w:pStyle w:val="ListBullet"/>
      </w:pPr>
      <w:r w:rsidRPr="00645942">
        <w:t>functions</w:t>
      </w:r>
      <w:r w:rsidR="00D9298B" w:rsidRPr="00645942">
        <w:t xml:space="preserve"> or outputs</w:t>
      </w:r>
      <w:r w:rsidRPr="00645942">
        <w:t xml:space="preserve"> to be transferred</w:t>
      </w:r>
    </w:p>
    <w:p w14:paraId="3E208A99" w14:textId="73819E62" w:rsidR="00C04A3E" w:rsidRPr="00645942" w:rsidRDefault="00C04A3E" w:rsidP="004D4D0F">
      <w:pPr>
        <w:pStyle w:val="ListBullet"/>
      </w:pPr>
      <w:r w:rsidRPr="00645942">
        <w:t>details of revenue, expenses, assets and liabilities to be transferred including</w:t>
      </w:r>
      <w:r w:rsidR="00D9298B" w:rsidRPr="00645942">
        <w:t xml:space="preserve"> their agreed </w:t>
      </w:r>
      <w:r w:rsidRPr="00645942">
        <w:t>budgeted amounts</w:t>
      </w:r>
      <w:r w:rsidR="00226B28" w:rsidRPr="00645942">
        <w:t xml:space="preserve"> </w:t>
      </w:r>
    </w:p>
    <w:p w14:paraId="131C2B8C" w14:textId="470FEAF6" w:rsidR="00C04A3E" w:rsidRPr="00645942" w:rsidRDefault="00DC09FD" w:rsidP="004D4D0F">
      <w:pPr>
        <w:pStyle w:val="ListBullet"/>
      </w:pPr>
      <w:r w:rsidRPr="00645942">
        <w:t xml:space="preserve">total number of </w:t>
      </w:r>
      <w:r w:rsidR="00C90866">
        <w:t>FTE positions</w:t>
      </w:r>
      <w:r w:rsidR="00C04A3E" w:rsidRPr="00645942">
        <w:t xml:space="preserve"> to be transferred</w:t>
      </w:r>
    </w:p>
    <w:p w14:paraId="30CDC2E3" w14:textId="2EE3A9C8" w:rsidR="00C04A3E" w:rsidRPr="00645942" w:rsidRDefault="00C04A3E" w:rsidP="004D4D0F">
      <w:pPr>
        <w:pStyle w:val="ListBullet"/>
      </w:pPr>
      <w:r w:rsidRPr="00645942">
        <w:t>date of the transfer</w:t>
      </w:r>
      <w:r w:rsidR="009B7E48" w:rsidRPr="00645942">
        <w:t xml:space="preserve"> of 1 July unless otherwise </w:t>
      </w:r>
      <w:r w:rsidR="00C90866">
        <w:t xml:space="preserve">agreed </w:t>
      </w:r>
      <w:r w:rsidR="009B7E48" w:rsidRPr="00645942">
        <w:t>by DTF</w:t>
      </w:r>
    </w:p>
    <w:p w14:paraId="25841467" w14:textId="6AC1A410" w:rsidR="00C04A3E" w:rsidRPr="00645942" w:rsidRDefault="00C04A3E" w:rsidP="004D4D0F">
      <w:pPr>
        <w:pStyle w:val="ListBullet"/>
      </w:pPr>
      <w:proofErr w:type="gramStart"/>
      <w:r w:rsidRPr="00645942">
        <w:t>signatures</w:t>
      </w:r>
      <w:proofErr w:type="gramEnd"/>
      <w:r w:rsidRPr="00645942">
        <w:t xml:space="preserve"> of the accountable officers of both the t</w:t>
      </w:r>
      <w:r w:rsidR="00C90866">
        <w:t>ransferring and receiving agencies</w:t>
      </w:r>
      <w:r w:rsidR="00727F72" w:rsidRPr="00645942">
        <w:t>.</w:t>
      </w:r>
    </w:p>
    <w:p w14:paraId="135549A5" w14:textId="09A6371F" w:rsidR="00C62CE4" w:rsidRDefault="00226B28" w:rsidP="004D4D0F">
      <w:pPr>
        <w:pStyle w:val="Heading1"/>
        <w:keepLines/>
        <w:ind w:left="432" w:hanging="432"/>
      </w:pPr>
      <w:bookmarkStart w:id="21" w:name="_Toc175560462"/>
      <w:r w:rsidRPr="00645942">
        <w:t>Accounting for machinery of government</w:t>
      </w:r>
      <w:r>
        <w:t xml:space="preserve"> changes</w:t>
      </w:r>
      <w:bookmarkEnd w:id="21"/>
    </w:p>
    <w:p w14:paraId="715CCDE2" w14:textId="77777777" w:rsidR="00050036" w:rsidRDefault="00050036" w:rsidP="004D4D0F">
      <w:pPr>
        <w:pStyle w:val="Heading2"/>
      </w:pPr>
      <w:bookmarkStart w:id="22" w:name="_Toc175560463"/>
      <w:r>
        <w:t>Effective dates</w:t>
      </w:r>
      <w:bookmarkEnd w:id="22"/>
    </w:p>
    <w:p w14:paraId="10535463" w14:textId="54AC9584" w:rsidR="00050036" w:rsidRDefault="00797269" w:rsidP="004D4D0F">
      <w:pPr>
        <w:rPr>
          <w:lang w:eastAsia="en-AU"/>
        </w:rPr>
      </w:pPr>
      <w:r>
        <w:rPr>
          <w:lang w:eastAsia="en-AU"/>
        </w:rPr>
        <w:t xml:space="preserve">There are a number of effective dates </w:t>
      </w:r>
      <w:r w:rsidR="004D4D0F">
        <w:rPr>
          <w:lang w:eastAsia="en-AU"/>
        </w:rPr>
        <w:t xml:space="preserve">that </w:t>
      </w:r>
      <w:r>
        <w:rPr>
          <w:lang w:eastAsia="en-AU"/>
        </w:rPr>
        <w:t>may be referred to during a M</w:t>
      </w:r>
      <w:r w:rsidR="00955D6C">
        <w:rPr>
          <w:lang w:eastAsia="en-AU"/>
        </w:rPr>
        <w:t>o</w:t>
      </w:r>
      <w:r>
        <w:rPr>
          <w:lang w:eastAsia="en-AU"/>
        </w:rPr>
        <w:t>G</w:t>
      </w:r>
      <w:r w:rsidR="00955D6C">
        <w:rPr>
          <w:lang w:eastAsia="en-AU"/>
        </w:rPr>
        <w:t xml:space="preserve"> change</w:t>
      </w:r>
      <w:r>
        <w:rPr>
          <w:lang w:eastAsia="en-AU"/>
        </w:rPr>
        <w:t>. A list of</w:t>
      </w:r>
      <w:r w:rsidR="00A8122C">
        <w:rPr>
          <w:lang w:eastAsia="en-AU"/>
        </w:rPr>
        <w:t xml:space="preserve"> effective dates </w:t>
      </w:r>
      <w:r>
        <w:rPr>
          <w:lang w:eastAsia="en-AU"/>
        </w:rPr>
        <w:t>including an explanation of</w:t>
      </w:r>
      <w:r w:rsidR="00A8122C">
        <w:rPr>
          <w:lang w:eastAsia="en-AU"/>
        </w:rPr>
        <w:t xml:space="preserve"> </w:t>
      </w:r>
      <w:r>
        <w:rPr>
          <w:lang w:eastAsia="en-AU"/>
        </w:rPr>
        <w:t>what</w:t>
      </w:r>
      <w:r w:rsidR="00A8122C">
        <w:rPr>
          <w:lang w:eastAsia="en-AU"/>
        </w:rPr>
        <w:t xml:space="preserve"> each relates to is summarised below:</w:t>
      </w:r>
    </w:p>
    <w:p w14:paraId="0B308D62" w14:textId="03442411" w:rsidR="00050036" w:rsidRDefault="00050036" w:rsidP="004D4D0F">
      <w:pPr>
        <w:pStyle w:val="ListParagraph"/>
        <w:numPr>
          <w:ilvl w:val="0"/>
          <w:numId w:val="20"/>
        </w:numPr>
      </w:pPr>
      <w:r>
        <w:t>effective date for the transfer of budget and accounting purposes</w:t>
      </w:r>
    </w:p>
    <w:p w14:paraId="1575271B" w14:textId="5DEE1DF9" w:rsidR="00A2459C" w:rsidRDefault="00A2459C" w:rsidP="004D4D0F">
      <w:pPr>
        <w:pStyle w:val="ListParagraph"/>
        <w:numPr>
          <w:ilvl w:val="0"/>
          <w:numId w:val="20"/>
        </w:numPr>
      </w:pPr>
      <w:proofErr w:type="gramStart"/>
      <w:r>
        <w:t>effective</w:t>
      </w:r>
      <w:proofErr w:type="gramEnd"/>
      <w:r>
        <w:t xml:space="preserve"> date for the transfer of legislative responsibilities</w:t>
      </w:r>
      <w:r w:rsidR="004D4D0F">
        <w:t>.</w:t>
      </w:r>
    </w:p>
    <w:p w14:paraId="3E42A8D7" w14:textId="25BE32F2" w:rsidR="00050036" w:rsidRDefault="00050036" w:rsidP="004D4D0F">
      <w:pPr>
        <w:pStyle w:val="Heading3"/>
        <w:ind w:left="784" w:hanging="784"/>
      </w:pPr>
      <w:bookmarkStart w:id="23" w:name="_Toc175560464"/>
      <w:r>
        <w:t>Effective date for the transfer of budget and accounting purposes</w:t>
      </w:r>
      <w:bookmarkEnd w:id="23"/>
    </w:p>
    <w:p w14:paraId="7807383F" w14:textId="0461701B" w:rsidR="00050036" w:rsidRDefault="00050036" w:rsidP="004D4D0F">
      <w:pPr>
        <w:pStyle w:val="ListNumber"/>
      </w:pPr>
      <w:r>
        <w:t xml:space="preserve">The effective date for the transfer of budgets and </w:t>
      </w:r>
      <w:r w:rsidR="001E6D92">
        <w:t>accounting purposes</w:t>
      </w:r>
      <w:r>
        <w:t xml:space="preserve"> is the date that any budgets and actuals associated with a </w:t>
      </w:r>
      <w:r w:rsidR="00652152">
        <w:t>MoG</w:t>
      </w:r>
      <w:r>
        <w:t xml:space="preserve"> change is considered to have been transferred</w:t>
      </w:r>
      <w:r w:rsidR="001E6D92">
        <w:t xml:space="preserve"> from the transferring agency to the recipient agency.</w:t>
      </w:r>
      <w:r>
        <w:t xml:space="preserve"> This date is </w:t>
      </w:r>
      <w:r w:rsidR="00C90866">
        <w:t xml:space="preserve">usually </w:t>
      </w:r>
      <w:r>
        <w:t xml:space="preserve">1 July of the financial year </w:t>
      </w:r>
      <w:r w:rsidR="00A2459C">
        <w:t xml:space="preserve">in which </w:t>
      </w:r>
      <w:r>
        <w:t xml:space="preserve">the </w:t>
      </w:r>
      <w:r w:rsidR="00652152">
        <w:t>MoG</w:t>
      </w:r>
      <w:r>
        <w:t xml:space="preserve"> change </w:t>
      </w:r>
      <w:r w:rsidR="00A2459C">
        <w:t>occurs</w:t>
      </w:r>
      <w:r w:rsidR="00C90866">
        <w:t>, unless agreed otherwise by DTF</w:t>
      </w:r>
      <w:r>
        <w:t>.</w:t>
      </w:r>
    </w:p>
    <w:p w14:paraId="2ABB2D33" w14:textId="77777777" w:rsidR="00A2459C" w:rsidRPr="00656D0F" w:rsidRDefault="00A2459C" w:rsidP="004D4D0F">
      <w:pPr>
        <w:pStyle w:val="Heading3"/>
        <w:ind w:left="798" w:hanging="798"/>
      </w:pPr>
      <w:bookmarkStart w:id="24" w:name="_Toc175560465"/>
      <w:r>
        <w:t>Effective date for the transfer of legislative responsibilities</w:t>
      </w:r>
      <w:bookmarkEnd w:id="24"/>
    </w:p>
    <w:p w14:paraId="69C1BC9D" w14:textId="0D83D839" w:rsidR="00A2459C" w:rsidRPr="00B77225" w:rsidRDefault="00A2459C" w:rsidP="004D4D0F">
      <w:pPr>
        <w:pStyle w:val="ListNumber"/>
      </w:pPr>
      <w:r w:rsidRPr="0070363B">
        <w:rPr>
          <w:lang w:eastAsia="en-AU"/>
        </w:rPr>
        <w:t>The effective date for the transfer of legislative responsibilities is the date of an Administrative Arrangement</w:t>
      </w:r>
      <w:r w:rsidR="006C736D">
        <w:rPr>
          <w:lang w:eastAsia="en-AU"/>
        </w:rPr>
        <w:t>s</w:t>
      </w:r>
      <w:r w:rsidRPr="0070363B">
        <w:rPr>
          <w:lang w:eastAsia="en-AU"/>
        </w:rPr>
        <w:t xml:space="preserve"> Order or </w:t>
      </w:r>
      <w:r w:rsidR="00B421D0" w:rsidRPr="0070363B">
        <w:rPr>
          <w:lang w:eastAsia="en-AU"/>
        </w:rPr>
        <w:t xml:space="preserve">date of </w:t>
      </w:r>
      <w:r w:rsidR="00C90866">
        <w:rPr>
          <w:lang w:eastAsia="en-AU"/>
        </w:rPr>
        <w:t xml:space="preserve">any other relevant </w:t>
      </w:r>
      <w:r w:rsidRPr="0070363B">
        <w:rPr>
          <w:lang w:eastAsia="en-AU"/>
        </w:rPr>
        <w:t>legislative instrument where applicable</w:t>
      </w:r>
      <w:r w:rsidR="00B421D0" w:rsidRPr="0070363B">
        <w:rPr>
          <w:lang w:eastAsia="en-AU"/>
        </w:rPr>
        <w:t>. Issue dates for legislative instruments cannot be backdated unlike the effective dates for the transfer of budget and accounting purposes</w:t>
      </w:r>
      <w:r w:rsidR="006053FB" w:rsidRPr="0070363B">
        <w:rPr>
          <w:lang w:eastAsia="en-AU"/>
        </w:rPr>
        <w:t xml:space="preserve">, </w:t>
      </w:r>
      <w:r w:rsidR="004D4D0F">
        <w:rPr>
          <w:lang w:eastAsia="en-AU"/>
        </w:rPr>
        <w:t>therefore</w:t>
      </w:r>
      <w:r w:rsidR="006053FB" w:rsidRPr="0070363B">
        <w:rPr>
          <w:lang w:eastAsia="en-AU"/>
        </w:rPr>
        <w:t xml:space="preserve"> the effective date for legislative responsibility is generally the date of issue of the legislative instrument.</w:t>
      </w:r>
    </w:p>
    <w:p w14:paraId="64696D37" w14:textId="77777777" w:rsidR="00AB7951" w:rsidRDefault="00AB7951" w:rsidP="004D4D0F">
      <w:pPr>
        <w:pStyle w:val="Heading2"/>
      </w:pPr>
      <w:bookmarkStart w:id="25" w:name="_Toc50482386"/>
      <w:bookmarkStart w:id="26" w:name="_Toc175560466"/>
      <w:bookmarkEnd w:id="25"/>
      <w:r>
        <w:t>Transfer of budgets</w:t>
      </w:r>
      <w:bookmarkEnd w:id="26"/>
      <w:r>
        <w:t xml:space="preserve"> </w:t>
      </w:r>
    </w:p>
    <w:p w14:paraId="3B8FD4A3" w14:textId="77777777" w:rsidR="00AB7951" w:rsidRDefault="00AB7951" w:rsidP="004D4D0F">
      <w:pPr>
        <w:pStyle w:val="Heading3"/>
      </w:pPr>
      <w:bookmarkStart w:id="27" w:name="_Toc175560467"/>
      <w:r>
        <w:t>Overview</w:t>
      </w:r>
      <w:bookmarkEnd w:id="27"/>
      <w:r>
        <w:t xml:space="preserve"> </w:t>
      </w:r>
    </w:p>
    <w:p w14:paraId="17DD3C25" w14:textId="5F38CADF" w:rsidR="00AB7951" w:rsidRPr="00645942" w:rsidRDefault="00C90866" w:rsidP="004D4D0F">
      <w:r>
        <w:rPr>
          <w:lang w:eastAsia="en-AU"/>
        </w:rPr>
        <w:t>Both transferring and receiving a</w:t>
      </w:r>
      <w:r w:rsidR="00AB7951">
        <w:rPr>
          <w:lang w:eastAsia="en-AU"/>
        </w:rPr>
        <w:t xml:space="preserve">gencies must submit budget adjustments for MoG changes within the timeframes set by DTF and provide copies of the signed budget transfer </w:t>
      </w:r>
      <w:r w:rsidR="00AB7951" w:rsidRPr="00645942">
        <w:rPr>
          <w:lang w:eastAsia="en-AU"/>
        </w:rPr>
        <w:t xml:space="preserve">agreement(s) at the time of submitting the budget journals. Budget amounts submitted must reflect budget amounts inclusive of parameters (unless otherwise advised </w:t>
      </w:r>
      <w:r w:rsidR="00947356" w:rsidRPr="00645942">
        <w:rPr>
          <w:lang w:eastAsia="en-AU"/>
        </w:rPr>
        <w:t>by DTF) from the effective date</w:t>
      </w:r>
      <w:r w:rsidR="00AB7951" w:rsidRPr="00645942">
        <w:rPr>
          <w:lang w:eastAsia="en-AU"/>
        </w:rPr>
        <w:t xml:space="preserve"> outlined in section 4.1.</w:t>
      </w:r>
      <w:r w:rsidR="00652152" w:rsidRPr="00645942">
        <w:rPr>
          <w:lang w:eastAsia="en-AU"/>
        </w:rPr>
        <w:t>1</w:t>
      </w:r>
      <w:r w:rsidR="00AB7951" w:rsidRPr="00645942">
        <w:rPr>
          <w:lang w:eastAsia="en-AU"/>
        </w:rPr>
        <w:t xml:space="preserve">. </w:t>
      </w:r>
    </w:p>
    <w:p w14:paraId="1D59237F" w14:textId="4F6640E0" w:rsidR="00AB7951" w:rsidRDefault="00AB7951" w:rsidP="004D4D0F">
      <w:pPr>
        <w:rPr>
          <w:lang w:eastAsia="en-AU"/>
        </w:rPr>
      </w:pPr>
      <w:r w:rsidRPr="00645942">
        <w:rPr>
          <w:lang w:eastAsia="en-AU"/>
        </w:rPr>
        <w:t>Agencies must action separate budget transfers for opening balance accounts as at the effective date and budgeted balances in the current and forward estimates.</w:t>
      </w:r>
    </w:p>
    <w:p w14:paraId="20D3C238" w14:textId="22BE264E" w:rsidR="00746BD4" w:rsidRPr="00645942" w:rsidRDefault="00746BD4" w:rsidP="004D4D0F">
      <w:r>
        <w:rPr>
          <w:lang w:eastAsia="en-AU"/>
        </w:rPr>
        <w:t xml:space="preserve">Refer to additional guidance on transacting budget transfers in </w:t>
      </w:r>
      <w:r w:rsidR="007F4FC0">
        <w:rPr>
          <w:lang w:eastAsia="en-AU"/>
        </w:rPr>
        <w:t>APEX</w:t>
      </w:r>
      <w:r>
        <w:rPr>
          <w:lang w:eastAsia="en-AU"/>
        </w:rPr>
        <w:t xml:space="preserve"> system using</w:t>
      </w:r>
      <w:r w:rsidR="007F4FC0">
        <w:rPr>
          <w:lang w:eastAsia="en-AU"/>
        </w:rPr>
        <w:t xml:space="preserve"> Appendix B -</w:t>
      </w:r>
      <w:r>
        <w:rPr>
          <w:lang w:eastAsia="en-AU"/>
        </w:rPr>
        <w:t>Machinery of government cheat sheet.</w:t>
      </w:r>
    </w:p>
    <w:p w14:paraId="7FB3809F" w14:textId="77777777" w:rsidR="00AB7951" w:rsidRPr="00645942" w:rsidRDefault="00AB7951" w:rsidP="004D4D0F">
      <w:pPr>
        <w:pStyle w:val="Heading3"/>
      </w:pPr>
      <w:bookmarkStart w:id="28" w:name="_Toc175560468"/>
      <w:r w:rsidRPr="00645942">
        <w:t>APEX budget journals</w:t>
      </w:r>
      <w:bookmarkEnd w:id="28"/>
    </w:p>
    <w:p w14:paraId="245A4A86" w14:textId="1624A460" w:rsidR="00AB7951" w:rsidRPr="00645942" w:rsidRDefault="00AB7951" w:rsidP="004D4D0F">
      <w:pPr>
        <w:pStyle w:val="ListBullet"/>
        <w:numPr>
          <w:ilvl w:val="0"/>
          <w:numId w:val="0"/>
        </w:numPr>
        <w:rPr>
          <w:lang w:eastAsia="en-AU"/>
        </w:rPr>
      </w:pPr>
      <w:r w:rsidRPr="00645942">
        <w:rPr>
          <w:lang w:eastAsia="en-AU"/>
        </w:rPr>
        <w:t xml:space="preserve">Agencies must submit budget adjustments in the APEX system to reflect amounts agreed to in the signed budget transfer agreement or binding </w:t>
      </w:r>
      <w:r w:rsidR="00C90866">
        <w:rPr>
          <w:lang w:eastAsia="en-AU"/>
        </w:rPr>
        <w:t xml:space="preserve">decision </w:t>
      </w:r>
      <w:r w:rsidRPr="00645942">
        <w:rPr>
          <w:lang w:eastAsia="en-AU"/>
        </w:rPr>
        <w:t>made by the Under Treasurer where applicable.</w:t>
      </w:r>
    </w:p>
    <w:p w14:paraId="36E9CCC6" w14:textId="3985220C" w:rsidR="00AB7951" w:rsidRPr="00645942" w:rsidRDefault="00AB7951" w:rsidP="004D4D0F">
      <w:pPr>
        <w:pStyle w:val="ListBullet"/>
        <w:numPr>
          <w:ilvl w:val="0"/>
          <w:numId w:val="0"/>
        </w:numPr>
        <w:rPr>
          <w:lang w:eastAsia="en-AU"/>
        </w:rPr>
      </w:pPr>
      <w:r w:rsidRPr="00645942">
        <w:rPr>
          <w:lang w:eastAsia="en-AU"/>
        </w:rPr>
        <w:t>Each agency must submit two separate budget journals for each output group o</w:t>
      </w:r>
      <w:r w:rsidR="00947356" w:rsidRPr="00645942">
        <w:rPr>
          <w:lang w:eastAsia="en-AU"/>
        </w:rPr>
        <w:t xml:space="preserve">r function transferred (that is, </w:t>
      </w:r>
      <w:r w:rsidRPr="00645942">
        <w:rPr>
          <w:lang w:eastAsia="en-AU"/>
        </w:rPr>
        <w:t xml:space="preserve">an adjustment to transfer opening balances and another journal to transfer current and forward estimate budget). </w:t>
      </w:r>
    </w:p>
    <w:p w14:paraId="7D9F5EAE" w14:textId="7885C617" w:rsidR="00C567C1" w:rsidRPr="00645942" w:rsidRDefault="003D58C6" w:rsidP="004D4D0F">
      <w:pPr>
        <w:pStyle w:val="Heading2"/>
        <w:keepLines/>
      </w:pPr>
      <w:bookmarkStart w:id="29" w:name="_Toc175560469"/>
      <w:r w:rsidRPr="00645942">
        <w:t>Transfer of actuals</w:t>
      </w:r>
      <w:bookmarkEnd w:id="29"/>
      <w:r w:rsidRPr="00645942">
        <w:t xml:space="preserve"> </w:t>
      </w:r>
      <w:r w:rsidR="00C567C1" w:rsidRPr="00645942">
        <w:t xml:space="preserve"> </w:t>
      </w:r>
    </w:p>
    <w:p w14:paraId="696925CB" w14:textId="0BC121F9" w:rsidR="00C71FDD" w:rsidRPr="00645942" w:rsidRDefault="00DC2E4F" w:rsidP="004D4D0F">
      <w:pPr>
        <w:pStyle w:val="Heading3"/>
      </w:pPr>
      <w:bookmarkStart w:id="30" w:name="_Toc175560470"/>
      <w:r w:rsidRPr="00645942">
        <w:t>Overview</w:t>
      </w:r>
      <w:bookmarkEnd w:id="30"/>
    </w:p>
    <w:p w14:paraId="0B40F998" w14:textId="44551C59" w:rsidR="00C65BC9" w:rsidRPr="00645942" w:rsidRDefault="00C65BC9" w:rsidP="004D4D0F">
      <w:r w:rsidRPr="00645942">
        <w:rPr>
          <w:lang w:eastAsia="en-AU"/>
        </w:rPr>
        <w:t>All revenue, expense and balance sheet transactions, including administered items, incurred prior to a MoG change are deemed to have occurred and taken effect in the recipient agency from the effective date outlined in section 4.1.</w:t>
      </w:r>
      <w:r w:rsidR="00947356" w:rsidRPr="00645942">
        <w:rPr>
          <w:lang w:eastAsia="en-AU"/>
        </w:rPr>
        <w:t>1</w:t>
      </w:r>
      <w:r w:rsidRPr="00645942">
        <w:rPr>
          <w:lang w:eastAsia="en-AU"/>
        </w:rPr>
        <w:t>.</w:t>
      </w:r>
    </w:p>
    <w:p w14:paraId="5BE166CF" w14:textId="758B0224" w:rsidR="00C65BC9" w:rsidRPr="00645942" w:rsidRDefault="00C65BC9" w:rsidP="004D4D0F">
      <w:r w:rsidRPr="00645942">
        <w:rPr>
          <w:lang w:eastAsia="en-AU"/>
        </w:rPr>
        <w:t>Agencies must transfer assets and liabilities at the value reco</w:t>
      </w:r>
      <w:r w:rsidR="00422B07">
        <w:rPr>
          <w:lang w:eastAsia="en-AU"/>
        </w:rPr>
        <w:t>r</w:t>
      </w:r>
      <w:r w:rsidRPr="00645942">
        <w:rPr>
          <w:lang w:eastAsia="en-AU"/>
        </w:rPr>
        <w:t>ded in the transferring agency’s financial statements at the time of transfer. Where the asset’s value is not known at the time of transfer, the recipient agency must revalue the as</w:t>
      </w:r>
      <w:r w:rsidR="00C774CE" w:rsidRPr="00645942">
        <w:rPr>
          <w:lang w:eastAsia="en-AU"/>
        </w:rPr>
        <w:t>set after the transfer has occurred.</w:t>
      </w:r>
    </w:p>
    <w:p w14:paraId="7C54B478" w14:textId="7E8D2ABE" w:rsidR="00214F76" w:rsidRPr="00645942" w:rsidRDefault="00214F76" w:rsidP="004D4D0F">
      <w:pPr>
        <w:rPr>
          <w:lang w:eastAsia="en-AU"/>
        </w:rPr>
      </w:pPr>
      <w:r w:rsidRPr="00645942">
        <w:rPr>
          <w:lang w:eastAsia="en-AU"/>
        </w:rPr>
        <w:t xml:space="preserve">Agencies must action separate actual transfers for opening balance accounts as at the effective date, and movements </w:t>
      </w:r>
      <w:r w:rsidR="004D4D0F" w:rsidRPr="00645942">
        <w:rPr>
          <w:lang w:eastAsia="en-AU"/>
        </w:rPr>
        <w:t xml:space="preserve">that </w:t>
      </w:r>
      <w:r w:rsidRPr="00645942">
        <w:rPr>
          <w:lang w:eastAsia="en-AU"/>
        </w:rPr>
        <w:t>have occurred in the agency’s accounts from the effective date to the date of transfer.</w:t>
      </w:r>
    </w:p>
    <w:p w14:paraId="589C4BA4" w14:textId="401B798C" w:rsidR="00214F76" w:rsidRDefault="00214F76" w:rsidP="004D4D0F">
      <w:pPr>
        <w:rPr>
          <w:lang w:eastAsia="en-AU"/>
        </w:rPr>
      </w:pPr>
      <w:r w:rsidRPr="00645942">
        <w:rPr>
          <w:lang w:eastAsia="en-AU"/>
        </w:rPr>
        <w:t>Opening balance adjustments are generally actioned u</w:t>
      </w:r>
      <w:r w:rsidRPr="00127E6F">
        <w:rPr>
          <w:lang w:eastAsia="en-AU"/>
        </w:rPr>
        <w:t>sing Government Accounting System (GAS) general ledger journals</w:t>
      </w:r>
      <w:r w:rsidR="00127E6F" w:rsidRPr="00127E6F">
        <w:rPr>
          <w:lang w:eastAsia="en-AU"/>
        </w:rPr>
        <w:t>. T</w:t>
      </w:r>
      <w:r w:rsidRPr="00127E6F">
        <w:rPr>
          <w:lang w:eastAsia="en-AU"/>
        </w:rPr>
        <w:t>he transfer</w:t>
      </w:r>
      <w:r w:rsidR="00127E6F" w:rsidRPr="00127E6F">
        <w:rPr>
          <w:lang w:eastAsia="en-AU"/>
        </w:rPr>
        <w:t xml:space="preserve"> of transactions</w:t>
      </w:r>
      <w:r w:rsidRPr="00127E6F">
        <w:rPr>
          <w:lang w:eastAsia="en-AU"/>
        </w:rPr>
        <w:t xml:space="preserve"> </w:t>
      </w:r>
      <w:r w:rsidR="004D4D0F">
        <w:rPr>
          <w:lang w:eastAsia="en-AU"/>
        </w:rPr>
        <w:t>that</w:t>
      </w:r>
      <w:r w:rsidR="004D4D0F" w:rsidRPr="00127E6F">
        <w:rPr>
          <w:lang w:eastAsia="en-AU"/>
        </w:rPr>
        <w:t xml:space="preserve"> </w:t>
      </w:r>
      <w:r w:rsidRPr="00127E6F">
        <w:rPr>
          <w:lang w:eastAsia="en-AU"/>
        </w:rPr>
        <w:t xml:space="preserve">have occurred in </w:t>
      </w:r>
      <w:r w:rsidRPr="0070363B">
        <w:rPr>
          <w:lang w:eastAsia="en-AU"/>
        </w:rPr>
        <w:t xml:space="preserve">the agency’s accounts from the effective date to the date of transfer are actioned through </w:t>
      </w:r>
      <w:r w:rsidR="00D300AB">
        <w:rPr>
          <w:lang w:eastAsia="en-AU"/>
        </w:rPr>
        <w:t>the</w:t>
      </w:r>
      <w:r w:rsidRPr="0070363B">
        <w:rPr>
          <w:lang w:eastAsia="en-AU"/>
        </w:rPr>
        <w:t xml:space="preserve"> Ledger Transfer Facility</w:t>
      </w:r>
      <w:r w:rsidR="00A030E3">
        <w:rPr>
          <w:lang w:eastAsia="en-AU"/>
        </w:rPr>
        <w:t xml:space="preserve"> (LTF)</w:t>
      </w:r>
      <w:r w:rsidR="00E01823">
        <w:rPr>
          <w:lang w:eastAsia="en-AU"/>
        </w:rPr>
        <w:t xml:space="preserve"> w</w:t>
      </w:r>
      <w:r w:rsidRPr="0070363B">
        <w:rPr>
          <w:lang w:eastAsia="en-AU"/>
        </w:rPr>
        <w:t>izard</w:t>
      </w:r>
      <w:r w:rsidR="00127E6F" w:rsidRPr="0070363B">
        <w:rPr>
          <w:lang w:eastAsia="en-AU"/>
        </w:rPr>
        <w:t xml:space="preserve"> where </w:t>
      </w:r>
      <w:r w:rsidRPr="0070363B">
        <w:rPr>
          <w:lang w:eastAsia="en-AU"/>
        </w:rPr>
        <w:t>it affects agency cash balances</w:t>
      </w:r>
      <w:r w:rsidR="00127E6F" w:rsidRPr="0070363B">
        <w:rPr>
          <w:lang w:eastAsia="en-AU"/>
        </w:rPr>
        <w:t xml:space="preserve">, otherwise, a </w:t>
      </w:r>
      <w:r w:rsidRPr="0070363B">
        <w:rPr>
          <w:lang w:eastAsia="en-AU"/>
        </w:rPr>
        <w:t>GAS general ledger journal</w:t>
      </w:r>
      <w:r w:rsidR="00127E6F" w:rsidRPr="0070363B">
        <w:rPr>
          <w:lang w:eastAsia="en-AU"/>
        </w:rPr>
        <w:t xml:space="preserve"> should </w:t>
      </w:r>
      <w:r w:rsidR="00852E9D">
        <w:rPr>
          <w:lang w:eastAsia="en-AU"/>
        </w:rPr>
        <w:t>be processed (</w:t>
      </w:r>
      <w:r w:rsidR="00127E6F" w:rsidRPr="0070363B">
        <w:rPr>
          <w:lang w:eastAsia="en-AU"/>
        </w:rPr>
        <w:t>that is for non-cash account codes).</w:t>
      </w:r>
    </w:p>
    <w:p w14:paraId="7912D815" w14:textId="4AB396F5" w:rsidR="00FC640E" w:rsidRDefault="00FC640E" w:rsidP="004D4D0F">
      <w:pPr>
        <w:rPr>
          <w:lang w:eastAsia="en-AU"/>
        </w:rPr>
      </w:pPr>
      <w:r>
        <w:rPr>
          <w:lang w:eastAsia="en-AU"/>
        </w:rPr>
        <w:t xml:space="preserve">Refer to additional guidance on transacting actual transfers in GAS using </w:t>
      </w:r>
      <w:r w:rsidR="007F4FC0">
        <w:rPr>
          <w:lang w:eastAsia="en-AU"/>
        </w:rPr>
        <w:t>Appendix B:</w:t>
      </w:r>
      <w:r>
        <w:rPr>
          <w:lang w:eastAsia="en-AU"/>
        </w:rPr>
        <w:t xml:space="preserve"> Machinery of government cheat sheet.</w:t>
      </w:r>
    </w:p>
    <w:p w14:paraId="590743F6" w14:textId="77777777" w:rsidR="00BE1519" w:rsidRDefault="00BE1519" w:rsidP="004D4D0F">
      <w:pPr>
        <w:pStyle w:val="Heading3"/>
      </w:pPr>
      <w:bookmarkStart w:id="31" w:name="_Toc175560471"/>
      <w:r>
        <w:t>Timeframes for actual transfers</w:t>
      </w:r>
      <w:bookmarkEnd w:id="31"/>
    </w:p>
    <w:p w14:paraId="06C71507" w14:textId="2645766A" w:rsidR="00BE1519" w:rsidRDefault="00BE1519" w:rsidP="004D4D0F">
      <w:pPr>
        <w:rPr>
          <w:lang w:eastAsia="en-AU"/>
        </w:rPr>
      </w:pPr>
      <w:r>
        <w:rPr>
          <w:lang w:eastAsia="en-AU"/>
        </w:rPr>
        <w:t xml:space="preserve">Agencies must action the transfer of actuals related to MoG changes in </w:t>
      </w:r>
      <w:r w:rsidR="00C90866">
        <w:rPr>
          <w:lang w:eastAsia="en-AU"/>
        </w:rPr>
        <w:t xml:space="preserve">their </w:t>
      </w:r>
      <w:r>
        <w:rPr>
          <w:lang w:eastAsia="en-AU"/>
        </w:rPr>
        <w:t>general ledger within 60 days of either:</w:t>
      </w:r>
    </w:p>
    <w:p w14:paraId="1E7E6D29" w14:textId="77777777" w:rsidR="00BE1519" w:rsidRDefault="00BE1519" w:rsidP="004D4D0F">
      <w:pPr>
        <w:pStyle w:val="ListParagraph"/>
        <w:numPr>
          <w:ilvl w:val="0"/>
          <w:numId w:val="26"/>
        </w:numPr>
        <w:rPr>
          <w:lang w:eastAsia="en-AU"/>
        </w:rPr>
      </w:pPr>
      <w:r>
        <w:rPr>
          <w:lang w:eastAsia="en-AU"/>
        </w:rPr>
        <w:t xml:space="preserve">signing a budget transfer agreement </w:t>
      </w:r>
    </w:p>
    <w:p w14:paraId="732E7989" w14:textId="1AE0CE0B" w:rsidR="00BE1519" w:rsidRDefault="00BE1519" w:rsidP="004D4D0F">
      <w:pPr>
        <w:pStyle w:val="ListParagraph"/>
        <w:numPr>
          <w:ilvl w:val="0"/>
          <w:numId w:val="26"/>
        </w:numPr>
        <w:rPr>
          <w:lang w:eastAsia="en-AU"/>
        </w:rPr>
      </w:pPr>
      <w:proofErr w:type="gramStart"/>
      <w:r>
        <w:rPr>
          <w:lang w:eastAsia="en-AU"/>
        </w:rPr>
        <w:t>or</w:t>
      </w:r>
      <w:proofErr w:type="gramEnd"/>
      <w:r>
        <w:rPr>
          <w:lang w:eastAsia="en-AU"/>
        </w:rPr>
        <w:t xml:space="preserve"> binding </w:t>
      </w:r>
      <w:r w:rsidR="00C90866">
        <w:rPr>
          <w:lang w:eastAsia="en-AU"/>
        </w:rPr>
        <w:t xml:space="preserve">decision </w:t>
      </w:r>
      <w:r>
        <w:rPr>
          <w:lang w:eastAsia="en-AU"/>
        </w:rPr>
        <w:t>is made by the Under Treasurer.</w:t>
      </w:r>
    </w:p>
    <w:p w14:paraId="1099368E" w14:textId="23313BAE" w:rsidR="00C142ED" w:rsidRDefault="00C142ED" w:rsidP="004D4D0F">
      <w:pPr>
        <w:rPr>
          <w:lang w:eastAsia="en-AU"/>
        </w:rPr>
      </w:pPr>
      <w:r>
        <w:rPr>
          <w:lang w:eastAsia="en-AU"/>
        </w:rPr>
        <w:t>DTF is authorised to change timeframes, as necessary, to meet government reporting requirements.</w:t>
      </w:r>
    </w:p>
    <w:p w14:paraId="112CAC11" w14:textId="09650F4F" w:rsidR="00C71FDD" w:rsidRDefault="00C71FDD" w:rsidP="004D4D0F">
      <w:pPr>
        <w:pStyle w:val="Heading3"/>
      </w:pPr>
      <w:bookmarkStart w:id="32" w:name="_Toc175560472"/>
      <w:r>
        <w:t xml:space="preserve">Ledger Transfer Facility </w:t>
      </w:r>
      <w:r w:rsidR="00782451">
        <w:t>wizard</w:t>
      </w:r>
      <w:bookmarkEnd w:id="32"/>
    </w:p>
    <w:p w14:paraId="79D1C491" w14:textId="5D16B35A" w:rsidR="00C71FDD" w:rsidRDefault="00C71FDD" w:rsidP="004D4D0F">
      <w:pPr>
        <w:pStyle w:val="ListBullet"/>
        <w:numPr>
          <w:ilvl w:val="0"/>
          <w:numId w:val="0"/>
        </w:numPr>
        <w:rPr>
          <w:lang w:eastAsia="en-AU"/>
        </w:rPr>
      </w:pPr>
      <w:r>
        <w:rPr>
          <w:lang w:eastAsia="en-AU"/>
        </w:rPr>
        <w:t xml:space="preserve">Agencies must transfer cash balances or accounts that affect agency’s cash balances through the </w:t>
      </w:r>
      <w:r w:rsidR="00B21B99">
        <w:rPr>
          <w:lang w:eastAsia="en-AU"/>
        </w:rPr>
        <w:t>LTF</w:t>
      </w:r>
      <w:r w:rsidR="00E01823">
        <w:rPr>
          <w:lang w:eastAsia="en-AU"/>
        </w:rPr>
        <w:t xml:space="preserve"> w</w:t>
      </w:r>
      <w:r>
        <w:rPr>
          <w:lang w:eastAsia="en-AU"/>
        </w:rPr>
        <w:t>izard.</w:t>
      </w:r>
      <w:r w:rsidR="00B21B99">
        <w:rPr>
          <w:lang w:eastAsia="en-AU"/>
        </w:rPr>
        <w:t xml:space="preserve"> The LTF wizard has a limitation on the number of lines</w:t>
      </w:r>
      <w:r w:rsidR="00852E9D">
        <w:rPr>
          <w:lang w:eastAsia="en-AU"/>
        </w:rPr>
        <w:t xml:space="preserve"> that</w:t>
      </w:r>
      <w:r w:rsidR="00B21B99">
        <w:rPr>
          <w:lang w:eastAsia="en-AU"/>
        </w:rPr>
        <w:t xml:space="preserve"> c</w:t>
      </w:r>
      <w:r w:rsidR="00422B07">
        <w:rPr>
          <w:lang w:eastAsia="en-AU"/>
        </w:rPr>
        <w:t>an be populated in one transfer. A</w:t>
      </w:r>
      <w:r w:rsidR="00B21B99">
        <w:rPr>
          <w:lang w:eastAsia="en-AU"/>
        </w:rPr>
        <w:t>s such</w:t>
      </w:r>
      <w:r w:rsidR="00422B07">
        <w:rPr>
          <w:lang w:eastAsia="en-AU"/>
        </w:rPr>
        <w:t>,</w:t>
      </w:r>
      <w:r w:rsidR="00B21B99">
        <w:rPr>
          <w:lang w:eastAsia="en-AU"/>
        </w:rPr>
        <w:t xml:space="preserve"> where an agency intends to action a transfer with transaction lines exceeding the system limit, the agency may use a clearing account to capture the transactions</w:t>
      </w:r>
      <w:r w:rsidR="00FE454B">
        <w:rPr>
          <w:lang w:eastAsia="en-AU"/>
        </w:rPr>
        <w:t xml:space="preserve"> transferred and </w:t>
      </w:r>
      <w:r w:rsidR="00B21B99">
        <w:rPr>
          <w:lang w:eastAsia="en-AU"/>
        </w:rPr>
        <w:t>subsequently disburse this to the appropriate standard classification codes</w:t>
      </w:r>
      <w:r w:rsidR="00FE454B">
        <w:rPr>
          <w:lang w:eastAsia="en-AU"/>
        </w:rPr>
        <w:t xml:space="preserve"> using a GAS general ledger journal</w:t>
      </w:r>
      <w:r w:rsidR="00B21B99">
        <w:rPr>
          <w:lang w:eastAsia="en-AU"/>
        </w:rPr>
        <w:t>.</w:t>
      </w:r>
    </w:p>
    <w:p w14:paraId="36FCCF0C" w14:textId="23C5BAF5" w:rsidR="00FE454B" w:rsidRDefault="00FE454B" w:rsidP="004D4D0F">
      <w:pPr>
        <w:pStyle w:val="ListBullet"/>
        <w:numPr>
          <w:ilvl w:val="0"/>
          <w:numId w:val="0"/>
        </w:numPr>
        <w:rPr>
          <w:lang w:eastAsia="en-AU"/>
        </w:rPr>
      </w:pPr>
      <w:r>
        <w:rPr>
          <w:lang w:eastAsia="en-AU"/>
        </w:rPr>
        <w:t xml:space="preserve">In addition, the LTF </w:t>
      </w:r>
      <w:r w:rsidR="00E01823">
        <w:rPr>
          <w:lang w:eastAsia="en-AU"/>
        </w:rPr>
        <w:t>w</w:t>
      </w:r>
      <w:r>
        <w:rPr>
          <w:lang w:eastAsia="en-AU"/>
        </w:rPr>
        <w:t>izard generally defaults to the</w:t>
      </w:r>
      <w:r w:rsidR="00422B07">
        <w:rPr>
          <w:lang w:eastAsia="en-AU"/>
        </w:rPr>
        <w:t xml:space="preserve"> Source Destination C</w:t>
      </w:r>
      <w:r w:rsidR="00105F46">
        <w:rPr>
          <w:lang w:eastAsia="en-AU"/>
        </w:rPr>
        <w:t>ode (</w:t>
      </w:r>
      <w:r>
        <w:rPr>
          <w:lang w:eastAsia="en-AU"/>
        </w:rPr>
        <w:t>SDC</w:t>
      </w:r>
      <w:r w:rsidR="00105F46">
        <w:rPr>
          <w:lang w:eastAsia="en-AU"/>
        </w:rPr>
        <w:t xml:space="preserve">) </w:t>
      </w:r>
      <w:r>
        <w:rPr>
          <w:lang w:eastAsia="en-AU"/>
        </w:rPr>
        <w:t xml:space="preserve">of the transferring or recipient agencies. Where transactions are transferred using the LTF wizard, the transferring agency must provide a listing of transactions transferred including the original SDC’s to their </w:t>
      </w:r>
      <w:r w:rsidR="00782451">
        <w:rPr>
          <w:lang w:eastAsia="en-AU"/>
        </w:rPr>
        <w:t>DTF</w:t>
      </w:r>
      <w:r>
        <w:rPr>
          <w:lang w:eastAsia="en-AU"/>
        </w:rPr>
        <w:t xml:space="preserve"> analyst and contact in the recipient </w:t>
      </w:r>
      <w:r w:rsidR="00CD2851">
        <w:rPr>
          <w:lang w:eastAsia="en-AU"/>
        </w:rPr>
        <w:t>agency to ensure whole of government statements accurately reflect parties agencies have transacted with.</w:t>
      </w:r>
    </w:p>
    <w:p w14:paraId="2A437393" w14:textId="3A29B789" w:rsidR="008378F1" w:rsidRDefault="008378F1" w:rsidP="004D4D0F">
      <w:pPr>
        <w:pStyle w:val="Heading3"/>
      </w:pPr>
      <w:bookmarkStart w:id="33" w:name="_Toc175560473"/>
      <w:r>
        <w:t>G</w:t>
      </w:r>
      <w:r w:rsidR="00A54680">
        <w:t>overnment Accounting System (GAS) general ledger</w:t>
      </w:r>
      <w:r>
        <w:t xml:space="preserve"> journals</w:t>
      </w:r>
      <w:bookmarkEnd w:id="33"/>
    </w:p>
    <w:p w14:paraId="033F17C9" w14:textId="2EC38DEC" w:rsidR="001419E5" w:rsidRDefault="007C6232" w:rsidP="004D4D0F">
      <w:pPr>
        <w:pStyle w:val="ListBullet"/>
        <w:numPr>
          <w:ilvl w:val="0"/>
          <w:numId w:val="0"/>
        </w:numPr>
        <w:rPr>
          <w:lang w:eastAsia="en-AU"/>
        </w:rPr>
      </w:pPr>
      <w:r>
        <w:rPr>
          <w:lang w:eastAsia="en-AU"/>
        </w:rPr>
        <w:t>Where an agency cannot use the LT</w:t>
      </w:r>
      <w:r w:rsidR="00C5782F">
        <w:rPr>
          <w:lang w:eastAsia="en-AU"/>
        </w:rPr>
        <w:t>F w</w:t>
      </w:r>
      <w:r w:rsidR="00924F11">
        <w:rPr>
          <w:lang w:eastAsia="en-AU"/>
        </w:rPr>
        <w:t>izard to transfer a balance du</w:t>
      </w:r>
      <w:r>
        <w:rPr>
          <w:lang w:eastAsia="en-AU"/>
        </w:rPr>
        <w:t xml:space="preserve">e to the nature of the account </w:t>
      </w:r>
      <w:r w:rsidR="00DA662F">
        <w:rPr>
          <w:lang w:eastAsia="en-AU"/>
        </w:rPr>
        <w:t>(that</w:t>
      </w:r>
      <w:r>
        <w:rPr>
          <w:lang w:eastAsia="en-AU"/>
        </w:rPr>
        <w:t xml:space="preserve"> is</w:t>
      </w:r>
      <w:r w:rsidR="00782451">
        <w:rPr>
          <w:lang w:eastAsia="en-AU"/>
        </w:rPr>
        <w:t>,</w:t>
      </w:r>
      <w:r>
        <w:rPr>
          <w:lang w:eastAsia="en-AU"/>
        </w:rPr>
        <w:t xml:space="preserve"> </w:t>
      </w:r>
      <w:r w:rsidR="00924F11">
        <w:rPr>
          <w:lang w:eastAsia="en-AU"/>
        </w:rPr>
        <w:t xml:space="preserve">amounts </w:t>
      </w:r>
      <w:r w:rsidR="00782451">
        <w:rPr>
          <w:lang w:eastAsia="en-AU"/>
        </w:rPr>
        <w:t xml:space="preserve">relating </w:t>
      </w:r>
      <w:r w:rsidR="00924F11">
        <w:rPr>
          <w:lang w:eastAsia="en-AU"/>
        </w:rPr>
        <w:t>to the transfer of an open</w:t>
      </w:r>
      <w:r w:rsidR="00947356">
        <w:rPr>
          <w:lang w:eastAsia="en-AU"/>
        </w:rPr>
        <w:t>ing balance or movements in non-</w:t>
      </w:r>
      <w:r w:rsidR="00924F11">
        <w:rPr>
          <w:lang w:eastAsia="en-AU"/>
        </w:rPr>
        <w:t xml:space="preserve">cash accounts), it must use the </w:t>
      </w:r>
      <w:r w:rsidR="008378F1">
        <w:rPr>
          <w:lang w:eastAsia="en-AU"/>
        </w:rPr>
        <w:t>GAS</w:t>
      </w:r>
      <w:r w:rsidR="00A54680">
        <w:rPr>
          <w:lang w:eastAsia="en-AU"/>
        </w:rPr>
        <w:t xml:space="preserve"> general ledger </w:t>
      </w:r>
      <w:r w:rsidR="008378F1">
        <w:rPr>
          <w:lang w:eastAsia="en-AU"/>
        </w:rPr>
        <w:t>journals</w:t>
      </w:r>
      <w:r w:rsidR="00924F11">
        <w:rPr>
          <w:lang w:eastAsia="en-AU"/>
        </w:rPr>
        <w:t xml:space="preserve"> to transfer actual amounts.</w:t>
      </w:r>
    </w:p>
    <w:p w14:paraId="4914CDD0" w14:textId="6D9EA722" w:rsidR="003F33D6" w:rsidRDefault="00A43762" w:rsidP="004D4D0F">
      <w:pPr>
        <w:pStyle w:val="ListBullet"/>
        <w:numPr>
          <w:ilvl w:val="0"/>
          <w:numId w:val="0"/>
        </w:numPr>
        <w:rPr>
          <w:lang w:eastAsia="en-AU"/>
        </w:rPr>
      </w:pPr>
      <w:r>
        <w:rPr>
          <w:lang w:eastAsia="en-AU"/>
        </w:rPr>
        <w:t>To avoid whole of government consolidation issues</w:t>
      </w:r>
      <w:r w:rsidR="00A54680">
        <w:rPr>
          <w:lang w:eastAsia="en-AU"/>
        </w:rPr>
        <w:t>, both the transferring and receiving agencies must process GAS general ledger journals within the same month.</w:t>
      </w:r>
      <w:r w:rsidR="00754711">
        <w:rPr>
          <w:lang w:eastAsia="en-AU"/>
        </w:rPr>
        <w:t xml:space="preserve"> Both agencies must ensure the appropriate SDC’s are reflected in the transfer journals to ensure the whole of government financial statements reflect the entities </w:t>
      </w:r>
      <w:r w:rsidR="004565C6">
        <w:rPr>
          <w:lang w:eastAsia="en-AU"/>
        </w:rPr>
        <w:t>that</w:t>
      </w:r>
      <w:r w:rsidR="00754711">
        <w:rPr>
          <w:lang w:eastAsia="en-AU"/>
        </w:rPr>
        <w:t xml:space="preserve"> agencies have</w:t>
      </w:r>
      <w:r w:rsidR="004565C6">
        <w:rPr>
          <w:lang w:eastAsia="en-AU"/>
        </w:rPr>
        <w:t xml:space="preserve"> </w:t>
      </w:r>
      <w:r w:rsidR="00754711">
        <w:rPr>
          <w:lang w:eastAsia="en-AU"/>
        </w:rPr>
        <w:t xml:space="preserve">transacted with. Both the transferring and receiving agency must provide a copy of the GAS general ledger journal processed and supporting documentation to their </w:t>
      </w:r>
      <w:r w:rsidR="00782451">
        <w:rPr>
          <w:lang w:eastAsia="en-AU"/>
        </w:rPr>
        <w:t>DTF</w:t>
      </w:r>
      <w:r w:rsidR="00754711">
        <w:rPr>
          <w:lang w:eastAsia="en-AU"/>
        </w:rPr>
        <w:t xml:space="preserve"> Analyst on request.</w:t>
      </w:r>
    </w:p>
    <w:p w14:paraId="2EFF31BB" w14:textId="40639DF7" w:rsidR="00B2073D" w:rsidRDefault="00B2073D" w:rsidP="004D4D0F">
      <w:pPr>
        <w:pStyle w:val="Heading2"/>
        <w:ind w:left="578" w:hanging="578"/>
      </w:pPr>
      <w:bookmarkStart w:id="34" w:name="_Toc50463059"/>
      <w:bookmarkStart w:id="35" w:name="_Toc50463060"/>
      <w:bookmarkStart w:id="36" w:name="_Toc50463061"/>
      <w:bookmarkStart w:id="37" w:name="_Toc50463062"/>
      <w:bookmarkStart w:id="38" w:name="_Toc50463063"/>
      <w:bookmarkStart w:id="39" w:name="_Toc50463064"/>
      <w:bookmarkStart w:id="40" w:name="_Toc50463065"/>
      <w:bookmarkStart w:id="41" w:name="_Toc50463066"/>
      <w:bookmarkStart w:id="42" w:name="_Toc50463070"/>
      <w:bookmarkStart w:id="43" w:name="_Toc50463071"/>
      <w:bookmarkStart w:id="44" w:name="_Toc50463072"/>
      <w:bookmarkStart w:id="45" w:name="_Toc50463073"/>
      <w:bookmarkStart w:id="46" w:name="_Toc50463074"/>
      <w:bookmarkStart w:id="47" w:name="_Toc50463075"/>
      <w:bookmarkStart w:id="48" w:name="_Toc50463076"/>
      <w:bookmarkStart w:id="49" w:name="_Toc50463077"/>
      <w:bookmarkStart w:id="50" w:name="_Toc50463078"/>
      <w:bookmarkStart w:id="51" w:name="_Toc50463079"/>
      <w:bookmarkStart w:id="52" w:name="_Toc50463080"/>
      <w:bookmarkStart w:id="53" w:name="_Toc50463089"/>
      <w:bookmarkStart w:id="54" w:name="_Toc50463093"/>
      <w:bookmarkStart w:id="55" w:name="_Toc50463097"/>
      <w:bookmarkStart w:id="56" w:name="_Toc50463101"/>
      <w:bookmarkStart w:id="57" w:name="_Toc50463105"/>
      <w:bookmarkStart w:id="58" w:name="_Toc50463109"/>
      <w:bookmarkStart w:id="59" w:name="_Toc50463113"/>
      <w:bookmarkStart w:id="60" w:name="_Toc50463117"/>
      <w:bookmarkStart w:id="61" w:name="_Toc50463125"/>
      <w:bookmarkStart w:id="62" w:name="_Toc50463129"/>
      <w:bookmarkStart w:id="63" w:name="_Toc50463137"/>
      <w:bookmarkStart w:id="64" w:name="_Toc50463141"/>
      <w:bookmarkStart w:id="65" w:name="_Toc17556047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Infrastructure</w:t>
      </w:r>
      <w:bookmarkEnd w:id="65"/>
      <w:r>
        <w:t xml:space="preserve"> </w:t>
      </w:r>
    </w:p>
    <w:p w14:paraId="1C21F652" w14:textId="34AA161D" w:rsidR="00731CDE" w:rsidRDefault="00902865" w:rsidP="004D4D0F">
      <w:pPr>
        <w:rPr>
          <w:lang w:eastAsia="en-AU"/>
        </w:rPr>
      </w:pPr>
      <w:r>
        <w:rPr>
          <w:lang w:eastAsia="en-AU"/>
        </w:rPr>
        <w:t xml:space="preserve">The infrastructure program, including </w:t>
      </w:r>
      <w:r w:rsidR="00782451">
        <w:rPr>
          <w:lang w:eastAsia="en-AU"/>
        </w:rPr>
        <w:t>capital works</w:t>
      </w:r>
      <w:r>
        <w:rPr>
          <w:lang w:eastAsia="en-AU"/>
        </w:rPr>
        <w:t xml:space="preserve">, </w:t>
      </w:r>
      <w:r w:rsidR="00782451">
        <w:rPr>
          <w:lang w:eastAsia="en-AU"/>
        </w:rPr>
        <w:t xml:space="preserve">minor new works, </w:t>
      </w:r>
      <w:r>
        <w:rPr>
          <w:lang w:eastAsia="en-AU"/>
        </w:rPr>
        <w:t xml:space="preserve">and </w:t>
      </w:r>
      <w:r w:rsidR="00782451">
        <w:rPr>
          <w:lang w:eastAsia="en-AU"/>
        </w:rPr>
        <w:t xml:space="preserve">repairs </w:t>
      </w:r>
      <w:r>
        <w:rPr>
          <w:lang w:eastAsia="en-AU"/>
        </w:rPr>
        <w:t xml:space="preserve">and </w:t>
      </w:r>
      <w:r w:rsidR="00782451">
        <w:rPr>
          <w:lang w:eastAsia="en-AU"/>
        </w:rPr>
        <w:t>maintenance</w:t>
      </w:r>
      <w:r>
        <w:rPr>
          <w:lang w:eastAsia="en-AU"/>
        </w:rPr>
        <w:t xml:space="preserve">, is managed at the whole of government level, with notional program allocations to individual agencies. </w:t>
      </w:r>
      <w:r w:rsidR="00C90866">
        <w:rPr>
          <w:lang w:eastAsia="en-AU"/>
        </w:rPr>
        <w:t xml:space="preserve">DTF, in consultation with </w:t>
      </w:r>
      <w:r>
        <w:rPr>
          <w:lang w:eastAsia="en-AU"/>
        </w:rPr>
        <w:t>Department of Infrastructure, Planning and Logistics</w:t>
      </w:r>
      <w:r w:rsidR="00C90866">
        <w:rPr>
          <w:lang w:eastAsia="en-AU"/>
        </w:rPr>
        <w:t>,</w:t>
      </w:r>
      <w:r>
        <w:rPr>
          <w:lang w:eastAsia="en-AU"/>
        </w:rPr>
        <w:t xml:space="preserve"> </w:t>
      </w:r>
      <w:r w:rsidR="00C90866">
        <w:rPr>
          <w:lang w:eastAsia="en-AU"/>
        </w:rPr>
        <w:t xml:space="preserve">will </w:t>
      </w:r>
      <w:r w:rsidR="00731CDE">
        <w:rPr>
          <w:lang w:eastAsia="en-AU"/>
        </w:rPr>
        <w:t>determine the revised capital works and minor new works program</w:t>
      </w:r>
      <w:r w:rsidR="00782451">
        <w:rPr>
          <w:lang w:eastAsia="en-AU"/>
        </w:rPr>
        <w:t>,</w:t>
      </w:r>
      <w:r w:rsidR="00731CDE">
        <w:rPr>
          <w:lang w:eastAsia="en-AU"/>
        </w:rPr>
        <w:t xml:space="preserve"> and repairs and maintenance allocations associated with</w:t>
      </w:r>
      <w:r w:rsidR="00C90866">
        <w:rPr>
          <w:lang w:eastAsia="en-AU"/>
        </w:rPr>
        <w:t xml:space="preserve"> a MoG change.</w:t>
      </w:r>
      <w:r>
        <w:rPr>
          <w:lang w:eastAsia="en-AU"/>
        </w:rPr>
        <w:t xml:space="preserve"> </w:t>
      </w:r>
    </w:p>
    <w:p w14:paraId="3C6CCD25" w14:textId="667B8B56" w:rsidR="00947356" w:rsidRDefault="00947356" w:rsidP="004D4D0F">
      <w:pPr>
        <w:pStyle w:val="Heading2"/>
        <w:ind w:left="578" w:hanging="578"/>
      </w:pPr>
      <w:bookmarkStart w:id="66" w:name="_Toc175560475"/>
      <w:r>
        <w:t>Exclusions</w:t>
      </w:r>
      <w:bookmarkEnd w:id="66"/>
    </w:p>
    <w:p w14:paraId="77D48688" w14:textId="69F294CE" w:rsidR="00C07FB3" w:rsidRDefault="00947356" w:rsidP="004D4D0F">
      <w:pPr>
        <w:rPr>
          <w:lang w:eastAsia="en-AU"/>
        </w:rPr>
      </w:pPr>
      <w:r>
        <w:rPr>
          <w:lang w:eastAsia="en-AU"/>
        </w:rPr>
        <w:t xml:space="preserve">There may be instances where the timeframes and effective dates stipulated within the </w:t>
      </w:r>
      <w:r w:rsidR="003F2E83">
        <w:rPr>
          <w:lang w:eastAsia="en-AU"/>
        </w:rPr>
        <w:t>TD</w:t>
      </w:r>
      <w:r>
        <w:rPr>
          <w:lang w:eastAsia="en-AU"/>
        </w:rPr>
        <w:t xml:space="preserve"> – Machinery of government changes may need to be altered to facilitate the processing of MoG changes and meet government requirements. </w:t>
      </w:r>
    </w:p>
    <w:p w14:paraId="6E33E1A5" w14:textId="665E79E2" w:rsidR="00C07FB3" w:rsidRDefault="00C07FB3" w:rsidP="004D4D0F">
      <w:pPr>
        <w:rPr>
          <w:lang w:eastAsia="en-AU"/>
        </w:rPr>
      </w:pPr>
      <w:r>
        <w:rPr>
          <w:lang w:eastAsia="en-AU"/>
        </w:rPr>
        <w:t>DTF is authorised to c</w:t>
      </w:r>
      <w:r w:rsidR="00947356">
        <w:rPr>
          <w:lang w:eastAsia="en-AU"/>
        </w:rPr>
        <w:t>hange the effective date, timeframes and due dates referred to with</w:t>
      </w:r>
      <w:r w:rsidR="00181BB3">
        <w:rPr>
          <w:lang w:eastAsia="en-AU"/>
        </w:rPr>
        <w:t>in</w:t>
      </w:r>
      <w:r w:rsidR="00947356">
        <w:rPr>
          <w:lang w:eastAsia="en-AU"/>
        </w:rPr>
        <w:t xml:space="preserve"> the </w:t>
      </w:r>
      <w:r w:rsidR="003F2E83">
        <w:rPr>
          <w:lang w:eastAsia="en-AU"/>
        </w:rPr>
        <w:t>TD</w:t>
      </w:r>
      <w:r w:rsidR="00947356">
        <w:rPr>
          <w:lang w:eastAsia="en-AU"/>
        </w:rPr>
        <w:t xml:space="preserve"> – Machinery of government change</w:t>
      </w:r>
      <w:r w:rsidR="00181BB3">
        <w:rPr>
          <w:lang w:eastAsia="en-AU"/>
        </w:rPr>
        <w:t>s</w:t>
      </w:r>
      <w:r>
        <w:rPr>
          <w:lang w:eastAsia="en-AU"/>
        </w:rPr>
        <w:t xml:space="preserve"> and </w:t>
      </w:r>
      <w:r w:rsidR="0071364A">
        <w:rPr>
          <w:lang w:eastAsia="en-AU"/>
        </w:rPr>
        <w:t>also</w:t>
      </w:r>
      <w:r>
        <w:rPr>
          <w:lang w:eastAsia="en-AU"/>
        </w:rPr>
        <w:t xml:space="preserve"> determine the exclusion of parameters from budget transfers where necessary.</w:t>
      </w:r>
      <w:r w:rsidR="00FF65C9">
        <w:rPr>
          <w:lang w:eastAsia="en-AU"/>
        </w:rPr>
        <w:t xml:space="preserve"> </w:t>
      </w:r>
      <w:r w:rsidR="00181BB3">
        <w:rPr>
          <w:lang w:eastAsia="en-AU"/>
        </w:rPr>
        <w:t>Where changes are re</w:t>
      </w:r>
      <w:r w:rsidR="00AB7DAD">
        <w:rPr>
          <w:lang w:eastAsia="en-AU"/>
        </w:rPr>
        <w:t>quired</w:t>
      </w:r>
      <w:r w:rsidR="00FF65C9">
        <w:rPr>
          <w:lang w:eastAsia="en-AU"/>
        </w:rPr>
        <w:t xml:space="preserve">, </w:t>
      </w:r>
      <w:r w:rsidR="00181BB3">
        <w:rPr>
          <w:lang w:eastAsia="en-AU"/>
        </w:rPr>
        <w:t>DTF will</w:t>
      </w:r>
      <w:r w:rsidR="00FF65C9">
        <w:rPr>
          <w:lang w:eastAsia="en-AU"/>
        </w:rPr>
        <w:t xml:space="preserve"> </w:t>
      </w:r>
      <w:r w:rsidR="00181BB3">
        <w:rPr>
          <w:lang w:eastAsia="en-AU"/>
        </w:rPr>
        <w:t xml:space="preserve">communicate revised timeframes </w:t>
      </w:r>
      <w:r w:rsidR="00FF65C9">
        <w:rPr>
          <w:lang w:eastAsia="en-AU"/>
        </w:rPr>
        <w:t xml:space="preserve">or requirements </w:t>
      </w:r>
      <w:r w:rsidR="00181BB3">
        <w:rPr>
          <w:lang w:eastAsia="en-AU"/>
        </w:rPr>
        <w:t>to age</w:t>
      </w:r>
      <w:r w:rsidR="00FF65C9">
        <w:rPr>
          <w:lang w:eastAsia="en-AU"/>
        </w:rPr>
        <w:t>ncies</w:t>
      </w:r>
      <w:r w:rsidR="00181BB3">
        <w:rPr>
          <w:lang w:eastAsia="en-AU"/>
        </w:rPr>
        <w:t xml:space="preserve">. </w:t>
      </w:r>
    </w:p>
    <w:p w14:paraId="31001627" w14:textId="06DA1AEC" w:rsidR="00C62CE4" w:rsidRDefault="004C4359" w:rsidP="004D4D0F">
      <w:pPr>
        <w:pStyle w:val="Heading1"/>
        <w:keepLines/>
        <w:ind w:left="432" w:hanging="432"/>
      </w:pPr>
      <w:bookmarkStart w:id="67" w:name="_Toc50463146"/>
      <w:bookmarkStart w:id="68" w:name="_Toc175560476"/>
      <w:bookmarkEnd w:id="67"/>
      <w:r>
        <w:t>Key roles and responsibilities</w:t>
      </w:r>
      <w:bookmarkEnd w:id="68"/>
    </w:p>
    <w:p w14:paraId="2F1C9A6B" w14:textId="7BA03167" w:rsidR="00343ED8" w:rsidRDefault="00110340" w:rsidP="004D4D0F">
      <w:r>
        <w:t>Administrative re</w:t>
      </w:r>
      <w:r w:rsidR="006C736D">
        <w:t>-</w:t>
      </w:r>
      <w:r>
        <w:t>arrangements generally require a whole</w:t>
      </w:r>
      <w:r w:rsidR="00AD6CEB">
        <w:t xml:space="preserve"> of </w:t>
      </w:r>
      <w:r>
        <w:t xml:space="preserve">government coordinated approach with various agencies </w:t>
      </w:r>
      <w:r w:rsidR="005A3FC0">
        <w:t>assuming</w:t>
      </w:r>
      <w:r>
        <w:t xml:space="preserve"> key roles and responsibilities during the process.</w:t>
      </w:r>
      <w:r w:rsidR="005A3FC0">
        <w:t xml:space="preserve"> </w:t>
      </w:r>
      <w:r w:rsidR="00CC5791">
        <w:t xml:space="preserve">Key agencies and relevant responsibilities have been summarised below. </w:t>
      </w:r>
      <w:r w:rsidR="00343ED8">
        <w:t xml:space="preserve"> </w:t>
      </w:r>
    </w:p>
    <w:p w14:paraId="35517D81" w14:textId="22523FCA" w:rsidR="004C4359" w:rsidRDefault="004C4359" w:rsidP="004D4D0F">
      <w:pPr>
        <w:pStyle w:val="Heading3"/>
      </w:pPr>
      <w:bookmarkStart w:id="69" w:name="_Toc175560477"/>
      <w:r>
        <w:t>Department of the Chief Ministe</w:t>
      </w:r>
      <w:r w:rsidR="00DC6396">
        <w:t>r</w:t>
      </w:r>
      <w:r w:rsidR="00F66DE9">
        <w:t xml:space="preserve"> and Cabinet</w:t>
      </w:r>
      <w:bookmarkEnd w:id="69"/>
    </w:p>
    <w:p w14:paraId="5916725E" w14:textId="55BC5922" w:rsidR="00DC6396" w:rsidRDefault="00DC6396" w:rsidP="004D4D0F">
      <w:pPr>
        <w:pStyle w:val="ListBullet"/>
        <w:numPr>
          <w:ilvl w:val="0"/>
          <w:numId w:val="0"/>
        </w:numPr>
        <w:ind w:left="357" w:hanging="357"/>
      </w:pPr>
      <w:r>
        <w:t xml:space="preserve">The Department of the Chief Minister </w:t>
      </w:r>
      <w:r w:rsidR="00C142ED">
        <w:t xml:space="preserve">and Cabinet </w:t>
      </w:r>
      <w:r>
        <w:t>will:</w:t>
      </w:r>
    </w:p>
    <w:p w14:paraId="12489648" w14:textId="140055E5" w:rsidR="004C4359" w:rsidRDefault="004C4359" w:rsidP="004D4D0F">
      <w:pPr>
        <w:pStyle w:val="ListBullet"/>
      </w:pPr>
      <w:r w:rsidRPr="00DC6396">
        <w:rPr>
          <w:lang w:eastAsia="en-AU"/>
        </w:rPr>
        <w:t>inform</w:t>
      </w:r>
      <w:r w:rsidRPr="00DC6396">
        <w:rPr>
          <w:iCs/>
          <w:lang w:eastAsia="en-AU"/>
        </w:rPr>
        <w:t xml:space="preserve"> agencies of the Chief Minister’s decisions on </w:t>
      </w:r>
      <w:r w:rsidR="003F4E59">
        <w:rPr>
          <w:iCs/>
          <w:lang w:eastAsia="en-AU"/>
        </w:rPr>
        <w:t>MoG</w:t>
      </w:r>
      <w:r w:rsidRPr="00DC6396">
        <w:rPr>
          <w:iCs/>
          <w:lang w:eastAsia="en-AU"/>
        </w:rPr>
        <w:t xml:space="preserve"> chan</w:t>
      </w:r>
      <w:r>
        <w:t>ges</w:t>
      </w:r>
    </w:p>
    <w:p w14:paraId="05BA0886" w14:textId="0098F0CC" w:rsidR="004C4359" w:rsidRDefault="004C4359" w:rsidP="004D4D0F">
      <w:pPr>
        <w:pStyle w:val="ListBullet"/>
      </w:pPr>
      <w:proofErr w:type="gramStart"/>
      <w:r>
        <w:t>assist</w:t>
      </w:r>
      <w:proofErr w:type="gramEnd"/>
      <w:r>
        <w:t xml:space="preserve"> with clarifying agencies’ new and existing functions and transfers outlined in the Administrative Arrangements Order issued b</w:t>
      </w:r>
      <w:r w:rsidR="00C90866">
        <w:t>y the Administrator</w:t>
      </w:r>
      <w:r>
        <w:t>.</w:t>
      </w:r>
    </w:p>
    <w:p w14:paraId="4CE5B147" w14:textId="06BEB7F3" w:rsidR="004C4359" w:rsidRDefault="004C4359" w:rsidP="004D4D0F">
      <w:pPr>
        <w:pStyle w:val="Heading3"/>
      </w:pPr>
      <w:bookmarkStart w:id="70" w:name="_Toc175560478"/>
      <w:r>
        <w:t>Commissioner for Public Employment</w:t>
      </w:r>
      <w:bookmarkEnd w:id="70"/>
    </w:p>
    <w:p w14:paraId="22CEDE44" w14:textId="61968627" w:rsidR="004C4359" w:rsidRDefault="004C4359" w:rsidP="004D4D0F">
      <w:pPr>
        <w:pStyle w:val="ListNumber"/>
      </w:pPr>
      <w:r>
        <w:t>The</w:t>
      </w:r>
      <w:r w:rsidR="001E2974">
        <w:t xml:space="preserve"> </w:t>
      </w:r>
      <w:r w:rsidR="00DC6396">
        <w:t xml:space="preserve">Commissioner </w:t>
      </w:r>
      <w:r>
        <w:t>for Public Employment will:</w:t>
      </w:r>
    </w:p>
    <w:p w14:paraId="753198A3" w14:textId="78E15136" w:rsidR="004C4359" w:rsidRDefault="004C4359" w:rsidP="004D4D0F">
      <w:pPr>
        <w:pStyle w:val="ListBullet"/>
      </w:pPr>
      <w:r>
        <w:rPr>
          <w:lang w:eastAsia="en-AU"/>
        </w:rPr>
        <w:t>assist with clarifying and implementing</w:t>
      </w:r>
      <w:r>
        <w:t xml:space="preserve"> the transfer of staff between agencies where necessary</w:t>
      </w:r>
    </w:p>
    <w:p w14:paraId="0AB99F6D" w14:textId="752B319B" w:rsidR="004C4359" w:rsidRDefault="004C4359" w:rsidP="004D4D0F">
      <w:pPr>
        <w:pStyle w:val="ListBullet"/>
      </w:pPr>
      <w:r>
        <w:t xml:space="preserve">provide </w:t>
      </w:r>
      <w:r>
        <w:rPr>
          <w:lang w:eastAsia="en-AU"/>
        </w:rPr>
        <w:t>advice</w:t>
      </w:r>
      <w:r w:rsidR="005A396F">
        <w:t xml:space="preserve"> to </w:t>
      </w:r>
      <w:r w:rsidR="00782451">
        <w:t xml:space="preserve">chief </w:t>
      </w:r>
      <w:r w:rsidR="005A396F">
        <w:t>executives</w:t>
      </w:r>
      <w:r>
        <w:t xml:space="preserve"> in relation to change management requirements under the relevant industrial instruments</w:t>
      </w:r>
    </w:p>
    <w:p w14:paraId="0E25D5F8" w14:textId="4A12D1B7" w:rsidR="004C4359" w:rsidRPr="00D15DB3" w:rsidRDefault="004C4359" w:rsidP="004D4D0F">
      <w:pPr>
        <w:pStyle w:val="ListBullet"/>
      </w:pPr>
      <w:r>
        <w:t>ad</w:t>
      </w:r>
      <w:r w:rsidR="00E14BA2">
        <w:t>vise date of effect for the PSEMA</w:t>
      </w:r>
      <w:r w:rsidR="00BF3D4C" w:rsidRPr="00D15DB3">
        <w:t xml:space="preserve"> </w:t>
      </w:r>
      <w:r w:rsidRPr="00D15DB3">
        <w:t xml:space="preserve">Instruments of </w:t>
      </w:r>
      <w:r w:rsidR="006C736D">
        <w:t>t</w:t>
      </w:r>
      <w:r w:rsidRPr="00D15DB3">
        <w:t xml:space="preserve">ransfer </w:t>
      </w:r>
      <w:r w:rsidRPr="00D15DB3">
        <w:rPr>
          <w:lang w:eastAsia="en-AU"/>
        </w:rPr>
        <w:t>where</w:t>
      </w:r>
      <w:r w:rsidRPr="00D15DB3">
        <w:t xml:space="preserve"> necessary</w:t>
      </w:r>
    </w:p>
    <w:p w14:paraId="5C8E3580" w14:textId="3E53D567" w:rsidR="004C4359" w:rsidRDefault="00965525" w:rsidP="004D4D0F">
      <w:pPr>
        <w:pStyle w:val="ListBullet"/>
      </w:pPr>
      <w:proofErr w:type="gramStart"/>
      <w:r>
        <w:rPr>
          <w:lang w:eastAsia="en-AU"/>
        </w:rPr>
        <w:t>provide</w:t>
      </w:r>
      <w:proofErr w:type="gramEnd"/>
      <w:r>
        <w:rPr>
          <w:lang w:eastAsia="en-AU"/>
        </w:rPr>
        <w:t xml:space="preserve"> support to</w:t>
      </w:r>
      <w:r>
        <w:t xml:space="preserve"> chief executives and the Northern Territory Public Service (NTPS) through the provision of documents, templates, advice and establishing a high level NTPS/Union MoG consultative committee</w:t>
      </w:r>
      <w:r w:rsidR="004C4359">
        <w:t>.</w:t>
      </w:r>
    </w:p>
    <w:p w14:paraId="56A7685C" w14:textId="4E1595F5" w:rsidR="004C4359" w:rsidRDefault="00DC6396" w:rsidP="004D4D0F">
      <w:pPr>
        <w:pStyle w:val="Heading3"/>
      </w:pPr>
      <w:bookmarkStart w:id="71" w:name="_Toc175560479"/>
      <w:r>
        <w:t>D</w:t>
      </w:r>
      <w:r w:rsidR="004C4359">
        <w:t>epartment of Treasury and Finance</w:t>
      </w:r>
      <w:bookmarkEnd w:id="71"/>
    </w:p>
    <w:p w14:paraId="6F5B6ABC" w14:textId="1486D9A7" w:rsidR="004C4359" w:rsidRDefault="00782451" w:rsidP="004D4D0F">
      <w:pPr>
        <w:pStyle w:val="ListNumber"/>
      </w:pPr>
      <w:r>
        <w:t>DTF</w:t>
      </w:r>
      <w:r w:rsidR="004C4359">
        <w:t xml:space="preserve"> will:</w:t>
      </w:r>
    </w:p>
    <w:p w14:paraId="211A9BEB" w14:textId="4FD48185" w:rsidR="004C4359" w:rsidRDefault="004C4359" w:rsidP="004D4D0F">
      <w:pPr>
        <w:pStyle w:val="ListBullet"/>
      </w:pPr>
      <w:r>
        <w:t xml:space="preserve">provide organisation </w:t>
      </w:r>
      <w:r w:rsidR="005401D3">
        <w:t>number</w:t>
      </w:r>
      <w:r>
        <w:t>s for new agencies and government business divisions</w:t>
      </w:r>
      <w:r w:rsidR="00422B07">
        <w:t xml:space="preserve"> (for reference in GAS/ APEX and other reporting systems)</w:t>
      </w:r>
    </w:p>
    <w:p w14:paraId="14DC5653" w14:textId="486189EB" w:rsidR="004C4359" w:rsidRDefault="004C4359" w:rsidP="004D4D0F">
      <w:pPr>
        <w:pStyle w:val="ListBullet"/>
      </w:pPr>
      <w:r>
        <w:t xml:space="preserve">advise </w:t>
      </w:r>
      <w:r>
        <w:rPr>
          <w:lang w:eastAsia="en-AU"/>
        </w:rPr>
        <w:t>the</w:t>
      </w:r>
      <w:r>
        <w:t xml:space="preserve"> date of effect for budget transfers for reporting purposes</w:t>
      </w:r>
    </w:p>
    <w:p w14:paraId="3E052FBA" w14:textId="7D31FD16" w:rsidR="004565C6" w:rsidRDefault="004C4359" w:rsidP="004D4D0F">
      <w:pPr>
        <w:pStyle w:val="ListBullet"/>
      </w:pPr>
      <w:r>
        <w:rPr>
          <w:lang w:eastAsia="en-AU"/>
        </w:rPr>
        <w:t>provide</w:t>
      </w:r>
      <w:r>
        <w:t xml:space="preserve"> advice to agencies on budget transfers and establishment o</w:t>
      </w:r>
      <w:r w:rsidR="00C90866">
        <w:t>f new agency budgets in the APEX</w:t>
      </w:r>
      <w:r>
        <w:t xml:space="preserve"> reporting system</w:t>
      </w:r>
    </w:p>
    <w:p w14:paraId="36C12733" w14:textId="2B0E78A9" w:rsidR="004565C6" w:rsidRDefault="004565C6" w:rsidP="004D4D0F">
      <w:pPr>
        <w:pStyle w:val="ListBullet"/>
      </w:pPr>
      <w:r>
        <w:t xml:space="preserve">determine </w:t>
      </w:r>
      <w:r>
        <w:rPr>
          <w:lang w:eastAsia="en-AU"/>
        </w:rPr>
        <w:t>the revised capital works and minor new works program</w:t>
      </w:r>
      <w:r w:rsidR="00782451">
        <w:rPr>
          <w:lang w:eastAsia="en-AU"/>
        </w:rPr>
        <w:t>,</w:t>
      </w:r>
      <w:r>
        <w:rPr>
          <w:lang w:eastAsia="en-AU"/>
        </w:rPr>
        <w:t xml:space="preserve"> and repairs and maintenance allocations</w:t>
      </w:r>
    </w:p>
    <w:p w14:paraId="63E85A5C" w14:textId="506E023D" w:rsidR="004C4359" w:rsidRDefault="004565C6" w:rsidP="004D4D0F">
      <w:pPr>
        <w:pStyle w:val="ListBullet"/>
      </w:pPr>
      <w:proofErr w:type="gramStart"/>
      <w:r>
        <w:rPr>
          <w:lang w:eastAsia="en-AU"/>
        </w:rPr>
        <w:t>make</w:t>
      </w:r>
      <w:proofErr w:type="gramEnd"/>
      <w:r>
        <w:rPr>
          <w:lang w:eastAsia="en-AU"/>
        </w:rPr>
        <w:t xml:space="preserve"> a binding budget and or actual transfer </w:t>
      </w:r>
      <w:r w:rsidR="00C90866">
        <w:rPr>
          <w:lang w:eastAsia="en-AU"/>
        </w:rPr>
        <w:t xml:space="preserve">decision </w:t>
      </w:r>
      <w:r>
        <w:rPr>
          <w:lang w:eastAsia="en-AU"/>
        </w:rPr>
        <w:t>where agreement cannot be reached between the transferring and receiving agencies within required timeframes</w:t>
      </w:r>
      <w:r>
        <w:t>.</w:t>
      </w:r>
    </w:p>
    <w:p w14:paraId="63DF5BB4" w14:textId="64966399" w:rsidR="004C4359" w:rsidRDefault="004C4359" w:rsidP="004D4D0F">
      <w:pPr>
        <w:pStyle w:val="Heading3"/>
      </w:pPr>
      <w:bookmarkStart w:id="72" w:name="_Toc175560480"/>
      <w:r>
        <w:t>Department of Corporate a</w:t>
      </w:r>
      <w:r w:rsidR="00B40F08">
        <w:t>nd Digital Development</w:t>
      </w:r>
      <w:bookmarkEnd w:id="72"/>
    </w:p>
    <w:p w14:paraId="0ACDF1E5" w14:textId="1F3B398B" w:rsidR="004C4359" w:rsidRDefault="004C4359" w:rsidP="004D4D0F">
      <w:pPr>
        <w:pStyle w:val="ListNumber"/>
      </w:pPr>
      <w:r>
        <w:t>The Department of Corporate and</w:t>
      </w:r>
      <w:r w:rsidR="00B40F08">
        <w:t xml:space="preserve"> Digital Development</w:t>
      </w:r>
      <w:r w:rsidR="00FC640E">
        <w:t xml:space="preserve"> (DCDD)</w:t>
      </w:r>
      <w:r w:rsidR="00B40F08">
        <w:t xml:space="preserve"> </w:t>
      </w:r>
      <w:r>
        <w:t>will:</w:t>
      </w:r>
    </w:p>
    <w:p w14:paraId="50DF3921" w14:textId="145889D4" w:rsidR="004C4359" w:rsidRDefault="004C4359" w:rsidP="004D4D0F">
      <w:pPr>
        <w:pStyle w:val="ListBullet"/>
      </w:pPr>
      <w:r>
        <w:t>coordinate</w:t>
      </w:r>
      <w:r w:rsidR="00B40F08">
        <w:t xml:space="preserve"> the</w:t>
      </w:r>
      <w:r>
        <w:t xml:space="preserve"> </w:t>
      </w:r>
      <w:r>
        <w:rPr>
          <w:lang w:eastAsia="en-AU"/>
        </w:rPr>
        <w:t>transfer</w:t>
      </w:r>
      <w:r w:rsidR="00B40F08">
        <w:rPr>
          <w:lang w:eastAsia="en-AU"/>
        </w:rPr>
        <w:t xml:space="preserve"> of</w:t>
      </w:r>
      <w:r w:rsidR="009614AC">
        <w:t xml:space="preserve"> core resources to new or receiving agencies, that is, </w:t>
      </w:r>
      <w:r>
        <w:t xml:space="preserve">budget, people and access to business systems </w:t>
      </w:r>
      <w:r w:rsidR="00AD7481">
        <w:t xml:space="preserve">that </w:t>
      </w:r>
      <w:r>
        <w:t>allow an agency to operate in accordance with the new agency arrangements</w:t>
      </w:r>
    </w:p>
    <w:p w14:paraId="257FF868" w14:textId="360D1BD7" w:rsidR="00C142ED" w:rsidRDefault="00C142ED" w:rsidP="004D4D0F">
      <w:pPr>
        <w:pStyle w:val="ListBullet"/>
      </w:pPr>
      <w:r>
        <w:t>establish ledger changes and transfer finance data, as required</w:t>
      </w:r>
    </w:p>
    <w:p w14:paraId="6D3EC239" w14:textId="516BAC08" w:rsidR="00DC6396" w:rsidRDefault="004C4359" w:rsidP="004D4D0F">
      <w:pPr>
        <w:pStyle w:val="ListBullet"/>
      </w:pPr>
      <w:r w:rsidRPr="00C142ED">
        <w:t>coordinate transfer</w:t>
      </w:r>
      <w:r w:rsidR="00B40F08" w:rsidRPr="00C142ED">
        <w:t xml:space="preserve"> of</w:t>
      </w:r>
      <w:r w:rsidRPr="00C142ED">
        <w:t xml:space="preserve"> remaining resources, open jobs and transactions for the reporting period, from the </w:t>
      </w:r>
      <w:r w:rsidR="00C90866">
        <w:t xml:space="preserve">transferring agency </w:t>
      </w:r>
      <w:r w:rsidRPr="00C142ED">
        <w:t xml:space="preserve">to the </w:t>
      </w:r>
      <w:r w:rsidRPr="00C142ED">
        <w:rPr>
          <w:lang w:eastAsia="en-AU"/>
        </w:rPr>
        <w:t>receiving</w:t>
      </w:r>
      <w:r w:rsidRPr="00C142ED">
        <w:t xml:space="preserve"> agency, including records</w:t>
      </w:r>
      <w:r w:rsidR="00422B07">
        <w:t xml:space="preserve"> management</w:t>
      </w:r>
      <w:r w:rsidRPr="00C142ED">
        <w:t xml:space="preserve">, </w:t>
      </w:r>
      <w:r w:rsidR="00C142ED" w:rsidRPr="00C142ED">
        <w:t xml:space="preserve">bank accounts, </w:t>
      </w:r>
      <w:r w:rsidR="00C142ED" w:rsidRPr="00C90866">
        <w:t xml:space="preserve">contracts and procurement, </w:t>
      </w:r>
      <w:r w:rsidRPr="00C90866">
        <w:t>assets and outstanding debtors</w:t>
      </w:r>
    </w:p>
    <w:p w14:paraId="2AB3A30C" w14:textId="19073792" w:rsidR="00FC640E" w:rsidRPr="00C90866" w:rsidRDefault="00FC640E" w:rsidP="004D4D0F">
      <w:pPr>
        <w:pStyle w:val="ListBullet"/>
      </w:pPr>
      <w:r>
        <w:t>process transfer of DCDD managed assets in GAS on behalf of agencies.</w:t>
      </w:r>
    </w:p>
    <w:p w14:paraId="51AFC8B3" w14:textId="77777777" w:rsidR="004F4ADB" w:rsidRPr="00C90866" w:rsidRDefault="004F4ADB" w:rsidP="004F4ADB">
      <w:pPr>
        <w:pStyle w:val="Heading3"/>
      </w:pPr>
      <w:bookmarkStart w:id="73" w:name="_Toc175560481"/>
      <w:r w:rsidRPr="00C90866">
        <w:t>Department of Infrastructure, Planning and Logistics</w:t>
      </w:r>
      <w:bookmarkEnd w:id="73"/>
    </w:p>
    <w:p w14:paraId="28B2689E" w14:textId="43F3B051" w:rsidR="00734B13" w:rsidRPr="004F4ADB" w:rsidRDefault="004F4ADB" w:rsidP="009B5D8E">
      <w:pPr>
        <w:pStyle w:val="ListNumber"/>
      </w:pPr>
      <w:r w:rsidRPr="00C90866">
        <w:t>The Department of Infrastructu</w:t>
      </w:r>
      <w:r w:rsidR="009B5D8E" w:rsidRPr="00C90866">
        <w:t>re, Planning and Logistics</w:t>
      </w:r>
      <w:r w:rsidR="00625981">
        <w:t xml:space="preserve"> (DIPL)</w:t>
      </w:r>
      <w:r w:rsidR="009B5D8E" w:rsidRPr="00C90866">
        <w:t xml:space="preserve"> will update the government </w:t>
      </w:r>
      <w:r w:rsidR="00DF2A01">
        <w:t>land register to align with new departmental structures</w:t>
      </w:r>
      <w:r w:rsidR="009B5D8E" w:rsidRPr="00C90866">
        <w:t>.</w:t>
      </w:r>
      <w:r w:rsidR="00FC640E">
        <w:t xml:space="preserve"> To facilitate this process, the transferring agency must</w:t>
      </w:r>
      <w:r w:rsidR="00625981">
        <w:t xml:space="preserve"> contact the Integrated Land Information System (ILIS) team in DIPL with a list of lots be transferred to the new agency.</w:t>
      </w:r>
    </w:p>
    <w:p w14:paraId="79287BDA" w14:textId="4F14C793" w:rsidR="004C4359" w:rsidRDefault="004C4359" w:rsidP="004D4D0F">
      <w:pPr>
        <w:pStyle w:val="Heading3"/>
      </w:pPr>
      <w:bookmarkStart w:id="74" w:name="_Toc50463154"/>
      <w:bookmarkStart w:id="75" w:name="_Toc50463155"/>
      <w:bookmarkStart w:id="76" w:name="_Toc50463156"/>
      <w:bookmarkStart w:id="77" w:name="_Toc50463157"/>
      <w:bookmarkStart w:id="78" w:name="_Toc50463158"/>
      <w:bookmarkStart w:id="79" w:name="_Toc50463159"/>
      <w:bookmarkStart w:id="80" w:name="_Toc50463160"/>
      <w:bookmarkStart w:id="81" w:name="_Toc50463161"/>
      <w:bookmarkStart w:id="82" w:name="_Toc50463162"/>
      <w:bookmarkStart w:id="83" w:name="_Toc50463163"/>
      <w:bookmarkStart w:id="84" w:name="_Toc50463164"/>
      <w:bookmarkStart w:id="85" w:name="_Toc50463165"/>
      <w:bookmarkStart w:id="86" w:name="_Toc50463166"/>
      <w:bookmarkStart w:id="87" w:name="_Toc50463167"/>
      <w:bookmarkStart w:id="88" w:name="_Toc50463168"/>
      <w:bookmarkStart w:id="89" w:name="_Toc50463169"/>
      <w:bookmarkStart w:id="90" w:name="_Toc50463170"/>
      <w:bookmarkStart w:id="91" w:name="_Toc50463171"/>
      <w:bookmarkStart w:id="92" w:name="_Toc50463172"/>
      <w:bookmarkStart w:id="93" w:name="_Toc50463173"/>
      <w:bookmarkStart w:id="94" w:name="_Toc50463174"/>
      <w:bookmarkStart w:id="95" w:name="_Toc50463175"/>
      <w:bookmarkStart w:id="96" w:name="_Toc50463176"/>
      <w:bookmarkStart w:id="97" w:name="_Toc50463177"/>
      <w:bookmarkStart w:id="98" w:name="_Toc50463178"/>
      <w:bookmarkStart w:id="99" w:name="_Toc50463179"/>
      <w:bookmarkStart w:id="100" w:name="_Toc50463180"/>
      <w:bookmarkStart w:id="101" w:name="_Toc50463181"/>
      <w:bookmarkStart w:id="102" w:name="_Toc50463182"/>
      <w:bookmarkStart w:id="103" w:name="_Toc50463183"/>
      <w:bookmarkStart w:id="104" w:name="_Toc17556048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 xml:space="preserve">Chief </w:t>
      </w:r>
      <w:r w:rsidR="00AD7481">
        <w:t>executives</w:t>
      </w:r>
      <w:bookmarkEnd w:id="104"/>
    </w:p>
    <w:p w14:paraId="212453A8" w14:textId="46A1E815" w:rsidR="004C4359" w:rsidRDefault="004C4359" w:rsidP="004D4D0F">
      <w:pPr>
        <w:pStyle w:val="ListNumber"/>
      </w:pPr>
      <w:r>
        <w:t xml:space="preserve">Chief </w:t>
      </w:r>
      <w:r w:rsidR="00AD7481">
        <w:t xml:space="preserve">executives </w:t>
      </w:r>
      <w:r w:rsidR="00C95811">
        <w:t xml:space="preserve">of affected agencies </w:t>
      </w:r>
      <w:r>
        <w:t>will:</w:t>
      </w:r>
    </w:p>
    <w:p w14:paraId="09AA1872" w14:textId="1C4DEEE7" w:rsidR="004C4359" w:rsidRDefault="004C4359" w:rsidP="004D4D0F">
      <w:pPr>
        <w:pStyle w:val="ListBullet"/>
      </w:pPr>
      <w:r>
        <w:t>agree on details of budget and people transfer arrangements subject to M</w:t>
      </w:r>
      <w:r w:rsidR="00BF3D4C">
        <w:t>o</w:t>
      </w:r>
      <w:r>
        <w:t>G principles and business rules</w:t>
      </w:r>
    </w:p>
    <w:p w14:paraId="5D787AAB" w14:textId="596B7054" w:rsidR="004C4359" w:rsidRDefault="004C4359" w:rsidP="004D4D0F">
      <w:pPr>
        <w:pStyle w:val="ListBullet"/>
      </w:pPr>
      <w:r>
        <w:t>sign the PSEMA Instrument of Transfer</w:t>
      </w:r>
      <w:r w:rsidR="00645942">
        <w:t xml:space="preserve"> and the budget transfer agreement</w:t>
      </w:r>
      <w:r>
        <w:t xml:space="preserve"> (both </w:t>
      </w:r>
      <w:r w:rsidR="00496D61">
        <w:t xml:space="preserve">transferring </w:t>
      </w:r>
      <w:r>
        <w:t>and receiving agencies)</w:t>
      </w:r>
    </w:p>
    <w:p w14:paraId="7206E73B" w14:textId="2C33C772" w:rsidR="004C4359" w:rsidRDefault="004C4359" w:rsidP="004D4D0F">
      <w:pPr>
        <w:pStyle w:val="ListBullet"/>
      </w:pPr>
      <w:r>
        <w:t>undertake change management requirements in accordance with relevant industrial instruments including consultation and keeping employees informed on the progress of changes, prior to the changes being implemented</w:t>
      </w:r>
    </w:p>
    <w:p w14:paraId="0DE1BEF8" w14:textId="75471991" w:rsidR="004C4359" w:rsidRDefault="004C4359" w:rsidP="004D4D0F">
      <w:pPr>
        <w:pStyle w:val="ListBullet"/>
      </w:pPr>
      <w:proofErr w:type="gramStart"/>
      <w:r>
        <w:t>appoint</w:t>
      </w:r>
      <w:proofErr w:type="gramEnd"/>
      <w:r>
        <w:t xml:space="preserve"> an appropriate senior officer as Agency Transition Manager who must be appropriately delegated with authority to act as coordinator of all change activity for the agency.</w:t>
      </w:r>
    </w:p>
    <w:p w14:paraId="5B09AC4A" w14:textId="1FF61A5D" w:rsidR="006A11CD" w:rsidRDefault="006A11CD" w:rsidP="004D4D0F">
      <w:pPr>
        <w:pStyle w:val="Heading1"/>
        <w:keepLines/>
        <w:ind w:left="432" w:hanging="432"/>
      </w:pPr>
      <w:bookmarkStart w:id="105" w:name="_Toc175560483"/>
      <w:r>
        <w:t>Delegations</w:t>
      </w:r>
      <w:bookmarkEnd w:id="105"/>
      <w:r>
        <w:t xml:space="preserve"> </w:t>
      </w:r>
    </w:p>
    <w:p w14:paraId="3E862C91" w14:textId="3AF7AD71" w:rsidR="00EF1FA7" w:rsidRDefault="006A11CD" w:rsidP="004D4D0F">
      <w:r>
        <w:t xml:space="preserve">Section 38 and 39 of the </w:t>
      </w:r>
      <w:r w:rsidRPr="006A11CD">
        <w:rPr>
          <w:i/>
        </w:rPr>
        <w:t>Interpretation Act</w:t>
      </w:r>
      <w:r w:rsidR="0018624F">
        <w:rPr>
          <w:i/>
        </w:rPr>
        <w:t xml:space="preserve"> 1978</w:t>
      </w:r>
      <w:r>
        <w:t xml:space="preserve"> allow</w:t>
      </w:r>
      <w:r w:rsidR="00F13FC5">
        <w:t>s</w:t>
      </w:r>
      <w:r>
        <w:t xml:space="preserve"> delegations to continue operating in certain circumstances, even where there are changes to the person delegating the power or the person receiving the delegation</w:t>
      </w:r>
      <w:r w:rsidR="00DE620B">
        <w:t xml:space="preserve">. </w:t>
      </w:r>
      <w:r>
        <w:t xml:space="preserve">A delegation will generally continue to have effect, despite changes to </w:t>
      </w:r>
      <w:r w:rsidR="00AD7481">
        <w:t>minister</w:t>
      </w:r>
      <w:r w:rsidR="0018624F">
        <w:t xml:space="preserve">, </w:t>
      </w:r>
      <w:r w:rsidR="00AD7481">
        <w:t xml:space="preserve">chief </w:t>
      </w:r>
      <w:r>
        <w:t>executive or other people or positions either giving or receiving a delegated power.</w:t>
      </w:r>
      <w:r w:rsidR="00E119D0">
        <w:t xml:space="preserve"> </w:t>
      </w:r>
      <w:r w:rsidR="00496D61">
        <w:t xml:space="preserve"> For example, a former accountable officer of an agency that no longer exists will exercise delegations for agreeing transfers of budget and staff.</w:t>
      </w:r>
    </w:p>
    <w:p w14:paraId="1BAA4685" w14:textId="77C1D723" w:rsidR="00F13FC5" w:rsidRDefault="00F13FC5" w:rsidP="004D4D0F">
      <w:r>
        <w:t xml:space="preserve">Where a </w:t>
      </w:r>
      <w:r w:rsidR="0018624F">
        <w:t xml:space="preserve">position has been </w:t>
      </w:r>
      <w:r>
        <w:t>abolished and</w:t>
      </w:r>
      <w:r w:rsidR="0018624F">
        <w:t xml:space="preserve"> it can still be</w:t>
      </w:r>
      <w:r>
        <w:t xml:space="preserve"> identified that the role exists, </w:t>
      </w:r>
      <w:r w:rsidR="00422B07">
        <w:t xml:space="preserve">albeit </w:t>
      </w:r>
      <w:r>
        <w:t xml:space="preserve">with some other person or position, the delegation will generally flow to that new person or position. </w:t>
      </w:r>
      <w:r w:rsidR="00E119D0">
        <w:t>If a role has been transferred to another agency, then the delegation may follow the person or position</w:t>
      </w:r>
      <w:r w:rsidR="00DE620B">
        <w:t xml:space="preserve"> performing the role in the new agency.</w:t>
      </w:r>
    </w:p>
    <w:p w14:paraId="4DDC8969" w14:textId="14FEAC88" w:rsidR="00F13FC5" w:rsidRDefault="00F13FC5" w:rsidP="004D4D0F">
      <w:r>
        <w:t>However, delegations to a named individual (rather than a position) will generally not continue in effect if that named individual changes.</w:t>
      </w:r>
    </w:p>
    <w:p w14:paraId="3F5E2B37" w14:textId="4F04491F" w:rsidR="006A11CD" w:rsidRDefault="00AD7481" w:rsidP="004D4D0F">
      <w:r>
        <w:t>Therefore</w:t>
      </w:r>
      <w:r w:rsidR="00F13FC5">
        <w:t>, during a MoG change agencies may continue to rely on existing delegations to operate until a revised delegation is issued.  Agencies m</w:t>
      </w:r>
      <w:r w:rsidR="0065593A">
        <w:t>ay refer to Legal Note 30</w:t>
      </w:r>
      <w:r w:rsidR="00F13FC5">
        <w:t xml:space="preserve"> on </w:t>
      </w:r>
      <w:hyperlink r:id="rId15" w:history="1">
        <w:r w:rsidR="00F13FC5" w:rsidRPr="0065593A">
          <w:rPr>
            <w:rStyle w:val="Hyperlink"/>
          </w:rPr>
          <w:t>NTG Central</w:t>
        </w:r>
      </w:hyperlink>
      <w:r w:rsidR="00F13FC5">
        <w:t xml:space="preserve"> for further information on how delegations are affected by changes of staff and position restructures.</w:t>
      </w:r>
    </w:p>
    <w:p w14:paraId="5D4E4535" w14:textId="1FB41801" w:rsidR="005E3A7C" w:rsidRDefault="005E3A7C" w:rsidP="004D4D0F">
      <w:pPr>
        <w:pStyle w:val="Heading1"/>
        <w:keepLines/>
        <w:ind w:left="432" w:hanging="432"/>
      </w:pPr>
      <w:bookmarkStart w:id="106" w:name="_Toc175560484"/>
      <w:r>
        <w:t>Recordkeeping and reporting requirements</w:t>
      </w:r>
      <w:bookmarkEnd w:id="106"/>
    </w:p>
    <w:p w14:paraId="64AE5291" w14:textId="383CC071" w:rsidR="005E3A7C" w:rsidRDefault="005E3A7C" w:rsidP="004D4D0F">
      <w:r>
        <w:t xml:space="preserve">An accountable officer must keep appropriate documentation to support budget and actual transfers actioned under a MoG change. These records should be retained for </w:t>
      </w:r>
      <w:r w:rsidR="006C736D">
        <w:t xml:space="preserve">a </w:t>
      </w:r>
      <w:r>
        <w:t>specified minimum period, in accordance with the agency’s records disposal schedule.</w:t>
      </w:r>
    </w:p>
    <w:p w14:paraId="4898D1BE" w14:textId="1A6AF188" w:rsidR="00FC5D57" w:rsidRDefault="005E3A7C" w:rsidP="004D4D0F">
      <w:r>
        <w:t>An accountable officer must provide DTF with copies of documentation which support</w:t>
      </w:r>
      <w:r w:rsidR="00FC5D57">
        <w:t xml:space="preserve"> the </w:t>
      </w:r>
      <w:r>
        <w:t xml:space="preserve">budget and actual transfer process and any other relevant </w:t>
      </w:r>
      <w:r w:rsidR="00FC5D57">
        <w:t>information as</w:t>
      </w:r>
      <w:r>
        <w:t xml:space="preserve"> and when required.</w:t>
      </w:r>
    </w:p>
    <w:p w14:paraId="1EC1E05E" w14:textId="56474CBC" w:rsidR="005E3A7C" w:rsidRDefault="00E26810" w:rsidP="004D4D0F">
      <w:r>
        <w:t xml:space="preserve">Where a MoG change occurs, DTF will communicate reporting requirements for </w:t>
      </w:r>
      <w:r w:rsidR="00C142ED">
        <w:t>b</w:t>
      </w:r>
      <w:r>
        <w:t xml:space="preserve">udget publications and </w:t>
      </w:r>
      <w:r w:rsidR="00C142ED">
        <w:t>a</w:t>
      </w:r>
      <w:r>
        <w:t>gency financial statements to agencies.</w:t>
      </w:r>
    </w:p>
    <w:p w14:paraId="0857B89E" w14:textId="77777777" w:rsidR="00787EAD" w:rsidRPr="0040186A" w:rsidRDefault="00787EAD" w:rsidP="004D4D0F"/>
    <w:tbl>
      <w:tblPr>
        <w:tblStyle w:val="NTGtable"/>
        <w:tblW w:w="0" w:type="auto"/>
        <w:tblInd w:w="0" w:type="dxa"/>
        <w:tblLook w:val="04A0" w:firstRow="1" w:lastRow="0" w:firstColumn="1" w:lastColumn="0" w:noHBand="0" w:noVBand="1"/>
        <w:tblDescription w:val="Minor works: reporting period, due date and percentage of works."/>
      </w:tblPr>
      <w:tblGrid>
        <w:gridCol w:w="2660"/>
        <w:gridCol w:w="7047"/>
      </w:tblGrid>
      <w:tr w:rsidR="00DA33F0" w14:paraId="6B7DDF8C" w14:textId="77777777" w:rsidTr="00787EAD">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9707" w:type="dxa"/>
            <w:gridSpan w:val="2"/>
          </w:tcPr>
          <w:p w14:paraId="236EC4BA" w14:textId="77777777" w:rsidR="00DA33F0" w:rsidRPr="00BB3A07" w:rsidRDefault="00DA33F0" w:rsidP="004D4D0F">
            <w:pPr>
              <w:pStyle w:val="ListNumber"/>
              <w:spacing w:after="60"/>
              <w:rPr>
                <w:b w:val="0"/>
              </w:rPr>
            </w:pPr>
            <w:r>
              <w:t>Appendices</w:t>
            </w:r>
          </w:p>
        </w:tc>
      </w:tr>
      <w:tr w:rsidR="00DA33F0" w14:paraId="0884D103" w14:textId="77777777" w:rsidTr="00787EA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660" w:type="dxa"/>
          </w:tcPr>
          <w:p w14:paraId="56F5DEBE" w14:textId="77777777" w:rsidR="00DA33F0" w:rsidRDefault="00DA33F0" w:rsidP="004D4D0F">
            <w:pPr>
              <w:pStyle w:val="ListNumber"/>
              <w:spacing w:before="60" w:after="60"/>
            </w:pPr>
            <w:r>
              <w:t>Appendix A</w:t>
            </w:r>
          </w:p>
        </w:tc>
        <w:tc>
          <w:tcPr>
            <w:tcW w:w="7047" w:type="dxa"/>
          </w:tcPr>
          <w:p w14:paraId="316EF39E" w14:textId="3F1224B7" w:rsidR="00DA33F0" w:rsidRDefault="00AD3615" w:rsidP="004D4D0F">
            <w:pPr>
              <w:pStyle w:val="ListNumber"/>
              <w:spacing w:before="60" w:after="60"/>
              <w:cnfStyle w:val="000000100000" w:firstRow="0" w:lastRow="0" w:firstColumn="0" w:lastColumn="0" w:oddVBand="0" w:evenVBand="0" w:oddHBand="1" w:evenHBand="0" w:firstRowFirstColumn="0" w:firstRowLastColumn="0" w:lastRowFirstColumn="0" w:lastRowLastColumn="0"/>
            </w:pPr>
            <w:r>
              <w:t>Budget transfer agreement</w:t>
            </w:r>
          </w:p>
        </w:tc>
      </w:tr>
      <w:tr w:rsidR="00574D98" w14:paraId="0F30CB0D" w14:textId="77777777" w:rsidTr="00787EAD">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660" w:type="dxa"/>
          </w:tcPr>
          <w:p w14:paraId="2CB66896" w14:textId="7DC7775D" w:rsidR="00574D98" w:rsidRDefault="00574D98" w:rsidP="004D4D0F">
            <w:pPr>
              <w:pStyle w:val="ListNumber"/>
              <w:spacing w:before="60" w:after="60"/>
            </w:pPr>
            <w:r>
              <w:t>Appendix B</w:t>
            </w:r>
          </w:p>
        </w:tc>
        <w:tc>
          <w:tcPr>
            <w:tcW w:w="7047" w:type="dxa"/>
          </w:tcPr>
          <w:p w14:paraId="6CD7003B" w14:textId="3488B6B5" w:rsidR="00574D98" w:rsidRDefault="00574D98" w:rsidP="004D4D0F">
            <w:pPr>
              <w:pStyle w:val="ListNumber"/>
              <w:spacing w:before="60" w:after="60"/>
              <w:cnfStyle w:val="000000010000" w:firstRow="0" w:lastRow="0" w:firstColumn="0" w:lastColumn="0" w:oddVBand="0" w:evenVBand="0" w:oddHBand="0" w:evenHBand="1" w:firstRowFirstColumn="0" w:firstRowLastColumn="0" w:lastRowFirstColumn="0" w:lastRowLastColumn="0"/>
            </w:pPr>
            <w:r>
              <w:t>Machinery of government cheat sheet</w:t>
            </w:r>
          </w:p>
        </w:tc>
      </w:tr>
    </w:tbl>
    <w:p w14:paraId="5BA4F44A" w14:textId="142F6DDF" w:rsidR="00DA33F0" w:rsidRDefault="00DA33F0" w:rsidP="004D4D0F">
      <w:pPr>
        <w:pStyle w:val="ListBullet"/>
        <w:numPr>
          <w:ilvl w:val="0"/>
          <w:numId w:val="0"/>
        </w:numPr>
      </w:pPr>
    </w:p>
    <w:p w14:paraId="41E84F4D" w14:textId="77777777" w:rsidR="003F2E83" w:rsidRDefault="003F2E83" w:rsidP="004D4D0F">
      <w:pPr>
        <w:pStyle w:val="ListBullet"/>
        <w:numPr>
          <w:ilvl w:val="0"/>
          <w:numId w:val="0"/>
        </w:numPr>
      </w:pPr>
    </w:p>
    <w:sectPr w:rsidR="003F2E83" w:rsidSect="00945368">
      <w:footerReference w:type="default" r:id="rId16"/>
      <w:headerReference w:type="first" r:id="rId17"/>
      <w:pgSz w:w="11906" w:h="16838" w:code="9"/>
      <w:pgMar w:top="794" w:right="794" w:bottom="794" w:left="794" w:header="794" w:footer="50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97767" w16cid:durableId="22231390"/>
  <w16cid:commentId w16cid:paraId="6036E606" w16cid:durableId="22231391"/>
  <w16cid:commentId w16cid:paraId="6B071CD1" w16cid:durableId="223064B4"/>
  <w16cid:commentId w16cid:paraId="4B48E1F4" w16cid:durableId="22306F69"/>
  <w16cid:commentId w16cid:paraId="0CEB0ABE" w16cid:durableId="22231393"/>
  <w16cid:commentId w16cid:paraId="4F23CC07" w16cid:durableId="2231880F"/>
  <w16cid:commentId w16cid:paraId="6D9BCCFF" w16cid:durableId="22231394"/>
  <w16cid:commentId w16cid:paraId="65462E72" w16cid:durableId="22231396"/>
  <w16cid:commentId w16cid:paraId="2F712EFB" w16cid:durableId="22231397"/>
  <w16cid:commentId w16cid:paraId="32FF1D46" w16cid:durableId="22231395"/>
  <w16cid:commentId w16cid:paraId="75E65F3D" w16cid:durableId="22231399"/>
  <w16cid:commentId w16cid:paraId="2CCC3D0A" w16cid:durableId="2223139A"/>
  <w16cid:commentId w16cid:paraId="4805CF75" w16cid:durableId="22231392"/>
  <w16cid:commentId w16cid:paraId="1AABC040" w16cid:durableId="2223139C"/>
  <w16cid:commentId w16cid:paraId="37AF6953" w16cid:durableId="22301A53"/>
  <w16cid:commentId w16cid:paraId="371EA8FB" w16cid:durableId="222AE73A"/>
  <w16cid:commentId w16cid:paraId="13C18706" w16cid:durableId="2223139D"/>
  <w16cid:commentId w16cid:paraId="17D59AF0" w16cid:durableId="2223139E"/>
  <w16cid:commentId w16cid:paraId="4DB3A7A8" w16cid:durableId="2223139F"/>
  <w16cid:commentId w16cid:paraId="73B55532" w16cid:durableId="22318C96"/>
  <w16cid:commentId w16cid:paraId="48FF0ED9" w16cid:durableId="22318E1D"/>
  <w16cid:commentId w16cid:paraId="092F2073" w16cid:durableId="22233E51"/>
  <w16cid:commentId w16cid:paraId="0C28610D" w16cid:durableId="222B0B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1BB7C" w14:textId="77777777" w:rsidR="00FC640E" w:rsidRDefault="00FC640E">
      <w:r>
        <w:separator/>
      </w:r>
    </w:p>
  </w:endnote>
  <w:endnote w:type="continuationSeparator" w:id="0">
    <w:p w14:paraId="0423E28F" w14:textId="77777777" w:rsidR="00FC640E" w:rsidRDefault="00FC640E">
      <w:r>
        <w:continuationSeparator/>
      </w:r>
    </w:p>
  </w:endnote>
  <w:endnote w:type="continuationNotice" w:id="1">
    <w:p w14:paraId="64DCA5D8" w14:textId="77777777" w:rsidR="00FC640E" w:rsidRDefault="00FC64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0FE2" w14:textId="77777777" w:rsidR="00FC640E" w:rsidRPr="00F538BD" w:rsidRDefault="00FC640E" w:rsidP="000A385C">
    <w:pPr>
      <w:pStyle w:val="Hidden"/>
      <w:ind w:firstLine="0"/>
      <w:jc w:val="right"/>
    </w:pPr>
    <w:r w:rsidRPr="001852AF">
      <w:rPr>
        <w:noProof/>
        <w:lang w:eastAsia="en-AU"/>
      </w:rPr>
      <w:drawing>
        <wp:inline distT="0" distB="0" distL="0" distR="0" wp14:anchorId="08A84D21" wp14:editId="3BA39E51">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3DDE" w14:textId="77777777" w:rsidR="00FC640E" w:rsidRPr="00F538BD" w:rsidRDefault="00FC640E"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2A65" w14:textId="77777777" w:rsidR="00FC640E" w:rsidRDefault="00FC640E"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C640E" w:rsidRPr="00132658" w14:paraId="0AA14520" w14:textId="77777777" w:rsidTr="00C04A3E">
      <w:trPr>
        <w:cantSplit/>
        <w:trHeight w:hRule="exact" w:val="850"/>
        <w:tblHeader/>
      </w:trPr>
      <w:tc>
        <w:tcPr>
          <w:tcW w:w="10318" w:type="dxa"/>
          <w:vAlign w:val="bottom"/>
        </w:tcPr>
        <w:p w14:paraId="41150F8D" w14:textId="77777777" w:rsidR="00FC640E" w:rsidRDefault="00FC640E" w:rsidP="00CB6A67">
          <w:pPr>
            <w:spacing w:after="0"/>
            <w:rPr>
              <w:rStyle w:val="PageNumber"/>
              <w:b/>
            </w:rPr>
          </w:pPr>
          <w:r>
            <w:rPr>
              <w:rStyle w:val="PageNumber"/>
            </w:rPr>
            <w:t xml:space="preserve">Department of </w:t>
          </w:r>
          <w:sdt>
            <w:sdtPr>
              <w:rPr>
                <w:rStyle w:val="PageNumber"/>
                <w:b/>
              </w:rPr>
              <w:alias w:val="Company"/>
              <w:tag w:val=""/>
              <w:id w:val="-1550452142"/>
              <w:placeholder>
                <w:docPart w:val="4427FB8FBD1F4414950C73570F595825"/>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TREASURY AND FINANCE</w:t>
              </w:r>
            </w:sdtContent>
          </w:sdt>
        </w:p>
        <w:p w14:paraId="60026A2A" w14:textId="29865219" w:rsidR="00FC640E" w:rsidRPr="00CE6614" w:rsidRDefault="00251FAD" w:rsidP="00CB6A67">
          <w:pPr>
            <w:spacing w:after="0"/>
            <w:rPr>
              <w:rStyle w:val="PageNumber"/>
            </w:rPr>
          </w:pPr>
          <w:sdt>
            <w:sdtPr>
              <w:rPr>
                <w:rStyle w:val="PageNumber"/>
              </w:rPr>
              <w:alias w:val="Date"/>
              <w:tag w:val=""/>
              <w:id w:val="1578473972"/>
              <w:placeholder>
                <w:docPart w:val="54CA67C1481142B2B402EC9CE32EBF4A"/>
              </w:placeholder>
              <w:dataBinding w:prefixMappings="xmlns:ns0='http://schemas.microsoft.com/office/2006/coverPageProps' " w:xpath="/ns0:CoverPageProperties[1]/ns0:PublishDate[1]" w:storeItemID="{55AF091B-3C7A-41E3-B477-F2FDAA23CFDA}"/>
              <w15:color w:val="000000"/>
              <w:date w:fullDate="2024-08-26T00:00:00Z">
                <w:dateFormat w:val="d MMMM yyyy"/>
                <w:lid w:val="en-AU"/>
                <w:storeMappedDataAs w:val="dateTime"/>
                <w:calendar w:val="gregorian"/>
              </w:date>
            </w:sdtPr>
            <w:sdtEndPr>
              <w:rPr>
                <w:rStyle w:val="PageNumber"/>
              </w:rPr>
            </w:sdtEndPr>
            <w:sdtContent>
              <w:r>
                <w:rPr>
                  <w:rStyle w:val="PageNumber"/>
                </w:rPr>
                <w:t>26 August 2024</w:t>
              </w:r>
            </w:sdtContent>
          </w:sdt>
          <w:r w:rsidR="00FC640E" w:rsidRPr="00CE6614">
            <w:rPr>
              <w:rStyle w:val="PageNumber"/>
            </w:rPr>
            <w:t xml:space="preserve"> | Version </w:t>
          </w:r>
          <w:r>
            <w:rPr>
              <w:rStyle w:val="PageNumber"/>
            </w:rPr>
            <w:t>1.1</w:t>
          </w:r>
        </w:p>
        <w:p w14:paraId="57AFB435" w14:textId="0749E27A" w:rsidR="00FC640E" w:rsidRPr="00AC4488" w:rsidRDefault="00FC640E"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51FAD">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51FAD">
            <w:rPr>
              <w:rStyle w:val="PageNumber"/>
              <w:noProof/>
            </w:rPr>
            <w:t>14</w:t>
          </w:r>
          <w:r w:rsidRPr="00AC4488">
            <w:rPr>
              <w:rStyle w:val="PageNumber"/>
            </w:rPr>
            <w:fldChar w:fldCharType="end"/>
          </w:r>
        </w:p>
      </w:tc>
    </w:tr>
  </w:tbl>
  <w:p w14:paraId="67E5975E" w14:textId="77777777" w:rsidR="00FC640E" w:rsidRDefault="00FC640E" w:rsidP="001852AF">
    <w:pPr>
      <w:pStyle w:val="Hidden"/>
      <w:ind w:firstLine="0"/>
    </w:pPr>
  </w:p>
  <w:p w14:paraId="6DECDA92" w14:textId="77777777" w:rsidR="00FC640E" w:rsidRPr="001852AF" w:rsidRDefault="00FC640E"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BFCE" w14:textId="77777777" w:rsidR="00FC640E" w:rsidRDefault="00FC640E">
      <w:r>
        <w:separator/>
      </w:r>
    </w:p>
  </w:footnote>
  <w:footnote w:type="continuationSeparator" w:id="0">
    <w:p w14:paraId="55A7EBF8" w14:textId="77777777" w:rsidR="00FC640E" w:rsidRDefault="00FC640E">
      <w:r>
        <w:continuationSeparator/>
      </w:r>
    </w:p>
  </w:footnote>
  <w:footnote w:type="continuationNotice" w:id="1">
    <w:p w14:paraId="7888AC75" w14:textId="77777777" w:rsidR="00FC640E" w:rsidRDefault="00FC64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9A8C" w14:textId="5DD4ED7A" w:rsidR="00FC640E" w:rsidRPr="008E0345" w:rsidRDefault="00251FAD"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FC640E">
          <w:t>Guidance document: Machinery of government changes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1769" w14:textId="77777777" w:rsidR="00FC640E" w:rsidRDefault="00FC640E"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55069EB" wp14:editId="48FC0DC0">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F9E823"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81FA" w14:textId="77777777" w:rsidR="00FC640E" w:rsidRPr="00274F1C" w:rsidRDefault="00FC640E"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7395BFEC" w14:textId="4869F07C" w:rsidR="00FC640E" w:rsidRPr="00964B22" w:rsidRDefault="00FC640E" w:rsidP="008E0345">
        <w:pPr>
          <w:pStyle w:val="Header"/>
          <w:rPr>
            <w:b/>
          </w:rPr>
        </w:pPr>
        <w:r>
          <w:t>Guidance document: Machinery of government changes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A6846F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0E371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0F0990"/>
    <w:multiLevelType w:val="multilevel"/>
    <w:tmpl w:val="0C78A7AC"/>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28545CCB"/>
    <w:multiLevelType w:val="multilevel"/>
    <w:tmpl w:val="0C78A7AC"/>
    <w:numStyleLink w:val="NTGTable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2FB445EB"/>
    <w:multiLevelType w:val="hybridMultilevel"/>
    <w:tmpl w:val="FB78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D47B8A"/>
    <w:multiLevelType w:val="hybridMultilevel"/>
    <w:tmpl w:val="77847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3AC0BD5"/>
    <w:multiLevelType w:val="multilevel"/>
    <w:tmpl w:val="39746A98"/>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26" w15:restartNumberingAfterBreak="0">
    <w:nsid w:val="36744DFA"/>
    <w:multiLevelType w:val="multilevel"/>
    <w:tmpl w:val="3928FD02"/>
    <w:styleLink w:val="Bulletlist"/>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3CEF4F6A"/>
    <w:multiLevelType w:val="hybridMultilevel"/>
    <w:tmpl w:val="D4BC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6F70CC"/>
    <w:multiLevelType w:val="multilevel"/>
    <w:tmpl w:val="39746A98"/>
    <w:numStyleLink w:val="NTGTableNumList"/>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4D90555D"/>
    <w:multiLevelType w:val="multilevel"/>
    <w:tmpl w:val="4E6AC8F6"/>
    <w:styleLink w:val="NTGStandardNu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50DE199B"/>
    <w:multiLevelType w:val="hybridMultilevel"/>
    <w:tmpl w:val="1782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842BC6"/>
    <w:multiLevelType w:val="multilevel"/>
    <w:tmpl w:val="0C78A7AC"/>
    <w:numStyleLink w:val="Tablebulletlist"/>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5085277"/>
    <w:multiLevelType w:val="hybridMultilevel"/>
    <w:tmpl w:val="EED8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DA2CAE"/>
    <w:multiLevelType w:val="multilevel"/>
    <w:tmpl w:val="3E5E177A"/>
    <w:name w:val="NTG Table Bullet List332222222222222"/>
    <w:numStyleLink w:val="Tablenumberlist"/>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9CC6470"/>
    <w:multiLevelType w:val="multilevel"/>
    <w:tmpl w:val="777C5A52"/>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7" w15:restartNumberingAfterBreak="0">
    <w:nsid w:val="79FB6E09"/>
    <w:multiLevelType w:val="hybridMultilevel"/>
    <w:tmpl w:val="3E885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4"/>
  </w:num>
  <w:num w:numId="3">
    <w:abstractNumId w:val="46"/>
  </w:num>
  <w:num w:numId="4">
    <w:abstractNumId w:val="32"/>
  </w:num>
  <w:num w:numId="5">
    <w:abstractNumId w:val="19"/>
  </w:num>
  <w:num w:numId="6">
    <w:abstractNumId w:val="10"/>
  </w:num>
  <w:num w:numId="7">
    <w:abstractNumId w:val="36"/>
  </w:num>
  <w:num w:numId="8">
    <w:abstractNumId w:val="17"/>
  </w:num>
  <w:num w:numId="9">
    <w:abstractNumId w:val="27"/>
  </w:num>
  <w:num w:numId="10">
    <w:abstractNumId w:val="25"/>
  </w:num>
  <w:num w:numId="11">
    <w:abstractNumId w:val="30"/>
  </w:num>
  <w:num w:numId="12">
    <w:abstractNumId w:val="34"/>
  </w:num>
  <w:num w:numId="13">
    <w:abstractNumId w:val="2"/>
  </w:num>
  <w:num w:numId="14">
    <w:abstractNumId w:val="18"/>
  </w:num>
  <w:num w:numId="15">
    <w:abstractNumId w:val="29"/>
  </w:num>
  <w:num w:numId="16">
    <w:abstractNumId w:val="17"/>
  </w:num>
  <w:num w:numId="17">
    <w:abstractNumId w:val="1"/>
  </w:num>
  <w:num w:numId="18">
    <w:abstractNumId w:val="47"/>
  </w:num>
  <w:num w:numId="19">
    <w:abstractNumId w:val="0"/>
  </w:num>
  <w:num w:numId="20">
    <w:abstractNumId w:val="23"/>
  </w:num>
  <w:num w:numId="21">
    <w:abstractNumId w:val="17"/>
  </w:num>
  <w:num w:numId="22">
    <w:abstractNumId w:val="17"/>
  </w:num>
  <w:num w:numId="23">
    <w:abstractNumId w:val="17"/>
  </w:num>
  <w:num w:numId="24">
    <w:abstractNumId w:val="22"/>
  </w:num>
  <w:num w:numId="25">
    <w:abstractNumId w:val="17"/>
  </w:num>
  <w:num w:numId="26">
    <w:abstractNumId w:val="35"/>
  </w:num>
  <w:num w:numId="27">
    <w:abstractNumId w:val="46"/>
  </w:num>
  <w:num w:numId="28">
    <w:abstractNumId w:val="46"/>
  </w:num>
  <w:num w:numId="29">
    <w:abstractNumId w:val="46"/>
  </w:num>
  <w:num w:numId="30">
    <w:abstractNumId w:val="46"/>
  </w:num>
  <w:num w:numId="31">
    <w:abstractNumId w:val="38"/>
  </w:num>
  <w:num w:numId="3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68"/>
    <w:rsid w:val="00001DDF"/>
    <w:rsid w:val="00002CB5"/>
    <w:rsid w:val="0000322D"/>
    <w:rsid w:val="00004990"/>
    <w:rsid w:val="00007670"/>
    <w:rsid w:val="00010036"/>
    <w:rsid w:val="00010665"/>
    <w:rsid w:val="00022C55"/>
    <w:rsid w:val="0002393A"/>
    <w:rsid w:val="00027DB8"/>
    <w:rsid w:val="000307A7"/>
    <w:rsid w:val="00031A96"/>
    <w:rsid w:val="00033096"/>
    <w:rsid w:val="000400C0"/>
    <w:rsid w:val="00040BF3"/>
    <w:rsid w:val="0004190B"/>
    <w:rsid w:val="00041C7C"/>
    <w:rsid w:val="000450BF"/>
    <w:rsid w:val="000452F5"/>
    <w:rsid w:val="0004577F"/>
    <w:rsid w:val="00046C59"/>
    <w:rsid w:val="00050036"/>
    <w:rsid w:val="00051362"/>
    <w:rsid w:val="00051F45"/>
    <w:rsid w:val="00052953"/>
    <w:rsid w:val="0005341A"/>
    <w:rsid w:val="00053B15"/>
    <w:rsid w:val="000548EB"/>
    <w:rsid w:val="00056DEF"/>
    <w:rsid w:val="00063731"/>
    <w:rsid w:val="00063A7F"/>
    <w:rsid w:val="00063D95"/>
    <w:rsid w:val="00065899"/>
    <w:rsid w:val="000720BE"/>
    <w:rsid w:val="0007259C"/>
    <w:rsid w:val="00072F2A"/>
    <w:rsid w:val="00074573"/>
    <w:rsid w:val="00080202"/>
    <w:rsid w:val="00080DCD"/>
    <w:rsid w:val="00080E22"/>
    <w:rsid w:val="0008100D"/>
    <w:rsid w:val="00082573"/>
    <w:rsid w:val="000840A3"/>
    <w:rsid w:val="00085062"/>
    <w:rsid w:val="00086A5F"/>
    <w:rsid w:val="000911EF"/>
    <w:rsid w:val="000928E3"/>
    <w:rsid w:val="000940E6"/>
    <w:rsid w:val="000951C2"/>
    <w:rsid w:val="000962C5"/>
    <w:rsid w:val="000A0317"/>
    <w:rsid w:val="000A04AF"/>
    <w:rsid w:val="000A0C76"/>
    <w:rsid w:val="000A1A2D"/>
    <w:rsid w:val="000A385C"/>
    <w:rsid w:val="000A3F92"/>
    <w:rsid w:val="000A4317"/>
    <w:rsid w:val="000A46EF"/>
    <w:rsid w:val="000A559C"/>
    <w:rsid w:val="000A7FB3"/>
    <w:rsid w:val="000B2CA1"/>
    <w:rsid w:val="000B5606"/>
    <w:rsid w:val="000B59BC"/>
    <w:rsid w:val="000C0C5A"/>
    <w:rsid w:val="000C63EF"/>
    <w:rsid w:val="000D1F29"/>
    <w:rsid w:val="000D4DD6"/>
    <w:rsid w:val="000D633D"/>
    <w:rsid w:val="000E0822"/>
    <w:rsid w:val="000E0962"/>
    <w:rsid w:val="000E2A4A"/>
    <w:rsid w:val="000E342B"/>
    <w:rsid w:val="000E38FB"/>
    <w:rsid w:val="000E41C3"/>
    <w:rsid w:val="000E5DD2"/>
    <w:rsid w:val="000E73E6"/>
    <w:rsid w:val="000F1217"/>
    <w:rsid w:val="000F13EE"/>
    <w:rsid w:val="000F2958"/>
    <w:rsid w:val="000F335E"/>
    <w:rsid w:val="000F4805"/>
    <w:rsid w:val="000F6671"/>
    <w:rsid w:val="00100A8A"/>
    <w:rsid w:val="001041F6"/>
    <w:rsid w:val="0010493C"/>
    <w:rsid w:val="00104E7F"/>
    <w:rsid w:val="00105F46"/>
    <w:rsid w:val="00110340"/>
    <w:rsid w:val="001117D8"/>
    <w:rsid w:val="001137EC"/>
    <w:rsid w:val="001152F5"/>
    <w:rsid w:val="00116815"/>
    <w:rsid w:val="00117743"/>
    <w:rsid w:val="00117F5B"/>
    <w:rsid w:val="0012322A"/>
    <w:rsid w:val="00124F4B"/>
    <w:rsid w:val="00124FAF"/>
    <w:rsid w:val="00127E6F"/>
    <w:rsid w:val="0013238B"/>
    <w:rsid w:val="00132658"/>
    <w:rsid w:val="001343BB"/>
    <w:rsid w:val="001419E5"/>
    <w:rsid w:val="0014292D"/>
    <w:rsid w:val="00145D86"/>
    <w:rsid w:val="001466D0"/>
    <w:rsid w:val="00147DED"/>
    <w:rsid w:val="00150DC0"/>
    <w:rsid w:val="00152019"/>
    <w:rsid w:val="00156CD4"/>
    <w:rsid w:val="00160795"/>
    <w:rsid w:val="0016080F"/>
    <w:rsid w:val="00161CC6"/>
    <w:rsid w:val="00164A3E"/>
    <w:rsid w:val="00164CE3"/>
    <w:rsid w:val="00166E78"/>
    <w:rsid w:val="00166FF6"/>
    <w:rsid w:val="00167B86"/>
    <w:rsid w:val="00167C23"/>
    <w:rsid w:val="00172C77"/>
    <w:rsid w:val="001750CE"/>
    <w:rsid w:val="00176123"/>
    <w:rsid w:val="00181620"/>
    <w:rsid w:val="00181BB3"/>
    <w:rsid w:val="00183275"/>
    <w:rsid w:val="00184BE5"/>
    <w:rsid w:val="001852AF"/>
    <w:rsid w:val="0018624F"/>
    <w:rsid w:val="00194580"/>
    <w:rsid w:val="001957AD"/>
    <w:rsid w:val="001A1439"/>
    <w:rsid w:val="001A21F0"/>
    <w:rsid w:val="001A2B7F"/>
    <w:rsid w:val="001A3AFD"/>
    <w:rsid w:val="001A496C"/>
    <w:rsid w:val="001A6304"/>
    <w:rsid w:val="001B2B6C"/>
    <w:rsid w:val="001B49AD"/>
    <w:rsid w:val="001C47C9"/>
    <w:rsid w:val="001C7E93"/>
    <w:rsid w:val="001D01C4"/>
    <w:rsid w:val="001D52B0"/>
    <w:rsid w:val="001D5A18"/>
    <w:rsid w:val="001D7CA4"/>
    <w:rsid w:val="001E057F"/>
    <w:rsid w:val="001E14EB"/>
    <w:rsid w:val="001E1982"/>
    <w:rsid w:val="001E2974"/>
    <w:rsid w:val="001E35AC"/>
    <w:rsid w:val="001E53FC"/>
    <w:rsid w:val="001E61EE"/>
    <w:rsid w:val="001E6D92"/>
    <w:rsid w:val="001F2879"/>
    <w:rsid w:val="001F59E6"/>
    <w:rsid w:val="001F5C6E"/>
    <w:rsid w:val="00201A71"/>
    <w:rsid w:val="00202014"/>
    <w:rsid w:val="00206936"/>
    <w:rsid w:val="00206C6F"/>
    <w:rsid w:val="00206FBD"/>
    <w:rsid w:val="00207746"/>
    <w:rsid w:val="00212B79"/>
    <w:rsid w:val="00213B52"/>
    <w:rsid w:val="00214F76"/>
    <w:rsid w:val="00221220"/>
    <w:rsid w:val="00226B28"/>
    <w:rsid w:val="00230031"/>
    <w:rsid w:val="00230FAE"/>
    <w:rsid w:val="002334B1"/>
    <w:rsid w:val="0023585E"/>
    <w:rsid w:val="00235C01"/>
    <w:rsid w:val="00236878"/>
    <w:rsid w:val="0024139D"/>
    <w:rsid w:val="00244852"/>
    <w:rsid w:val="00247343"/>
    <w:rsid w:val="00251FAD"/>
    <w:rsid w:val="0026580E"/>
    <w:rsid w:val="00265C56"/>
    <w:rsid w:val="00265F7F"/>
    <w:rsid w:val="002716CD"/>
    <w:rsid w:val="0027468B"/>
    <w:rsid w:val="00274D4B"/>
    <w:rsid w:val="00275059"/>
    <w:rsid w:val="002806F5"/>
    <w:rsid w:val="00281577"/>
    <w:rsid w:val="002816FD"/>
    <w:rsid w:val="00285DF9"/>
    <w:rsid w:val="002926BC"/>
    <w:rsid w:val="00293A72"/>
    <w:rsid w:val="00295AC9"/>
    <w:rsid w:val="002A0160"/>
    <w:rsid w:val="002A29BD"/>
    <w:rsid w:val="002A30C3"/>
    <w:rsid w:val="002A60E2"/>
    <w:rsid w:val="002A6F6A"/>
    <w:rsid w:val="002A7712"/>
    <w:rsid w:val="002B03A5"/>
    <w:rsid w:val="002B0627"/>
    <w:rsid w:val="002B38F7"/>
    <w:rsid w:val="002B5591"/>
    <w:rsid w:val="002B5E45"/>
    <w:rsid w:val="002B6AA4"/>
    <w:rsid w:val="002C0894"/>
    <w:rsid w:val="002C1AE4"/>
    <w:rsid w:val="002C1FE9"/>
    <w:rsid w:val="002C6E4F"/>
    <w:rsid w:val="002D0DA9"/>
    <w:rsid w:val="002D3A57"/>
    <w:rsid w:val="002D595C"/>
    <w:rsid w:val="002D7D05"/>
    <w:rsid w:val="002E080E"/>
    <w:rsid w:val="002E20C8"/>
    <w:rsid w:val="002E4290"/>
    <w:rsid w:val="002E5B94"/>
    <w:rsid w:val="002E66A6"/>
    <w:rsid w:val="002F0DB1"/>
    <w:rsid w:val="002F2885"/>
    <w:rsid w:val="002F30ED"/>
    <w:rsid w:val="002F32D0"/>
    <w:rsid w:val="002F3CF1"/>
    <w:rsid w:val="002F4587"/>
    <w:rsid w:val="002F45A1"/>
    <w:rsid w:val="00301613"/>
    <w:rsid w:val="003032A7"/>
    <w:rsid w:val="003037F9"/>
    <w:rsid w:val="003055FC"/>
    <w:rsid w:val="0030583E"/>
    <w:rsid w:val="00305E87"/>
    <w:rsid w:val="00307CA5"/>
    <w:rsid w:val="00307FE1"/>
    <w:rsid w:val="00311B24"/>
    <w:rsid w:val="003159F0"/>
    <w:rsid w:val="00315E9F"/>
    <w:rsid w:val="00316278"/>
    <w:rsid w:val="003164BA"/>
    <w:rsid w:val="003169F8"/>
    <w:rsid w:val="00321602"/>
    <w:rsid w:val="003223FE"/>
    <w:rsid w:val="003258E6"/>
    <w:rsid w:val="00325ED9"/>
    <w:rsid w:val="00342283"/>
    <w:rsid w:val="00343A87"/>
    <w:rsid w:val="00343ED8"/>
    <w:rsid w:val="00344A36"/>
    <w:rsid w:val="003456F4"/>
    <w:rsid w:val="00345A7B"/>
    <w:rsid w:val="003477B6"/>
    <w:rsid w:val="00347FB6"/>
    <w:rsid w:val="003504AC"/>
    <w:rsid w:val="003504FD"/>
    <w:rsid w:val="00350881"/>
    <w:rsid w:val="00354CEE"/>
    <w:rsid w:val="00357D55"/>
    <w:rsid w:val="00360B6F"/>
    <w:rsid w:val="00363513"/>
    <w:rsid w:val="003647C4"/>
    <w:rsid w:val="003657E5"/>
    <w:rsid w:val="0036589C"/>
    <w:rsid w:val="003702DB"/>
    <w:rsid w:val="00371312"/>
    <w:rsid w:val="00371DC7"/>
    <w:rsid w:val="0037298A"/>
    <w:rsid w:val="003765C6"/>
    <w:rsid w:val="00376BF0"/>
    <w:rsid w:val="00377B21"/>
    <w:rsid w:val="003812ED"/>
    <w:rsid w:val="00381732"/>
    <w:rsid w:val="00382BE1"/>
    <w:rsid w:val="00390CE3"/>
    <w:rsid w:val="00391CFE"/>
    <w:rsid w:val="00394876"/>
    <w:rsid w:val="00394AAF"/>
    <w:rsid w:val="00394CE5"/>
    <w:rsid w:val="0039584E"/>
    <w:rsid w:val="003968BB"/>
    <w:rsid w:val="003A134B"/>
    <w:rsid w:val="003A6341"/>
    <w:rsid w:val="003B173F"/>
    <w:rsid w:val="003B67FD"/>
    <w:rsid w:val="003B6A61"/>
    <w:rsid w:val="003C3933"/>
    <w:rsid w:val="003C39F5"/>
    <w:rsid w:val="003C6164"/>
    <w:rsid w:val="003D10F2"/>
    <w:rsid w:val="003D2532"/>
    <w:rsid w:val="003D42C0"/>
    <w:rsid w:val="003D58C6"/>
    <w:rsid w:val="003D5B29"/>
    <w:rsid w:val="003D6008"/>
    <w:rsid w:val="003D7818"/>
    <w:rsid w:val="003E0B62"/>
    <w:rsid w:val="003E2445"/>
    <w:rsid w:val="003E3875"/>
    <w:rsid w:val="003E3921"/>
    <w:rsid w:val="003E3BB2"/>
    <w:rsid w:val="003E5F9C"/>
    <w:rsid w:val="003F1BE6"/>
    <w:rsid w:val="003F2727"/>
    <w:rsid w:val="003F2E83"/>
    <w:rsid w:val="003F33D6"/>
    <w:rsid w:val="003F4E59"/>
    <w:rsid w:val="003F5B58"/>
    <w:rsid w:val="0040186A"/>
    <w:rsid w:val="0040222A"/>
    <w:rsid w:val="0040391C"/>
    <w:rsid w:val="004047BC"/>
    <w:rsid w:val="00406497"/>
    <w:rsid w:val="0040780A"/>
    <w:rsid w:val="004100F7"/>
    <w:rsid w:val="00411BAD"/>
    <w:rsid w:val="00414CB3"/>
    <w:rsid w:val="0041563D"/>
    <w:rsid w:val="004157DC"/>
    <w:rsid w:val="00417B80"/>
    <w:rsid w:val="00420CF5"/>
    <w:rsid w:val="00422874"/>
    <w:rsid w:val="00422B07"/>
    <w:rsid w:val="00423EEE"/>
    <w:rsid w:val="00424D19"/>
    <w:rsid w:val="00426547"/>
    <w:rsid w:val="00426992"/>
    <w:rsid w:val="00426E25"/>
    <w:rsid w:val="00427D9C"/>
    <w:rsid w:val="00427E7E"/>
    <w:rsid w:val="0043298D"/>
    <w:rsid w:val="00435B0B"/>
    <w:rsid w:val="004433AE"/>
    <w:rsid w:val="00443B6E"/>
    <w:rsid w:val="00446DAF"/>
    <w:rsid w:val="004521CB"/>
    <w:rsid w:val="00452357"/>
    <w:rsid w:val="0045310D"/>
    <w:rsid w:val="004533DC"/>
    <w:rsid w:val="00453B37"/>
    <w:rsid w:val="0045420A"/>
    <w:rsid w:val="004554D4"/>
    <w:rsid w:val="00456594"/>
    <w:rsid w:val="004565C6"/>
    <w:rsid w:val="00457801"/>
    <w:rsid w:val="00461744"/>
    <w:rsid w:val="00466026"/>
    <w:rsid w:val="00466185"/>
    <w:rsid w:val="004665A7"/>
    <w:rsid w:val="004668A7"/>
    <w:rsid w:val="00466D96"/>
    <w:rsid w:val="00467747"/>
    <w:rsid w:val="00473C98"/>
    <w:rsid w:val="00474965"/>
    <w:rsid w:val="004759A9"/>
    <w:rsid w:val="00480060"/>
    <w:rsid w:val="00481912"/>
    <w:rsid w:val="00482DF8"/>
    <w:rsid w:val="004848AF"/>
    <w:rsid w:val="004859A2"/>
    <w:rsid w:val="0048610A"/>
    <w:rsid w:val="004864DE"/>
    <w:rsid w:val="004917DF"/>
    <w:rsid w:val="0049183D"/>
    <w:rsid w:val="004940C2"/>
    <w:rsid w:val="00494BE5"/>
    <w:rsid w:val="00496D61"/>
    <w:rsid w:val="004A0EBA"/>
    <w:rsid w:val="004A2538"/>
    <w:rsid w:val="004B0C15"/>
    <w:rsid w:val="004B35EA"/>
    <w:rsid w:val="004B3704"/>
    <w:rsid w:val="004B438C"/>
    <w:rsid w:val="004B69E4"/>
    <w:rsid w:val="004B7373"/>
    <w:rsid w:val="004B7AB0"/>
    <w:rsid w:val="004C2BF4"/>
    <w:rsid w:val="004C4359"/>
    <w:rsid w:val="004C6C39"/>
    <w:rsid w:val="004C6D55"/>
    <w:rsid w:val="004C6E3D"/>
    <w:rsid w:val="004D075F"/>
    <w:rsid w:val="004D1B76"/>
    <w:rsid w:val="004D344E"/>
    <w:rsid w:val="004D4D0F"/>
    <w:rsid w:val="004D5A1C"/>
    <w:rsid w:val="004D686A"/>
    <w:rsid w:val="004E019E"/>
    <w:rsid w:val="004E06EC"/>
    <w:rsid w:val="004E11BC"/>
    <w:rsid w:val="004E2CB7"/>
    <w:rsid w:val="004E470A"/>
    <w:rsid w:val="004E48DB"/>
    <w:rsid w:val="004F016A"/>
    <w:rsid w:val="004F2206"/>
    <w:rsid w:val="004F4ADB"/>
    <w:rsid w:val="00500F94"/>
    <w:rsid w:val="00502FB3"/>
    <w:rsid w:val="00503DE9"/>
    <w:rsid w:val="0050530C"/>
    <w:rsid w:val="00505DEA"/>
    <w:rsid w:val="00507782"/>
    <w:rsid w:val="00512A04"/>
    <w:rsid w:val="00520D56"/>
    <w:rsid w:val="0052262D"/>
    <w:rsid w:val="005249F5"/>
    <w:rsid w:val="005260F7"/>
    <w:rsid w:val="00526EB1"/>
    <w:rsid w:val="00527C52"/>
    <w:rsid w:val="00531093"/>
    <w:rsid w:val="00535F65"/>
    <w:rsid w:val="00536C52"/>
    <w:rsid w:val="005401D3"/>
    <w:rsid w:val="00543BD1"/>
    <w:rsid w:val="0054507C"/>
    <w:rsid w:val="00546D7E"/>
    <w:rsid w:val="005517E2"/>
    <w:rsid w:val="00555D67"/>
    <w:rsid w:val="00556113"/>
    <w:rsid w:val="005600AB"/>
    <w:rsid w:val="0056173B"/>
    <w:rsid w:val="00564523"/>
    <w:rsid w:val="00564C12"/>
    <w:rsid w:val="005654B8"/>
    <w:rsid w:val="00567325"/>
    <w:rsid w:val="0057377F"/>
    <w:rsid w:val="00574D98"/>
    <w:rsid w:val="005762CC"/>
    <w:rsid w:val="00582D3D"/>
    <w:rsid w:val="005844DF"/>
    <w:rsid w:val="00590EAB"/>
    <w:rsid w:val="0059345B"/>
    <w:rsid w:val="00595386"/>
    <w:rsid w:val="00597520"/>
    <w:rsid w:val="005A3621"/>
    <w:rsid w:val="005A396F"/>
    <w:rsid w:val="005A3FC0"/>
    <w:rsid w:val="005A4AC0"/>
    <w:rsid w:val="005A5FDF"/>
    <w:rsid w:val="005A7AE6"/>
    <w:rsid w:val="005A7FF2"/>
    <w:rsid w:val="005B09FA"/>
    <w:rsid w:val="005B0B5A"/>
    <w:rsid w:val="005B0FB7"/>
    <w:rsid w:val="005B122A"/>
    <w:rsid w:val="005B4081"/>
    <w:rsid w:val="005B5AC2"/>
    <w:rsid w:val="005C2833"/>
    <w:rsid w:val="005C3781"/>
    <w:rsid w:val="005C3DA2"/>
    <w:rsid w:val="005C492E"/>
    <w:rsid w:val="005D3964"/>
    <w:rsid w:val="005E144D"/>
    <w:rsid w:val="005E1500"/>
    <w:rsid w:val="005E177E"/>
    <w:rsid w:val="005E3A43"/>
    <w:rsid w:val="005E3A7C"/>
    <w:rsid w:val="005E51A4"/>
    <w:rsid w:val="005E6782"/>
    <w:rsid w:val="005E7D58"/>
    <w:rsid w:val="005E7DE4"/>
    <w:rsid w:val="005F1AC5"/>
    <w:rsid w:val="005F1DDD"/>
    <w:rsid w:val="005F6BAA"/>
    <w:rsid w:val="005F77C7"/>
    <w:rsid w:val="00600279"/>
    <w:rsid w:val="0060030B"/>
    <w:rsid w:val="006012BC"/>
    <w:rsid w:val="006053FB"/>
    <w:rsid w:val="00606F63"/>
    <w:rsid w:val="00607484"/>
    <w:rsid w:val="00610597"/>
    <w:rsid w:val="00610C73"/>
    <w:rsid w:val="006145BB"/>
    <w:rsid w:val="006176EF"/>
    <w:rsid w:val="00620675"/>
    <w:rsid w:val="00622910"/>
    <w:rsid w:val="00625981"/>
    <w:rsid w:val="00632C9D"/>
    <w:rsid w:val="00633E94"/>
    <w:rsid w:val="006354EF"/>
    <w:rsid w:val="00642C22"/>
    <w:rsid w:val="006433C3"/>
    <w:rsid w:val="00645942"/>
    <w:rsid w:val="00650F5B"/>
    <w:rsid w:val="00652152"/>
    <w:rsid w:val="00652DC0"/>
    <w:rsid w:val="0065593A"/>
    <w:rsid w:val="00656522"/>
    <w:rsid w:val="00656D0F"/>
    <w:rsid w:val="006601E4"/>
    <w:rsid w:val="00660342"/>
    <w:rsid w:val="00660584"/>
    <w:rsid w:val="00660726"/>
    <w:rsid w:val="00664057"/>
    <w:rsid w:val="00664CA7"/>
    <w:rsid w:val="00664DB6"/>
    <w:rsid w:val="00666B6A"/>
    <w:rsid w:val="006670D7"/>
    <w:rsid w:val="0067057A"/>
    <w:rsid w:val="006716D1"/>
    <w:rsid w:val="006719EA"/>
    <w:rsid w:val="00671F13"/>
    <w:rsid w:val="006726D8"/>
    <w:rsid w:val="0067400A"/>
    <w:rsid w:val="006747E0"/>
    <w:rsid w:val="006818C3"/>
    <w:rsid w:val="006847AD"/>
    <w:rsid w:val="00684E4E"/>
    <w:rsid w:val="00690862"/>
    <w:rsid w:val="00690B7D"/>
    <w:rsid w:val="0069114B"/>
    <w:rsid w:val="006A1167"/>
    <w:rsid w:val="006A11CD"/>
    <w:rsid w:val="006A2005"/>
    <w:rsid w:val="006A2BF7"/>
    <w:rsid w:val="006A4675"/>
    <w:rsid w:val="006A756A"/>
    <w:rsid w:val="006B30F3"/>
    <w:rsid w:val="006B695D"/>
    <w:rsid w:val="006C375B"/>
    <w:rsid w:val="006C396A"/>
    <w:rsid w:val="006C41DD"/>
    <w:rsid w:val="006C736D"/>
    <w:rsid w:val="006D1ADA"/>
    <w:rsid w:val="006D27BC"/>
    <w:rsid w:val="006D40F2"/>
    <w:rsid w:val="006D66F7"/>
    <w:rsid w:val="006D6723"/>
    <w:rsid w:val="006D704A"/>
    <w:rsid w:val="006D751A"/>
    <w:rsid w:val="006E3B5D"/>
    <w:rsid w:val="006E5360"/>
    <w:rsid w:val="006F03F6"/>
    <w:rsid w:val="006F6121"/>
    <w:rsid w:val="00702741"/>
    <w:rsid w:val="00702D61"/>
    <w:rsid w:val="0070363B"/>
    <w:rsid w:val="00705C9D"/>
    <w:rsid w:val="00705F13"/>
    <w:rsid w:val="0071364A"/>
    <w:rsid w:val="00714F1D"/>
    <w:rsid w:val="00715225"/>
    <w:rsid w:val="00720CC6"/>
    <w:rsid w:val="00722DDB"/>
    <w:rsid w:val="0072307A"/>
    <w:rsid w:val="00724728"/>
    <w:rsid w:val="00724F98"/>
    <w:rsid w:val="00727F72"/>
    <w:rsid w:val="00730B9B"/>
    <w:rsid w:val="0073182E"/>
    <w:rsid w:val="00731CDE"/>
    <w:rsid w:val="007332FF"/>
    <w:rsid w:val="00734B13"/>
    <w:rsid w:val="0073520D"/>
    <w:rsid w:val="007372B0"/>
    <w:rsid w:val="007408F5"/>
    <w:rsid w:val="00741EAE"/>
    <w:rsid w:val="007457AD"/>
    <w:rsid w:val="00746BD4"/>
    <w:rsid w:val="00747A98"/>
    <w:rsid w:val="0075413F"/>
    <w:rsid w:val="00754711"/>
    <w:rsid w:val="00754AC3"/>
    <w:rsid w:val="00755248"/>
    <w:rsid w:val="007552EE"/>
    <w:rsid w:val="007557E8"/>
    <w:rsid w:val="007564E7"/>
    <w:rsid w:val="0075687A"/>
    <w:rsid w:val="00757F99"/>
    <w:rsid w:val="0076190B"/>
    <w:rsid w:val="0076211E"/>
    <w:rsid w:val="0076355D"/>
    <w:rsid w:val="00763796"/>
    <w:rsid w:val="00763A2D"/>
    <w:rsid w:val="007679CE"/>
    <w:rsid w:val="007703D9"/>
    <w:rsid w:val="007761D8"/>
    <w:rsid w:val="00777795"/>
    <w:rsid w:val="00782451"/>
    <w:rsid w:val="00783A57"/>
    <w:rsid w:val="00784C92"/>
    <w:rsid w:val="00784FC1"/>
    <w:rsid w:val="007859CD"/>
    <w:rsid w:val="00786F13"/>
    <w:rsid w:val="00787EAD"/>
    <w:rsid w:val="007907E4"/>
    <w:rsid w:val="00794690"/>
    <w:rsid w:val="00794F53"/>
    <w:rsid w:val="00796461"/>
    <w:rsid w:val="00797269"/>
    <w:rsid w:val="007A205B"/>
    <w:rsid w:val="007A6A4F"/>
    <w:rsid w:val="007B03F5"/>
    <w:rsid w:val="007B0C98"/>
    <w:rsid w:val="007B3F42"/>
    <w:rsid w:val="007B59D3"/>
    <w:rsid w:val="007B5C09"/>
    <w:rsid w:val="007B5DA2"/>
    <w:rsid w:val="007C0966"/>
    <w:rsid w:val="007C19E7"/>
    <w:rsid w:val="007C386E"/>
    <w:rsid w:val="007C4944"/>
    <w:rsid w:val="007C4DA0"/>
    <w:rsid w:val="007C5CFD"/>
    <w:rsid w:val="007C6232"/>
    <w:rsid w:val="007C6D9F"/>
    <w:rsid w:val="007D3E21"/>
    <w:rsid w:val="007D4893"/>
    <w:rsid w:val="007D7697"/>
    <w:rsid w:val="007D7BF1"/>
    <w:rsid w:val="007E1F47"/>
    <w:rsid w:val="007E70CF"/>
    <w:rsid w:val="007E74A4"/>
    <w:rsid w:val="007F263F"/>
    <w:rsid w:val="007F46EA"/>
    <w:rsid w:val="007F4FC0"/>
    <w:rsid w:val="007F5579"/>
    <w:rsid w:val="008002E8"/>
    <w:rsid w:val="00801814"/>
    <w:rsid w:val="00801B75"/>
    <w:rsid w:val="0080766E"/>
    <w:rsid w:val="008105BE"/>
    <w:rsid w:val="00811038"/>
    <w:rsid w:val="00811169"/>
    <w:rsid w:val="00811EA7"/>
    <w:rsid w:val="0081354C"/>
    <w:rsid w:val="00815297"/>
    <w:rsid w:val="00817BA1"/>
    <w:rsid w:val="00820DE4"/>
    <w:rsid w:val="00823022"/>
    <w:rsid w:val="0082478E"/>
    <w:rsid w:val="00824C11"/>
    <w:rsid w:val="0082634E"/>
    <w:rsid w:val="00827215"/>
    <w:rsid w:val="0083019F"/>
    <w:rsid w:val="008313C4"/>
    <w:rsid w:val="00835434"/>
    <w:rsid w:val="008358C0"/>
    <w:rsid w:val="008378F1"/>
    <w:rsid w:val="00842838"/>
    <w:rsid w:val="008460A3"/>
    <w:rsid w:val="00851743"/>
    <w:rsid w:val="00852E9D"/>
    <w:rsid w:val="00854EC1"/>
    <w:rsid w:val="0085797F"/>
    <w:rsid w:val="00860804"/>
    <w:rsid w:val="00861DC3"/>
    <w:rsid w:val="00867019"/>
    <w:rsid w:val="008735A9"/>
    <w:rsid w:val="00873CDE"/>
    <w:rsid w:val="0087524D"/>
    <w:rsid w:val="00875466"/>
    <w:rsid w:val="00875756"/>
    <w:rsid w:val="00875E08"/>
    <w:rsid w:val="00876F54"/>
    <w:rsid w:val="0087738F"/>
    <w:rsid w:val="00877D20"/>
    <w:rsid w:val="00881C48"/>
    <w:rsid w:val="00885590"/>
    <w:rsid w:val="00885B80"/>
    <w:rsid w:val="00885C30"/>
    <w:rsid w:val="00885E9B"/>
    <w:rsid w:val="00886C9D"/>
    <w:rsid w:val="00887644"/>
    <w:rsid w:val="00893C96"/>
    <w:rsid w:val="0089500A"/>
    <w:rsid w:val="00897A35"/>
    <w:rsid w:val="00897C94"/>
    <w:rsid w:val="008A51A3"/>
    <w:rsid w:val="008A54F6"/>
    <w:rsid w:val="008A7C12"/>
    <w:rsid w:val="008B03CE"/>
    <w:rsid w:val="008B08FF"/>
    <w:rsid w:val="008B446F"/>
    <w:rsid w:val="008B529E"/>
    <w:rsid w:val="008B6732"/>
    <w:rsid w:val="008B7C3D"/>
    <w:rsid w:val="008C17FB"/>
    <w:rsid w:val="008C3FAB"/>
    <w:rsid w:val="008D1B00"/>
    <w:rsid w:val="008D57B8"/>
    <w:rsid w:val="008D5C27"/>
    <w:rsid w:val="008D7234"/>
    <w:rsid w:val="008E0345"/>
    <w:rsid w:val="008E03FC"/>
    <w:rsid w:val="008E510B"/>
    <w:rsid w:val="008E54F7"/>
    <w:rsid w:val="008E573F"/>
    <w:rsid w:val="008E5B94"/>
    <w:rsid w:val="008F143E"/>
    <w:rsid w:val="008F1BB0"/>
    <w:rsid w:val="008F22AB"/>
    <w:rsid w:val="008F26E2"/>
    <w:rsid w:val="00902501"/>
    <w:rsid w:val="00902865"/>
    <w:rsid w:val="00902B13"/>
    <w:rsid w:val="009056F4"/>
    <w:rsid w:val="0090628E"/>
    <w:rsid w:val="00911941"/>
    <w:rsid w:val="009138A0"/>
    <w:rsid w:val="00916CE4"/>
    <w:rsid w:val="00920C89"/>
    <w:rsid w:val="00923016"/>
    <w:rsid w:val="009237D3"/>
    <w:rsid w:val="00924F11"/>
    <w:rsid w:val="00925C41"/>
    <w:rsid w:val="00925F0F"/>
    <w:rsid w:val="009301CA"/>
    <w:rsid w:val="00930C91"/>
    <w:rsid w:val="00932F6B"/>
    <w:rsid w:val="009436FF"/>
    <w:rsid w:val="0094453D"/>
    <w:rsid w:val="0094483E"/>
    <w:rsid w:val="00945368"/>
    <w:rsid w:val="00945AB1"/>
    <w:rsid w:val="009468BC"/>
    <w:rsid w:val="00947356"/>
    <w:rsid w:val="00955D6C"/>
    <w:rsid w:val="00960690"/>
    <w:rsid w:val="009614AC"/>
    <w:rsid w:val="009616DF"/>
    <w:rsid w:val="009621EC"/>
    <w:rsid w:val="00964B22"/>
    <w:rsid w:val="0096542F"/>
    <w:rsid w:val="00965525"/>
    <w:rsid w:val="00967FA7"/>
    <w:rsid w:val="009711D3"/>
    <w:rsid w:val="00971645"/>
    <w:rsid w:val="009716F6"/>
    <w:rsid w:val="00974784"/>
    <w:rsid w:val="0097665F"/>
    <w:rsid w:val="00977919"/>
    <w:rsid w:val="0098002F"/>
    <w:rsid w:val="00983000"/>
    <w:rsid w:val="00983392"/>
    <w:rsid w:val="009835F5"/>
    <w:rsid w:val="00984027"/>
    <w:rsid w:val="00984D0E"/>
    <w:rsid w:val="009870FA"/>
    <w:rsid w:val="00990A5D"/>
    <w:rsid w:val="009921C3"/>
    <w:rsid w:val="00993578"/>
    <w:rsid w:val="0099551D"/>
    <w:rsid w:val="009A1181"/>
    <w:rsid w:val="009A5897"/>
    <w:rsid w:val="009A5F24"/>
    <w:rsid w:val="009B0B3E"/>
    <w:rsid w:val="009B1913"/>
    <w:rsid w:val="009B467E"/>
    <w:rsid w:val="009B5D8E"/>
    <w:rsid w:val="009B6657"/>
    <w:rsid w:val="009B7C35"/>
    <w:rsid w:val="009B7E48"/>
    <w:rsid w:val="009C192C"/>
    <w:rsid w:val="009C198E"/>
    <w:rsid w:val="009C1B1A"/>
    <w:rsid w:val="009C21F1"/>
    <w:rsid w:val="009C24DC"/>
    <w:rsid w:val="009C5575"/>
    <w:rsid w:val="009D0EB5"/>
    <w:rsid w:val="009D14F9"/>
    <w:rsid w:val="009D2B74"/>
    <w:rsid w:val="009D5E99"/>
    <w:rsid w:val="009D63FF"/>
    <w:rsid w:val="009D705A"/>
    <w:rsid w:val="009D70DA"/>
    <w:rsid w:val="009E175D"/>
    <w:rsid w:val="009E33D9"/>
    <w:rsid w:val="009E3CC2"/>
    <w:rsid w:val="009F06BD"/>
    <w:rsid w:val="009F2A4D"/>
    <w:rsid w:val="009F3302"/>
    <w:rsid w:val="009F5660"/>
    <w:rsid w:val="009F59EA"/>
    <w:rsid w:val="009F72B8"/>
    <w:rsid w:val="00A00828"/>
    <w:rsid w:val="00A030E3"/>
    <w:rsid w:val="00A03290"/>
    <w:rsid w:val="00A05360"/>
    <w:rsid w:val="00A07490"/>
    <w:rsid w:val="00A10655"/>
    <w:rsid w:val="00A1197C"/>
    <w:rsid w:val="00A12B64"/>
    <w:rsid w:val="00A14B74"/>
    <w:rsid w:val="00A229E1"/>
    <w:rsid w:val="00A22C38"/>
    <w:rsid w:val="00A23482"/>
    <w:rsid w:val="00A2459C"/>
    <w:rsid w:val="00A25193"/>
    <w:rsid w:val="00A25530"/>
    <w:rsid w:val="00A26E80"/>
    <w:rsid w:val="00A27141"/>
    <w:rsid w:val="00A31AE8"/>
    <w:rsid w:val="00A32B93"/>
    <w:rsid w:val="00A3387B"/>
    <w:rsid w:val="00A349CA"/>
    <w:rsid w:val="00A3739D"/>
    <w:rsid w:val="00A37DDA"/>
    <w:rsid w:val="00A37ED8"/>
    <w:rsid w:val="00A4128A"/>
    <w:rsid w:val="00A41FB3"/>
    <w:rsid w:val="00A43762"/>
    <w:rsid w:val="00A45BF7"/>
    <w:rsid w:val="00A46D49"/>
    <w:rsid w:val="00A54680"/>
    <w:rsid w:val="00A57521"/>
    <w:rsid w:val="00A71E1C"/>
    <w:rsid w:val="00A8122C"/>
    <w:rsid w:val="00A81DEA"/>
    <w:rsid w:val="00A8239B"/>
    <w:rsid w:val="00A857B0"/>
    <w:rsid w:val="00A85E12"/>
    <w:rsid w:val="00A86965"/>
    <w:rsid w:val="00A876E0"/>
    <w:rsid w:val="00A925EC"/>
    <w:rsid w:val="00A929AA"/>
    <w:rsid w:val="00A92B6B"/>
    <w:rsid w:val="00A9435A"/>
    <w:rsid w:val="00A955A9"/>
    <w:rsid w:val="00AA005E"/>
    <w:rsid w:val="00AA541E"/>
    <w:rsid w:val="00AB3648"/>
    <w:rsid w:val="00AB3857"/>
    <w:rsid w:val="00AB55A4"/>
    <w:rsid w:val="00AB7951"/>
    <w:rsid w:val="00AB7DAD"/>
    <w:rsid w:val="00AD0DA4"/>
    <w:rsid w:val="00AD3615"/>
    <w:rsid w:val="00AD4169"/>
    <w:rsid w:val="00AD6CEB"/>
    <w:rsid w:val="00AD7481"/>
    <w:rsid w:val="00AE0BBC"/>
    <w:rsid w:val="00AE25C6"/>
    <w:rsid w:val="00AE306C"/>
    <w:rsid w:val="00AE5E31"/>
    <w:rsid w:val="00AF029D"/>
    <w:rsid w:val="00AF28C1"/>
    <w:rsid w:val="00AF5F76"/>
    <w:rsid w:val="00AF7A9B"/>
    <w:rsid w:val="00B016D0"/>
    <w:rsid w:val="00B0188B"/>
    <w:rsid w:val="00B02EF1"/>
    <w:rsid w:val="00B04DE4"/>
    <w:rsid w:val="00B07C97"/>
    <w:rsid w:val="00B07EA1"/>
    <w:rsid w:val="00B11C67"/>
    <w:rsid w:val="00B12192"/>
    <w:rsid w:val="00B15754"/>
    <w:rsid w:val="00B15A27"/>
    <w:rsid w:val="00B2046E"/>
    <w:rsid w:val="00B2073D"/>
    <w:rsid w:val="00B20E8B"/>
    <w:rsid w:val="00B21B99"/>
    <w:rsid w:val="00B24CA2"/>
    <w:rsid w:val="00B257E1"/>
    <w:rsid w:val="00B2599A"/>
    <w:rsid w:val="00B27AC4"/>
    <w:rsid w:val="00B27E3B"/>
    <w:rsid w:val="00B30640"/>
    <w:rsid w:val="00B31A87"/>
    <w:rsid w:val="00B343CC"/>
    <w:rsid w:val="00B40146"/>
    <w:rsid w:val="00B40F08"/>
    <w:rsid w:val="00B421D0"/>
    <w:rsid w:val="00B43C75"/>
    <w:rsid w:val="00B47ABC"/>
    <w:rsid w:val="00B5084A"/>
    <w:rsid w:val="00B52DDD"/>
    <w:rsid w:val="00B57C20"/>
    <w:rsid w:val="00B606A1"/>
    <w:rsid w:val="00B614F7"/>
    <w:rsid w:val="00B61B26"/>
    <w:rsid w:val="00B65D38"/>
    <w:rsid w:val="00B675B2"/>
    <w:rsid w:val="00B67E17"/>
    <w:rsid w:val="00B711E5"/>
    <w:rsid w:val="00B77225"/>
    <w:rsid w:val="00B81261"/>
    <w:rsid w:val="00B8223E"/>
    <w:rsid w:val="00B825D0"/>
    <w:rsid w:val="00B832AE"/>
    <w:rsid w:val="00B83E5C"/>
    <w:rsid w:val="00B86678"/>
    <w:rsid w:val="00B9198C"/>
    <w:rsid w:val="00B92F9B"/>
    <w:rsid w:val="00B941B3"/>
    <w:rsid w:val="00B96513"/>
    <w:rsid w:val="00BA08B4"/>
    <w:rsid w:val="00BA1D47"/>
    <w:rsid w:val="00BA2A1B"/>
    <w:rsid w:val="00BA5B6B"/>
    <w:rsid w:val="00BA66F0"/>
    <w:rsid w:val="00BA73E9"/>
    <w:rsid w:val="00BB2239"/>
    <w:rsid w:val="00BB2AE7"/>
    <w:rsid w:val="00BB6303"/>
    <w:rsid w:val="00BB6464"/>
    <w:rsid w:val="00BB65B9"/>
    <w:rsid w:val="00BC1BB8"/>
    <w:rsid w:val="00BD1D47"/>
    <w:rsid w:val="00BD7FE1"/>
    <w:rsid w:val="00BE0CA9"/>
    <w:rsid w:val="00BE1519"/>
    <w:rsid w:val="00BE37CA"/>
    <w:rsid w:val="00BE5422"/>
    <w:rsid w:val="00BE6144"/>
    <w:rsid w:val="00BE635A"/>
    <w:rsid w:val="00BE6FBD"/>
    <w:rsid w:val="00BF08AC"/>
    <w:rsid w:val="00BF09E5"/>
    <w:rsid w:val="00BF17E9"/>
    <w:rsid w:val="00BF2ABB"/>
    <w:rsid w:val="00BF3D4C"/>
    <w:rsid w:val="00BF5099"/>
    <w:rsid w:val="00BF5345"/>
    <w:rsid w:val="00C04A3E"/>
    <w:rsid w:val="00C07FB3"/>
    <w:rsid w:val="00C10F10"/>
    <w:rsid w:val="00C142ED"/>
    <w:rsid w:val="00C15D4D"/>
    <w:rsid w:val="00C175DC"/>
    <w:rsid w:val="00C24096"/>
    <w:rsid w:val="00C30171"/>
    <w:rsid w:val="00C309D8"/>
    <w:rsid w:val="00C35D34"/>
    <w:rsid w:val="00C36E06"/>
    <w:rsid w:val="00C40F40"/>
    <w:rsid w:val="00C412BA"/>
    <w:rsid w:val="00C422E2"/>
    <w:rsid w:val="00C43519"/>
    <w:rsid w:val="00C51537"/>
    <w:rsid w:val="00C51C97"/>
    <w:rsid w:val="00C52BC3"/>
    <w:rsid w:val="00C55C53"/>
    <w:rsid w:val="00C56083"/>
    <w:rsid w:val="00C567C1"/>
    <w:rsid w:val="00C5782F"/>
    <w:rsid w:val="00C61AFA"/>
    <w:rsid w:val="00C61D64"/>
    <w:rsid w:val="00C62099"/>
    <w:rsid w:val="00C62CE4"/>
    <w:rsid w:val="00C63090"/>
    <w:rsid w:val="00C64EA3"/>
    <w:rsid w:val="00C65BC9"/>
    <w:rsid w:val="00C71E7E"/>
    <w:rsid w:val="00C71FDD"/>
    <w:rsid w:val="00C72867"/>
    <w:rsid w:val="00C75E81"/>
    <w:rsid w:val="00C75F52"/>
    <w:rsid w:val="00C774CE"/>
    <w:rsid w:val="00C800F1"/>
    <w:rsid w:val="00C812C7"/>
    <w:rsid w:val="00C86533"/>
    <w:rsid w:val="00C86609"/>
    <w:rsid w:val="00C875F9"/>
    <w:rsid w:val="00C90866"/>
    <w:rsid w:val="00C909F3"/>
    <w:rsid w:val="00C912F3"/>
    <w:rsid w:val="00C92B4C"/>
    <w:rsid w:val="00C954F6"/>
    <w:rsid w:val="00C95811"/>
    <w:rsid w:val="00C97774"/>
    <w:rsid w:val="00CA52D6"/>
    <w:rsid w:val="00CA6BC5"/>
    <w:rsid w:val="00CB0824"/>
    <w:rsid w:val="00CB6A67"/>
    <w:rsid w:val="00CC057F"/>
    <w:rsid w:val="00CC34E1"/>
    <w:rsid w:val="00CC35EE"/>
    <w:rsid w:val="00CC5791"/>
    <w:rsid w:val="00CC61CD"/>
    <w:rsid w:val="00CC72C7"/>
    <w:rsid w:val="00CD2851"/>
    <w:rsid w:val="00CD2EB1"/>
    <w:rsid w:val="00CD5011"/>
    <w:rsid w:val="00CD772A"/>
    <w:rsid w:val="00CE574C"/>
    <w:rsid w:val="00CE640F"/>
    <w:rsid w:val="00CE7005"/>
    <w:rsid w:val="00CE76BC"/>
    <w:rsid w:val="00CE791F"/>
    <w:rsid w:val="00CF3942"/>
    <w:rsid w:val="00CF540E"/>
    <w:rsid w:val="00D02E4D"/>
    <w:rsid w:val="00D02F07"/>
    <w:rsid w:val="00D05AC9"/>
    <w:rsid w:val="00D15D34"/>
    <w:rsid w:val="00D15DB3"/>
    <w:rsid w:val="00D2087C"/>
    <w:rsid w:val="00D222A2"/>
    <w:rsid w:val="00D23346"/>
    <w:rsid w:val="00D264E4"/>
    <w:rsid w:val="00D26AA2"/>
    <w:rsid w:val="00D27EBE"/>
    <w:rsid w:val="00D300AB"/>
    <w:rsid w:val="00D36A49"/>
    <w:rsid w:val="00D40A3C"/>
    <w:rsid w:val="00D442DA"/>
    <w:rsid w:val="00D45B49"/>
    <w:rsid w:val="00D517C6"/>
    <w:rsid w:val="00D517FC"/>
    <w:rsid w:val="00D51900"/>
    <w:rsid w:val="00D52458"/>
    <w:rsid w:val="00D6390D"/>
    <w:rsid w:val="00D64806"/>
    <w:rsid w:val="00D7071C"/>
    <w:rsid w:val="00D71D84"/>
    <w:rsid w:val="00D71FEB"/>
    <w:rsid w:val="00D72464"/>
    <w:rsid w:val="00D768EB"/>
    <w:rsid w:val="00D773F0"/>
    <w:rsid w:val="00D82D1E"/>
    <w:rsid w:val="00D82D8F"/>
    <w:rsid w:val="00D8320B"/>
    <w:rsid w:val="00D832D9"/>
    <w:rsid w:val="00D83ED2"/>
    <w:rsid w:val="00D84166"/>
    <w:rsid w:val="00D842F0"/>
    <w:rsid w:val="00D849DE"/>
    <w:rsid w:val="00D84B6C"/>
    <w:rsid w:val="00D90F00"/>
    <w:rsid w:val="00D91073"/>
    <w:rsid w:val="00D9298B"/>
    <w:rsid w:val="00D93B2C"/>
    <w:rsid w:val="00D94F6B"/>
    <w:rsid w:val="00D975C0"/>
    <w:rsid w:val="00DA034F"/>
    <w:rsid w:val="00DA33F0"/>
    <w:rsid w:val="00DA5285"/>
    <w:rsid w:val="00DA662F"/>
    <w:rsid w:val="00DB191D"/>
    <w:rsid w:val="00DB4F91"/>
    <w:rsid w:val="00DB5BBC"/>
    <w:rsid w:val="00DB72F8"/>
    <w:rsid w:val="00DC09FD"/>
    <w:rsid w:val="00DC1A31"/>
    <w:rsid w:val="00DC1EF7"/>
    <w:rsid w:val="00DC1F0F"/>
    <w:rsid w:val="00DC2E4F"/>
    <w:rsid w:val="00DC3117"/>
    <w:rsid w:val="00DC5DD9"/>
    <w:rsid w:val="00DC6396"/>
    <w:rsid w:val="00DC6D2D"/>
    <w:rsid w:val="00DD35C4"/>
    <w:rsid w:val="00DD64C2"/>
    <w:rsid w:val="00DD77FE"/>
    <w:rsid w:val="00DE241F"/>
    <w:rsid w:val="00DE33B5"/>
    <w:rsid w:val="00DE3B9C"/>
    <w:rsid w:val="00DE5E18"/>
    <w:rsid w:val="00DE620B"/>
    <w:rsid w:val="00DE6711"/>
    <w:rsid w:val="00DE6E01"/>
    <w:rsid w:val="00DE7078"/>
    <w:rsid w:val="00DF0487"/>
    <w:rsid w:val="00DF04F7"/>
    <w:rsid w:val="00DF1C5B"/>
    <w:rsid w:val="00DF2A01"/>
    <w:rsid w:val="00DF371B"/>
    <w:rsid w:val="00DF4908"/>
    <w:rsid w:val="00DF5EA4"/>
    <w:rsid w:val="00DF65BF"/>
    <w:rsid w:val="00DF7900"/>
    <w:rsid w:val="00E00624"/>
    <w:rsid w:val="00E01823"/>
    <w:rsid w:val="00E02681"/>
    <w:rsid w:val="00E02792"/>
    <w:rsid w:val="00E034D8"/>
    <w:rsid w:val="00E04CC0"/>
    <w:rsid w:val="00E104B2"/>
    <w:rsid w:val="00E119D0"/>
    <w:rsid w:val="00E140B0"/>
    <w:rsid w:val="00E14BA2"/>
    <w:rsid w:val="00E15816"/>
    <w:rsid w:val="00E160D5"/>
    <w:rsid w:val="00E17D29"/>
    <w:rsid w:val="00E20257"/>
    <w:rsid w:val="00E239FF"/>
    <w:rsid w:val="00E25E16"/>
    <w:rsid w:val="00E26810"/>
    <w:rsid w:val="00E27D7B"/>
    <w:rsid w:val="00E30556"/>
    <w:rsid w:val="00E30981"/>
    <w:rsid w:val="00E31C9C"/>
    <w:rsid w:val="00E32C7B"/>
    <w:rsid w:val="00E33136"/>
    <w:rsid w:val="00E34D7C"/>
    <w:rsid w:val="00E36C7E"/>
    <w:rsid w:val="00E3723D"/>
    <w:rsid w:val="00E37F7F"/>
    <w:rsid w:val="00E42B7D"/>
    <w:rsid w:val="00E44C89"/>
    <w:rsid w:val="00E470F6"/>
    <w:rsid w:val="00E5033F"/>
    <w:rsid w:val="00E61BA2"/>
    <w:rsid w:val="00E63864"/>
    <w:rsid w:val="00E6403F"/>
    <w:rsid w:val="00E64725"/>
    <w:rsid w:val="00E64D19"/>
    <w:rsid w:val="00E75449"/>
    <w:rsid w:val="00E75BD9"/>
    <w:rsid w:val="00E763EB"/>
    <w:rsid w:val="00E770B0"/>
    <w:rsid w:val="00E770C4"/>
    <w:rsid w:val="00E81E4F"/>
    <w:rsid w:val="00E84C5A"/>
    <w:rsid w:val="00E852AB"/>
    <w:rsid w:val="00E861DB"/>
    <w:rsid w:val="00E93406"/>
    <w:rsid w:val="00E941D9"/>
    <w:rsid w:val="00E956C5"/>
    <w:rsid w:val="00E9579A"/>
    <w:rsid w:val="00E95C39"/>
    <w:rsid w:val="00E95C46"/>
    <w:rsid w:val="00EA2C39"/>
    <w:rsid w:val="00EA32D3"/>
    <w:rsid w:val="00EA7B10"/>
    <w:rsid w:val="00EB0A3C"/>
    <w:rsid w:val="00EB0A96"/>
    <w:rsid w:val="00EB1BFD"/>
    <w:rsid w:val="00EB77F9"/>
    <w:rsid w:val="00EC2247"/>
    <w:rsid w:val="00EC4A9C"/>
    <w:rsid w:val="00EC5769"/>
    <w:rsid w:val="00EC67DC"/>
    <w:rsid w:val="00EC7D00"/>
    <w:rsid w:val="00ED0304"/>
    <w:rsid w:val="00ED087C"/>
    <w:rsid w:val="00ED3B50"/>
    <w:rsid w:val="00ED6E51"/>
    <w:rsid w:val="00EE38FA"/>
    <w:rsid w:val="00EE3E2C"/>
    <w:rsid w:val="00EE5D23"/>
    <w:rsid w:val="00EE750D"/>
    <w:rsid w:val="00EF1FA7"/>
    <w:rsid w:val="00EF3CA4"/>
    <w:rsid w:val="00EF5E1F"/>
    <w:rsid w:val="00EF61B4"/>
    <w:rsid w:val="00EF7859"/>
    <w:rsid w:val="00F00266"/>
    <w:rsid w:val="00F00565"/>
    <w:rsid w:val="00F014DA"/>
    <w:rsid w:val="00F01BE6"/>
    <w:rsid w:val="00F02591"/>
    <w:rsid w:val="00F03D5B"/>
    <w:rsid w:val="00F13FC5"/>
    <w:rsid w:val="00F14273"/>
    <w:rsid w:val="00F23A03"/>
    <w:rsid w:val="00F24F21"/>
    <w:rsid w:val="00F30056"/>
    <w:rsid w:val="00F355D6"/>
    <w:rsid w:val="00F40685"/>
    <w:rsid w:val="00F52121"/>
    <w:rsid w:val="00F52E63"/>
    <w:rsid w:val="00F5696E"/>
    <w:rsid w:val="00F60EFF"/>
    <w:rsid w:val="00F66DE9"/>
    <w:rsid w:val="00F67D2D"/>
    <w:rsid w:val="00F743D0"/>
    <w:rsid w:val="00F860CC"/>
    <w:rsid w:val="00F90858"/>
    <w:rsid w:val="00F94398"/>
    <w:rsid w:val="00FA116F"/>
    <w:rsid w:val="00FA1B74"/>
    <w:rsid w:val="00FA258B"/>
    <w:rsid w:val="00FA28FB"/>
    <w:rsid w:val="00FA4629"/>
    <w:rsid w:val="00FA5BC9"/>
    <w:rsid w:val="00FB0845"/>
    <w:rsid w:val="00FB2B56"/>
    <w:rsid w:val="00FB4378"/>
    <w:rsid w:val="00FB4E3A"/>
    <w:rsid w:val="00FC12BF"/>
    <w:rsid w:val="00FC1A7C"/>
    <w:rsid w:val="00FC2464"/>
    <w:rsid w:val="00FC2C60"/>
    <w:rsid w:val="00FC5D57"/>
    <w:rsid w:val="00FC640E"/>
    <w:rsid w:val="00FC64AB"/>
    <w:rsid w:val="00FD2DA1"/>
    <w:rsid w:val="00FD34F7"/>
    <w:rsid w:val="00FD3E6F"/>
    <w:rsid w:val="00FD47EF"/>
    <w:rsid w:val="00FD51B9"/>
    <w:rsid w:val="00FD639B"/>
    <w:rsid w:val="00FE2A39"/>
    <w:rsid w:val="00FE2EF6"/>
    <w:rsid w:val="00FE3F44"/>
    <w:rsid w:val="00FE454B"/>
    <w:rsid w:val="00FF36E0"/>
    <w:rsid w:val="00FF39CF"/>
    <w:rsid w:val="00FF65C9"/>
    <w:rsid w:val="00FF7159"/>
    <w:rsid w:val="00FF74B5"/>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A72068"/>
  <w15:docId w15:val="{E31E5699-4CD9-403C-906C-9689837A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1"/>
    <w:qFormat/>
    <w:rsid w:val="00DF04F7"/>
    <w:pPr>
      <w:keepNext/>
      <w:numPr>
        <w:numId w:val="3"/>
      </w:numPr>
      <w:spacing w:before="240"/>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1"/>
    <w:qFormat/>
    <w:rsid w:val="00DF04F7"/>
    <w:pPr>
      <w:keepNext/>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1"/>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1"/>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DF04F7"/>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1"/>
    <w:rsid w:val="00DF04F7"/>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6"/>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rsid w:val="00E75449"/>
    <w:rPr>
      <w:rFonts w:asciiTheme="majorHAnsi" w:hAnsiTheme="majorHAnsi"/>
      <w:color w:val="1F1F5F" w:themeColor="text1"/>
    </w:rPr>
  </w:style>
  <w:style w:type="character" w:customStyle="1" w:styleId="Heading8Char">
    <w:name w:val="Heading 8 Char"/>
    <w:basedOn w:val="DefaultParagraphFont"/>
    <w:link w:val="Heading8"/>
    <w:uiPriority w:val="2"/>
    <w:rsid w:val="00E75449"/>
    <w:rPr>
      <w:rFonts w:asciiTheme="majorHAnsi" w:hAnsiTheme="majorHAnsi"/>
      <w:color w:val="606060"/>
    </w:rPr>
  </w:style>
  <w:style w:type="character" w:customStyle="1" w:styleId="Heading9Char">
    <w:name w:val="Heading 9 Char"/>
    <w:basedOn w:val="DefaultParagraphFont"/>
    <w:link w:val="Heading9"/>
    <w:uiPriority w:val="2"/>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99"/>
    <w:qFormat/>
    <w:rsid w:val="00A22C38"/>
    <w:pPr>
      <w:spacing w:after="120"/>
    </w:pPr>
  </w:style>
  <w:style w:type="paragraph" w:styleId="ListNumber2">
    <w:name w:val="List Number 2"/>
    <w:aliases w:val="Number list level 2"/>
    <w:basedOn w:val="Normal"/>
    <w:uiPriority w:val="99"/>
    <w:rsid w:val="00A22C38"/>
    <w:pPr>
      <w:spacing w:after="120"/>
    </w:pPr>
  </w:style>
  <w:style w:type="paragraph" w:styleId="ListNumber3">
    <w:name w:val="List Number 3"/>
    <w:aliases w:val="Number list level 3"/>
    <w:basedOn w:val="Normal"/>
    <w:uiPriority w:val="99"/>
    <w:rsid w:val="00A22C38"/>
    <w:pPr>
      <w:spacing w:after="120"/>
    </w:pPr>
  </w:style>
  <w:style w:type="paragraph" w:styleId="ListNumber4">
    <w:name w:val="List Number 4"/>
    <w:aliases w:val="Number list level 4"/>
    <w:basedOn w:val="Normal"/>
    <w:uiPriority w:val="99"/>
    <w:rsid w:val="00A22C38"/>
    <w:pPr>
      <w:spacing w:after="120"/>
    </w:pPr>
  </w:style>
  <w:style w:type="paragraph" w:styleId="ListNumber5">
    <w:name w:val="List Number 5"/>
    <w:aliases w:val="List number 5 - with space"/>
    <w:basedOn w:val="Normal"/>
    <w:uiPriority w:val="99"/>
    <w:rsid w:val="00A22C38"/>
    <w:pPr>
      <w:spacing w:after="120"/>
    </w:pPr>
  </w:style>
  <w:style w:type="paragraph" w:styleId="ListBullet">
    <w:name w:val="List Bullet"/>
    <w:aliases w:val="Bullet list level 1"/>
    <w:basedOn w:val="Normal"/>
    <w:uiPriority w:val="99"/>
    <w:rsid w:val="00176123"/>
    <w:pPr>
      <w:numPr>
        <w:numId w:val="8"/>
      </w:numPr>
      <w:spacing w:after="12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35"/>
    <w:qFormat/>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numbering" w:customStyle="1" w:styleId="NTGTableNumList">
    <w:name w:val="NTG Table Num List"/>
    <w:uiPriority w:val="99"/>
    <w:rsid w:val="00945368"/>
    <w:pPr>
      <w:numPr>
        <w:numId w:val="10"/>
      </w:numPr>
    </w:pPr>
  </w:style>
  <w:style w:type="paragraph" w:customStyle="1" w:styleId="NTGTableNumList1">
    <w:name w:val="NTG Table Num List 1"/>
    <w:semiHidden/>
    <w:qFormat/>
    <w:rsid w:val="00945368"/>
    <w:pPr>
      <w:numPr>
        <w:numId w:val="11"/>
      </w:numPr>
      <w:spacing w:after="20"/>
    </w:pPr>
  </w:style>
  <w:style w:type="paragraph" w:customStyle="1" w:styleId="NTGTableNumList2">
    <w:name w:val="NTG Table Num List 2"/>
    <w:basedOn w:val="NTGTableNumList1"/>
    <w:semiHidden/>
    <w:qFormat/>
    <w:rsid w:val="00945368"/>
    <w:pPr>
      <w:numPr>
        <w:ilvl w:val="1"/>
      </w:numPr>
    </w:pPr>
  </w:style>
  <w:style w:type="paragraph" w:customStyle="1" w:styleId="NTGTableNumList3">
    <w:name w:val="NTG Table Num List 3"/>
    <w:basedOn w:val="NTGTableNumList2"/>
    <w:semiHidden/>
    <w:qFormat/>
    <w:rsid w:val="00945368"/>
    <w:pPr>
      <w:numPr>
        <w:ilvl w:val="2"/>
      </w:numPr>
    </w:pPr>
  </w:style>
  <w:style w:type="paragraph" w:customStyle="1" w:styleId="NTGTableNumList4">
    <w:name w:val="NTG Table Num List 4"/>
    <w:basedOn w:val="NTGTableNumList3"/>
    <w:semiHidden/>
    <w:qFormat/>
    <w:rsid w:val="00945368"/>
    <w:pPr>
      <w:numPr>
        <w:ilvl w:val="3"/>
      </w:numPr>
    </w:pPr>
  </w:style>
  <w:style w:type="paragraph" w:customStyle="1" w:styleId="NTGTableNumList5">
    <w:name w:val="NTG Table Num List 5"/>
    <w:basedOn w:val="NTGTableNumList4"/>
    <w:semiHidden/>
    <w:qFormat/>
    <w:rsid w:val="00945368"/>
    <w:pPr>
      <w:numPr>
        <w:ilvl w:val="4"/>
      </w:numPr>
    </w:pPr>
  </w:style>
  <w:style w:type="paragraph" w:customStyle="1" w:styleId="NTGTableNumList6">
    <w:name w:val="NTG Table Num List 6"/>
    <w:basedOn w:val="NTGTableNumList5"/>
    <w:semiHidden/>
    <w:qFormat/>
    <w:rsid w:val="00945368"/>
    <w:pPr>
      <w:numPr>
        <w:ilvl w:val="5"/>
      </w:numPr>
    </w:pPr>
  </w:style>
  <w:style w:type="paragraph" w:customStyle="1" w:styleId="NTGTableNumList7">
    <w:name w:val="NTG Table Num List 7"/>
    <w:basedOn w:val="NTGTableNumList6"/>
    <w:semiHidden/>
    <w:qFormat/>
    <w:rsid w:val="00945368"/>
    <w:pPr>
      <w:numPr>
        <w:ilvl w:val="6"/>
      </w:numPr>
    </w:pPr>
  </w:style>
  <w:style w:type="paragraph" w:customStyle="1" w:styleId="NTGTableNumList8">
    <w:name w:val="NTG Table Num List 8"/>
    <w:basedOn w:val="NTGTableNumList7"/>
    <w:semiHidden/>
    <w:qFormat/>
    <w:rsid w:val="00945368"/>
    <w:pPr>
      <w:numPr>
        <w:ilvl w:val="7"/>
      </w:numPr>
    </w:pPr>
  </w:style>
  <w:style w:type="paragraph" w:customStyle="1" w:styleId="NTGTableNumList9">
    <w:name w:val="NTG Table Num List 9"/>
    <w:basedOn w:val="NTGTableNumList8"/>
    <w:semiHidden/>
    <w:qFormat/>
    <w:rsid w:val="00945368"/>
    <w:pPr>
      <w:numPr>
        <w:ilvl w:val="8"/>
      </w:numPr>
    </w:pPr>
  </w:style>
  <w:style w:type="numbering" w:customStyle="1" w:styleId="NTGTableList">
    <w:name w:val="NTG Table List"/>
    <w:uiPriority w:val="99"/>
    <w:rsid w:val="00945368"/>
    <w:pPr>
      <w:numPr>
        <w:numId w:val="13"/>
      </w:numPr>
    </w:pPr>
  </w:style>
  <w:style w:type="numbering" w:customStyle="1" w:styleId="NTGStandardNumList">
    <w:name w:val="NTG Standard Num List"/>
    <w:uiPriority w:val="99"/>
    <w:rsid w:val="00945368"/>
    <w:pPr>
      <w:numPr>
        <w:numId w:val="12"/>
      </w:numPr>
    </w:pPr>
  </w:style>
  <w:style w:type="paragraph" w:customStyle="1" w:styleId="NTGTableBulletList1">
    <w:name w:val="NTG Table Bullet List 1"/>
    <w:semiHidden/>
    <w:qFormat/>
    <w:rsid w:val="00945368"/>
    <w:pPr>
      <w:numPr>
        <w:numId w:val="14"/>
      </w:numPr>
      <w:spacing w:after="20"/>
    </w:pPr>
  </w:style>
  <w:style w:type="paragraph" w:customStyle="1" w:styleId="NTGTableBulletList2">
    <w:name w:val="NTG Table Bullet List 2"/>
    <w:basedOn w:val="NTGTableBulletList1"/>
    <w:semiHidden/>
    <w:qFormat/>
    <w:rsid w:val="00945368"/>
    <w:pPr>
      <w:numPr>
        <w:ilvl w:val="1"/>
      </w:numPr>
    </w:pPr>
  </w:style>
  <w:style w:type="paragraph" w:customStyle="1" w:styleId="NTGTableBulletList3">
    <w:name w:val="NTG Table Bullet List 3"/>
    <w:basedOn w:val="NTGTableBulletList2"/>
    <w:semiHidden/>
    <w:qFormat/>
    <w:rsid w:val="00945368"/>
    <w:pPr>
      <w:numPr>
        <w:ilvl w:val="2"/>
      </w:numPr>
    </w:pPr>
  </w:style>
  <w:style w:type="paragraph" w:customStyle="1" w:styleId="NTGTableBulletList4">
    <w:name w:val="NTG Table Bullet List 4"/>
    <w:basedOn w:val="NTGTableBulletList3"/>
    <w:semiHidden/>
    <w:qFormat/>
    <w:rsid w:val="00945368"/>
    <w:pPr>
      <w:numPr>
        <w:ilvl w:val="3"/>
      </w:numPr>
    </w:pPr>
  </w:style>
  <w:style w:type="paragraph" w:customStyle="1" w:styleId="NTGTableBulletList5">
    <w:name w:val="NTG Table Bullet List 5"/>
    <w:basedOn w:val="NTGTableBulletList4"/>
    <w:semiHidden/>
    <w:qFormat/>
    <w:rsid w:val="00945368"/>
    <w:pPr>
      <w:numPr>
        <w:ilvl w:val="4"/>
      </w:numPr>
    </w:pPr>
  </w:style>
  <w:style w:type="paragraph" w:customStyle="1" w:styleId="NTGTableBulletList6">
    <w:name w:val="NTG Table Bullet List 6"/>
    <w:basedOn w:val="NTGTableBulletList5"/>
    <w:semiHidden/>
    <w:qFormat/>
    <w:rsid w:val="00945368"/>
    <w:pPr>
      <w:numPr>
        <w:ilvl w:val="5"/>
      </w:numPr>
    </w:pPr>
  </w:style>
  <w:style w:type="paragraph" w:customStyle="1" w:styleId="NTGTableBulletList7">
    <w:name w:val="NTG Table Bullet List 7"/>
    <w:basedOn w:val="NTGTableBulletList6"/>
    <w:semiHidden/>
    <w:qFormat/>
    <w:rsid w:val="00945368"/>
    <w:pPr>
      <w:numPr>
        <w:ilvl w:val="6"/>
      </w:numPr>
    </w:pPr>
  </w:style>
  <w:style w:type="paragraph" w:customStyle="1" w:styleId="NTGTableBulletList8">
    <w:name w:val="NTG Table Bullet List 8"/>
    <w:basedOn w:val="NTGTableBulletList7"/>
    <w:semiHidden/>
    <w:qFormat/>
    <w:rsid w:val="00945368"/>
    <w:pPr>
      <w:numPr>
        <w:ilvl w:val="7"/>
      </w:numPr>
    </w:pPr>
  </w:style>
  <w:style w:type="paragraph" w:customStyle="1" w:styleId="NTGTableBulletList9">
    <w:name w:val="NTG Table Bullet List 9"/>
    <w:basedOn w:val="NTGTableBulletList8"/>
    <w:semiHidden/>
    <w:qFormat/>
    <w:rsid w:val="00945368"/>
    <w:pPr>
      <w:numPr>
        <w:ilvl w:val="8"/>
      </w:numPr>
    </w:pPr>
  </w:style>
  <w:style w:type="paragraph" w:customStyle="1" w:styleId="DTFBodyText">
    <w:name w:val="DTF Body Text"/>
    <w:basedOn w:val="Normal"/>
    <w:link w:val="DTFBodyTextChar"/>
    <w:qFormat/>
    <w:rsid w:val="00945368"/>
    <w:pPr>
      <w:tabs>
        <w:tab w:val="left" w:pos="709"/>
        <w:tab w:val="left" w:pos="1276"/>
        <w:tab w:val="left" w:pos="4536"/>
      </w:tabs>
    </w:pPr>
    <w:rPr>
      <w:rFonts w:ascii="Arial" w:eastAsia="Times New Roman" w:hAnsi="Arial" w:cs="Arial"/>
      <w:szCs w:val="20"/>
      <w:lang w:eastAsia="en-AU"/>
    </w:rPr>
  </w:style>
  <w:style w:type="character" w:customStyle="1" w:styleId="DTFBodyTextChar">
    <w:name w:val="DTF Body Text Char"/>
    <w:basedOn w:val="DefaultParagraphFont"/>
    <w:link w:val="DTFBodyText"/>
    <w:rsid w:val="00945368"/>
    <w:rPr>
      <w:rFonts w:eastAsia="Times New Roman" w:cs="Arial"/>
      <w:szCs w:val="20"/>
      <w:lang w:eastAsia="en-AU"/>
    </w:rPr>
  </w:style>
  <w:style w:type="paragraph" w:customStyle="1" w:styleId="NTGCoverPageDate">
    <w:name w:val="NTG Cover Page Date"/>
    <w:next w:val="Normal"/>
    <w:semiHidden/>
    <w:rsid w:val="00C62CE4"/>
    <w:pPr>
      <w:spacing w:before="1400"/>
    </w:pPr>
    <w:rPr>
      <w:rFonts w:eastAsia="Times New Roman"/>
      <w:sz w:val="28"/>
      <w:lang w:eastAsia="en-AU"/>
    </w:rPr>
  </w:style>
  <w:style w:type="paragraph" w:styleId="BalloonText">
    <w:name w:val="Balloon Text"/>
    <w:basedOn w:val="Normal"/>
    <w:link w:val="BalloonTextChar"/>
    <w:uiPriority w:val="99"/>
    <w:semiHidden/>
    <w:unhideWhenUsed/>
    <w:rsid w:val="00DF04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4F7"/>
    <w:rPr>
      <w:rFonts w:ascii="Segoe UI" w:hAnsi="Segoe UI" w:cs="Segoe UI"/>
      <w:sz w:val="18"/>
      <w:szCs w:val="18"/>
    </w:rPr>
  </w:style>
  <w:style w:type="character" w:styleId="CommentReference">
    <w:name w:val="annotation reference"/>
    <w:basedOn w:val="DefaultParagraphFont"/>
    <w:uiPriority w:val="99"/>
    <w:semiHidden/>
    <w:unhideWhenUsed/>
    <w:rsid w:val="00DF04F7"/>
    <w:rPr>
      <w:sz w:val="16"/>
      <w:szCs w:val="16"/>
    </w:rPr>
  </w:style>
  <w:style w:type="paragraph" w:styleId="CommentText">
    <w:name w:val="annotation text"/>
    <w:basedOn w:val="Normal"/>
    <w:link w:val="CommentTextChar"/>
    <w:uiPriority w:val="99"/>
    <w:unhideWhenUsed/>
    <w:rsid w:val="00DF04F7"/>
    <w:rPr>
      <w:sz w:val="20"/>
      <w:szCs w:val="20"/>
    </w:rPr>
  </w:style>
  <w:style w:type="character" w:customStyle="1" w:styleId="CommentTextChar">
    <w:name w:val="Comment Text Char"/>
    <w:basedOn w:val="DefaultParagraphFont"/>
    <w:link w:val="CommentText"/>
    <w:uiPriority w:val="99"/>
    <w:rsid w:val="00DF04F7"/>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DF04F7"/>
    <w:rPr>
      <w:b/>
      <w:bCs/>
    </w:rPr>
  </w:style>
  <w:style w:type="character" w:customStyle="1" w:styleId="CommentSubjectChar">
    <w:name w:val="Comment Subject Char"/>
    <w:basedOn w:val="CommentTextChar"/>
    <w:link w:val="CommentSubject"/>
    <w:uiPriority w:val="99"/>
    <w:semiHidden/>
    <w:rsid w:val="00DF04F7"/>
    <w:rPr>
      <w:rFonts w:ascii="Lato" w:hAnsi="Lato"/>
      <w:b/>
      <w:bCs/>
      <w:sz w:val="20"/>
      <w:szCs w:val="20"/>
    </w:rPr>
  </w:style>
  <w:style w:type="character" w:styleId="FollowedHyperlink">
    <w:name w:val="FollowedHyperlink"/>
    <w:basedOn w:val="DefaultParagraphFont"/>
    <w:uiPriority w:val="99"/>
    <w:semiHidden/>
    <w:unhideWhenUsed/>
    <w:rsid w:val="00824C11"/>
    <w:rPr>
      <w:color w:val="8C4799" w:themeColor="followedHyperlink"/>
      <w:u w:val="single"/>
    </w:rPr>
  </w:style>
  <w:style w:type="table" w:customStyle="1" w:styleId="NTGtable">
    <w:name w:val="NTG table"/>
    <w:basedOn w:val="TableGrid"/>
    <w:uiPriority w:val="99"/>
    <w:rsid w:val="005B0B5A"/>
    <w:pPr>
      <w:spacing w:before="40" w:after="40"/>
    </w:pPr>
    <w:rPr>
      <w:rFonts w:ascii="Lato" w:hAnsi="Lato" w:cs="Arial"/>
      <w:szCs w:val="20"/>
    </w:rPr>
    <w:tblPr>
      <w:tblStyleRowBandSize w:val="1"/>
      <w:tblStyleColBandSize w:val="1"/>
      <w:tblInd w:w="0" w:type="nil"/>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blStylePr w:type="firstRow">
      <w:pPr>
        <w:wordWrap/>
        <w:spacing w:beforeLines="0" w:before="100" w:beforeAutospacing="1" w:afterLines="0" w:after="100" w:afterAutospacing="1" w:line="240" w:lineRule="auto"/>
        <w:ind w:leftChars="0" w:left="0" w:rightChars="0" w:right="0" w:firstLineChars="0" w:firstLine="0"/>
        <w:mirrorIndents w:val="0"/>
        <w:jc w:val="left"/>
        <w:outlineLvl w:val="9"/>
      </w:pPr>
      <w:rPr>
        <w:rFonts w:ascii="Arial" w:hAnsi="Arial" w:cs="Arial" w:hint="default"/>
        <w:b/>
        <w:sz w:val="22"/>
        <w:szCs w:val="22"/>
      </w:rPr>
      <w:tblPr/>
      <w:tcPr>
        <w:shd w:val="clear" w:color="auto" w:fill="1F1F5F" w:themeFill="text1"/>
      </w:tcPr>
    </w:tblStylePr>
    <w:tblStylePr w:type="lastRow">
      <w:rPr>
        <w:rFonts w:ascii="Arial" w:hAnsi="Arial" w:cs="Arial" w:hint="default"/>
        <w:b/>
        <w:color w:val="auto"/>
        <w:sz w:val="22"/>
        <w:szCs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rFonts w:ascii="Arial" w:hAnsi="Arial" w:cs="Arial" w:hint="default"/>
        <w:sz w:val="22"/>
        <w:szCs w:val="22"/>
      </w:rPr>
    </w:tblStylePr>
    <w:tblStylePr w:type="lastCol">
      <w:rPr>
        <w:rFonts w:ascii="Arial" w:hAnsi="Arial" w:cs="Arial" w:hint="default"/>
        <w:sz w:val="22"/>
        <w:szCs w:val="22"/>
      </w:rPr>
    </w:tblStylePr>
    <w:tblStylePr w:type="band1Vert">
      <w:rPr>
        <w:rFonts w:ascii="Arial" w:hAnsi="Arial" w:cs="Arial" w:hint="default"/>
        <w:sz w:val="22"/>
        <w:szCs w:val="22"/>
      </w:rPr>
    </w:tblStylePr>
    <w:tblStylePr w:type="band2Vert">
      <w:rPr>
        <w:rFonts w:ascii="Lato" w:hAnsi="Lato" w:hint="default"/>
        <w:color w:val="auto"/>
        <w:sz w:val="22"/>
        <w:szCs w:val="22"/>
      </w:rPr>
    </w:tblStylePr>
    <w:tblStylePr w:type="band1Horz">
      <w:rPr>
        <w:rFonts w:ascii="Arial" w:hAnsi="Arial" w:cs="Arial" w:hint="default"/>
        <w:sz w:val="22"/>
        <w:szCs w:val="22"/>
      </w:rPr>
    </w:tblStylePr>
    <w:tblStylePr w:type="band2Horz">
      <w:rPr>
        <w:rFonts w:ascii="Arial" w:hAnsi="Arial" w:cs="Arial" w:hint="default"/>
        <w:sz w:val="22"/>
        <w:szCs w:val="22"/>
      </w:rPr>
      <w:tblPr/>
      <w:tcPr>
        <w:shd w:val="clear" w:color="auto" w:fill="D9D9D9" w:themeFill="background1" w:themeFillShade="D9"/>
      </w:tcPr>
    </w:tblStylePr>
    <w:tblStylePr w:type="neCell">
      <w:rPr>
        <w:rFonts w:ascii="Arial" w:hAnsi="Arial" w:cs="Arial" w:hint="default"/>
        <w:sz w:val="22"/>
        <w:szCs w:val="22"/>
      </w:rPr>
    </w:tblStylePr>
    <w:tblStylePr w:type="nwCell">
      <w:rPr>
        <w:rFonts w:ascii="Arial" w:hAnsi="Arial" w:cs="Arial" w:hint="default"/>
        <w:sz w:val="22"/>
        <w:szCs w:val="22"/>
      </w:rPr>
    </w:tblStylePr>
    <w:tblStylePr w:type="seCell">
      <w:rPr>
        <w:rFonts w:ascii="Arial" w:hAnsi="Arial" w:cs="Arial" w:hint="default"/>
        <w:sz w:val="22"/>
        <w:szCs w:val="22"/>
      </w:rPr>
    </w:tblStylePr>
    <w:tblStylePr w:type="swCell">
      <w:rPr>
        <w:rFonts w:ascii="Arial" w:hAnsi="Arial" w:cs="Arial" w:hint="default"/>
        <w:sz w:val="22"/>
        <w:szCs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715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TF.FinancialPolicy@nt.gov.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tgcentral.nt.gov.au/services-and-support/legal-services/legal-notes" TargetMode="Externa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F9F8DE95DD4AC7BFDBBE843992524D"/>
        <w:category>
          <w:name w:val="General"/>
          <w:gallery w:val="placeholder"/>
        </w:category>
        <w:types>
          <w:type w:val="bbPlcHdr"/>
        </w:types>
        <w:behaviors>
          <w:behavior w:val="content"/>
        </w:behaviors>
        <w:guid w:val="{6C77AB5C-ECC0-4D60-A67F-6AD967820BB4}"/>
      </w:docPartPr>
      <w:docPartBody>
        <w:p w:rsidR="00563F12" w:rsidRDefault="00563F12">
          <w:pPr>
            <w:pStyle w:val="04F9F8DE95DD4AC7BFDBBE843992524D"/>
          </w:pPr>
          <w:r w:rsidRPr="000C7A65">
            <w:rPr>
              <w:rStyle w:val="PlaceholderText"/>
            </w:rPr>
            <w:t>[Title]</w:t>
          </w:r>
        </w:p>
      </w:docPartBody>
    </w:docPart>
    <w:docPart>
      <w:docPartPr>
        <w:name w:val="AE65F6C604D9466EB1C2AF56AFC25806"/>
        <w:category>
          <w:name w:val="General"/>
          <w:gallery w:val="placeholder"/>
        </w:category>
        <w:types>
          <w:type w:val="bbPlcHdr"/>
        </w:types>
        <w:behaviors>
          <w:behavior w:val="content"/>
        </w:behaviors>
        <w:guid w:val="{E241862F-0A4E-4D20-936D-F1945833CC59}"/>
      </w:docPartPr>
      <w:docPartBody>
        <w:p w:rsidR="00563F12" w:rsidRDefault="00563F12">
          <w:pPr>
            <w:pStyle w:val="AE65F6C604D9466EB1C2AF56AFC25806"/>
          </w:pPr>
          <w:r w:rsidRPr="00741874">
            <w:rPr>
              <w:rStyle w:val="PlaceholderText"/>
            </w:rPr>
            <w:t>[Title]</w:t>
          </w:r>
        </w:p>
      </w:docPartBody>
    </w:docPart>
    <w:docPart>
      <w:docPartPr>
        <w:name w:val="4427FB8FBD1F4414950C73570F595825"/>
        <w:category>
          <w:name w:val="General"/>
          <w:gallery w:val="placeholder"/>
        </w:category>
        <w:types>
          <w:type w:val="bbPlcHdr"/>
        </w:types>
        <w:behaviors>
          <w:behavior w:val="content"/>
        </w:behaviors>
        <w:guid w:val="{52BFF79E-2255-4AAD-818F-391EE8D4B766}"/>
      </w:docPartPr>
      <w:docPartBody>
        <w:p w:rsidR="00563F12" w:rsidRDefault="00563F12">
          <w:pPr>
            <w:pStyle w:val="4427FB8FBD1F4414950C73570F595825"/>
          </w:pPr>
          <w:r w:rsidRPr="007B29CC">
            <w:rPr>
              <w:rStyle w:val="PlaceholderText"/>
            </w:rPr>
            <w:t>[Company]</w:t>
          </w:r>
        </w:p>
      </w:docPartBody>
    </w:docPart>
    <w:docPart>
      <w:docPartPr>
        <w:name w:val="54CA67C1481142B2B402EC9CE32EBF4A"/>
        <w:category>
          <w:name w:val="General"/>
          <w:gallery w:val="placeholder"/>
        </w:category>
        <w:types>
          <w:type w:val="bbPlcHdr"/>
        </w:types>
        <w:behaviors>
          <w:behavior w:val="content"/>
        </w:behaviors>
        <w:guid w:val="{4F83767F-21B1-4ECA-B002-14B9F59EF5A5}"/>
      </w:docPartPr>
      <w:docPartBody>
        <w:p w:rsidR="00563F12" w:rsidRDefault="00563F12">
          <w:pPr>
            <w:pStyle w:val="54CA67C1481142B2B402EC9CE32EBF4A"/>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12"/>
    <w:rsid w:val="00053104"/>
    <w:rsid w:val="00065849"/>
    <w:rsid w:val="002E5CB7"/>
    <w:rsid w:val="004D5A08"/>
    <w:rsid w:val="004F3CE3"/>
    <w:rsid w:val="00545265"/>
    <w:rsid w:val="00563F12"/>
    <w:rsid w:val="00676F88"/>
    <w:rsid w:val="007C40EE"/>
    <w:rsid w:val="008775CB"/>
    <w:rsid w:val="00A00B3E"/>
    <w:rsid w:val="00BA7F2C"/>
    <w:rsid w:val="00CA162E"/>
    <w:rsid w:val="00D54303"/>
    <w:rsid w:val="00FC1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F9F8DE95DD4AC7BFDBBE843992524D">
    <w:name w:val="04F9F8DE95DD4AC7BFDBBE843992524D"/>
  </w:style>
  <w:style w:type="paragraph" w:customStyle="1" w:styleId="AE65F6C604D9466EB1C2AF56AFC25806">
    <w:name w:val="AE65F6C604D9466EB1C2AF56AFC25806"/>
  </w:style>
  <w:style w:type="paragraph" w:customStyle="1" w:styleId="4427FB8FBD1F4414950C73570F595825">
    <w:name w:val="4427FB8FBD1F4414950C73570F595825"/>
  </w:style>
  <w:style w:type="paragraph" w:customStyle="1" w:styleId="54CA67C1481142B2B402EC9CE32EBF4A">
    <w:name w:val="54CA67C1481142B2B402EC9CE32EB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748BB7-E78C-4503-845E-19EDC767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Guidance document: Machinery of government changes</vt:lpstr>
    </vt:vector>
  </TitlesOfParts>
  <Company>TREASURY AND FINANCE</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 Machinery of government changes</dc:title>
  <dc:creator>Department of Treasury and Finance</dc:creator>
  <cp:lastModifiedBy>Adwoa Tetteh</cp:lastModifiedBy>
  <cp:revision>32</cp:revision>
  <cp:lastPrinted>2020-05-08T06:00:00Z</cp:lastPrinted>
  <dcterms:created xsi:type="dcterms:W3CDTF">2024-08-25T23:53:00Z</dcterms:created>
  <dcterms:modified xsi:type="dcterms:W3CDTF">2024-08-26T02:22:00Z</dcterms:modified>
</cp:coreProperties>
</file>