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9F" w:rsidRPr="00EE68DC" w:rsidRDefault="0076789F" w:rsidP="0076789F">
      <w:pPr>
        <w:pStyle w:val="Heading1"/>
        <w:keepNext w:val="0"/>
        <w:spacing w:before="0" w:after="0"/>
        <w:jc w:val="center"/>
        <w:rPr>
          <w:sz w:val="40"/>
          <w:szCs w:val="44"/>
        </w:rPr>
      </w:pPr>
      <w:r>
        <w:rPr>
          <w:sz w:val="40"/>
          <w:szCs w:val="44"/>
        </w:rPr>
        <w:t>Evaluation</w:t>
      </w:r>
      <w:r w:rsidRPr="00EE68DC">
        <w:rPr>
          <w:sz w:val="40"/>
          <w:szCs w:val="44"/>
        </w:rPr>
        <w:t xml:space="preserve"> overview</w:t>
      </w:r>
    </w:p>
    <w:p w:rsidR="0076789F" w:rsidRPr="00EE68DC" w:rsidRDefault="0076789F" w:rsidP="0076789F">
      <w:pPr>
        <w:pStyle w:val="Heading2"/>
        <w:keepNext w:val="0"/>
        <w:spacing w:before="0" w:after="0"/>
        <w:jc w:val="center"/>
        <w:rPr>
          <w:sz w:val="24"/>
        </w:rPr>
      </w:pPr>
    </w:p>
    <w:p w:rsidR="0076789F" w:rsidRDefault="0076789F" w:rsidP="0076789F">
      <w:pPr>
        <w:ind w:left="284"/>
        <w:jc w:val="both"/>
        <w:rPr>
          <w:szCs w:val="22"/>
        </w:rPr>
      </w:pPr>
      <w:r w:rsidRPr="00097082">
        <w:rPr>
          <w:szCs w:val="22"/>
        </w:rPr>
        <w:t>&lt;</w:t>
      </w:r>
      <w:r>
        <w:rPr>
          <w:szCs w:val="22"/>
        </w:rPr>
        <w:t>Complete this document</w:t>
      </w:r>
      <w:r w:rsidRPr="00097082">
        <w:rPr>
          <w:szCs w:val="22"/>
        </w:rPr>
        <w:t xml:space="preserve"> in consultation with you</w:t>
      </w:r>
      <w:r>
        <w:rPr>
          <w:szCs w:val="22"/>
        </w:rPr>
        <w:t>r a</w:t>
      </w:r>
      <w:r w:rsidRPr="00097082">
        <w:rPr>
          <w:szCs w:val="22"/>
        </w:rPr>
        <w:t xml:space="preserve">gency’s </w:t>
      </w:r>
      <w:r>
        <w:rPr>
          <w:szCs w:val="22"/>
        </w:rPr>
        <w:t xml:space="preserve">evaluation manager and/or the </w:t>
      </w:r>
      <w:hyperlink r:id="rId8" w:history="1">
        <w:r w:rsidRPr="00B92ECA">
          <w:rPr>
            <w:rStyle w:val="Hyperlink"/>
            <w:szCs w:val="22"/>
          </w:rPr>
          <w:t>Program Evaluation Unit</w:t>
        </w:r>
      </w:hyperlink>
      <w:r>
        <w:rPr>
          <w:szCs w:val="22"/>
        </w:rPr>
        <w:t xml:space="preserve"> at the Department of Treasury and Finance. This overview should be a concise summary of the key outcomes the program is trying to achieve and how and when success will be </w:t>
      </w:r>
      <w:r w:rsidRPr="00DD1D69">
        <w:rPr>
          <w:szCs w:val="22"/>
        </w:rPr>
        <w:t xml:space="preserve">measured. </w:t>
      </w:r>
      <w:hyperlink r:id="rId9" w:history="1">
        <w:r w:rsidRPr="00DD1D69">
          <w:rPr>
            <w:rStyle w:val="Hyperlink"/>
            <w:szCs w:val="22"/>
          </w:rPr>
          <w:t>Section 1 of the Program Evaluation Toolkit</w:t>
        </w:r>
      </w:hyperlink>
      <w:r w:rsidRPr="00DD1D69">
        <w:rPr>
          <w:szCs w:val="22"/>
        </w:rPr>
        <w:t xml:space="preserve"> is structured to mirror this template to give additional guidance, section by section. An evaluation work plan should be completed if the program</w:t>
      </w:r>
      <w:r>
        <w:rPr>
          <w:szCs w:val="22"/>
        </w:rPr>
        <w:t xml:space="preserve"> is approved to proceed</w:t>
      </w:r>
      <w:r>
        <w:rPr>
          <w:rStyle w:val="FootnoteReference"/>
          <w:szCs w:val="22"/>
        </w:rPr>
        <w:footnoteReference w:id="1"/>
      </w:r>
      <w:r>
        <w:rPr>
          <w:szCs w:val="22"/>
        </w:rPr>
        <w:t xml:space="preserve">. </w:t>
      </w:r>
      <w:r w:rsidRPr="00097082">
        <w:rPr>
          <w:szCs w:val="22"/>
        </w:rPr>
        <w:t>&gt;</w:t>
      </w:r>
    </w:p>
    <w:p w:rsidR="0076789F" w:rsidRDefault="0076789F" w:rsidP="0076789F">
      <w:pPr>
        <w:jc w:val="both"/>
      </w:pPr>
    </w:p>
    <w:p w:rsidR="0076789F" w:rsidRPr="000072ED" w:rsidRDefault="0076789F" w:rsidP="0076789F">
      <w:pPr>
        <w:pStyle w:val="Heading3"/>
        <w:keepNext w:val="0"/>
        <w:spacing w:before="0" w:after="0"/>
        <w:ind w:left="284"/>
        <w:jc w:val="both"/>
        <w:rPr>
          <w:sz w:val="28"/>
          <w:szCs w:val="28"/>
        </w:rPr>
      </w:pPr>
      <w:r>
        <w:rPr>
          <w:sz w:val="28"/>
          <w:szCs w:val="28"/>
        </w:rPr>
        <w:t>1.1 What is the program aiming to achieve?</w:t>
      </w:r>
    </w:p>
    <w:p w:rsidR="0076789F" w:rsidRDefault="0076789F" w:rsidP="0076789F">
      <w:pPr>
        <w:ind w:left="284"/>
        <w:jc w:val="both"/>
      </w:pPr>
    </w:p>
    <w:p w:rsidR="0076789F" w:rsidRDefault="0076789F" w:rsidP="0076789F">
      <w:pPr>
        <w:ind w:left="284"/>
        <w:jc w:val="both"/>
      </w:pPr>
      <w:r w:rsidRPr="006C2772">
        <w:t>&lt;</w:t>
      </w:r>
      <w:r>
        <w:t>Briefly explain why the program is needed and what it is aiming to achieve and when. If the program is successful, how will it impact future demand on future government services and over what time frame?</w:t>
      </w:r>
      <w:r w:rsidRPr="006C2772">
        <w:t>&gt;</w:t>
      </w:r>
    </w:p>
    <w:p w:rsidR="0076789F" w:rsidRDefault="0076789F" w:rsidP="0076789F">
      <w:pPr>
        <w:ind w:left="284"/>
        <w:jc w:val="both"/>
      </w:pPr>
    </w:p>
    <w:p w:rsidR="0076789F" w:rsidRPr="00D7016D" w:rsidRDefault="0076789F" w:rsidP="0076789F">
      <w:pPr>
        <w:ind w:left="284"/>
        <w:jc w:val="both"/>
        <w:rPr>
          <w:b/>
        </w:rPr>
      </w:pPr>
      <w:r>
        <w:rPr>
          <w:b/>
          <w:sz w:val="28"/>
          <w:szCs w:val="28"/>
        </w:rPr>
        <w:t>1.2 How will the program achieve this?</w:t>
      </w:r>
    </w:p>
    <w:p w:rsidR="0076789F" w:rsidRDefault="0076789F" w:rsidP="0076789F">
      <w:pPr>
        <w:ind w:left="284"/>
        <w:jc w:val="both"/>
      </w:pPr>
    </w:p>
    <w:p w:rsidR="0076789F" w:rsidRPr="00DD1D69" w:rsidRDefault="0076789F" w:rsidP="0076789F">
      <w:pPr>
        <w:ind w:left="284"/>
        <w:jc w:val="both"/>
      </w:pPr>
      <w:r w:rsidRPr="006C2772">
        <w:t>&lt;</w:t>
      </w:r>
      <w:r>
        <w:t xml:space="preserve">Briefly show how the program’s inputs logically flow through to outputs and outcomes either by using the table below (using as many rows as required) or attaching a program logic. Further guidance on </w:t>
      </w:r>
      <w:r w:rsidRPr="00DD1D69">
        <w:t xml:space="preserve">developing a program logic is available in the </w:t>
      </w:r>
      <w:hyperlink r:id="rId10" w:history="1">
        <w:r w:rsidRPr="00DD1D69">
          <w:rPr>
            <w:rStyle w:val="Hyperlink"/>
          </w:rPr>
          <w:t>Program Evaluation Toolkit</w:t>
        </w:r>
      </w:hyperlink>
      <w:r w:rsidRPr="00DD1D69">
        <w:t>.</w:t>
      </w:r>
    </w:p>
    <w:p w:rsidR="0076789F" w:rsidRPr="00DD1D69" w:rsidRDefault="0076789F" w:rsidP="0076789F">
      <w:pPr>
        <w:ind w:left="284"/>
        <w:jc w:val="both"/>
      </w:pPr>
    </w:p>
    <w:tbl>
      <w:tblPr>
        <w:tblStyle w:val="NTGTable"/>
        <w:tblW w:w="9639" w:type="dxa"/>
        <w:tblInd w:w="279" w:type="dxa"/>
        <w:tblLayout w:type="fixed"/>
        <w:tblCellMar>
          <w:top w:w="68" w:type="dxa"/>
          <w:bottom w:w="68" w:type="dxa"/>
        </w:tblCellMar>
        <w:tblLook w:val="04A0" w:firstRow="1" w:lastRow="0" w:firstColumn="1" w:lastColumn="0" w:noHBand="0" w:noVBand="1"/>
        <w:tblDescription w:val="Implementation plan table with 4 columns: 1. Stakeholder, 2. Communications tactic, 3. Timing and 4. Actioned by."/>
      </w:tblPr>
      <w:tblGrid>
        <w:gridCol w:w="1984"/>
        <w:gridCol w:w="2552"/>
        <w:gridCol w:w="2551"/>
        <w:gridCol w:w="2552"/>
      </w:tblGrid>
      <w:tr w:rsidR="0076789F" w:rsidRPr="00DD1D69" w:rsidTr="00F71F03">
        <w:trPr>
          <w:cnfStyle w:val="100000000000" w:firstRow="1" w:lastRow="0" w:firstColumn="0" w:lastColumn="0" w:oddVBand="0" w:evenVBand="0" w:oddHBand="0" w:evenHBand="0" w:firstRowFirstColumn="0" w:firstRowLastColumn="0" w:lastRowFirstColumn="0" w:lastRowLastColumn="0"/>
        </w:trPr>
        <w:tc>
          <w:tcPr>
            <w:tcW w:w="1984" w:type="dxa"/>
          </w:tcPr>
          <w:p w:rsidR="0076789F" w:rsidRPr="00DD1D69" w:rsidRDefault="0076789F" w:rsidP="00F71F03">
            <w:pPr>
              <w:contextualSpacing/>
              <w:jc w:val="both"/>
              <w:rPr>
                <w:sz w:val="24"/>
              </w:rPr>
            </w:pPr>
            <w:r w:rsidRPr="00DD1D69">
              <w:rPr>
                <w:sz w:val="24"/>
              </w:rPr>
              <w:t>Inputs</w:t>
            </w:r>
          </w:p>
        </w:tc>
        <w:tc>
          <w:tcPr>
            <w:tcW w:w="2552" w:type="dxa"/>
          </w:tcPr>
          <w:p w:rsidR="0076789F" w:rsidRPr="00DD1D69" w:rsidRDefault="0076789F" w:rsidP="00F71F03">
            <w:pPr>
              <w:contextualSpacing/>
              <w:jc w:val="both"/>
              <w:rPr>
                <w:sz w:val="24"/>
              </w:rPr>
            </w:pPr>
            <w:r w:rsidRPr="00DD1D69">
              <w:rPr>
                <w:sz w:val="24"/>
              </w:rPr>
              <w:t>Outputs</w:t>
            </w:r>
          </w:p>
        </w:tc>
        <w:tc>
          <w:tcPr>
            <w:tcW w:w="2551" w:type="dxa"/>
          </w:tcPr>
          <w:p w:rsidR="0076789F" w:rsidRPr="00DD1D69" w:rsidRDefault="0076789F" w:rsidP="00F71F03">
            <w:pPr>
              <w:contextualSpacing/>
              <w:rPr>
                <w:sz w:val="24"/>
              </w:rPr>
            </w:pPr>
            <w:r w:rsidRPr="00DD1D69">
              <w:rPr>
                <w:sz w:val="24"/>
              </w:rPr>
              <w:t>Short –term  outcomes</w:t>
            </w:r>
          </w:p>
        </w:tc>
        <w:tc>
          <w:tcPr>
            <w:tcW w:w="2552" w:type="dxa"/>
          </w:tcPr>
          <w:p w:rsidR="0076789F" w:rsidRPr="00DD1D69" w:rsidRDefault="0076789F" w:rsidP="00F71F03">
            <w:pPr>
              <w:contextualSpacing/>
              <w:jc w:val="both"/>
              <w:rPr>
                <w:sz w:val="24"/>
              </w:rPr>
            </w:pPr>
            <w:r w:rsidRPr="00DD1D69">
              <w:rPr>
                <w:sz w:val="24"/>
              </w:rPr>
              <w:t>Long-term outcomes</w:t>
            </w:r>
          </w:p>
        </w:tc>
      </w:tr>
      <w:tr w:rsidR="0076789F" w:rsidRPr="00DD1D69" w:rsidTr="00F71F03">
        <w:trPr>
          <w:trHeight w:val="606"/>
        </w:trPr>
        <w:tc>
          <w:tcPr>
            <w:tcW w:w="1984" w:type="dxa"/>
          </w:tcPr>
          <w:p w:rsidR="0076789F" w:rsidRPr="00DD1D69" w:rsidRDefault="0076789F" w:rsidP="00F71F03">
            <w:pPr>
              <w:contextualSpacing/>
              <w:rPr>
                <w:i/>
                <w:color w:val="FF0000"/>
              </w:rPr>
            </w:pPr>
            <w:r w:rsidRPr="00DD1D69">
              <w:rPr>
                <w:i/>
                <w:color w:val="FF0000"/>
              </w:rPr>
              <w:t>The resources (funds, expertise, time) required for the delivery of activities.</w:t>
            </w:r>
          </w:p>
        </w:tc>
        <w:tc>
          <w:tcPr>
            <w:tcW w:w="2552" w:type="dxa"/>
          </w:tcPr>
          <w:p w:rsidR="0076789F" w:rsidRPr="00DD1D69" w:rsidRDefault="0076789F" w:rsidP="00F71F03">
            <w:pPr>
              <w:contextualSpacing/>
              <w:rPr>
                <w:i/>
                <w:color w:val="FF0000"/>
              </w:rPr>
            </w:pPr>
            <w:r w:rsidRPr="00DD1D69">
              <w:rPr>
                <w:i/>
                <w:color w:val="FF0000"/>
              </w:rPr>
              <w:t>The products or services generated by program activities and deliverables</w:t>
            </w:r>
            <w:r w:rsidRPr="00DD1D69">
              <w:rPr>
                <w:i/>
                <w:color w:val="FF0000"/>
                <w:vertAlign w:val="superscript"/>
              </w:rPr>
              <w:t>1</w:t>
            </w:r>
            <w:r w:rsidRPr="00DD1D69">
              <w:rPr>
                <w:i/>
                <w:color w:val="FF0000"/>
              </w:rPr>
              <w:t xml:space="preserve">. </w:t>
            </w:r>
          </w:p>
        </w:tc>
        <w:tc>
          <w:tcPr>
            <w:tcW w:w="2551" w:type="dxa"/>
          </w:tcPr>
          <w:p w:rsidR="0076789F" w:rsidRPr="00DD1D69" w:rsidRDefault="0076789F" w:rsidP="00F71F03">
            <w:pPr>
              <w:contextualSpacing/>
              <w:rPr>
                <w:i/>
                <w:color w:val="FF0000"/>
              </w:rPr>
            </w:pPr>
            <w:r w:rsidRPr="00DD1D69">
              <w:rPr>
                <w:i/>
                <w:color w:val="FF0000"/>
              </w:rPr>
              <w:t>The intended short-term results of a program</w:t>
            </w:r>
            <w:r w:rsidRPr="00DD1D69">
              <w:rPr>
                <w:i/>
                <w:color w:val="FF0000"/>
                <w:vertAlign w:val="superscript"/>
              </w:rPr>
              <w:t>2</w:t>
            </w:r>
            <w:r w:rsidRPr="00DD1D69">
              <w:rPr>
                <w:i/>
                <w:color w:val="FF0000"/>
              </w:rPr>
              <w:t>.</w:t>
            </w:r>
          </w:p>
        </w:tc>
        <w:tc>
          <w:tcPr>
            <w:tcW w:w="2552" w:type="dxa"/>
          </w:tcPr>
          <w:p w:rsidR="0076789F" w:rsidRPr="00DD1D69" w:rsidRDefault="0076789F" w:rsidP="00F71F03">
            <w:pPr>
              <w:contextualSpacing/>
              <w:rPr>
                <w:i/>
                <w:color w:val="FF0000"/>
              </w:rPr>
            </w:pPr>
            <w:r w:rsidRPr="00DD1D69">
              <w:rPr>
                <w:i/>
                <w:color w:val="FF0000"/>
              </w:rPr>
              <w:t>The long term results the program seeks to contribute to</w:t>
            </w:r>
            <w:r w:rsidRPr="00DD1D69">
              <w:rPr>
                <w:i/>
                <w:color w:val="FF0000"/>
                <w:vertAlign w:val="superscript"/>
              </w:rPr>
              <w:t>2</w:t>
            </w:r>
            <w:r w:rsidRPr="00DD1D69">
              <w:rPr>
                <w:i/>
                <w:color w:val="FF0000"/>
              </w:rPr>
              <w:t>.</w:t>
            </w:r>
          </w:p>
        </w:tc>
      </w:tr>
    </w:tbl>
    <w:p w:rsidR="0076789F" w:rsidRPr="00DD1D69" w:rsidRDefault="0076789F" w:rsidP="0076789F">
      <w:pPr>
        <w:pStyle w:val="ListParagraph"/>
        <w:numPr>
          <w:ilvl w:val="0"/>
          <w:numId w:val="2"/>
        </w:numPr>
        <w:spacing w:before="120" w:after="120"/>
        <w:ind w:left="714" w:hanging="357"/>
        <w:jc w:val="both"/>
        <w:rPr>
          <w:sz w:val="18"/>
          <w:szCs w:val="18"/>
        </w:rPr>
      </w:pPr>
      <w:r w:rsidRPr="00DD1D69">
        <w:rPr>
          <w:sz w:val="18"/>
          <w:szCs w:val="18"/>
        </w:rPr>
        <w:t>Outputs are typically under the control of the program and are related to the quantity and quality of program implementation.</w:t>
      </w:r>
    </w:p>
    <w:p w:rsidR="0076789F" w:rsidRPr="00DD1D69" w:rsidRDefault="0076789F" w:rsidP="0076789F">
      <w:pPr>
        <w:pStyle w:val="ListParagraph"/>
        <w:numPr>
          <w:ilvl w:val="0"/>
          <w:numId w:val="2"/>
        </w:numPr>
        <w:spacing w:before="120" w:after="240"/>
        <w:ind w:left="714" w:hanging="357"/>
        <w:jc w:val="both"/>
        <w:rPr>
          <w:sz w:val="18"/>
          <w:szCs w:val="18"/>
        </w:rPr>
      </w:pPr>
      <w:r w:rsidRPr="00DD1D69">
        <w:rPr>
          <w:sz w:val="18"/>
          <w:szCs w:val="18"/>
        </w:rPr>
        <w:t>Outcomes can also be influenced (positively or negatively) by external factors (refer section 1.3).</w:t>
      </w:r>
    </w:p>
    <w:p w:rsidR="0076789F" w:rsidRPr="00DD1D69" w:rsidRDefault="0076789F" w:rsidP="0076789F">
      <w:pPr>
        <w:ind w:left="284"/>
        <w:jc w:val="both"/>
        <w:rPr>
          <w:b/>
          <w:sz w:val="28"/>
          <w:szCs w:val="28"/>
        </w:rPr>
      </w:pPr>
      <w:r w:rsidRPr="00DD1D69">
        <w:rPr>
          <w:b/>
          <w:sz w:val="28"/>
          <w:szCs w:val="28"/>
        </w:rPr>
        <w:t>1.3 What external factors may also influence the program’s outcomes?</w:t>
      </w:r>
    </w:p>
    <w:p w:rsidR="0076789F" w:rsidRPr="00DD1D69" w:rsidRDefault="0076789F" w:rsidP="0076789F">
      <w:pPr>
        <w:ind w:left="284"/>
        <w:jc w:val="both"/>
      </w:pPr>
    </w:p>
    <w:p w:rsidR="0076789F" w:rsidRPr="00DD1D69" w:rsidRDefault="0076789F" w:rsidP="0076789F">
      <w:pPr>
        <w:ind w:left="284"/>
        <w:jc w:val="both"/>
      </w:pPr>
      <w:r w:rsidRPr="00DD1D69">
        <w:t>&lt;Briefly explain how external factors could influence the program’s outcomes, including economic, geographic, legislative, competition and technology factors and proposed risk management strategies. List relevant programs with similar aims run by other agencies, other governments or non-government organisations to show how other programs may influence the outcomes of this program.&gt;</w:t>
      </w:r>
    </w:p>
    <w:p w:rsidR="0076789F" w:rsidRPr="00DD1D69" w:rsidRDefault="0076789F" w:rsidP="0076789F">
      <w:pPr>
        <w:jc w:val="both"/>
        <w:rPr>
          <w:sz w:val="20"/>
        </w:rPr>
      </w:pPr>
    </w:p>
    <w:p w:rsidR="0076789F" w:rsidRPr="00DD1D69" w:rsidRDefault="0076789F" w:rsidP="0076789F">
      <w:pPr>
        <w:ind w:left="284"/>
        <w:jc w:val="both"/>
        <w:rPr>
          <w:b/>
          <w:sz w:val="28"/>
          <w:szCs w:val="28"/>
        </w:rPr>
      </w:pPr>
      <w:r w:rsidRPr="00DD1D69">
        <w:rPr>
          <w:b/>
          <w:sz w:val="28"/>
          <w:szCs w:val="28"/>
        </w:rPr>
        <w:t>1.4 How will the program’s success be measured?</w:t>
      </w:r>
    </w:p>
    <w:p w:rsidR="0076789F" w:rsidRPr="00DD1D69" w:rsidRDefault="0076789F" w:rsidP="0076789F">
      <w:pPr>
        <w:ind w:left="284"/>
        <w:jc w:val="both"/>
        <w:rPr>
          <w:sz w:val="20"/>
        </w:rPr>
      </w:pPr>
    </w:p>
    <w:p w:rsidR="0076789F" w:rsidRDefault="0076789F" w:rsidP="0076789F">
      <w:pPr>
        <w:ind w:left="284"/>
        <w:jc w:val="both"/>
      </w:pPr>
      <w:r w:rsidRPr="00DD1D69">
        <w:t xml:space="preserve">&lt;Show how the program’s success will be measured using a separate row for each output and outcome from the above table (add or delete rows as required). Indicators should be based on the SMART principles (i.e. Specific, Measurable, Attainable, Relevant and Time-bound). Further guidance on selecting indicators can be found in the </w:t>
      </w:r>
      <w:hyperlink r:id="rId11" w:history="1">
        <w:r w:rsidRPr="00DD1D69">
          <w:rPr>
            <w:rStyle w:val="Hyperlink"/>
          </w:rPr>
          <w:t>Program Evaluation Toolkit</w:t>
        </w:r>
      </w:hyperlink>
      <w:r w:rsidRPr="00DD1D69">
        <w:t>.&gt;</w:t>
      </w:r>
    </w:p>
    <w:p w:rsidR="0076789F" w:rsidRDefault="0076789F" w:rsidP="0076789F">
      <w:pPr>
        <w:ind w:left="284"/>
        <w:jc w:val="both"/>
      </w:pPr>
    </w:p>
    <w:tbl>
      <w:tblPr>
        <w:tblStyle w:val="NTGTable"/>
        <w:tblW w:w="9498" w:type="dxa"/>
        <w:tblInd w:w="279" w:type="dxa"/>
        <w:tblLayout w:type="fixed"/>
        <w:tblCellMar>
          <w:top w:w="68" w:type="dxa"/>
          <w:bottom w:w="68" w:type="dxa"/>
        </w:tblCellMar>
        <w:tblLook w:val="04A0" w:firstRow="1" w:lastRow="0" w:firstColumn="1" w:lastColumn="0" w:noHBand="0" w:noVBand="1"/>
        <w:tblDescription w:val="Implementation plan table with 4 columns: 1. Stakeholder, 2. Communications tactic, 3. Timing and 4. Actioned by."/>
      </w:tblPr>
      <w:tblGrid>
        <w:gridCol w:w="1701"/>
        <w:gridCol w:w="1701"/>
        <w:gridCol w:w="1701"/>
        <w:gridCol w:w="2268"/>
        <w:gridCol w:w="2127"/>
      </w:tblGrid>
      <w:tr w:rsidR="0076789F" w:rsidRPr="00467C1F" w:rsidTr="00F71F03">
        <w:trPr>
          <w:cnfStyle w:val="100000000000" w:firstRow="1" w:lastRow="0" w:firstColumn="0" w:lastColumn="0" w:oddVBand="0" w:evenVBand="0" w:oddHBand="0" w:evenHBand="0" w:firstRowFirstColumn="0" w:firstRowLastColumn="0" w:lastRowFirstColumn="0" w:lastRowLastColumn="0"/>
        </w:trPr>
        <w:tc>
          <w:tcPr>
            <w:tcW w:w="1701" w:type="dxa"/>
          </w:tcPr>
          <w:p w:rsidR="0076789F" w:rsidRPr="00402B44" w:rsidRDefault="0076789F" w:rsidP="00F71F03">
            <w:pPr>
              <w:contextualSpacing/>
              <w:rPr>
                <w:sz w:val="24"/>
              </w:rPr>
            </w:pPr>
            <w:r>
              <w:rPr>
                <w:sz w:val="24"/>
              </w:rPr>
              <w:t>Output or outcome</w:t>
            </w:r>
          </w:p>
        </w:tc>
        <w:tc>
          <w:tcPr>
            <w:tcW w:w="1701" w:type="dxa"/>
          </w:tcPr>
          <w:p w:rsidR="0076789F" w:rsidRPr="00402B44" w:rsidRDefault="0076789F" w:rsidP="00F71F03">
            <w:pPr>
              <w:contextualSpacing/>
              <w:jc w:val="both"/>
              <w:rPr>
                <w:sz w:val="24"/>
              </w:rPr>
            </w:pPr>
            <w:r>
              <w:rPr>
                <w:sz w:val="24"/>
              </w:rPr>
              <w:t>Indicator</w:t>
            </w:r>
          </w:p>
        </w:tc>
        <w:tc>
          <w:tcPr>
            <w:tcW w:w="1701" w:type="dxa"/>
          </w:tcPr>
          <w:p w:rsidR="0076789F" w:rsidRDefault="0076789F" w:rsidP="00F71F03">
            <w:pPr>
              <w:contextualSpacing/>
              <w:jc w:val="both"/>
              <w:rPr>
                <w:sz w:val="24"/>
              </w:rPr>
            </w:pPr>
            <w:r>
              <w:rPr>
                <w:sz w:val="24"/>
              </w:rPr>
              <w:t>Baseline</w:t>
            </w:r>
          </w:p>
        </w:tc>
        <w:tc>
          <w:tcPr>
            <w:tcW w:w="2268" w:type="dxa"/>
          </w:tcPr>
          <w:p w:rsidR="0076789F" w:rsidRPr="00402B44" w:rsidRDefault="0076789F" w:rsidP="00F71F03">
            <w:pPr>
              <w:contextualSpacing/>
              <w:jc w:val="both"/>
              <w:rPr>
                <w:sz w:val="24"/>
              </w:rPr>
            </w:pPr>
            <w:r>
              <w:rPr>
                <w:sz w:val="24"/>
              </w:rPr>
              <w:t>Target</w:t>
            </w:r>
          </w:p>
        </w:tc>
        <w:tc>
          <w:tcPr>
            <w:tcW w:w="2127" w:type="dxa"/>
          </w:tcPr>
          <w:p w:rsidR="0076789F" w:rsidRPr="00402B44" w:rsidRDefault="0076789F" w:rsidP="00F71F03">
            <w:pPr>
              <w:contextualSpacing/>
              <w:jc w:val="both"/>
              <w:rPr>
                <w:sz w:val="24"/>
              </w:rPr>
            </w:pPr>
            <w:r>
              <w:rPr>
                <w:sz w:val="24"/>
              </w:rPr>
              <w:t>Data source</w:t>
            </w:r>
          </w:p>
        </w:tc>
      </w:tr>
      <w:tr w:rsidR="0076789F" w:rsidRPr="00467C1F" w:rsidTr="00F71F03">
        <w:tc>
          <w:tcPr>
            <w:tcW w:w="1701" w:type="dxa"/>
          </w:tcPr>
          <w:p w:rsidR="0076789F" w:rsidRPr="002B089C" w:rsidRDefault="0076789F" w:rsidP="00F71F03">
            <w:pPr>
              <w:contextualSpacing/>
              <w:jc w:val="both"/>
              <w:rPr>
                <w:i/>
                <w:color w:val="FF0000"/>
              </w:rPr>
            </w:pPr>
            <w:r w:rsidRPr="002B089C">
              <w:rPr>
                <w:i/>
                <w:color w:val="FF0000"/>
              </w:rPr>
              <w:t>Output 1</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jc w:val="both"/>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r w:rsidR="0076789F" w:rsidRPr="00467C1F" w:rsidTr="00F71F03">
        <w:tc>
          <w:tcPr>
            <w:tcW w:w="1701" w:type="dxa"/>
          </w:tcPr>
          <w:p w:rsidR="0076789F" w:rsidRPr="002B089C" w:rsidRDefault="0076789F" w:rsidP="00F71F03">
            <w:pPr>
              <w:contextualSpacing/>
              <w:rPr>
                <w:i/>
                <w:color w:val="FF0000"/>
              </w:rPr>
            </w:pPr>
            <w:r w:rsidRPr="002B089C">
              <w:rPr>
                <w:i/>
                <w:color w:val="FF0000"/>
              </w:rPr>
              <w:t>Output 2</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r w:rsidR="0076789F" w:rsidRPr="00467C1F" w:rsidTr="00F71F03">
        <w:tc>
          <w:tcPr>
            <w:tcW w:w="1701" w:type="dxa"/>
          </w:tcPr>
          <w:p w:rsidR="0076789F" w:rsidRPr="002B089C" w:rsidRDefault="0076789F" w:rsidP="00F71F03">
            <w:pPr>
              <w:contextualSpacing/>
              <w:rPr>
                <w:i/>
                <w:color w:val="FF0000"/>
              </w:rPr>
            </w:pPr>
            <w:r w:rsidRPr="002B089C">
              <w:rPr>
                <w:i/>
                <w:color w:val="FF0000"/>
              </w:rPr>
              <w:lastRenderedPageBreak/>
              <w:t>Short-term outcome 1</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r w:rsidR="0076789F" w:rsidRPr="00467C1F" w:rsidTr="00F71F03">
        <w:tc>
          <w:tcPr>
            <w:tcW w:w="1701" w:type="dxa"/>
          </w:tcPr>
          <w:p w:rsidR="0076789F" w:rsidRPr="002B089C" w:rsidRDefault="0076789F" w:rsidP="00F71F03">
            <w:pPr>
              <w:contextualSpacing/>
              <w:rPr>
                <w:i/>
                <w:color w:val="FF0000"/>
              </w:rPr>
            </w:pPr>
            <w:r w:rsidRPr="002B089C">
              <w:rPr>
                <w:i/>
                <w:color w:val="FF0000"/>
              </w:rPr>
              <w:t>Short term outcome 2</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r w:rsidR="0076789F" w:rsidRPr="00467C1F" w:rsidTr="00F71F03">
        <w:tc>
          <w:tcPr>
            <w:tcW w:w="1701" w:type="dxa"/>
          </w:tcPr>
          <w:p w:rsidR="0076789F" w:rsidRPr="002B089C" w:rsidRDefault="0076789F" w:rsidP="00F71F03">
            <w:pPr>
              <w:contextualSpacing/>
              <w:rPr>
                <w:i/>
                <w:color w:val="FF0000"/>
              </w:rPr>
            </w:pPr>
            <w:r w:rsidRPr="002B089C">
              <w:rPr>
                <w:i/>
                <w:color w:val="FF0000"/>
              </w:rPr>
              <w:t>Long-term outcome 1</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r w:rsidR="0076789F" w:rsidRPr="00467C1F" w:rsidTr="00F71F03">
        <w:tc>
          <w:tcPr>
            <w:tcW w:w="1701" w:type="dxa"/>
          </w:tcPr>
          <w:p w:rsidR="0076789F" w:rsidRPr="002B089C" w:rsidRDefault="0076789F" w:rsidP="00F71F03">
            <w:pPr>
              <w:contextualSpacing/>
              <w:rPr>
                <w:i/>
                <w:color w:val="FF0000"/>
              </w:rPr>
            </w:pPr>
            <w:r w:rsidRPr="002B089C">
              <w:rPr>
                <w:i/>
                <w:color w:val="FF0000"/>
              </w:rPr>
              <w:t>Long term outcome 2</w:t>
            </w:r>
          </w:p>
        </w:tc>
        <w:tc>
          <w:tcPr>
            <w:tcW w:w="1701" w:type="dxa"/>
          </w:tcPr>
          <w:p w:rsidR="0076789F" w:rsidRPr="002B089C" w:rsidRDefault="0076789F" w:rsidP="00F71F03">
            <w:pPr>
              <w:contextualSpacing/>
              <w:jc w:val="both"/>
              <w:rPr>
                <w:i/>
                <w:color w:val="FF0000"/>
              </w:rPr>
            </w:pPr>
          </w:p>
        </w:tc>
        <w:tc>
          <w:tcPr>
            <w:tcW w:w="1701" w:type="dxa"/>
          </w:tcPr>
          <w:p w:rsidR="0076789F" w:rsidRPr="002B089C" w:rsidRDefault="0076789F" w:rsidP="00F71F03">
            <w:pPr>
              <w:contextualSpacing/>
              <w:rPr>
                <w:i/>
                <w:color w:val="FF0000"/>
              </w:rPr>
            </w:pPr>
          </w:p>
        </w:tc>
        <w:tc>
          <w:tcPr>
            <w:tcW w:w="2268" w:type="dxa"/>
          </w:tcPr>
          <w:p w:rsidR="0076789F" w:rsidRPr="002B089C" w:rsidRDefault="0076789F" w:rsidP="00F71F03">
            <w:pPr>
              <w:contextualSpacing/>
              <w:jc w:val="both"/>
              <w:rPr>
                <w:i/>
                <w:color w:val="FF0000"/>
              </w:rPr>
            </w:pPr>
          </w:p>
        </w:tc>
        <w:tc>
          <w:tcPr>
            <w:tcW w:w="2127" w:type="dxa"/>
          </w:tcPr>
          <w:p w:rsidR="0076789F" w:rsidRPr="002B089C" w:rsidRDefault="0076789F" w:rsidP="00F71F03">
            <w:pPr>
              <w:contextualSpacing/>
              <w:jc w:val="both"/>
              <w:rPr>
                <w:i/>
                <w:color w:val="FF0000"/>
              </w:rPr>
            </w:pPr>
          </w:p>
        </w:tc>
      </w:tr>
    </w:tbl>
    <w:p w:rsidR="0076789F" w:rsidRDefault="0076789F" w:rsidP="0076789F">
      <w:pPr>
        <w:jc w:val="both"/>
        <w:rPr>
          <w:sz w:val="20"/>
        </w:rPr>
      </w:pPr>
    </w:p>
    <w:p w:rsidR="0076789F" w:rsidRDefault="0076789F" w:rsidP="0076789F">
      <w:pPr>
        <w:ind w:left="284"/>
        <w:jc w:val="both"/>
        <w:rPr>
          <w:b/>
          <w:sz w:val="28"/>
          <w:szCs w:val="28"/>
        </w:rPr>
      </w:pPr>
      <w:r>
        <w:rPr>
          <w:b/>
          <w:sz w:val="28"/>
          <w:szCs w:val="28"/>
        </w:rPr>
        <w:t xml:space="preserve">1.5 </w:t>
      </w:r>
      <w:r w:rsidRPr="00F315E5">
        <w:rPr>
          <w:b/>
          <w:sz w:val="28"/>
          <w:szCs w:val="28"/>
        </w:rPr>
        <w:t>What evaluations will be required in the first 5 years</w:t>
      </w:r>
      <w:r>
        <w:rPr>
          <w:b/>
          <w:sz w:val="28"/>
          <w:szCs w:val="28"/>
        </w:rPr>
        <w:t xml:space="preserve"> of the program</w:t>
      </w:r>
      <w:r w:rsidRPr="00F315E5">
        <w:rPr>
          <w:b/>
          <w:sz w:val="28"/>
          <w:szCs w:val="28"/>
        </w:rPr>
        <w:t>?</w:t>
      </w:r>
    </w:p>
    <w:p w:rsidR="0076789F" w:rsidRDefault="0076789F" w:rsidP="0076789F">
      <w:pPr>
        <w:ind w:left="284"/>
        <w:jc w:val="both"/>
        <w:rPr>
          <w:sz w:val="20"/>
        </w:rPr>
      </w:pPr>
    </w:p>
    <w:p w:rsidR="0076789F" w:rsidRDefault="0076789F" w:rsidP="0076789F">
      <w:pPr>
        <w:ind w:left="284"/>
        <w:jc w:val="both"/>
      </w:pPr>
      <w:r w:rsidRPr="006C2772">
        <w:t>&lt;</w:t>
      </w:r>
      <w:r>
        <w:t>The NTG uses three main types of evaluation, linked to the program lifecycle, including:</w:t>
      </w:r>
    </w:p>
    <w:p w:rsidR="0076789F" w:rsidRDefault="0076789F" w:rsidP="0076789F">
      <w:pPr>
        <w:pStyle w:val="ListParagraph"/>
        <w:numPr>
          <w:ilvl w:val="0"/>
          <w:numId w:val="1"/>
        </w:numPr>
        <w:spacing w:before="120"/>
        <w:ind w:left="851" w:hanging="425"/>
        <w:jc w:val="both"/>
      </w:pPr>
      <w:r>
        <w:t>Process evaluation (was the program implemented as expected, timing  ≤18 months)</w:t>
      </w:r>
    </w:p>
    <w:p w:rsidR="0076789F" w:rsidRDefault="0076789F" w:rsidP="0076789F">
      <w:pPr>
        <w:pStyle w:val="ListParagraph"/>
        <w:numPr>
          <w:ilvl w:val="0"/>
          <w:numId w:val="1"/>
        </w:numPr>
        <w:spacing w:before="120"/>
        <w:ind w:left="851" w:hanging="425"/>
        <w:jc w:val="both"/>
      </w:pPr>
      <w:r>
        <w:t>Outcomes evaluation (are the desired outcomes being achieved or on track to be achieved within the agreed timeframe, timing &gt;2 years)</w:t>
      </w:r>
    </w:p>
    <w:p w:rsidR="0076789F" w:rsidRDefault="0076789F" w:rsidP="0076789F">
      <w:pPr>
        <w:pStyle w:val="ListParagraph"/>
        <w:numPr>
          <w:ilvl w:val="0"/>
          <w:numId w:val="1"/>
        </w:numPr>
        <w:spacing w:before="120"/>
        <w:ind w:left="851" w:hanging="425"/>
        <w:jc w:val="both"/>
      </w:pPr>
      <w:r>
        <w:t>Impact evaluation (did the program influence the achievement of the desired outcomes and was it value for money, timing &gt;3&lt;5 years).</w:t>
      </w:r>
    </w:p>
    <w:p w:rsidR="0076789F" w:rsidRDefault="0076789F" w:rsidP="0076789F">
      <w:pPr>
        <w:ind w:left="284"/>
        <w:jc w:val="both"/>
      </w:pPr>
    </w:p>
    <w:p w:rsidR="0076789F" w:rsidRDefault="0076789F" w:rsidP="0076789F">
      <w:pPr>
        <w:ind w:left="284"/>
        <w:jc w:val="both"/>
        <w:rPr>
          <w:sz w:val="20"/>
        </w:rPr>
      </w:pPr>
      <w:r>
        <w:t xml:space="preserve">All programs require a process evaluation within 18 months of commencement. The need for an outcome and/or impact evaluation will depend </w:t>
      </w:r>
      <w:r w:rsidRPr="00AD5374">
        <w:t>the program’s cost,</w:t>
      </w:r>
      <w:r>
        <w:t xml:space="preserve"> duration,</w:t>
      </w:r>
      <w:r w:rsidRPr="00AD5374">
        <w:t xml:space="preserve"> strategic significance and degree of risk. </w:t>
      </w:r>
      <w:r>
        <w:t xml:space="preserve">As a general guide, only programs which are a high strategic priority would require all three evaluation types. Please contact </w:t>
      </w:r>
      <w:hyperlink r:id="rId12" w:history="1">
        <w:r w:rsidRPr="00211B67">
          <w:rPr>
            <w:rStyle w:val="Hyperlink"/>
          </w:rPr>
          <w:t>DTF.ProgramEvaluation@nt.gov.au</w:t>
        </w:r>
      </w:hyperlink>
      <w:r>
        <w:t xml:space="preserve"> for further guidance.</w:t>
      </w:r>
      <w:r w:rsidRPr="006C2772">
        <w:t>&gt;</w:t>
      </w:r>
    </w:p>
    <w:p w:rsidR="0076789F" w:rsidRDefault="0076789F" w:rsidP="0076789F">
      <w:pPr>
        <w:ind w:left="284"/>
        <w:jc w:val="both"/>
        <w:rPr>
          <w:sz w:val="20"/>
        </w:rPr>
      </w:pPr>
    </w:p>
    <w:tbl>
      <w:tblPr>
        <w:tblStyle w:val="NTGTable"/>
        <w:tblW w:w="0" w:type="auto"/>
        <w:tblInd w:w="279" w:type="dxa"/>
        <w:tblLayout w:type="fixed"/>
        <w:tblCellMar>
          <w:top w:w="68" w:type="dxa"/>
          <w:bottom w:w="68" w:type="dxa"/>
        </w:tblCellMar>
        <w:tblLook w:val="04A0" w:firstRow="1" w:lastRow="0" w:firstColumn="1" w:lastColumn="0" w:noHBand="0" w:noVBand="1"/>
        <w:tblDescription w:val="Implementation plan table with 4 columns: 1. Stakeholder, 2. Communications tactic, 3. Timing and 4. Actioned by."/>
      </w:tblPr>
      <w:tblGrid>
        <w:gridCol w:w="3260"/>
        <w:gridCol w:w="1985"/>
        <w:gridCol w:w="1984"/>
        <w:gridCol w:w="2410"/>
      </w:tblGrid>
      <w:tr w:rsidR="0076789F" w:rsidRPr="00467C1F" w:rsidTr="00F71F03">
        <w:trPr>
          <w:cnfStyle w:val="100000000000" w:firstRow="1" w:lastRow="0" w:firstColumn="0" w:lastColumn="0" w:oddVBand="0" w:evenVBand="0" w:oddHBand="0" w:evenHBand="0" w:firstRowFirstColumn="0" w:firstRowLastColumn="0" w:lastRowFirstColumn="0" w:lastRowLastColumn="0"/>
        </w:trPr>
        <w:tc>
          <w:tcPr>
            <w:tcW w:w="3260" w:type="dxa"/>
          </w:tcPr>
          <w:p w:rsidR="0076789F" w:rsidRPr="00402B44" w:rsidRDefault="0076789F" w:rsidP="00F71F03">
            <w:pPr>
              <w:contextualSpacing/>
              <w:jc w:val="both"/>
              <w:rPr>
                <w:sz w:val="24"/>
              </w:rPr>
            </w:pPr>
            <w:r>
              <w:rPr>
                <w:sz w:val="24"/>
              </w:rPr>
              <w:t>Evaluation type</w:t>
            </w:r>
          </w:p>
        </w:tc>
        <w:tc>
          <w:tcPr>
            <w:tcW w:w="1985" w:type="dxa"/>
          </w:tcPr>
          <w:p w:rsidR="0076789F" w:rsidRPr="00402B44" w:rsidRDefault="0076789F" w:rsidP="00F71F03">
            <w:pPr>
              <w:contextualSpacing/>
              <w:jc w:val="both"/>
              <w:rPr>
                <w:sz w:val="24"/>
              </w:rPr>
            </w:pPr>
            <w:r>
              <w:rPr>
                <w:sz w:val="24"/>
              </w:rPr>
              <w:t>Yes/no</w:t>
            </w:r>
          </w:p>
        </w:tc>
        <w:tc>
          <w:tcPr>
            <w:tcW w:w="1984" w:type="dxa"/>
          </w:tcPr>
          <w:p w:rsidR="0076789F" w:rsidRPr="00402B44" w:rsidRDefault="0076789F" w:rsidP="00F71F03">
            <w:pPr>
              <w:contextualSpacing/>
              <w:jc w:val="both"/>
              <w:rPr>
                <w:sz w:val="24"/>
              </w:rPr>
            </w:pPr>
            <w:r>
              <w:rPr>
                <w:sz w:val="24"/>
              </w:rPr>
              <w:t>Timing</w:t>
            </w:r>
          </w:p>
        </w:tc>
        <w:tc>
          <w:tcPr>
            <w:tcW w:w="2410" w:type="dxa"/>
          </w:tcPr>
          <w:p w:rsidR="0076789F" w:rsidRPr="00402B44" w:rsidRDefault="0076789F" w:rsidP="00F71F03">
            <w:pPr>
              <w:contextualSpacing/>
              <w:jc w:val="both"/>
              <w:rPr>
                <w:sz w:val="24"/>
              </w:rPr>
            </w:pPr>
            <w:r>
              <w:rPr>
                <w:sz w:val="24"/>
              </w:rPr>
              <w:t>Estimated cost*</w:t>
            </w:r>
          </w:p>
        </w:tc>
      </w:tr>
      <w:tr w:rsidR="0076789F" w:rsidRPr="00467C1F" w:rsidTr="00F71F03">
        <w:tc>
          <w:tcPr>
            <w:tcW w:w="3260" w:type="dxa"/>
          </w:tcPr>
          <w:p w:rsidR="0076789F" w:rsidRPr="006C2772" w:rsidRDefault="0076789F" w:rsidP="00F71F03">
            <w:pPr>
              <w:contextualSpacing/>
              <w:jc w:val="both"/>
            </w:pPr>
            <w:r>
              <w:t>Process</w:t>
            </w:r>
          </w:p>
        </w:tc>
        <w:tc>
          <w:tcPr>
            <w:tcW w:w="1985" w:type="dxa"/>
          </w:tcPr>
          <w:p w:rsidR="0076789F" w:rsidRPr="00FE1AEA" w:rsidRDefault="0076789F" w:rsidP="00F71F03">
            <w:pPr>
              <w:contextualSpacing/>
              <w:jc w:val="both"/>
              <w:rPr>
                <w:i/>
                <w:color w:val="FF0000"/>
              </w:rPr>
            </w:pPr>
          </w:p>
        </w:tc>
        <w:tc>
          <w:tcPr>
            <w:tcW w:w="1984" w:type="dxa"/>
          </w:tcPr>
          <w:p w:rsidR="0076789F" w:rsidRPr="00FE1AEA" w:rsidRDefault="0076789F" w:rsidP="00F71F03">
            <w:pPr>
              <w:contextualSpacing/>
              <w:jc w:val="both"/>
              <w:rPr>
                <w:i/>
                <w:color w:val="FF0000"/>
              </w:rPr>
            </w:pPr>
          </w:p>
        </w:tc>
        <w:tc>
          <w:tcPr>
            <w:tcW w:w="2410" w:type="dxa"/>
          </w:tcPr>
          <w:p w:rsidR="0076789F" w:rsidRPr="00FE1AEA" w:rsidRDefault="0076789F" w:rsidP="00F71F03">
            <w:pPr>
              <w:contextualSpacing/>
              <w:jc w:val="both"/>
              <w:rPr>
                <w:i/>
                <w:color w:val="FF0000"/>
              </w:rPr>
            </w:pPr>
          </w:p>
        </w:tc>
      </w:tr>
      <w:tr w:rsidR="0076789F" w:rsidRPr="00467C1F" w:rsidTr="00F71F03">
        <w:trPr>
          <w:trHeight w:val="397"/>
        </w:trPr>
        <w:tc>
          <w:tcPr>
            <w:tcW w:w="3260" w:type="dxa"/>
          </w:tcPr>
          <w:p w:rsidR="0076789F" w:rsidRPr="006C2772" w:rsidRDefault="0076789F" w:rsidP="00F71F03">
            <w:pPr>
              <w:contextualSpacing/>
              <w:jc w:val="both"/>
            </w:pPr>
            <w:r>
              <w:t>Outcome</w:t>
            </w:r>
          </w:p>
        </w:tc>
        <w:tc>
          <w:tcPr>
            <w:tcW w:w="1985" w:type="dxa"/>
          </w:tcPr>
          <w:p w:rsidR="0076789F" w:rsidRPr="00FE1AEA" w:rsidRDefault="0076789F" w:rsidP="00F71F03">
            <w:pPr>
              <w:contextualSpacing/>
              <w:jc w:val="both"/>
              <w:rPr>
                <w:i/>
                <w:color w:val="FF0000"/>
              </w:rPr>
            </w:pPr>
          </w:p>
        </w:tc>
        <w:tc>
          <w:tcPr>
            <w:tcW w:w="1984" w:type="dxa"/>
          </w:tcPr>
          <w:p w:rsidR="0076789F" w:rsidRPr="00FE1AEA" w:rsidRDefault="0076789F" w:rsidP="00F71F03">
            <w:pPr>
              <w:rPr>
                <w:i/>
                <w:color w:val="FF0000"/>
              </w:rPr>
            </w:pPr>
          </w:p>
        </w:tc>
        <w:tc>
          <w:tcPr>
            <w:tcW w:w="2410" w:type="dxa"/>
          </w:tcPr>
          <w:p w:rsidR="0076789F" w:rsidRPr="00FE1AEA" w:rsidRDefault="0076789F" w:rsidP="00F71F03">
            <w:pPr>
              <w:rPr>
                <w:i/>
                <w:color w:val="FF0000"/>
              </w:rPr>
            </w:pPr>
          </w:p>
        </w:tc>
      </w:tr>
      <w:tr w:rsidR="0076789F" w:rsidRPr="00467C1F" w:rsidTr="00F71F03">
        <w:tc>
          <w:tcPr>
            <w:tcW w:w="3260" w:type="dxa"/>
          </w:tcPr>
          <w:p w:rsidR="0076789F" w:rsidRPr="006C2772" w:rsidRDefault="0076789F" w:rsidP="00F71F03">
            <w:pPr>
              <w:contextualSpacing/>
              <w:jc w:val="both"/>
            </w:pPr>
            <w:r>
              <w:t>Impact</w:t>
            </w:r>
          </w:p>
        </w:tc>
        <w:tc>
          <w:tcPr>
            <w:tcW w:w="1985" w:type="dxa"/>
          </w:tcPr>
          <w:p w:rsidR="0076789F" w:rsidRPr="00FE1AEA" w:rsidRDefault="0076789F" w:rsidP="00F71F03">
            <w:pPr>
              <w:contextualSpacing/>
              <w:jc w:val="both"/>
              <w:rPr>
                <w:i/>
                <w:color w:val="FF0000"/>
              </w:rPr>
            </w:pPr>
          </w:p>
        </w:tc>
        <w:tc>
          <w:tcPr>
            <w:tcW w:w="1984" w:type="dxa"/>
          </w:tcPr>
          <w:p w:rsidR="0076789F" w:rsidRPr="00FE1AEA" w:rsidRDefault="0076789F" w:rsidP="00F71F03">
            <w:pPr>
              <w:rPr>
                <w:i/>
                <w:color w:val="FF0000"/>
              </w:rPr>
            </w:pPr>
          </w:p>
        </w:tc>
        <w:tc>
          <w:tcPr>
            <w:tcW w:w="2410" w:type="dxa"/>
          </w:tcPr>
          <w:p w:rsidR="0076789F" w:rsidRPr="00FE1AEA" w:rsidRDefault="0076789F" w:rsidP="00F71F03">
            <w:pPr>
              <w:rPr>
                <w:i/>
                <w:color w:val="FF0000"/>
              </w:rPr>
            </w:pPr>
          </w:p>
        </w:tc>
      </w:tr>
    </w:tbl>
    <w:p w:rsidR="0076789F" w:rsidRDefault="0076789F" w:rsidP="0076789F">
      <w:pPr>
        <w:ind w:left="284"/>
        <w:jc w:val="both"/>
        <w:rPr>
          <w:sz w:val="20"/>
        </w:rPr>
      </w:pPr>
    </w:p>
    <w:p w:rsidR="0076789F" w:rsidRPr="005C13CA" w:rsidRDefault="0076789F" w:rsidP="0076789F">
      <w:pPr>
        <w:ind w:left="284"/>
        <w:jc w:val="both"/>
        <w:rPr>
          <w:b/>
          <w:sz w:val="28"/>
          <w:szCs w:val="28"/>
        </w:rPr>
      </w:pPr>
      <w:r>
        <w:rPr>
          <w:b/>
          <w:sz w:val="28"/>
          <w:szCs w:val="28"/>
        </w:rPr>
        <w:t>1.6 Other evaluation-related resource requirements</w:t>
      </w:r>
    </w:p>
    <w:p w:rsidR="0076789F" w:rsidRPr="005C13CA" w:rsidRDefault="0076789F" w:rsidP="0076789F">
      <w:pPr>
        <w:ind w:left="284"/>
        <w:jc w:val="both"/>
        <w:rPr>
          <w:sz w:val="20"/>
        </w:rPr>
      </w:pPr>
    </w:p>
    <w:p w:rsidR="0076789F" w:rsidRPr="005C13CA" w:rsidRDefault="0076789F" w:rsidP="0076789F">
      <w:pPr>
        <w:ind w:left="284"/>
        <w:jc w:val="both"/>
        <w:rPr>
          <w:szCs w:val="22"/>
        </w:rPr>
      </w:pPr>
      <w:r w:rsidRPr="005C13CA">
        <w:rPr>
          <w:szCs w:val="22"/>
        </w:rPr>
        <w:t>&lt;Briefly address the following considerations: Is internal program data and/or analysis required? If data is required, is this data already being reported in the format required? If not, what resources are required to get th</w:t>
      </w:r>
      <w:r>
        <w:rPr>
          <w:szCs w:val="22"/>
        </w:rPr>
        <w:t>e</w:t>
      </w:r>
      <w:r w:rsidRPr="005C13CA">
        <w:rPr>
          <w:szCs w:val="22"/>
        </w:rPr>
        <w:t xml:space="preserve"> data? If analysis is required, what unit will undertake this work, </w:t>
      </w:r>
      <w:r>
        <w:rPr>
          <w:szCs w:val="22"/>
        </w:rPr>
        <w:t xml:space="preserve">have they been consulted in the preparation of the submission </w:t>
      </w:r>
      <w:r w:rsidRPr="005C13CA">
        <w:rPr>
          <w:szCs w:val="22"/>
        </w:rPr>
        <w:t xml:space="preserve">and do they have the skills and </w:t>
      </w:r>
      <w:r>
        <w:rPr>
          <w:szCs w:val="22"/>
        </w:rPr>
        <w:t>resources required?</w:t>
      </w:r>
    </w:p>
    <w:p w:rsidR="00A27187" w:rsidRPr="00467C1F" w:rsidRDefault="00A27187" w:rsidP="00A27187">
      <w:pPr>
        <w:jc w:val="center"/>
        <w:rPr>
          <w:b/>
        </w:rPr>
      </w:pPr>
      <w:bookmarkStart w:id="0" w:name="_GoBack"/>
      <w:bookmarkEnd w:id="0"/>
    </w:p>
    <w:p w:rsidR="002E2357" w:rsidRDefault="002E2357" w:rsidP="00A27187">
      <w:pPr>
        <w:ind w:left="284"/>
        <w:jc w:val="both"/>
        <w:rPr>
          <w:sz w:val="20"/>
        </w:rPr>
      </w:pPr>
    </w:p>
    <w:p w:rsidR="002E2357" w:rsidRDefault="002E2357" w:rsidP="00A27187">
      <w:pPr>
        <w:ind w:left="284"/>
        <w:jc w:val="both"/>
        <w:rPr>
          <w:sz w:val="20"/>
        </w:rPr>
      </w:pPr>
    </w:p>
    <w:p w:rsidR="002E2357" w:rsidRDefault="002E2357" w:rsidP="00A27187">
      <w:pPr>
        <w:ind w:left="284"/>
        <w:jc w:val="both"/>
        <w:rPr>
          <w:sz w:val="20"/>
        </w:rPr>
      </w:pPr>
    </w:p>
    <w:p w:rsidR="002E2357" w:rsidRDefault="002E2357" w:rsidP="00A27187">
      <w:pPr>
        <w:ind w:left="284"/>
        <w:jc w:val="both"/>
        <w:rPr>
          <w:sz w:val="20"/>
        </w:rPr>
      </w:pPr>
    </w:p>
    <w:p w:rsidR="002E2357" w:rsidRDefault="002E2357" w:rsidP="00A27187">
      <w:pPr>
        <w:ind w:left="284"/>
        <w:jc w:val="both"/>
        <w:rPr>
          <w:sz w:val="20"/>
        </w:rPr>
      </w:pPr>
    </w:p>
    <w:p w:rsidR="002E2357" w:rsidRDefault="002E2357" w:rsidP="00A27187">
      <w:pPr>
        <w:ind w:left="284"/>
        <w:jc w:val="both"/>
        <w:rPr>
          <w:sz w:val="20"/>
        </w:rPr>
      </w:pPr>
    </w:p>
    <w:p w:rsidR="002E2357" w:rsidRDefault="002E2357" w:rsidP="00A27187">
      <w:pPr>
        <w:ind w:left="284"/>
        <w:jc w:val="both"/>
        <w:rPr>
          <w:sz w:val="20"/>
        </w:rPr>
      </w:pPr>
    </w:p>
    <w:p w:rsidR="00A27187" w:rsidRPr="00EE68DC" w:rsidRDefault="00A27187" w:rsidP="0076789F">
      <w:pPr>
        <w:jc w:val="both"/>
        <w:rPr>
          <w:sz w:val="20"/>
        </w:rPr>
      </w:pPr>
    </w:p>
    <w:p w:rsidR="003A403B" w:rsidRDefault="00AA5991"/>
    <w:sectPr w:rsidR="003A403B" w:rsidSect="00EE68DC">
      <w:headerReference w:type="default" r:id="rId13"/>
      <w:headerReference w:type="first" r:id="rId14"/>
      <w:pgSz w:w="11906" w:h="16838" w:code="9"/>
      <w:pgMar w:top="1071" w:right="849" w:bottom="720" w:left="993" w:header="426" w:footer="42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91" w:rsidRDefault="00AA5991" w:rsidP="00A27187">
      <w:r>
        <w:separator/>
      </w:r>
    </w:p>
  </w:endnote>
  <w:endnote w:type="continuationSeparator" w:id="0">
    <w:p w:rsidR="00AA5991" w:rsidRDefault="00AA5991" w:rsidP="00A2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91" w:rsidRDefault="00AA5991" w:rsidP="00A27187">
      <w:r>
        <w:separator/>
      </w:r>
    </w:p>
  </w:footnote>
  <w:footnote w:type="continuationSeparator" w:id="0">
    <w:p w:rsidR="00AA5991" w:rsidRDefault="00AA5991" w:rsidP="00A27187">
      <w:r>
        <w:continuationSeparator/>
      </w:r>
    </w:p>
  </w:footnote>
  <w:footnote w:id="1">
    <w:p w:rsidR="0076789F" w:rsidRPr="00E52132" w:rsidRDefault="0076789F" w:rsidP="0076789F">
      <w:pPr>
        <w:pStyle w:val="FootnoteText"/>
        <w:rPr>
          <w:lang w:val="en-AU"/>
        </w:rPr>
      </w:pPr>
      <w:r>
        <w:rPr>
          <w:rStyle w:val="FootnoteReference"/>
        </w:rPr>
        <w:footnoteRef/>
      </w:r>
      <w:r>
        <w:t xml:space="preserve"> For further information please refer to the Northern Territory Government </w:t>
      </w:r>
      <w:hyperlink r:id="rId1" w:history="1">
        <w:r>
          <w:rPr>
            <w:rStyle w:val="Hyperlink"/>
            <w:szCs w:val="22"/>
          </w:rPr>
          <w:t xml:space="preserve">Program </w:t>
        </w:r>
        <w:r w:rsidRPr="00827812">
          <w:rPr>
            <w:rStyle w:val="Hyperlink"/>
            <w:szCs w:val="22"/>
          </w:rPr>
          <w:t>Evaluation</w:t>
        </w:r>
        <w:r>
          <w:rPr>
            <w:rStyle w:val="Hyperlink"/>
            <w:szCs w:val="22"/>
          </w:rPr>
          <w:t xml:space="preserve"> Framework and</w:t>
        </w:r>
        <w:r w:rsidRPr="00827812">
          <w:rPr>
            <w:rStyle w:val="Hyperlink"/>
            <w:szCs w:val="22"/>
          </w:rPr>
          <w:t xml:space="preserve"> Toolkit</w:t>
        </w:r>
      </w:hyperlink>
      <w:r>
        <w:rPr>
          <w:szCs w:val="22"/>
        </w:rPr>
        <w:t xml:space="preserve">. For additional advice, please contact the Program Evaluation Unit in the Department of Treasury and Finance </w:t>
      </w:r>
      <w:hyperlink r:id="rId2" w:history="1">
        <w:r w:rsidRPr="001347B9">
          <w:rPr>
            <w:rStyle w:val="Hyperlink"/>
          </w:rPr>
          <w:t>DTF.ProgramEvaluation@nt.gov.au</w:t>
        </w:r>
      </w:hyperlink>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3" w:rsidRPr="00097082" w:rsidRDefault="00AA5991" w:rsidP="00A22305">
    <w:pPr>
      <w:pStyle w:val="Header"/>
      <w:tabs>
        <w:tab w:val="clear" w:pos="9026"/>
      </w:tabs>
      <w:ind w:right="118"/>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3" w:rsidRDefault="00A27187" w:rsidP="00EE68DC">
    <w:pPr>
      <w:pStyle w:val="Header"/>
      <w:tabs>
        <w:tab w:val="clear" w:pos="9026"/>
      </w:tabs>
      <w:spacing w:after="120"/>
      <w:ind w:right="-1"/>
      <w:jc w:val="center"/>
      <w:rPr>
        <w:sz w:val="2"/>
        <w:szCs w:val="2"/>
      </w:rPr>
    </w:pPr>
    <w:r>
      <w:rPr>
        <w:sz w:val="2"/>
        <w:szCs w:val="2"/>
      </w:rPr>
      <w:tab/>
    </w:r>
  </w:p>
  <w:p w:rsidR="00B715A3" w:rsidRPr="00097082" w:rsidRDefault="00AA5991" w:rsidP="00EE68DC">
    <w:pPr>
      <w:pStyle w:val="Header"/>
      <w:tabs>
        <w:tab w:val="clear" w:pos="4513"/>
        <w:tab w:val="clear" w:pos="9026"/>
      </w:tabs>
      <w:ind w:right="-1"/>
      <w:jc w:val="center"/>
      <w:rPr>
        <w:noProof/>
        <w:sz w:val="24"/>
      </w:rPr>
    </w:pPr>
  </w:p>
  <w:p w:rsidR="00B715A3" w:rsidRPr="0035272F" w:rsidRDefault="00AA5991" w:rsidP="00810854">
    <w:pPr>
      <w:pStyle w:val="Title"/>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C562E"/>
    <w:multiLevelType w:val="hybridMultilevel"/>
    <w:tmpl w:val="E348E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3A32C8"/>
    <w:multiLevelType w:val="hybridMultilevel"/>
    <w:tmpl w:val="BCC42EF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87"/>
    <w:rsid w:val="00026518"/>
    <w:rsid w:val="002E2357"/>
    <w:rsid w:val="003564E5"/>
    <w:rsid w:val="004F6903"/>
    <w:rsid w:val="00584C60"/>
    <w:rsid w:val="005C13CA"/>
    <w:rsid w:val="006E73DD"/>
    <w:rsid w:val="00710748"/>
    <w:rsid w:val="0076789F"/>
    <w:rsid w:val="007D7396"/>
    <w:rsid w:val="007F55EC"/>
    <w:rsid w:val="008B4741"/>
    <w:rsid w:val="008D3D72"/>
    <w:rsid w:val="009741AA"/>
    <w:rsid w:val="00A27187"/>
    <w:rsid w:val="00AA5991"/>
    <w:rsid w:val="00AF5420"/>
    <w:rsid w:val="00B3713A"/>
    <w:rsid w:val="00BB2AA7"/>
    <w:rsid w:val="00D22CD5"/>
    <w:rsid w:val="00D35419"/>
    <w:rsid w:val="00DE1B61"/>
    <w:rsid w:val="00E76161"/>
    <w:rsid w:val="00F35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6F24"/>
  <w15:chartTrackingRefBased/>
  <w15:docId w15:val="{538A74EA-D200-4CF9-B322-548883C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87"/>
    <w:pPr>
      <w:spacing w:after="0" w:line="240" w:lineRule="auto"/>
    </w:pPr>
    <w:rPr>
      <w:rFonts w:ascii="Arial" w:eastAsia="Times New Roman" w:hAnsi="Arial" w:cs="Times New Roman"/>
      <w:szCs w:val="20"/>
      <w:lang w:val="en-GB" w:eastAsia="en-AU"/>
    </w:rPr>
  </w:style>
  <w:style w:type="paragraph" w:styleId="Heading1">
    <w:name w:val="heading 1"/>
    <w:next w:val="Normal"/>
    <w:link w:val="Heading1Char"/>
    <w:uiPriority w:val="2"/>
    <w:qFormat/>
    <w:rsid w:val="00A27187"/>
    <w:pPr>
      <w:keepNext/>
      <w:spacing w:before="360" w:after="240" w:line="240" w:lineRule="auto"/>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A27187"/>
    <w:pPr>
      <w:keepNext/>
      <w:spacing w:before="360" w:after="240" w:line="240" w:lineRule="auto"/>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A27187"/>
    <w:pPr>
      <w:keepNext/>
      <w:spacing w:before="360" w:after="240" w:line="240" w:lineRule="auto"/>
      <w:outlineLvl w:val="2"/>
    </w:pPr>
    <w:rPr>
      <w:rFonts w:ascii="Arial" w:eastAsia="Times New Roman" w:hAnsi="Arial" w:cs="Arial"/>
      <w:b/>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27187"/>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A27187"/>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uiPriority w:val="2"/>
    <w:rsid w:val="00A27187"/>
    <w:rPr>
      <w:rFonts w:ascii="Arial" w:eastAsia="Times New Roman" w:hAnsi="Arial" w:cs="Arial"/>
      <w:b/>
      <w:bCs/>
      <w:sz w:val="24"/>
      <w:szCs w:val="26"/>
      <w:lang w:eastAsia="en-AU"/>
    </w:rPr>
  </w:style>
  <w:style w:type="paragraph" w:styleId="Title">
    <w:name w:val="Title"/>
    <w:next w:val="Normal"/>
    <w:link w:val="TitleChar"/>
    <w:uiPriority w:val="10"/>
    <w:rsid w:val="00A27187"/>
    <w:pPr>
      <w:spacing w:after="0" w:line="240" w:lineRule="auto"/>
      <w:jc w:val="center"/>
    </w:pPr>
    <w:rPr>
      <w:rFonts w:ascii="Arial" w:eastAsia="Times New Roman" w:hAnsi="Arial" w:cs="Arial"/>
      <w:sz w:val="24"/>
      <w:szCs w:val="36"/>
      <w:lang w:eastAsia="en-AU"/>
    </w:rPr>
  </w:style>
  <w:style w:type="character" w:customStyle="1" w:styleId="TitleChar">
    <w:name w:val="Title Char"/>
    <w:basedOn w:val="DefaultParagraphFont"/>
    <w:link w:val="Title"/>
    <w:uiPriority w:val="10"/>
    <w:rsid w:val="00A27187"/>
    <w:rPr>
      <w:rFonts w:ascii="Arial" w:eastAsia="Times New Roman" w:hAnsi="Arial" w:cs="Arial"/>
      <w:sz w:val="24"/>
      <w:szCs w:val="36"/>
      <w:lang w:eastAsia="en-AU"/>
    </w:rPr>
  </w:style>
  <w:style w:type="paragraph" w:styleId="Header">
    <w:name w:val="header"/>
    <w:aliases w:val="NTG Page Header"/>
    <w:basedOn w:val="Normal"/>
    <w:next w:val="Normal"/>
    <w:link w:val="HeaderChar"/>
    <w:uiPriority w:val="99"/>
    <w:rsid w:val="00A27187"/>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A27187"/>
    <w:rPr>
      <w:rFonts w:ascii="Arial" w:eastAsia="Times New Roman" w:hAnsi="Arial" w:cs="Times New Roman"/>
      <w:b/>
      <w:szCs w:val="20"/>
      <w:lang w:val="en-GB" w:eastAsia="en-AU"/>
    </w:rPr>
  </w:style>
  <w:style w:type="paragraph" w:styleId="Footer">
    <w:name w:val="footer"/>
    <w:basedOn w:val="Normal"/>
    <w:link w:val="FooterChar"/>
    <w:uiPriority w:val="99"/>
    <w:rsid w:val="00A27187"/>
    <w:pPr>
      <w:tabs>
        <w:tab w:val="center" w:pos="4513"/>
        <w:tab w:val="right" w:pos="9026"/>
      </w:tabs>
    </w:pPr>
  </w:style>
  <w:style w:type="character" w:customStyle="1" w:styleId="FooterChar">
    <w:name w:val="Footer Char"/>
    <w:basedOn w:val="DefaultParagraphFont"/>
    <w:link w:val="Footer"/>
    <w:uiPriority w:val="99"/>
    <w:rsid w:val="00A27187"/>
    <w:rPr>
      <w:rFonts w:ascii="Arial" w:eastAsia="Times New Roman" w:hAnsi="Arial" w:cs="Times New Roman"/>
      <w:szCs w:val="20"/>
      <w:lang w:val="en-GB" w:eastAsia="en-AU"/>
    </w:rPr>
  </w:style>
  <w:style w:type="paragraph" w:styleId="ListParagraph">
    <w:name w:val="List Paragraph"/>
    <w:basedOn w:val="BlockText"/>
    <w:uiPriority w:val="34"/>
    <w:qFormat/>
    <w:rsid w:val="00A27187"/>
    <w:pPr>
      <w:pBdr>
        <w:top w:val="none" w:sz="0" w:space="0" w:color="auto"/>
        <w:left w:val="none" w:sz="0" w:space="0" w:color="auto"/>
        <w:bottom w:val="none" w:sz="0" w:space="0" w:color="auto"/>
        <w:right w:val="none" w:sz="0" w:space="0" w:color="auto"/>
      </w:pBdr>
      <w:ind w:left="0" w:right="0"/>
    </w:pPr>
    <w:rPr>
      <w:rFonts w:ascii="Arial" w:hAnsi="Arial" w:cs="Times New Roman"/>
      <w:i w:val="0"/>
      <w:color w:val="auto"/>
      <w:szCs w:val="22"/>
      <w:lang w:eastAsia="en-US"/>
    </w:rPr>
  </w:style>
  <w:style w:type="table" w:customStyle="1" w:styleId="NTGTable">
    <w:name w:val="NTG Table"/>
    <w:basedOn w:val="TableTheme"/>
    <w:uiPriority w:val="99"/>
    <w:rsid w:val="00A27187"/>
    <w:pPr>
      <w:spacing w:after="200"/>
    </w:pPr>
    <w:rPr>
      <w:rFonts w:ascii="Arial" w:eastAsia="Calibri" w:hAnsi="Arial" w:cs="Times New Roman"/>
      <w:sz w:val="20"/>
      <w:szCs w:val="20"/>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styleId="Hyperlink">
    <w:name w:val="Hyperlink"/>
    <w:basedOn w:val="DefaultParagraphFont"/>
    <w:uiPriority w:val="99"/>
    <w:unhideWhenUsed/>
    <w:rsid w:val="00A27187"/>
    <w:rPr>
      <w:color w:val="0563C1" w:themeColor="hyperlink"/>
      <w:u w:val="single"/>
    </w:rPr>
  </w:style>
  <w:style w:type="paragraph" w:styleId="FootnoteText">
    <w:name w:val="footnote text"/>
    <w:basedOn w:val="Normal"/>
    <w:link w:val="FootnoteTextChar"/>
    <w:uiPriority w:val="99"/>
    <w:semiHidden/>
    <w:unhideWhenUsed/>
    <w:rsid w:val="00A27187"/>
    <w:rPr>
      <w:sz w:val="20"/>
    </w:rPr>
  </w:style>
  <w:style w:type="character" w:customStyle="1" w:styleId="FootnoteTextChar">
    <w:name w:val="Footnote Text Char"/>
    <w:basedOn w:val="DefaultParagraphFont"/>
    <w:link w:val="FootnoteText"/>
    <w:uiPriority w:val="99"/>
    <w:semiHidden/>
    <w:rsid w:val="00A27187"/>
    <w:rPr>
      <w:rFonts w:ascii="Arial" w:eastAsia="Times New Roman" w:hAnsi="Arial" w:cs="Times New Roman"/>
      <w:sz w:val="20"/>
      <w:szCs w:val="20"/>
      <w:lang w:val="en-GB" w:eastAsia="en-AU"/>
    </w:rPr>
  </w:style>
  <w:style w:type="character" w:styleId="FootnoteReference">
    <w:name w:val="footnote reference"/>
    <w:basedOn w:val="DefaultParagraphFont"/>
    <w:uiPriority w:val="99"/>
    <w:semiHidden/>
    <w:unhideWhenUsed/>
    <w:rsid w:val="00A27187"/>
    <w:rPr>
      <w:vertAlign w:val="superscript"/>
    </w:rPr>
  </w:style>
  <w:style w:type="paragraph" w:styleId="BlockText">
    <w:name w:val="Block Text"/>
    <w:basedOn w:val="Normal"/>
    <w:uiPriority w:val="99"/>
    <w:semiHidden/>
    <w:unhideWhenUsed/>
    <w:rsid w:val="00A2718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table" w:styleId="TableTheme">
    <w:name w:val="Table Theme"/>
    <w:basedOn w:val="TableNormal"/>
    <w:uiPriority w:val="99"/>
    <w:semiHidden/>
    <w:unhideWhenUsed/>
    <w:rsid w:val="00A2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64E5"/>
    <w:rPr>
      <w:sz w:val="20"/>
    </w:rPr>
  </w:style>
  <w:style w:type="character" w:customStyle="1" w:styleId="EndnoteTextChar">
    <w:name w:val="Endnote Text Char"/>
    <w:basedOn w:val="DefaultParagraphFont"/>
    <w:link w:val="EndnoteText"/>
    <w:uiPriority w:val="99"/>
    <w:semiHidden/>
    <w:rsid w:val="003564E5"/>
    <w:rPr>
      <w:rFonts w:ascii="Arial" w:eastAsia="Times New Roman" w:hAnsi="Arial" w:cs="Times New Roman"/>
      <w:sz w:val="20"/>
      <w:szCs w:val="20"/>
      <w:lang w:val="en-GB" w:eastAsia="en-AU"/>
    </w:rPr>
  </w:style>
  <w:style w:type="character" w:styleId="EndnoteReference">
    <w:name w:val="endnote reference"/>
    <w:basedOn w:val="DefaultParagraphFont"/>
    <w:uiPriority w:val="99"/>
    <w:semiHidden/>
    <w:unhideWhenUsed/>
    <w:rsid w:val="003564E5"/>
    <w:rPr>
      <w:vertAlign w:val="superscript"/>
    </w:rPr>
  </w:style>
  <w:style w:type="paragraph" w:styleId="BalloonText">
    <w:name w:val="Balloon Text"/>
    <w:basedOn w:val="Normal"/>
    <w:link w:val="BalloonTextChar"/>
    <w:uiPriority w:val="99"/>
    <w:semiHidden/>
    <w:unhideWhenUsed/>
    <w:rsid w:val="0035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E5"/>
    <w:rPr>
      <w:rFonts w:ascii="Segoe UI" w:eastAsia="Times New Roman"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dtf/financial-management-group/program-evaluation-un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F.ProgramEvaluation@n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dtf/financial-management-group/program-evaluation-unit/toolkit/complete-the-evaluation-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easury.nt.gov.au/dtf/financial-management-group/program-evaluation-unit/toolkit/complete-the-evaluation-overview" TargetMode="External"/><Relationship Id="rId4" Type="http://schemas.openxmlformats.org/officeDocument/2006/relationships/settings" Target="settings.xml"/><Relationship Id="rId9" Type="http://schemas.openxmlformats.org/officeDocument/2006/relationships/hyperlink" Target="https://treasury.nt.gov.au/dtf/financial-management-group/program-evaluation-unit/toolkit/complete-the-evaluation-overview"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DTF.ProgramEvaluation@nt.gov.au" TargetMode="External"/><Relationship Id="rId1" Type="http://schemas.openxmlformats.org/officeDocument/2006/relationships/hyperlink" Target="https://treasury.nt.gov.au/dtf/financial-management-group/program-evaluation-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BB97-D571-4F7F-A2A7-18AAC6B7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Christabelle Darcy</dc:creator>
  <cp:keywords/>
  <dc:description/>
  <cp:lastModifiedBy>Catherine Wood</cp:lastModifiedBy>
  <cp:revision>3</cp:revision>
  <cp:lastPrinted>2020-01-30T07:46:00Z</cp:lastPrinted>
  <dcterms:created xsi:type="dcterms:W3CDTF">2022-12-01T05:44:00Z</dcterms:created>
  <dcterms:modified xsi:type="dcterms:W3CDTF">2022-12-01T05:45:00Z</dcterms:modified>
</cp:coreProperties>
</file>