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79" w:rsidRPr="007D1879" w:rsidRDefault="007D1879" w:rsidP="007D1879">
      <w:pPr>
        <w:pStyle w:val="Heading1"/>
        <w:jc w:val="left"/>
      </w:pPr>
      <w:r w:rsidRPr="007D1879">
        <w:t>Bulletin</w:t>
      </w:r>
      <w:r>
        <w:t xml:space="preserve"> </w:t>
      </w:r>
      <w:r w:rsidR="00C67841">
        <w:t>2</w:t>
      </w:r>
      <w:r w:rsidRPr="007D1879">
        <w:t>: Successor Fund</w:t>
      </w:r>
      <w:r w:rsidR="00EA2B69">
        <w:t xml:space="preserve"> Transfer Update</w:t>
      </w:r>
    </w:p>
    <w:p w:rsidR="007D1879" w:rsidRDefault="007D1879" w:rsidP="007D1879">
      <w:pPr>
        <w:pStyle w:val="NTTBodyText"/>
        <w:spacing w:before="60" w:after="120" w:line="264" w:lineRule="auto"/>
        <w:rPr>
          <w:b/>
        </w:rPr>
        <w:sectPr w:rsidR="007D1879" w:rsidSect="007D1879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2B69" w:rsidRDefault="00EA2B69" w:rsidP="00C8172C">
      <w:pPr>
        <w:pStyle w:val="NTTBodyText"/>
        <w:spacing w:before="60" w:after="120" w:line="264" w:lineRule="auto"/>
        <w:jc w:val="both"/>
        <w:rPr>
          <w:b/>
        </w:rPr>
      </w:pPr>
      <w:r>
        <w:rPr>
          <w:b/>
        </w:rPr>
        <w:lastRenderedPageBreak/>
        <w:t>Transfer Process</w:t>
      </w:r>
    </w:p>
    <w:p w:rsidR="00930A3E" w:rsidRDefault="00EA2B69" w:rsidP="00C8172C">
      <w:pPr>
        <w:pStyle w:val="NTTBodyText"/>
        <w:spacing w:before="60" w:after="120" w:line="264" w:lineRule="auto"/>
        <w:jc w:val="both"/>
      </w:pPr>
      <w:r w:rsidRPr="00EA2B69">
        <w:t xml:space="preserve">Since the last </w:t>
      </w:r>
      <w:r w:rsidR="00D569A8">
        <w:t>B</w:t>
      </w:r>
      <w:r w:rsidRPr="00EA2B69">
        <w:t>ulletin, progress has been made toward implementing the successor fund transfer (SFT) of NTGPASS retained accounts.</w:t>
      </w:r>
      <w:r w:rsidR="00930A3E">
        <w:t xml:space="preserve"> Before the SFT can occur, the following steps need to happen:</w:t>
      </w:r>
    </w:p>
    <w:p w:rsidR="00930A3E" w:rsidRDefault="00930A3E" w:rsidP="00930A3E">
      <w:pPr>
        <w:pStyle w:val="NTTBodyText"/>
        <w:numPr>
          <w:ilvl w:val="0"/>
          <w:numId w:val="3"/>
        </w:numPr>
        <w:spacing w:before="60" w:after="120" w:line="264" w:lineRule="auto"/>
        <w:jc w:val="both"/>
      </w:pPr>
      <w:r>
        <w:t>Establish legal framework</w:t>
      </w:r>
    </w:p>
    <w:p w:rsidR="00930A3E" w:rsidRDefault="00930A3E" w:rsidP="00930A3E">
      <w:pPr>
        <w:pStyle w:val="NTTBodyText"/>
        <w:numPr>
          <w:ilvl w:val="0"/>
          <w:numId w:val="3"/>
        </w:numPr>
        <w:spacing w:before="60" w:after="120" w:line="264" w:lineRule="auto"/>
        <w:jc w:val="both"/>
      </w:pPr>
      <w:r>
        <w:t xml:space="preserve">Satisfy </w:t>
      </w:r>
      <w:r w:rsidR="00D569A8">
        <w:t xml:space="preserve">the trustees for </w:t>
      </w:r>
      <w:r w:rsidR="009C5930">
        <w:t xml:space="preserve">both </w:t>
      </w:r>
      <w:r>
        <w:t xml:space="preserve">NTGPASS and </w:t>
      </w:r>
      <w:proofErr w:type="spellStart"/>
      <w:r>
        <w:t>Sunsuper</w:t>
      </w:r>
      <w:proofErr w:type="spellEnd"/>
      <w:r>
        <w:t xml:space="preserve"> that members will receive equivalent rights on the transfer </w:t>
      </w:r>
      <w:r w:rsidR="009C5930">
        <w:t xml:space="preserve">of their benefits </w:t>
      </w:r>
      <w:r>
        <w:t xml:space="preserve">to </w:t>
      </w:r>
      <w:proofErr w:type="spellStart"/>
      <w:r>
        <w:t>Sunsuper</w:t>
      </w:r>
      <w:proofErr w:type="spellEnd"/>
    </w:p>
    <w:p w:rsidR="00930A3E" w:rsidRDefault="00930A3E" w:rsidP="00930A3E">
      <w:pPr>
        <w:pStyle w:val="NTTBodyText"/>
        <w:numPr>
          <w:ilvl w:val="0"/>
          <w:numId w:val="3"/>
        </w:numPr>
        <w:spacing w:before="60" w:after="120" w:line="264" w:lineRule="auto"/>
        <w:jc w:val="both"/>
      </w:pPr>
      <w:r>
        <w:t>Satisfy NTGPASS trustees that the SFT is in the best interests of members</w:t>
      </w:r>
    </w:p>
    <w:p w:rsidR="00930A3E" w:rsidRDefault="00930A3E" w:rsidP="00930A3E">
      <w:pPr>
        <w:pStyle w:val="NTTBodyText"/>
        <w:numPr>
          <w:ilvl w:val="0"/>
          <w:numId w:val="3"/>
        </w:numPr>
        <w:spacing w:before="60" w:after="120" w:line="264" w:lineRule="auto"/>
        <w:jc w:val="both"/>
      </w:pPr>
      <w:r>
        <w:t xml:space="preserve">Draft and execute </w:t>
      </w:r>
      <w:r w:rsidR="00D569A8">
        <w:t xml:space="preserve">a </w:t>
      </w:r>
      <w:r>
        <w:t>transfer deed</w:t>
      </w:r>
    </w:p>
    <w:p w:rsidR="00EA2B69" w:rsidRDefault="00930A3E" w:rsidP="00930A3E">
      <w:pPr>
        <w:pStyle w:val="NTTBodyText"/>
        <w:numPr>
          <w:ilvl w:val="0"/>
          <w:numId w:val="3"/>
        </w:numPr>
        <w:spacing w:before="60" w:after="120" w:line="264" w:lineRule="auto"/>
        <w:jc w:val="both"/>
      </w:pPr>
      <w:r>
        <w:t xml:space="preserve">Provide members with comprehensive details of the services being offered by </w:t>
      </w:r>
      <w:proofErr w:type="spellStart"/>
      <w:r>
        <w:t>Sunsuper</w:t>
      </w:r>
      <w:proofErr w:type="spellEnd"/>
    </w:p>
    <w:p w:rsidR="00930A3E" w:rsidRDefault="009C5930" w:rsidP="00C8172C">
      <w:pPr>
        <w:pStyle w:val="NTTBodyText"/>
        <w:spacing w:before="60" w:after="120" w:line="264" w:lineRule="auto"/>
        <w:jc w:val="both"/>
      </w:pPr>
      <w:r>
        <w:t>Details on each of these steps are below.</w:t>
      </w:r>
    </w:p>
    <w:p w:rsidR="00930A3E" w:rsidRPr="009C5930" w:rsidRDefault="009C5930" w:rsidP="00C8172C">
      <w:pPr>
        <w:pStyle w:val="NTTBodyText"/>
        <w:spacing w:before="60" w:after="120" w:line="264" w:lineRule="auto"/>
        <w:jc w:val="both"/>
        <w:rPr>
          <w:b/>
        </w:rPr>
      </w:pPr>
      <w:r w:rsidRPr="009C5930">
        <w:rPr>
          <w:b/>
        </w:rPr>
        <w:t>Legal framework</w:t>
      </w:r>
    </w:p>
    <w:p w:rsidR="009C5930" w:rsidRDefault="009C5930" w:rsidP="00C8172C">
      <w:pPr>
        <w:pStyle w:val="NTTBodyText"/>
        <w:spacing w:before="60" w:after="120" w:line="264" w:lineRule="auto"/>
        <w:jc w:val="both"/>
      </w:pPr>
      <w:r>
        <w:t>T</w:t>
      </w:r>
      <w:r w:rsidR="00814178">
        <w:t xml:space="preserve">he Superannuation Legislation Amendment Bill 2015 was introduced into the Legislative Assembly on 26 August 2015. This Bill contains the legal framework to allow the SFT to proceed. </w:t>
      </w:r>
      <w:r w:rsidR="00930A3E">
        <w:t>The Bill</w:t>
      </w:r>
      <w:r w:rsidR="00814178">
        <w:t xml:space="preserve"> also includes amendments to the </w:t>
      </w:r>
      <w:r w:rsidR="00814178" w:rsidRPr="00814178">
        <w:rPr>
          <w:i/>
        </w:rPr>
        <w:t>Superannuation Act</w:t>
      </w:r>
      <w:r w:rsidR="00814178">
        <w:t xml:space="preserve"> and NTGPASS Rules that make clear </w:t>
      </w:r>
      <w:r w:rsidR="00930A3E">
        <w:t xml:space="preserve">that following the SFT </w:t>
      </w:r>
      <w:r w:rsidR="00814178">
        <w:t xml:space="preserve">retiring members will no longer have the option </w:t>
      </w:r>
      <w:r w:rsidR="00D26FE3">
        <w:t xml:space="preserve">to </w:t>
      </w:r>
      <w:r w:rsidR="00814178">
        <w:t xml:space="preserve">retain </w:t>
      </w:r>
      <w:r w:rsidR="00930A3E">
        <w:t xml:space="preserve">their </w:t>
      </w:r>
      <w:r w:rsidR="00814178">
        <w:t>benefits within NTGPASS.</w:t>
      </w:r>
    </w:p>
    <w:p w:rsidR="00814178" w:rsidRPr="00EA2B69" w:rsidRDefault="00930A3E" w:rsidP="00C8172C">
      <w:pPr>
        <w:pStyle w:val="NTTBodyText"/>
        <w:spacing w:before="60" w:after="120" w:line="264" w:lineRule="auto"/>
        <w:jc w:val="both"/>
      </w:pPr>
      <w:r>
        <w:t>It is anticipated that the Bill will be passed in the November 2015 Legislative Assembly sittings.</w:t>
      </w:r>
    </w:p>
    <w:p w:rsidR="007D1879" w:rsidRDefault="009C5930" w:rsidP="00C8172C">
      <w:pPr>
        <w:pStyle w:val="NTTBodyText"/>
        <w:spacing w:before="60" w:after="120" w:line="264" w:lineRule="auto"/>
        <w:jc w:val="both"/>
        <w:rPr>
          <w:b/>
        </w:rPr>
      </w:pPr>
      <w:r>
        <w:rPr>
          <w:b/>
        </w:rPr>
        <w:t>Equivalent rights analysis</w:t>
      </w:r>
    </w:p>
    <w:p w:rsidR="009C5930" w:rsidRDefault="009C5930" w:rsidP="00C8172C">
      <w:pPr>
        <w:pStyle w:val="NTTBodyText"/>
        <w:spacing w:before="60" w:after="120" w:line="264" w:lineRule="auto"/>
        <w:jc w:val="both"/>
      </w:pPr>
      <w:r>
        <w:t xml:space="preserve">Solicitors for </w:t>
      </w:r>
      <w:proofErr w:type="spellStart"/>
      <w:r>
        <w:t>Sunsuper</w:t>
      </w:r>
      <w:proofErr w:type="spellEnd"/>
      <w:r>
        <w:t xml:space="preserve"> have begun preparing an “equivalent rights” analysis.</w:t>
      </w:r>
      <w:r w:rsidR="00D569A8">
        <w:t xml:space="preserve"> Before the SFT can </w:t>
      </w:r>
      <w:r w:rsidR="00D26FE3">
        <w:t xml:space="preserve">take place </w:t>
      </w:r>
      <w:r w:rsidR="00D569A8">
        <w:t>the</w:t>
      </w:r>
      <w:r>
        <w:t xml:space="preserve"> trustees for both NTGPASS and </w:t>
      </w:r>
      <w:proofErr w:type="spellStart"/>
      <w:r>
        <w:t>Sunsuper</w:t>
      </w:r>
      <w:proofErr w:type="spellEnd"/>
      <w:r>
        <w:t xml:space="preserve"> will need to be satisfied that </w:t>
      </w:r>
      <w:proofErr w:type="spellStart"/>
      <w:r>
        <w:t>Sunsuper</w:t>
      </w:r>
      <w:proofErr w:type="spellEnd"/>
      <w:r>
        <w:t xml:space="preserve"> will be providing </w:t>
      </w:r>
      <w:r w:rsidRPr="00EA2B69">
        <w:t>NTGPASS retained</w:t>
      </w:r>
      <w:r>
        <w:t xml:space="preserve"> members </w:t>
      </w:r>
      <w:r>
        <w:lastRenderedPageBreak/>
        <w:t xml:space="preserve">with rights </w:t>
      </w:r>
      <w:r w:rsidRPr="009C5930">
        <w:t xml:space="preserve">in respect of </w:t>
      </w:r>
      <w:r>
        <w:t xml:space="preserve">their </w:t>
      </w:r>
      <w:r w:rsidRPr="009C5930">
        <w:t xml:space="preserve">benefits </w:t>
      </w:r>
      <w:r>
        <w:t xml:space="preserve">that are at least </w:t>
      </w:r>
      <w:r w:rsidRPr="009C5930">
        <w:t xml:space="preserve">equivalent to those </w:t>
      </w:r>
      <w:r>
        <w:t>provided under the NTGPASS rules.</w:t>
      </w:r>
    </w:p>
    <w:p w:rsidR="009C5930" w:rsidRDefault="009C5930" w:rsidP="009C5930">
      <w:pPr>
        <w:pStyle w:val="NTTBodyText"/>
        <w:keepNext/>
        <w:spacing w:before="60" w:after="120" w:line="264" w:lineRule="auto"/>
        <w:jc w:val="both"/>
        <w:rPr>
          <w:b/>
        </w:rPr>
      </w:pPr>
      <w:r w:rsidRPr="009C5930">
        <w:rPr>
          <w:b/>
        </w:rPr>
        <w:t>Best interests of members</w:t>
      </w:r>
    </w:p>
    <w:p w:rsidR="00D569A8" w:rsidRDefault="00D569A8" w:rsidP="00D569A8">
      <w:pPr>
        <w:pStyle w:val="NTTBodyText"/>
        <w:spacing w:before="60" w:after="120" w:line="264" w:lineRule="auto"/>
        <w:jc w:val="both"/>
      </w:pPr>
      <w:r w:rsidRPr="00D569A8">
        <w:t>In order for the trustees of NTGPASS to consent to the SFT, those trustees also need to be satisfied that the SFT is in the best interest</w:t>
      </w:r>
      <w:r>
        <w:t>s</w:t>
      </w:r>
      <w:r w:rsidRPr="00D569A8">
        <w:t xml:space="preserve"> of members overall.</w:t>
      </w:r>
      <w:r>
        <w:t xml:space="preserve"> </w:t>
      </w:r>
    </w:p>
    <w:p w:rsidR="00D569A8" w:rsidRPr="00D569A8" w:rsidRDefault="00D569A8" w:rsidP="00D569A8">
      <w:pPr>
        <w:pStyle w:val="NTTBodyText"/>
        <w:spacing w:before="60" w:after="120" w:line="264" w:lineRule="auto"/>
        <w:jc w:val="both"/>
      </w:pPr>
      <w:r>
        <w:t xml:space="preserve">The Superannuation Office has prepared a high level comparison of what </w:t>
      </w:r>
      <w:r w:rsidR="00652DAD">
        <w:t>is being</w:t>
      </w:r>
      <w:r>
        <w:t xml:space="preserve"> offered by </w:t>
      </w:r>
      <w:proofErr w:type="spellStart"/>
      <w:r>
        <w:t>Sunsuper</w:t>
      </w:r>
      <w:proofErr w:type="spellEnd"/>
      <w:r>
        <w:t xml:space="preserve"> against what </w:t>
      </w:r>
      <w:r w:rsidR="00652DAD">
        <w:t>NTGPASS retained members are</w:t>
      </w:r>
      <w:r>
        <w:t xml:space="preserve"> currently </w:t>
      </w:r>
      <w:r w:rsidR="00652DAD">
        <w:t xml:space="preserve">being </w:t>
      </w:r>
      <w:r>
        <w:t xml:space="preserve">provided. A </w:t>
      </w:r>
      <w:r w:rsidR="00652DAD">
        <w:t>summary</w:t>
      </w:r>
      <w:r>
        <w:t xml:space="preserve"> of th</w:t>
      </w:r>
      <w:r w:rsidR="00652DAD">
        <w:t>at</w:t>
      </w:r>
      <w:r>
        <w:t xml:space="preserve"> comparison is attached to this Bulletin.</w:t>
      </w:r>
    </w:p>
    <w:p w:rsidR="00EA2B69" w:rsidRDefault="00EA2B69" w:rsidP="00C8172C">
      <w:pPr>
        <w:pStyle w:val="NTTBodyText"/>
        <w:spacing w:before="60" w:after="120" w:line="264" w:lineRule="auto"/>
        <w:jc w:val="both"/>
        <w:rPr>
          <w:b/>
        </w:rPr>
      </w:pPr>
      <w:r>
        <w:rPr>
          <w:b/>
        </w:rPr>
        <w:t xml:space="preserve">Transfer deed </w:t>
      </w:r>
    </w:p>
    <w:p w:rsidR="00D569A8" w:rsidRDefault="00D569A8" w:rsidP="00C8172C">
      <w:pPr>
        <w:pStyle w:val="NTTBodyText"/>
        <w:spacing w:before="60" w:after="120" w:line="264" w:lineRule="auto"/>
        <w:jc w:val="both"/>
      </w:pPr>
      <w:r w:rsidRPr="00D569A8">
        <w:t xml:space="preserve">Solicitors for </w:t>
      </w:r>
      <w:proofErr w:type="spellStart"/>
      <w:r>
        <w:t>Sunsuper</w:t>
      </w:r>
      <w:proofErr w:type="spellEnd"/>
      <w:r>
        <w:t xml:space="preserve"> have prepared a draft transfer deed setting out the terms of the SFT. This draft deed is currently being considered by solicitors for NTGPASS.</w:t>
      </w:r>
    </w:p>
    <w:p w:rsidR="00D569A8" w:rsidRDefault="00D569A8" w:rsidP="00C8172C">
      <w:pPr>
        <w:pStyle w:val="NTTBodyText"/>
        <w:spacing w:before="60" w:after="120" w:line="264" w:lineRule="auto"/>
        <w:jc w:val="both"/>
        <w:rPr>
          <w:b/>
        </w:rPr>
      </w:pPr>
      <w:r>
        <w:t xml:space="preserve">It is anticipated that the final deed may be signed </w:t>
      </w:r>
      <w:r w:rsidR="00D26FE3">
        <w:t xml:space="preserve">in </w:t>
      </w:r>
      <w:r>
        <w:t>December 2015.</w:t>
      </w:r>
    </w:p>
    <w:p w:rsidR="00EA2B69" w:rsidRDefault="00B63CAC" w:rsidP="00C8172C">
      <w:pPr>
        <w:pStyle w:val="NTTBodyText"/>
        <w:spacing w:before="60" w:after="120" w:line="264" w:lineRule="auto"/>
        <w:jc w:val="both"/>
        <w:rPr>
          <w:b/>
        </w:rPr>
      </w:pPr>
      <w:r>
        <w:rPr>
          <w:b/>
        </w:rPr>
        <w:t>C</w:t>
      </w:r>
      <w:r w:rsidR="00EA2B69">
        <w:rPr>
          <w:b/>
        </w:rPr>
        <w:t xml:space="preserve">ommunication </w:t>
      </w:r>
      <w:r>
        <w:rPr>
          <w:b/>
        </w:rPr>
        <w:t>with members</w:t>
      </w:r>
    </w:p>
    <w:p w:rsidR="00EA2B69" w:rsidRPr="009D0C7D" w:rsidRDefault="00B63CAC" w:rsidP="00C8172C">
      <w:pPr>
        <w:pStyle w:val="NTTBodyText"/>
        <w:spacing w:before="60" w:after="120" w:line="264" w:lineRule="auto"/>
        <w:jc w:val="both"/>
        <w:rPr>
          <w:b/>
        </w:rPr>
      </w:pPr>
      <w:r>
        <w:t xml:space="preserve">Retained members will continue to receive targeted communication up until the SFT occurs, including a Significant Event Notice a minimum of 30 days before the transfer date. Members will also receive comprehensive details of the services being offered by </w:t>
      </w:r>
      <w:proofErr w:type="spellStart"/>
      <w:r>
        <w:t>Sunsuper</w:t>
      </w:r>
      <w:proofErr w:type="spellEnd"/>
      <w:r>
        <w:t xml:space="preserve">. </w:t>
      </w:r>
    </w:p>
    <w:p w:rsidR="00B63CAC" w:rsidRPr="00B63CAC" w:rsidRDefault="00B63CAC" w:rsidP="00C8172C">
      <w:pPr>
        <w:pStyle w:val="NTSOBodyText"/>
        <w:spacing w:line="264" w:lineRule="auto"/>
        <w:jc w:val="both"/>
        <w:rPr>
          <w:b/>
        </w:rPr>
      </w:pPr>
      <w:r w:rsidRPr="00B63CAC">
        <w:rPr>
          <w:b/>
        </w:rPr>
        <w:t>Timing of transfer</w:t>
      </w:r>
    </w:p>
    <w:p w:rsidR="007D1879" w:rsidRDefault="00B63CAC" w:rsidP="00C8172C">
      <w:pPr>
        <w:pStyle w:val="NTSOBodyText"/>
        <w:spacing w:line="264" w:lineRule="auto"/>
        <w:jc w:val="both"/>
      </w:pPr>
      <w:r>
        <w:t>At this stage, it is still anticipated</w:t>
      </w:r>
      <w:r w:rsidR="007D1879">
        <w:t xml:space="preserve"> </w:t>
      </w:r>
      <w:r>
        <w:t>that the SFT</w:t>
      </w:r>
      <w:r w:rsidR="007D1879">
        <w:t xml:space="preserve"> </w:t>
      </w:r>
      <w:r>
        <w:t>will occur in</w:t>
      </w:r>
      <w:r w:rsidR="007D1879">
        <w:t xml:space="preserve"> early 2016.</w:t>
      </w:r>
    </w:p>
    <w:p w:rsidR="007D1879" w:rsidRPr="00B63CAC" w:rsidRDefault="00B63CAC" w:rsidP="00C8172C">
      <w:pPr>
        <w:pStyle w:val="NTSOBodyText"/>
        <w:spacing w:line="264" w:lineRule="auto"/>
        <w:jc w:val="both"/>
        <w:rPr>
          <w:b/>
        </w:rPr>
      </w:pPr>
      <w:r w:rsidRPr="00B63CAC">
        <w:rPr>
          <w:b/>
        </w:rPr>
        <w:t>Next Bulletin</w:t>
      </w:r>
    </w:p>
    <w:p w:rsidR="00B63CAC" w:rsidRDefault="00B63CAC" w:rsidP="00C8172C">
      <w:pPr>
        <w:pStyle w:val="NTSOBodyText"/>
        <w:spacing w:line="264" w:lineRule="auto"/>
        <w:jc w:val="both"/>
      </w:pPr>
      <w:r>
        <w:t>The next Bulletin will be issued in the first half of November 2015</w:t>
      </w:r>
    </w:p>
    <w:p w:rsidR="00146CC6" w:rsidRDefault="00146CC6" w:rsidP="00C8172C">
      <w:pPr>
        <w:pStyle w:val="NTSOBodyText"/>
        <w:spacing w:line="264" w:lineRule="auto"/>
        <w:jc w:val="both"/>
      </w:pPr>
    </w:p>
    <w:p w:rsidR="00B63CAC" w:rsidRDefault="00B63CAC">
      <w:pPr>
        <w:rPr>
          <w:rFonts w:ascii="Arial" w:hAnsi="Arial" w:cs="Arial"/>
        </w:rPr>
      </w:pPr>
      <w:r>
        <w:br w:type="page"/>
      </w:r>
    </w:p>
    <w:p w:rsidR="00EA2B69" w:rsidRDefault="00EA2B69" w:rsidP="00C8172C">
      <w:pPr>
        <w:pStyle w:val="NTSOBodyText"/>
        <w:spacing w:line="264" w:lineRule="auto"/>
        <w:jc w:val="both"/>
        <w:sectPr w:rsidR="00EA2B69" w:rsidSect="007D18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2B69" w:rsidRDefault="00EA2B69" w:rsidP="00EA2B69">
      <w:pPr>
        <w:pStyle w:val="AMLHeader0"/>
        <w:numPr>
          <w:ilvl w:val="0"/>
          <w:numId w:val="0"/>
        </w:numPr>
        <w:spacing w:before="120"/>
        <w:ind w:left="782"/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Best Interest</w:t>
      </w:r>
      <w:r w:rsidR="00652DA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Comparison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  <w:tblDescription w:val="Table: Best Interests Comparison"/>
      </w:tblPr>
      <w:tblGrid>
        <w:gridCol w:w="5103"/>
        <w:gridCol w:w="5103"/>
      </w:tblGrid>
      <w:tr w:rsidR="00EA2B69" w:rsidTr="00EA2B69">
        <w:tc>
          <w:tcPr>
            <w:tcW w:w="5103" w:type="dxa"/>
          </w:tcPr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jc w:val="center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NTGPASS</w:t>
            </w:r>
          </w:p>
        </w:tc>
        <w:tc>
          <w:tcPr>
            <w:tcW w:w="5103" w:type="dxa"/>
          </w:tcPr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jc w:val="center"/>
              <w:outlineLvl w:val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Sunsuper</w:t>
            </w:r>
            <w:proofErr w:type="spellEnd"/>
          </w:p>
        </w:tc>
      </w:tr>
      <w:tr w:rsidR="00EA2B69" w:rsidTr="00EA2B69"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t>Fees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Presently</w:t>
            </w:r>
            <w:r w:rsidRPr="00A7366E">
              <w:rPr>
                <w:rFonts w:cs="Arial"/>
                <w:b w:val="0"/>
                <w:sz w:val="22"/>
                <w:szCs w:val="22"/>
              </w:rPr>
              <w:t xml:space="preserve"> $3/week, irrespective of account balance</w:t>
            </w:r>
            <w:r w:rsidR="00652DAD"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652DAD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A7366E">
              <w:rPr>
                <w:rFonts w:cs="Arial"/>
                <w:b w:val="0"/>
                <w:sz w:val="22"/>
                <w:szCs w:val="22"/>
              </w:rPr>
              <w:t>$1.50/week, plus 0.10% p.a. on the first $800</w:t>
            </w:r>
            <w:r>
              <w:rPr>
                <w:rFonts w:cs="Arial"/>
                <w:b w:val="0"/>
                <w:sz w:val="22"/>
                <w:szCs w:val="22"/>
              </w:rPr>
              <w:t> </w:t>
            </w:r>
            <w:r w:rsidRPr="00A7366E">
              <w:rPr>
                <w:rFonts w:cs="Arial"/>
                <w:b w:val="0"/>
                <w:sz w:val="22"/>
                <w:szCs w:val="22"/>
              </w:rPr>
              <w:t>000 of a member</w:t>
            </w:r>
            <w:r>
              <w:rPr>
                <w:rFonts w:cs="Arial"/>
                <w:b w:val="0"/>
                <w:sz w:val="22"/>
                <w:szCs w:val="22"/>
              </w:rPr>
              <w:t>’</w:t>
            </w:r>
            <w:r w:rsidRPr="00A7366E">
              <w:rPr>
                <w:rFonts w:cs="Arial"/>
                <w:b w:val="0"/>
                <w:sz w:val="22"/>
                <w:szCs w:val="22"/>
              </w:rPr>
              <w:t xml:space="preserve">s account balance. </w:t>
            </w:r>
          </w:p>
          <w:p w:rsidR="00EA2B69" w:rsidRPr="00A7366E" w:rsidRDefault="00EA2B69" w:rsidP="00652DAD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Members with balances be</w:t>
            </w:r>
            <w:r w:rsidR="00652DAD">
              <w:rPr>
                <w:rFonts w:cs="Arial"/>
                <w:b w:val="0"/>
                <w:sz w:val="22"/>
                <w:szCs w:val="22"/>
              </w:rPr>
              <w:t xml:space="preserve">low $78 000 will be better off. </w:t>
            </w:r>
            <w:r>
              <w:rPr>
                <w:rFonts w:cs="Arial"/>
                <w:b w:val="0"/>
                <w:sz w:val="22"/>
                <w:szCs w:val="22"/>
              </w:rPr>
              <w:t xml:space="preserve">For members with balances above this amount, </w:t>
            </w:r>
            <w:proofErr w:type="spellStart"/>
            <w:r w:rsidRPr="00A7366E">
              <w:rPr>
                <w:rFonts w:cs="Arial"/>
                <w:b w:val="0"/>
                <w:sz w:val="22"/>
                <w:szCs w:val="22"/>
              </w:rPr>
              <w:t>Sunsuper</w:t>
            </w:r>
            <w:proofErr w:type="spellEnd"/>
            <w:r w:rsidRPr="00A7366E">
              <w:rPr>
                <w:rFonts w:cs="Arial"/>
                <w:b w:val="0"/>
                <w:sz w:val="22"/>
                <w:szCs w:val="22"/>
              </w:rPr>
              <w:t xml:space="preserve"> are capping </w:t>
            </w:r>
            <w:r>
              <w:rPr>
                <w:rFonts w:cs="Arial"/>
                <w:b w:val="0"/>
                <w:sz w:val="22"/>
                <w:szCs w:val="22"/>
              </w:rPr>
              <w:t>fees</w:t>
            </w:r>
            <w:r w:rsidRPr="00A7366E">
              <w:rPr>
                <w:rFonts w:cs="Arial"/>
                <w:b w:val="0"/>
                <w:sz w:val="22"/>
                <w:szCs w:val="22"/>
              </w:rPr>
              <w:t xml:space="preserve"> to $3/week for a period of 3</w:t>
            </w:r>
            <w:r w:rsidRPr="00CA5C5A">
              <w:rPr>
                <w:rFonts w:cs="Arial"/>
                <w:b w:val="0"/>
                <w:sz w:val="22"/>
                <w:szCs w:val="22"/>
              </w:rPr>
              <w:t> </w:t>
            </w:r>
            <w:r w:rsidRPr="00A7366E">
              <w:rPr>
                <w:rFonts w:cs="Arial"/>
                <w:b w:val="0"/>
                <w:sz w:val="22"/>
                <w:szCs w:val="22"/>
              </w:rPr>
              <w:t>years</w:t>
            </w:r>
            <w:r>
              <w:rPr>
                <w:rFonts w:cs="Arial"/>
                <w:b w:val="0"/>
                <w:sz w:val="22"/>
                <w:szCs w:val="22"/>
              </w:rPr>
              <w:t>, ensuring they are no worse off than present</w:t>
            </w:r>
            <w:r w:rsidRPr="00CA5C5A">
              <w:rPr>
                <w:rFonts w:cs="Arial"/>
                <w:b w:val="0"/>
                <w:sz w:val="22"/>
                <w:szCs w:val="22"/>
              </w:rPr>
              <w:t>.</w:t>
            </w:r>
          </w:p>
        </w:tc>
      </w:tr>
      <w:tr w:rsidR="00EA2B69" w:rsidTr="00EA2B69"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t>Online services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A7366E">
              <w:rPr>
                <w:rFonts w:cs="Arial"/>
                <w:b w:val="0"/>
                <w:sz w:val="22"/>
                <w:szCs w:val="22"/>
              </w:rPr>
              <w:t>Minimal. Some members are able to access statements from previous years</w:t>
            </w:r>
            <w:r w:rsidR="00652DAD">
              <w:rPr>
                <w:rFonts w:cs="Arial"/>
                <w:b w:val="0"/>
                <w:sz w:val="22"/>
                <w:szCs w:val="22"/>
              </w:rPr>
              <w:t xml:space="preserve"> (if they are still NTPS employees)</w:t>
            </w:r>
            <w:r>
              <w:rPr>
                <w:rFonts w:cs="Arial"/>
                <w:b w:val="0"/>
                <w:sz w:val="22"/>
                <w:szCs w:val="22"/>
              </w:rPr>
              <w:t>. Otherwise online services solely provide a source of forms, fact sheets and annual reports.</w:t>
            </w:r>
          </w:p>
        </w:tc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A7366E">
              <w:rPr>
                <w:rFonts w:cs="Arial"/>
                <w:b w:val="0"/>
                <w:sz w:val="22"/>
                <w:szCs w:val="22"/>
              </w:rPr>
              <w:t>Extensive</w:t>
            </w:r>
            <w:r>
              <w:rPr>
                <w:rFonts w:cs="Arial"/>
                <w:b w:val="0"/>
                <w:sz w:val="22"/>
                <w:szCs w:val="22"/>
              </w:rPr>
              <w:t xml:space="preserve">. </w:t>
            </w:r>
            <w:r w:rsidRPr="00A7366E">
              <w:rPr>
                <w:rFonts w:cs="Arial"/>
                <w:b w:val="0"/>
                <w:sz w:val="22"/>
                <w:szCs w:val="22"/>
              </w:rPr>
              <w:t>Members can access real-time account balances, make investment switches, use retirement calculators</w:t>
            </w:r>
            <w:r>
              <w:rPr>
                <w:rFonts w:cs="Arial"/>
                <w:b w:val="0"/>
                <w:sz w:val="22"/>
                <w:szCs w:val="22"/>
              </w:rPr>
              <w:t>, set up account-based pensions</w:t>
            </w:r>
            <w:r w:rsidRPr="00A7366E">
              <w:rPr>
                <w:rFonts w:cs="Arial"/>
                <w:b w:val="0"/>
                <w:sz w:val="22"/>
                <w:szCs w:val="22"/>
              </w:rPr>
              <w:t xml:space="preserve"> and undertake online education.</w:t>
            </w:r>
          </w:p>
        </w:tc>
      </w:tr>
      <w:tr w:rsidR="00EA2B69" w:rsidTr="00EA2B69"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t>Choice of investments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6</w:t>
            </w:r>
            <w:r w:rsidRPr="00A7366E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d</w:t>
            </w:r>
            <w:r w:rsidRPr="00CA5C5A">
              <w:rPr>
                <w:rFonts w:cs="Arial"/>
                <w:b w:val="0"/>
                <w:sz w:val="22"/>
                <w:szCs w:val="22"/>
              </w:rPr>
              <w:t xml:space="preserve">iversified </w:t>
            </w:r>
            <w:r w:rsidRPr="00A7366E">
              <w:rPr>
                <w:rFonts w:cs="Arial"/>
                <w:b w:val="0"/>
                <w:sz w:val="22"/>
                <w:szCs w:val="22"/>
              </w:rPr>
              <w:t>options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21</w:t>
            </w:r>
            <w:r w:rsidRPr="00A7366E">
              <w:rPr>
                <w:rFonts w:cs="Arial"/>
                <w:b w:val="0"/>
                <w:sz w:val="22"/>
                <w:szCs w:val="22"/>
              </w:rPr>
              <w:t xml:space="preserve"> options available, </w:t>
            </w:r>
            <w:r>
              <w:rPr>
                <w:rFonts w:cs="Arial"/>
                <w:b w:val="0"/>
                <w:sz w:val="22"/>
                <w:szCs w:val="22"/>
              </w:rPr>
              <w:t>comprising</w:t>
            </w:r>
            <w:r w:rsidRPr="00A7366E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Pr="00CA5C5A">
              <w:rPr>
                <w:rFonts w:cs="Arial"/>
                <w:b w:val="0"/>
                <w:sz w:val="22"/>
                <w:szCs w:val="22"/>
              </w:rPr>
              <w:t>6</w:t>
            </w:r>
            <w:r>
              <w:rPr>
                <w:rFonts w:cs="Arial"/>
                <w:b w:val="0"/>
                <w:sz w:val="22"/>
                <w:szCs w:val="22"/>
              </w:rPr>
              <w:t> d</w:t>
            </w:r>
            <w:r w:rsidRPr="00CA5C5A">
              <w:rPr>
                <w:rFonts w:cs="Arial"/>
                <w:b w:val="0"/>
                <w:sz w:val="22"/>
                <w:szCs w:val="22"/>
              </w:rPr>
              <w:t>iversified options (includ</w:t>
            </w:r>
            <w:r>
              <w:rPr>
                <w:rFonts w:cs="Arial"/>
                <w:b w:val="0"/>
                <w:sz w:val="22"/>
                <w:szCs w:val="22"/>
              </w:rPr>
              <w:t>ing</w:t>
            </w:r>
            <w:r w:rsidRPr="00CA5C5A">
              <w:rPr>
                <w:rFonts w:cs="Arial"/>
                <w:b w:val="0"/>
                <w:sz w:val="22"/>
                <w:szCs w:val="22"/>
              </w:rPr>
              <w:t xml:space="preserve"> </w:t>
            </w:r>
            <w:r>
              <w:rPr>
                <w:rFonts w:cs="Arial"/>
                <w:b w:val="0"/>
                <w:sz w:val="22"/>
                <w:szCs w:val="22"/>
              </w:rPr>
              <w:t>the</w:t>
            </w:r>
            <w:r w:rsidRPr="00CA5C5A">
              <w:rPr>
                <w:rFonts w:cs="Arial"/>
                <w:b w:val="0"/>
                <w:sz w:val="22"/>
                <w:szCs w:val="22"/>
              </w:rPr>
              <w:t xml:space="preserve"> Lifecycle Investment Strategy </w:t>
            </w:r>
            <w:r w:rsidRPr="00DC3C00">
              <w:rPr>
                <w:rFonts w:cs="Arial"/>
                <w:b w:val="0"/>
                <w:sz w:val="22"/>
                <w:szCs w:val="22"/>
              </w:rPr>
              <w:t>which progressively changes the ratio between growth and defensive investments after a member reaches age 55</w:t>
            </w:r>
            <w:r w:rsidRPr="00CA5C5A">
              <w:rPr>
                <w:rFonts w:cs="Arial"/>
                <w:b w:val="0"/>
                <w:sz w:val="22"/>
                <w:szCs w:val="22"/>
              </w:rPr>
              <w:t xml:space="preserve">), 13 Single Asset Class options, and 2 </w:t>
            </w:r>
            <w:r>
              <w:rPr>
                <w:rFonts w:cs="Arial"/>
                <w:b w:val="0"/>
                <w:sz w:val="22"/>
                <w:szCs w:val="22"/>
              </w:rPr>
              <w:t>“</w:t>
            </w:r>
            <w:r w:rsidRPr="00CA5C5A">
              <w:rPr>
                <w:rFonts w:cs="Arial"/>
                <w:b w:val="0"/>
                <w:sz w:val="22"/>
                <w:szCs w:val="22"/>
              </w:rPr>
              <w:t>Special options</w:t>
            </w:r>
            <w:r>
              <w:rPr>
                <w:rFonts w:cs="Arial"/>
                <w:b w:val="0"/>
                <w:sz w:val="22"/>
                <w:szCs w:val="22"/>
              </w:rPr>
              <w:t>”</w:t>
            </w:r>
            <w:r w:rsidRPr="00CA5C5A">
              <w:rPr>
                <w:rFonts w:cs="Arial"/>
                <w:b w:val="0"/>
                <w:sz w:val="22"/>
                <w:szCs w:val="22"/>
              </w:rPr>
              <w:t xml:space="preserve"> (a Socially Responsible Investment Option and a Capital Guaranteed Option). Within the diversified and single asset class options, members can also select</w:t>
            </w:r>
            <w:r w:rsidR="00D26FE3">
              <w:rPr>
                <w:rFonts w:cs="Arial"/>
                <w:b w:val="0"/>
                <w:sz w:val="22"/>
                <w:szCs w:val="22"/>
              </w:rPr>
              <w:t>;</w:t>
            </w:r>
            <w:r w:rsidRPr="00CA5C5A">
              <w:rPr>
                <w:rFonts w:cs="Arial"/>
                <w:b w:val="0"/>
                <w:sz w:val="22"/>
                <w:szCs w:val="22"/>
              </w:rPr>
              <w:t xml:space="preserve"> actively managed, passively managed and for international shares; hedged and unhedged options.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Members can utilise up to 10 investment options at one time. </w:t>
            </w:r>
          </w:p>
        </w:tc>
      </w:tr>
      <w:tr w:rsidR="00EA2B69" w:rsidTr="00EA2B69"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t>Switching between investments</w:t>
            </w:r>
          </w:p>
          <w:p w:rsidR="00B63CAC" w:rsidRPr="00A7366E" w:rsidRDefault="00EA2B69" w:rsidP="00EC0926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Paper only. </w:t>
            </w:r>
            <w:r w:rsidR="00525942">
              <w:rPr>
                <w:rFonts w:cs="Arial"/>
                <w:b w:val="0"/>
                <w:sz w:val="22"/>
                <w:szCs w:val="22"/>
              </w:rPr>
              <w:t>As set out on NTGPASS forms, switches m</w:t>
            </w:r>
            <w:r w:rsidRPr="00A7366E">
              <w:rPr>
                <w:rFonts w:cs="Arial"/>
                <w:b w:val="0"/>
                <w:sz w:val="22"/>
                <w:szCs w:val="22"/>
              </w:rPr>
              <w:t>ay take 7 to 30 days to process.</w:t>
            </w:r>
            <w:r w:rsidR="00B63CAC">
              <w:rPr>
                <w:rFonts w:cs="Arial"/>
                <w:b w:val="0"/>
                <w:sz w:val="22"/>
                <w:szCs w:val="22"/>
              </w:rPr>
              <w:br/>
              <w:t>Members are provided with one free switch each financial year, with subsequent switches charged at $35.</w:t>
            </w:r>
          </w:p>
        </w:tc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A7366E">
              <w:rPr>
                <w:rFonts w:cs="Arial"/>
                <w:b w:val="0"/>
                <w:sz w:val="22"/>
                <w:szCs w:val="22"/>
              </w:rPr>
              <w:t>Switches processed same day when done via Member Online before 3pm.</w:t>
            </w:r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EC0926">
              <w:rPr>
                <w:rFonts w:cs="Arial"/>
                <w:b w:val="0"/>
                <w:sz w:val="22"/>
                <w:szCs w:val="22"/>
              </w:rPr>
              <w:t>2 days for paper-</w:t>
            </w:r>
            <w:r w:rsidRPr="00A7366E">
              <w:rPr>
                <w:rFonts w:cs="Arial"/>
                <w:b w:val="0"/>
                <w:sz w:val="22"/>
                <w:szCs w:val="22"/>
              </w:rPr>
              <w:t>based switches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B63CAC" w:rsidRDefault="00B63CAC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No fee is charged for investment switches.</w:t>
            </w:r>
          </w:p>
        </w:tc>
      </w:tr>
      <w:tr w:rsidR="00EA2B69" w:rsidTr="00EA2B69"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tabs>
                <w:tab w:val="left" w:pos="1553"/>
              </w:tabs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t>Insurance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A7366E">
              <w:rPr>
                <w:rFonts w:cs="Arial"/>
                <w:b w:val="0"/>
                <w:sz w:val="22"/>
                <w:szCs w:val="22"/>
              </w:rPr>
              <w:t>None available.</w:t>
            </w:r>
          </w:p>
        </w:tc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Cost competitive death, disablement and income protection insurance is a</w:t>
            </w:r>
            <w:r w:rsidRPr="00A7366E">
              <w:rPr>
                <w:rFonts w:cs="Arial"/>
                <w:b w:val="0"/>
                <w:sz w:val="22"/>
                <w:szCs w:val="22"/>
              </w:rPr>
              <w:t>utomatically available</w:t>
            </w:r>
            <w:r>
              <w:rPr>
                <w:rFonts w:cs="Arial"/>
                <w:b w:val="0"/>
                <w:sz w:val="22"/>
                <w:szCs w:val="22"/>
              </w:rPr>
              <w:t xml:space="preserve"> for members up to </w:t>
            </w:r>
            <w:r w:rsidRPr="00CA5C5A">
              <w:rPr>
                <w:rFonts w:cs="Arial"/>
                <w:b w:val="0"/>
                <w:sz w:val="22"/>
                <w:szCs w:val="22"/>
              </w:rPr>
              <w:t xml:space="preserve">age </w:t>
            </w:r>
            <w:r>
              <w:rPr>
                <w:rFonts w:cs="Arial"/>
                <w:b w:val="0"/>
                <w:sz w:val="22"/>
                <w:szCs w:val="22"/>
              </w:rPr>
              <w:t>65</w:t>
            </w:r>
            <w:r w:rsidRPr="00A7366E">
              <w:rPr>
                <w:rFonts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EA2B69" w:rsidRPr="00053D7F" w:rsidTr="00EA2B69">
        <w:tc>
          <w:tcPr>
            <w:tcW w:w="5103" w:type="dxa"/>
          </w:tcPr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053D7F">
              <w:rPr>
                <w:rFonts w:cs="Arial"/>
                <w:b w:val="0"/>
                <w:sz w:val="22"/>
                <w:szCs w:val="22"/>
                <w:u w:val="single"/>
              </w:rPr>
              <w:t>Early release of benefits</w:t>
            </w: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053D7F">
              <w:rPr>
                <w:rFonts w:cs="Arial"/>
                <w:b w:val="0"/>
                <w:sz w:val="22"/>
                <w:szCs w:val="22"/>
              </w:rPr>
              <w:t xml:space="preserve">Terminal illness </w:t>
            </w:r>
            <w:r>
              <w:rPr>
                <w:rFonts w:cs="Arial"/>
                <w:b w:val="0"/>
                <w:sz w:val="22"/>
                <w:szCs w:val="22"/>
              </w:rPr>
              <w:t>– allowed</w:t>
            </w: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T</w:t>
            </w:r>
            <w:r w:rsidRPr="00053D7F">
              <w:rPr>
                <w:rFonts w:cs="Arial"/>
                <w:b w:val="0"/>
                <w:sz w:val="22"/>
                <w:szCs w:val="22"/>
              </w:rPr>
              <w:t xml:space="preserve">otal and permanent disablement </w:t>
            </w:r>
            <w:r>
              <w:rPr>
                <w:rFonts w:cs="Arial"/>
                <w:b w:val="0"/>
                <w:sz w:val="22"/>
                <w:szCs w:val="22"/>
              </w:rPr>
              <w:t>– allowed</w:t>
            </w: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Compassionate grounds – not allowed</w:t>
            </w:r>
          </w:p>
          <w:p w:rsidR="00EA2B69" w:rsidRPr="00053D7F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>
              <w:rPr>
                <w:rFonts w:cs="Arial"/>
                <w:b w:val="0"/>
                <w:sz w:val="22"/>
                <w:szCs w:val="22"/>
              </w:rPr>
              <w:t>Severe financial hardship – not allowed</w:t>
            </w:r>
          </w:p>
        </w:tc>
        <w:tc>
          <w:tcPr>
            <w:tcW w:w="5103" w:type="dxa"/>
          </w:tcPr>
          <w:p w:rsidR="00EA2B69" w:rsidRPr="00053D7F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053D7F">
              <w:rPr>
                <w:rFonts w:cs="Arial"/>
                <w:b w:val="0"/>
                <w:sz w:val="22"/>
                <w:szCs w:val="22"/>
              </w:rPr>
              <w:t xml:space="preserve">Terminal illness </w:t>
            </w:r>
            <w:r>
              <w:rPr>
                <w:rFonts w:cs="Arial"/>
                <w:b w:val="0"/>
                <w:sz w:val="22"/>
                <w:szCs w:val="22"/>
              </w:rPr>
              <w:t>– allowed</w:t>
            </w: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T</w:t>
            </w:r>
            <w:r w:rsidRPr="00053D7F">
              <w:rPr>
                <w:rFonts w:cs="Arial"/>
                <w:b w:val="0"/>
                <w:sz w:val="22"/>
                <w:szCs w:val="22"/>
              </w:rPr>
              <w:t xml:space="preserve">otal and permanent disablement </w:t>
            </w:r>
            <w:r>
              <w:rPr>
                <w:rFonts w:cs="Arial"/>
                <w:b w:val="0"/>
                <w:sz w:val="22"/>
                <w:szCs w:val="22"/>
              </w:rPr>
              <w:t>– allowed</w:t>
            </w: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Compassionate grounds – allowed</w:t>
            </w:r>
          </w:p>
          <w:p w:rsidR="00EA2B69" w:rsidRPr="00053D7F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Severe financial hardship – not allowed</w:t>
            </w:r>
          </w:p>
        </w:tc>
      </w:tr>
      <w:tr w:rsidR="00EA2B69" w:rsidTr="00EA2B69"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lastRenderedPageBreak/>
              <w:t>Financial advice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A7366E">
              <w:rPr>
                <w:rFonts w:cs="Arial"/>
                <w:b w:val="0"/>
                <w:sz w:val="22"/>
                <w:szCs w:val="22"/>
              </w:rPr>
              <w:t>None available.</w:t>
            </w:r>
          </w:p>
        </w:tc>
        <w:tc>
          <w:tcPr>
            <w:tcW w:w="5103" w:type="dxa"/>
          </w:tcPr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Available over the phone via the Member Advice Centre. 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General and/or personal advice provided by the Centre </w:t>
            </w:r>
            <w:r>
              <w:rPr>
                <w:rFonts w:cs="Arial"/>
                <w:b w:val="0"/>
                <w:sz w:val="22"/>
                <w:szCs w:val="22"/>
              </w:rPr>
              <w:t xml:space="preserve">is given free of </w:t>
            </w:r>
            <w:r w:rsidRPr="001C1BE9">
              <w:rPr>
                <w:rFonts w:cs="Arial"/>
                <w:b w:val="0"/>
                <w:sz w:val="22"/>
                <w:szCs w:val="22"/>
              </w:rPr>
              <w:t>charge to members</w:t>
            </w:r>
            <w:r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EA2B69" w:rsidRPr="001C1BE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proofErr w:type="spellStart"/>
            <w:r>
              <w:rPr>
                <w:rFonts w:cs="Arial"/>
                <w:b w:val="0"/>
                <w:sz w:val="22"/>
                <w:szCs w:val="22"/>
              </w:rPr>
              <w:t>Sunsuper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also has 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face meetings </w:t>
            </w:r>
            <w:r>
              <w:rPr>
                <w:rFonts w:cs="Arial"/>
                <w:b w:val="0"/>
                <w:sz w:val="22"/>
                <w:szCs w:val="22"/>
              </w:rPr>
              <w:t xml:space="preserve">using its 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own team of financial planners, </w:t>
            </w:r>
            <w:r>
              <w:rPr>
                <w:rFonts w:cs="Arial"/>
                <w:b w:val="0"/>
                <w:sz w:val="22"/>
                <w:szCs w:val="22"/>
              </w:rPr>
              <w:t>as well as external financial planners (appointed to its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 National Advice Panel (NAP)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. The NAP </w:t>
            </w:r>
            <w:r>
              <w:rPr>
                <w:rFonts w:cs="Arial"/>
                <w:b w:val="0"/>
                <w:sz w:val="22"/>
                <w:szCs w:val="22"/>
              </w:rPr>
              <w:t>includes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 Darwin</w:t>
            </w:r>
            <w:r>
              <w:rPr>
                <w:rFonts w:cs="Arial"/>
                <w:b w:val="0"/>
                <w:sz w:val="22"/>
                <w:szCs w:val="22"/>
              </w:rPr>
              <w:t xml:space="preserve"> firm, All Financial Services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. 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1C1BE9">
              <w:rPr>
                <w:rFonts w:cs="Arial"/>
                <w:b w:val="0"/>
                <w:sz w:val="22"/>
                <w:szCs w:val="22"/>
              </w:rPr>
              <w:t xml:space="preserve">The cost of comprehensive financial plans prepared in conjunction with meetings with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Sunsuper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and members of its NAP are generally capped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 to $1</w:t>
            </w:r>
            <w:r>
              <w:rPr>
                <w:rFonts w:cs="Arial"/>
                <w:b w:val="0"/>
                <w:sz w:val="22"/>
                <w:szCs w:val="22"/>
              </w:rPr>
              <w:t> </w:t>
            </w:r>
            <w:r w:rsidRPr="001C1BE9">
              <w:rPr>
                <w:rFonts w:cs="Arial"/>
                <w:b w:val="0"/>
                <w:sz w:val="22"/>
                <w:szCs w:val="22"/>
              </w:rPr>
              <w:t xml:space="preserve">200. </w:t>
            </w:r>
          </w:p>
        </w:tc>
      </w:tr>
      <w:tr w:rsidR="00EA2B69" w:rsidTr="00EA2B69"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t>Permitted contributions</w:t>
            </w: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Employer/super guarantee contributions </w:t>
            </w: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t>not</w:t>
            </w:r>
            <w:r>
              <w:rPr>
                <w:rFonts w:cs="Arial"/>
                <w:b w:val="0"/>
                <w:sz w:val="22"/>
                <w:szCs w:val="22"/>
              </w:rPr>
              <w:t xml:space="preserve"> permitted.</w:t>
            </w: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Cannot accept salary sacrificed contributions.</w:t>
            </w:r>
          </w:p>
          <w:p w:rsidR="00EA2B69" w:rsidRDefault="00525942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Retained accounts for former</w:t>
            </w:r>
            <w:r w:rsidR="00EA2B69">
              <w:rPr>
                <w:rFonts w:cs="Arial"/>
                <w:b w:val="0"/>
                <w:sz w:val="22"/>
                <w:szCs w:val="22"/>
              </w:rPr>
              <w:t xml:space="preserve"> employee</w:t>
            </w:r>
            <w:r>
              <w:rPr>
                <w:rFonts w:cs="Arial"/>
                <w:b w:val="0"/>
                <w:sz w:val="22"/>
                <w:szCs w:val="22"/>
              </w:rPr>
              <w:t>s</w:t>
            </w:r>
            <w:r w:rsidR="00EA2B69">
              <w:rPr>
                <w:rFonts w:cs="Arial"/>
                <w:b w:val="0"/>
                <w:sz w:val="22"/>
                <w:szCs w:val="22"/>
              </w:rPr>
              <w:t xml:space="preserve"> can only accept contributions for the member themselves.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Spouse accounts can accept contributions from both the member and their spouse.</w:t>
            </w:r>
          </w:p>
        </w:tc>
        <w:tc>
          <w:tcPr>
            <w:tcW w:w="5103" w:type="dxa"/>
          </w:tcPr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Can accept employer/super guarantee contributions.</w:t>
            </w:r>
          </w:p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Can accept salary sacrificed contributions.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Can accept personal contributions from members and their spouses.</w:t>
            </w:r>
          </w:p>
        </w:tc>
      </w:tr>
      <w:tr w:rsidR="00EA2B69" w:rsidTr="00EA2B69">
        <w:tc>
          <w:tcPr>
            <w:tcW w:w="5103" w:type="dxa"/>
          </w:tcPr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  <w:u w:val="single"/>
              </w:rPr>
            </w:pPr>
            <w:r w:rsidRPr="00A7366E">
              <w:rPr>
                <w:rFonts w:cs="Arial"/>
                <w:b w:val="0"/>
                <w:sz w:val="22"/>
                <w:szCs w:val="22"/>
                <w:u w:val="single"/>
              </w:rPr>
              <w:t>Pension product</w:t>
            </w: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Closed in April 2014, with accounts transferred to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AustralianSuper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on 1 February 2015.</w:t>
            </w:r>
          </w:p>
        </w:tc>
        <w:tc>
          <w:tcPr>
            <w:tcW w:w="5103" w:type="dxa"/>
          </w:tcPr>
          <w:p w:rsidR="00EA2B69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EA2B69" w:rsidRPr="00A7366E" w:rsidRDefault="00EA2B69" w:rsidP="008B5E17">
            <w:pPr>
              <w:pStyle w:val="AMLHeader0"/>
              <w:numPr>
                <w:ilvl w:val="0"/>
                <w:numId w:val="0"/>
              </w:numPr>
              <w:spacing w:before="120"/>
              <w:outlineLvl w:val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Offers</w:t>
            </w:r>
            <w:r w:rsidR="00525942">
              <w:rPr>
                <w:rFonts w:cs="Arial"/>
                <w:b w:val="0"/>
                <w:sz w:val="22"/>
                <w:szCs w:val="22"/>
              </w:rPr>
              <w:t xml:space="preserve"> an</w:t>
            </w:r>
            <w:r>
              <w:rPr>
                <w:rFonts w:cs="Arial"/>
                <w:b w:val="0"/>
                <w:sz w:val="22"/>
                <w:szCs w:val="22"/>
              </w:rPr>
              <w:t xml:space="preserve"> account-based pension product.</w:t>
            </w:r>
          </w:p>
        </w:tc>
      </w:tr>
    </w:tbl>
    <w:p w:rsidR="00EA2B69" w:rsidRDefault="00EA2B69" w:rsidP="00525942"/>
    <w:sectPr w:rsidR="00EA2B69" w:rsidSect="00EA2B69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46" w:rsidRDefault="001F6F46" w:rsidP="000E6CBE">
      <w:pPr>
        <w:spacing w:after="0" w:line="240" w:lineRule="auto"/>
      </w:pPr>
      <w:r>
        <w:separator/>
      </w:r>
    </w:p>
  </w:endnote>
  <w:endnote w:type="continuationSeparator" w:id="0">
    <w:p w:rsidR="001F6F46" w:rsidRDefault="001F6F46" w:rsidP="000E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A" w:rsidRPr="005E64BA" w:rsidRDefault="00F561CE" w:rsidP="005E64BA">
    <w:pPr>
      <w:tabs>
        <w:tab w:val="right" w:pos="9498"/>
      </w:tabs>
      <w:spacing w:before="40" w:after="0" w:line="240" w:lineRule="auto"/>
      <w:jc w:val="center"/>
      <w:rPr>
        <w:rFonts w:ascii="Arial" w:eastAsia="Times New Roman" w:hAnsi="Arial" w:cs="Arial"/>
        <w:sz w:val="18"/>
        <w:szCs w:val="18"/>
        <w:lang w:eastAsia="en-AU"/>
      </w:rPr>
    </w:pP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>Location:</w:t>
    </w:r>
    <w:r w:rsidRPr="005E64BA">
      <w:rPr>
        <w:rFonts w:ascii="Arial" w:eastAsia="Times New Roman" w:hAnsi="Arial" w:cs="Arial"/>
        <w:noProof/>
        <w:spacing w:val="-6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62625" wp14:editId="71A207D2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515100" cy="6350"/>
              <wp:effectExtent l="9525" t="8890" r="9525" b="13335"/>
              <wp:wrapNone/>
              <wp:docPr id="2" name="Line 6" descr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alt="Line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" strokeweight=".5pt"/>
          </w:pict>
        </mc:Fallback>
      </mc:AlternateConten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</w:t>
    </w:r>
    <w:r w:rsidR="00D569A8">
      <w:rPr>
        <w:rFonts w:ascii="Arial" w:eastAsia="Times New Roman" w:hAnsi="Arial" w:cs="Arial"/>
        <w:spacing w:val="-6"/>
        <w:sz w:val="18"/>
        <w:szCs w:val="18"/>
        <w:lang w:eastAsia="en-AU"/>
      </w:rPr>
      <w:t>Floor 11 Charles Darwin Centre, 19 The Mall</w: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, DARWIN </w:t>
    </w:r>
    <w:proofErr w:type="gramStart"/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>0800  •</w:t>
    </w:r>
    <w:proofErr w:type="gramEnd"/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 Postal: GPO Box 4675</w:t>
    </w:r>
    <w:r w:rsidR="00D569A8">
      <w:rPr>
        <w:rFonts w:ascii="Arial" w:eastAsia="Times New Roman" w:hAnsi="Arial" w:cs="Arial"/>
        <w:spacing w:val="-6"/>
        <w:sz w:val="18"/>
        <w:szCs w:val="18"/>
        <w:lang w:eastAsia="en-AU"/>
      </w:rPr>
      <w:t>,</w: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</w:t>
    </w:r>
    <w:r w:rsidRPr="005E64BA">
      <w:rPr>
        <w:rFonts w:ascii="Arial" w:eastAsia="Times New Roman" w:hAnsi="Arial" w:cs="Arial"/>
        <w:sz w:val="18"/>
        <w:szCs w:val="18"/>
        <w:lang w:eastAsia="en-AU"/>
      </w:rPr>
      <w:t>DARWIN NT 0801</w:t>
    </w:r>
  </w:p>
  <w:p w:rsidR="005E64BA" w:rsidRDefault="00F561CE" w:rsidP="007D1879">
    <w:pPr>
      <w:spacing w:after="0" w:line="240" w:lineRule="auto"/>
      <w:jc w:val="center"/>
    </w:pPr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Telephone: 1800 631 </w:t>
    </w:r>
    <w:proofErr w:type="gramStart"/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630 </w: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•</w:t>
    </w:r>
    <w:proofErr w:type="gramEnd"/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 Fax: (08) 8901 4222  •  </w:t>
    </w:r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Email: </w:t>
    </w:r>
    <w:hyperlink r:id="rId1" w:tooltip="Link to NT Superannuation Office website" w:history="1">
      <w:r w:rsidRPr="005E64BA">
        <w:rPr>
          <w:rFonts w:ascii="Arial" w:eastAsia="Times New Roman" w:hAnsi="Arial" w:cs="Arial"/>
          <w:color w:val="0000FF"/>
          <w:sz w:val="18"/>
          <w:szCs w:val="18"/>
          <w:u w:val="single"/>
          <w:lang w:eastAsia="en-AU"/>
        </w:rPr>
        <w:t>ntsuperannuation@nt.gov.au</w:t>
      </w:r>
    </w:hyperlink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 </w:t>
    </w:r>
    <w:r w:rsidRPr="005E64BA">
      <w:rPr>
        <w:rFonts w:ascii="Arial" w:eastAsia="Times New Roman" w:hAnsi="Arial" w:cs="Arial"/>
        <w:spacing w:val="-6"/>
        <w:sz w:val="18"/>
        <w:szCs w:val="18"/>
        <w:lang w:eastAsia="en-AU"/>
      </w:rPr>
      <w:t xml:space="preserve"> •  W</w:t>
    </w:r>
    <w:r w:rsidRPr="005E64BA">
      <w:rPr>
        <w:rFonts w:ascii="Arial" w:eastAsia="Times New Roman" w:hAnsi="Arial" w:cs="Arial"/>
        <w:sz w:val="18"/>
        <w:szCs w:val="18"/>
        <w:lang w:eastAsia="en-AU"/>
      </w:rPr>
      <w:t xml:space="preserve">ebsite: </w:t>
    </w:r>
    <w:hyperlink r:id="rId2" w:tooltip="Link to NT Superannuation Office email" w:history="1">
      <w:r w:rsidRPr="005E64BA">
        <w:rPr>
          <w:rFonts w:ascii="Arial" w:eastAsia="Times New Roman" w:hAnsi="Arial" w:cs="Arial"/>
          <w:color w:val="0000FF"/>
          <w:sz w:val="18"/>
          <w:szCs w:val="18"/>
          <w:u w:val="single"/>
          <w:lang w:eastAsia="en-AU"/>
        </w:rPr>
        <w:t>www.super.nt.gov.au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AC" w:rsidRPr="00B63CAC" w:rsidRDefault="00B63CAC" w:rsidP="00B63C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46" w:rsidRDefault="001F6F46" w:rsidP="000E6CBE">
      <w:pPr>
        <w:spacing w:after="0" w:line="240" w:lineRule="auto"/>
      </w:pPr>
      <w:r>
        <w:separator/>
      </w:r>
    </w:p>
  </w:footnote>
  <w:footnote w:type="continuationSeparator" w:id="0">
    <w:p w:rsidR="001F6F46" w:rsidRDefault="001F6F46" w:rsidP="000E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EA" w:rsidRDefault="00F561CE" w:rsidP="005E64BA">
    <w:pPr>
      <w:pStyle w:val="Header"/>
      <w:tabs>
        <w:tab w:val="clear" w:pos="4513"/>
        <w:tab w:val="clear" w:pos="9026"/>
        <w:tab w:val="left" w:pos="3870"/>
      </w:tabs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0" allowOverlap="1" wp14:anchorId="10693453" wp14:editId="2F0914F7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7221220" cy="895985"/>
          <wp:effectExtent l="0" t="0" r="0" b="0"/>
          <wp:wrapNone/>
          <wp:docPr id="4" name="Picture 4" descr="New NTTF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NTTF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2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tab/>
    </w:r>
  </w:p>
  <w:p w:rsidR="00E26FEA" w:rsidRDefault="002954BD" w:rsidP="005E64BA">
    <w:pPr>
      <w:pStyle w:val="Header"/>
      <w:tabs>
        <w:tab w:val="clear" w:pos="4513"/>
        <w:tab w:val="clear" w:pos="9026"/>
        <w:tab w:val="left" w:pos="3870"/>
      </w:tabs>
      <w:jc w:val="right"/>
    </w:pPr>
  </w:p>
  <w:p w:rsidR="00E26FEA" w:rsidRDefault="002954BD" w:rsidP="005E64BA">
    <w:pPr>
      <w:pStyle w:val="Header"/>
      <w:tabs>
        <w:tab w:val="clear" w:pos="4513"/>
        <w:tab w:val="clear" w:pos="9026"/>
        <w:tab w:val="left" w:pos="3870"/>
      </w:tabs>
      <w:jc w:val="right"/>
    </w:pPr>
  </w:p>
  <w:p w:rsidR="00E26FEA" w:rsidRDefault="002954BD" w:rsidP="005E64BA">
    <w:pPr>
      <w:pStyle w:val="Header"/>
      <w:tabs>
        <w:tab w:val="clear" w:pos="4513"/>
        <w:tab w:val="clear" w:pos="9026"/>
        <w:tab w:val="left" w:pos="3870"/>
      </w:tabs>
      <w:jc w:val="right"/>
    </w:pPr>
  </w:p>
  <w:bookmarkEnd w:id="0"/>
  <w:p w:rsidR="005E64BA" w:rsidRPr="00616C30" w:rsidRDefault="000E6CBE" w:rsidP="005E64BA">
    <w:pPr>
      <w:pStyle w:val="Header"/>
      <w:tabs>
        <w:tab w:val="clear" w:pos="4513"/>
        <w:tab w:val="clear" w:pos="9026"/>
        <w:tab w:val="left" w:pos="3870"/>
      </w:tabs>
      <w:jc w:val="right"/>
      <w:rPr>
        <w:rFonts w:ascii="Arial" w:hAnsi="Arial" w:cs="Arial"/>
        <w:sz w:val="18"/>
        <w:szCs w:val="18"/>
      </w:rPr>
    </w:pPr>
    <w:r w:rsidRPr="00616C30">
      <w:rPr>
        <w:rFonts w:ascii="Arial" w:hAnsi="Arial" w:cs="Arial"/>
        <w:sz w:val="18"/>
        <w:szCs w:val="18"/>
      </w:rPr>
      <w:t>NTG-</w:t>
    </w:r>
    <w:r w:rsidR="007D1879">
      <w:rPr>
        <w:rFonts w:ascii="Arial" w:hAnsi="Arial" w:cs="Arial"/>
        <w:sz w:val="18"/>
        <w:szCs w:val="18"/>
      </w:rPr>
      <w:t>SFT-</w:t>
    </w:r>
    <w:r w:rsidR="00EA2B69">
      <w:rPr>
        <w:rFonts w:ascii="Arial" w:hAnsi="Arial" w:cs="Arial"/>
        <w:sz w:val="18"/>
        <w:szCs w:val="18"/>
      </w:rPr>
      <w:t>B02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AC" w:rsidRPr="00B63CAC" w:rsidRDefault="00B63CAC" w:rsidP="00B63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475F"/>
    <w:multiLevelType w:val="multilevel"/>
    <w:tmpl w:val="82206396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332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73" w:hanging="7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1">
    <w:nsid w:val="42917A6B"/>
    <w:multiLevelType w:val="hybridMultilevel"/>
    <w:tmpl w:val="7AFCB4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FB0B71"/>
    <w:multiLevelType w:val="hybridMultilevel"/>
    <w:tmpl w:val="82208732"/>
    <w:lvl w:ilvl="0" w:tplc="1902B30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4e0APwokcC814BdigcOOYrv+QrA=" w:salt="enGXLDGKYNMp/GVfgrSC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E"/>
    <w:rsid w:val="0001420E"/>
    <w:rsid w:val="000E6CBE"/>
    <w:rsid w:val="00122C62"/>
    <w:rsid w:val="00146CC6"/>
    <w:rsid w:val="001C5C8B"/>
    <w:rsid w:val="001F4A5E"/>
    <w:rsid w:val="001F6F46"/>
    <w:rsid w:val="00201F16"/>
    <w:rsid w:val="002360DA"/>
    <w:rsid w:val="00260DFC"/>
    <w:rsid w:val="002954BD"/>
    <w:rsid w:val="002A0C4D"/>
    <w:rsid w:val="002D024D"/>
    <w:rsid w:val="003617F5"/>
    <w:rsid w:val="00363508"/>
    <w:rsid w:val="00461565"/>
    <w:rsid w:val="004D6A10"/>
    <w:rsid w:val="00525942"/>
    <w:rsid w:val="00553A76"/>
    <w:rsid w:val="00561977"/>
    <w:rsid w:val="005B0E91"/>
    <w:rsid w:val="00616C30"/>
    <w:rsid w:val="00652DAD"/>
    <w:rsid w:val="00686857"/>
    <w:rsid w:val="006D1454"/>
    <w:rsid w:val="00761D5F"/>
    <w:rsid w:val="007961B5"/>
    <w:rsid w:val="007B6BA7"/>
    <w:rsid w:val="007D1879"/>
    <w:rsid w:val="00814178"/>
    <w:rsid w:val="00833A7C"/>
    <w:rsid w:val="0086674E"/>
    <w:rsid w:val="00885079"/>
    <w:rsid w:val="008A38DB"/>
    <w:rsid w:val="0091202E"/>
    <w:rsid w:val="00930A3E"/>
    <w:rsid w:val="009415B4"/>
    <w:rsid w:val="009B31DB"/>
    <w:rsid w:val="009C5930"/>
    <w:rsid w:val="00A47788"/>
    <w:rsid w:val="00A817CE"/>
    <w:rsid w:val="00AB270D"/>
    <w:rsid w:val="00B403F9"/>
    <w:rsid w:val="00B63CAC"/>
    <w:rsid w:val="00B70238"/>
    <w:rsid w:val="00BE2D80"/>
    <w:rsid w:val="00C13566"/>
    <w:rsid w:val="00C34D41"/>
    <w:rsid w:val="00C62FAE"/>
    <w:rsid w:val="00C67841"/>
    <w:rsid w:val="00C8172C"/>
    <w:rsid w:val="00D011F1"/>
    <w:rsid w:val="00D26FE3"/>
    <w:rsid w:val="00D50644"/>
    <w:rsid w:val="00D569A8"/>
    <w:rsid w:val="00EA2B69"/>
    <w:rsid w:val="00EC0926"/>
    <w:rsid w:val="00EF3980"/>
    <w:rsid w:val="00F225CA"/>
    <w:rsid w:val="00F3453B"/>
    <w:rsid w:val="00F561CE"/>
    <w:rsid w:val="00FA1041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79"/>
  </w:style>
  <w:style w:type="paragraph" w:styleId="Heading1">
    <w:name w:val="heading 1"/>
    <w:basedOn w:val="Normal"/>
    <w:next w:val="Normal"/>
    <w:link w:val="Heading1Char"/>
    <w:uiPriority w:val="9"/>
    <w:qFormat/>
    <w:rsid w:val="00885079"/>
    <w:pPr>
      <w:spacing w:before="120" w:after="120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857"/>
    <w:pPr>
      <w:spacing w:before="120" w:after="60"/>
      <w:outlineLvl w:val="1"/>
    </w:pPr>
    <w:rPr>
      <w:rFonts w:ascii="Arial Bold" w:hAnsi="Arial Bold" w:cs="Arial"/>
      <w:b/>
      <w:spacing w:val="-2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686857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BE"/>
  </w:style>
  <w:style w:type="paragraph" w:styleId="Footer">
    <w:name w:val="footer"/>
    <w:basedOn w:val="Normal"/>
    <w:link w:val="FooterChar"/>
    <w:uiPriority w:val="99"/>
    <w:unhideWhenUsed/>
    <w:rsid w:val="000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BE"/>
  </w:style>
  <w:style w:type="paragraph" w:styleId="ListParagraph">
    <w:name w:val="List Paragraph"/>
    <w:basedOn w:val="Normal"/>
    <w:uiPriority w:val="34"/>
    <w:qFormat/>
    <w:rsid w:val="00686857"/>
    <w:pPr>
      <w:numPr>
        <w:numId w:val="1"/>
      </w:numPr>
      <w:spacing w:before="60" w:after="120"/>
      <w:ind w:left="284" w:hanging="284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E6CBE"/>
    <w:rPr>
      <w:color w:val="0000FF" w:themeColor="hyperlink"/>
      <w:u w:val="single"/>
    </w:rPr>
  </w:style>
  <w:style w:type="paragraph" w:customStyle="1" w:styleId="NTSOBodyText">
    <w:name w:val="NTSO Body Text"/>
    <w:basedOn w:val="Normal"/>
    <w:rsid w:val="00686857"/>
    <w:pPr>
      <w:spacing w:before="60" w:after="12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4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5079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86857"/>
    <w:rPr>
      <w:rFonts w:ascii="Arial Bold" w:hAnsi="Arial Bold" w:cs="Arial"/>
      <w:b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857"/>
    <w:rPr>
      <w:rFonts w:ascii="Arial Bold" w:hAnsi="Arial Bold" w:cs="Arial"/>
      <w:b/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553A76"/>
    <w:rPr>
      <w:color w:val="800080" w:themeColor="followedHyperlink"/>
      <w:u w:val="single"/>
    </w:rPr>
  </w:style>
  <w:style w:type="paragraph" w:customStyle="1" w:styleId="NTTBodyText">
    <w:name w:val="NTT Body Text"/>
    <w:link w:val="NTTBodyTextChar"/>
    <w:rsid w:val="007D1879"/>
    <w:pPr>
      <w:spacing w:after="0" w:line="300" w:lineRule="exact"/>
    </w:pPr>
    <w:rPr>
      <w:rFonts w:ascii="Arial" w:eastAsia="Times New Roman" w:hAnsi="Arial" w:cs="Times New Roman"/>
      <w:szCs w:val="24"/>
      <w:lang w:eastAsia="en-AU"/>
    </w:rPr>
  </w:style>
  <w:style w:type="character" w:customStyle="1" w:styleId="NTTBodyTextChar">
    <w:name w:val="NTT Body Text Char"/>
    <w:basedOn w:val="DefaultParagraphFont"/>
    <w:link w:val="NTTBodyText"/>
    <w:rsid w:val="007D1879"/>
    <w:rPr>
      <w:rFonts w:ascii="Arial" w:eastAsia="Times New Roman" w:hAnsi="Arial" w:cs="Times New Roman"/>
      <w:szCs w:val="24"/>
      <w:lang w:eastAsia="en-AU"/>
    </w:rPr>
  </w:style>
  <w:style w:type="paragraph" w:customStyle="1" w:styleId="StyleHeading4Hanging159cm">
    <w:name w:val="Style Heading 4 + Hanging:  1.59 cm"/>
    <w:basedOn w:val="Heading4"/>
    <w:next w:val="Heading4"/>
    <w:autoRedefine/>
    <w:qFormat/>
    <w:rsid w:val="00EA2B69"/>
    <w:pPr>
      <w:keepNext w:val="0"/>
      <w:keepLines w:val="0"/>
      <w:spacing w:before="240" w:after="480" w:line="240" w:lineRule="auto"/>
      <w:ind w:left="1800" w:hanging="360"/>
    </w:pPr>
    <w:rPr>
      <w:rFonts w:ascii="Arial" w:eastAsia="Times New Roman" w:hAnsi="Arial" w:cs="Times New Roman"/>
      <w:i w:val="0"/>
      <w:iCs w:val="0"/>
      <w:color w:val="auto"/>
      <w:sz w:val="20"/>
      <w:szCs w:val="20"/>
      <w:lang w:eastAsia="en-AU"/>
    </w:rPr>
  </w:style>
  <w:style w:type="paragraph" w:customStyle="1" w:styleId="AMLHeader">
    <w:name w:val="AML  Header #."/>
    <w:basedOn w:val="Heading2"/>
    <w:rsid w:val="00EA2B69"/>
    <w:pPr>
      <w:keepNext/>
      <w:pageBreakBefore/>
      <w:tabs>
        <w:tab w:val="left" w:pos="1259"/>
      </w:tabs>
      <w:spacing w:before="240" w:line="240" w:lineRule="auto"/>
      <w:ind w:left="1264" w:hanging="1049"/>
    </w:pPr>
    <w:rPr>
      <w:rFonts w:ascii="Arial" w:eastAsia="Times New Roman" w:hAnsi="Arial"/>
      <w:bCs/>
      <w:iCs/>
      <w:spacing w:val="0"/>
      <w:sz w:val="28"/>
      <w:szCs w:val="28"/>
      <w:lang w:eastAsia="en-AU"/>
    </w:rPr>
  </w:style>
  <w:style w:type="paragraph" w:customStyle="1" w:styleId="AMLHeader0">
    <w:name w:val="AML  Header #.#.#"/>
    <w:basedOn w:val="StyleHeading4Hanging159cm"/>
    <w:rsid w:val="00EA2B69"/>
    <w:pPr>
      <w:numPr>
        <w:ilvl w:val="2"/>
      </w:numPr>
      <w:spacing w:after="120"/>
      <w:ind w:left="1800" w:hanging="360"/>
    </w:pPr>
  </w:style>
  <w:style w:type="table" w:styleId="TableGrid">
    <w:name w:val="Table Grid"/>
    <w:basedOn w:val="TableNormal"/>
    <w:rsid w:val="00EA2B6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A2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79"/>
  </w:style>
  <w:style w:type="paragraph" w:styleId="Heading1">
    <w:name w:val="heading 1"/>
    <w:basedOn w:val="Normal"/>
    <w:next w:val="Normal"/>
    <w:link w:val="Heading1Char"/>
    <w:uiPriority w:val="9"/>
    <w:qFormat/>
    <w:rsid w:val="00885079"/>
    <w:pPr>
      <w:spacing w:before="120" w:after="120"/>
      <w:jc w:val="center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857"/>
    <w:pPr>
      <w:spacing w:before="120" w:after="60"/>
      <w:outlineLvl w:val="1"/>
    </w:pPr>
    <w:rPr>
      <w:rFonts w:ascii="Arial Bold" w:hAnsi="Arial Bold" w:cs="Arial"/>
      <w:b/>
      <w:spacing w:val="-2"/>
      <w:sz w:val="24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rsid w:val="00686857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B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BE"/>
  </w:style>
  <w:style w:type="paragraph" w:styleId="Footer">
    <w:name w:val="footer"/>
    <w:basedOn w:val="Normal"/>
    <w:link w:val="FooterChar"/>
    <w:uiPriority w:val="99"/>
    <w:unhideWhenUsed/>
    <w:rsid w:val="000E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BE"/>
  </w:style>
  <w:style w:type="paragraph" w:styleId="ListParagraph">
    <w:name w:val="List Paragraph"/>
    <w:basedOn w:val="Normal"/>
    <w:uiPriority w:val="34"/>
    <w:qFormat/>
    <w:rsid w:val="00686857"/>
    <w:pPr>
      <w:numPr>
        <w:numId w:val="1"/>
      </w:numPr>
      <w:spacing w:before="60" w:after="120"/>
      <w:ind w:left="284" w:hanging="284"/>
      <w:contextualSpacing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0E6CBE"/>
    <w:rPr>
      <w:color w:val="0000FF" w:themeColor="hyperlink"/>
      <w:u w:val="single"/>
    </w:rPr>
  </w:style>
  <w:style w:type="paragraph" w:customStyle="1" w:styleId="NTSOBodyText">
    <w:name w:val="NTSO Body Text"/>
    <w:basedOn w:val="Normal"/>
    <w:rsid w:val="00686857"/>
    <w:pPr>
      <w:spacing w:before="60" w:after="12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41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5079"/>
    <w:rPr>
      <w:rFonts w:ascii="Arial" w:hAnsi="Arial" w:cs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86857"/>
    <w:rPr>
      <w:rFonts w:ascii="Arial Bold" w:hAnsi="Arial Bold" w:cs="Arial"/>
      <w:b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6857"/>
    <w:rPr>
      <w:rFonts w:ascii="Arial Bold" w:hAnsi="Arial Bold" w:cs="Arial"/>
      <w:b/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553A76"/>
    <w:rPr>
      <w:color w:val="800080" w:themeColor="followedHyperlink"/>
      <w:u w:val="single"/>
    </w:rPr>
  </w:style>
  <w:style w:type="paragraph" w:customStyle="1" w:styleId="NTTBodyText">
    <w:name w:val="NTT Body Text"/>
    <w:link w:val="NTTBodyTextChar"/>
    <w:rsid w:val="007D1879"/>
    <w:pPr>
      <w:spacing w:after="0" w:line="300" w:lineRule="exact"/>
    </w:pPr>
    <w:rPr>
      <w:rFonts w:ascii="Arial" w:eastAsia="Times New Roman" w:hAnsi="Arial" w:cs="Times New Roman"/>
      <w:szCs w:val="24"/>
      <w:lang w:eastAsia="en-AU"/>
    </w:rPr>
  </w:style>
  <w:style w:type="character" w:customStyle="1" w:styleId="NTTBodyTextChar">
    <w:name w:val="NTT Body Text Char"/>
    <w:basedOn w:val="DefaultParagraphFont"/>
    <w:link w:val="NTTBodyText"/>
    <w:rsid w:val="007D1879"/>
    <w:rPr>
      <w:rFonts w:ascii="Arial" w:eastAsia="Times New Roman" w:hAnsi="Arial" w:cs="Times New Roman"/>
      <w:szCs w:val="24"/>
      <w:lang w:eastAsia="en-AU"/>
    </w:rPr>
  </w:style>
  <w:style w:type="paragraph" w:customStyle="1" w:styleId="StyleHeading4Hanging159cm">
    <w:name w:val="Style Heading 4 + Hanging:  1.59 cm"/>
    <w:basedOn w:val="Heading4"/>
    <w:next w:val="Heading4"/>
    <w:autoRedefine/>
    <w:qFormat/>
    <w:rsid w:val="00EA2B69"/>
    <w:pPr>
      <w:keepNext w:val="0"/>
      <w:keepLines w:val="0"/>
      <w:spacing w:before="240" w:after="480" w:line="240" w:lineRule="auto"/>
      <w:ind w:left="1800" w:hanging="360"/>
    </w:pPr>
    <w:rPr>
      <w:rFonts w:ascii="Arial" w:eastAsia="Times New Roman" w:hAnsi="Arial" w:cs="Times New Roman"/>
      <w:i w:val="0"/>
      <w:iCs w:val="0"/>
      <w:color w:val="auto"/>
      <w:sz w:val="20"/>
      <w:szCs w:val="20"/>
      <w:lang w:eastAsia="en-AU"/>
    </w:rPr>
  </w:style>
  <w:style w:type="paragraph" w:customStyle="1" w:styleId="AMLHeader">
    <w:name w:val="AML  Header #."/>
    <w:basedOn w:val="Heading2"/>
    <w:rsid w:val="00EA2B69"/>
    <w:pPr>
      <w:keepNext/>
      <w:pageBreakBefore/>
      <w:tabs>
        <w:tab w:val="left" w:pos="1259"/>
      </w:tabs>
      <w:spacing w:before="240" w:line="240" w:lineRule="auto"/>
      <w:ind w:left="1264" w:hanging="1049"/>
    </w:pPr>
    <w:rPr>
      <w:rFonts w:ascii="Arial" w:eastAsia="Times New Roman" w:hAnsi="Arial"/>
      <w:bCs/>
      <w:iCs/>
      <w:spacing w:val="0"/>
      <w:sz w:val="28"/>
      <w:szCs w:val="28"/>
      <w:lang w:eastAsia="en-AU"/>
    </w:rPr>
  </w:style>
  <w:style w:type="paragraph" w:customStyle="1" w:styleId="AMLHeader0">
    <w:name w:val="AML  Header #.#.#"/>
    <w:basedOn w:val="StyleHeading4Hanging159cm"/>
    <w:rsid w:val="00EA2B69"/>
    <w:pPr>
      <w:numPr>
        <w:ilvl w:val="2"/>
      </w:numPr>
      <w:spacing w:after="120"/>
      <w:ind w:left="1800" w:hanging="360"/>
    </w:pPr>
  </w:style>
  <w:style w:type="table" w:styleId="TableGrid">
    <w:name w:val="Table Grid"/>
    <w:basedOn w:val="TableNormal"/>
    <w:rsid w:val="00EA2B6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A2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.nt.gov.au/" TargetMode="External"/><Relationship Id="rId1" Type="http://schemas.openxmlformats.org/officeDocument/2006/relationships/hyperlink" Target="mailto:ntsuperannuation@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 xsi:nil="true"/>
    <Release_x0020_Date xmlns="378e824e-6e02-4c0d-8321-dd86fba681ee">2015-10-11T14:30:00+00:00</Release_x0020_Date>
    <Publication_x0020_Title xmlns="378e824e-6e02-4c0d-8321-dd86fba681ee">Bulletin 2: Successor Fund Transfer Update</Publication_x0020_Title>
    <Sub_x0020_Sub_x0020_Category xmlns="378e824e-6e02-4c0d-8321-dd86fba681ee" xsi:nil="true"/>
    <Details xmlns="378e824e-6e02-4c0d-8321-dd86fba681ee" xsi:nil="true"/>
    <Main_x0020_Category xmlns="378e824e-6e02-4c0d-8321-dd86fba681ee">5</Main_x0020_Category>
    <Tax_x0020_Type_x0020_Topic xmlns="378e824e-6e02-4c0d-8321-dd86fba681ee" xsi:nil="true"/>
    <Sub_x0020_Category xmlns="378e824e-6e02-4c0d-8321-dd86fba681ee">18</Sub_x0020_Category>
    <Identifier xmlns="378e824e-6e02-4c0d-8321-dd86fba681ee">I-SFT-B02</Identifier>
    <Notify xmlns="378e824e-6e02-4c0d-8321-dd86fba681ee">true</Notify>
    <Publication_x0020_Type xmlns="378e824e-6e02-4c0d-8321-dd86fba681ee" xsi:nil="true"/>
  </documentManagement>
</p:properties>
</file>

<file path=customXml/itemProps1.xml><?xml version="1.0" encoding="utf-8"?>
<ds:datastoreItem xmlns:ds="http://schemas.openxmlformats.org/officeDocument/2006/customXml" ds:itemID="{C9FD8F87-990B-42E8-A487-C395721E61E4}"/>
</file>

<file path=customXml/itemProps2.xml><?xml version="1.0" encoding="utf-8"?>
<ds:datastoreItem xmlns:ds="http://schemas.openxmlformats.org/officeDocument/2006/customXml" ds:itemID="{CAEB7C03-AD94-41F2-9833-8FC69B83DD33}"/>
</file>

<file path=customXml/itemProps3.xml><?xml version="1.0" encoding="utf-8"?>
<ds:datastoreItem xmlns:ds="http://schemas.openxmlformats.org/officeDocument/2006/customXml" ds:itemID="{81670D64-2BD1-435A-B66B-C9038E94D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906</Words>
  <Characters>5166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2: Successor Fund Transfer Update</dc:title>
  <dc:creator>dw1</dc:creator>
  <cp:lastModifiedBy>Barbara Beamsley</cp:lastModifiedBy>
  <cp:revision>3</cp:revision>
  <dcterms:created xsi:type="dcterms:W3CDTF">2015-10-12T05:11:00Z</dcterms:created>
  <dcterms:modified xsi:type="dcterms:W3CDTF">2015-10-12T05:16:00Z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