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1C" w:rsidRDefault="00B07A1C" w:rsidP="00FA162E">
      <w:pPr>
        <w:pStyle w:val="StyleHeading1Left0cmFirstline0cm"/>
        <w:numPr>
          <w:ilvl w:val="0"/>
          <w:numId w:val="0"/>
        </w:numPr>
      </w:pPr>
      <w:r>
        <w:t>Our role</w:t>
      </w:r>
    </w:p>
    <w:p w:rsidR="00B07A1C" w:rsidRDefault="00B07A1C" w:rsidP="006D6428">
      <w:r>
        <w:t xml:space="preserve">To administer and provide advice on the Territory’s taxes, duties and royalties, first home owner grant and </w:t>
      </w:r>
      <w:r w:rsidR="006D6428">
        <w:t>related concession</w:t>
      </w:r>
      <w:r>
        <w:t xml:space="preserve"> schemes.</w:t>
      </w:r>
    </w:p>
    <w:p w:rsidR="00B07A1C" w:rsidRDefault="00B07A1C" w:rsidP="00FA162E">
      <w:pPr>
        <w:pStyle w:val="StyleHeading1Left0cmFirstline0cm"/>
        <w:numPr>
          <w:ilvl w:val="0"/>
          <w:numId w:val="0"/>
        </w:numPr>
      </w:pPr>
      <w:r>
        <w:t>Our commitment to you</w:t>
      </w:r>
    </w:p>
    <w:p w:rsidR="00B07A1C" w:rsidRDefault="00B07A1C" w:rsidP="00B07A1C">
      <w:pPr>
        <w:pStyle w:val="Heading2"/>
        <w:numPr>
          <w:ilvl w:val="0"/>
          <w:numId w:val="0"/>
        </w:numPr>
      </w:pPr>
      <w:r>
        <w:t>We will</w:t>
      </w:r>
      <w:r w:rsidR="00225E75">
        <w:t>:</w:t>
      </w:r>
    </w:p>
    <w:p w:rsidR="00B07A1C" w:rsidRDefault="00B07A1C" w:rsidP="006D6428">
      <w:pPr>
        <w:pStyle w:val="ListBullet"/>
      </w:pPr>
      <w:r>
        <w:t xml:space="preserve">conduct our business with honesty, fairness and integrity </w:t>
      </w:r>
    </w:p>
    <w:p w:rsidR="00B07A1C" w:rsidRDefault="00B07A1C" w:rsidP="006D6428">
      <w:pPr>
        <w:pStyle w:val="ListBullet"/>
      </w:pPr>
      <w:r>
        <w:t>treat you in a professional and objective manner</w:t>
      </w:r>
    </w:p>
    <w:p w:rsidR="00B07A1C" w:rsidRDefault="00B07A1C" w:rsidP="006D6428">
      <w:pPr>
        <w:pStyle w:val="ListBullet"/>
      </w:pPr>
      <w:r>
        <w:t>treat you with courtesy and consideration</w:t>
      </w:r>
    </w:p>
    <w:p w:rsidR="00B07A1C" w:rsidRDefault="00B07A1C" w:rsidP="006D6428">
      <w:pPr>
        <w:pStyle w:val="ListBullet"/>
      </w:pPr>
      <w:r>
        <w:t xml:space="preserve">explain our requirements and, where appropriate, provide reasoning for the decisions we make </w:t>
      </w:r>
    </w:p>
    <w:p w:rsidR="00B07A1C" w:rsidRDefault="00B07A1C" w:rsidP="006D6428">
      <w:pPr>
        <w:pStyle w:val="ListBullet"/>
      </w:pPr>
      <w:r>
        <w:t>explain your rights and the review and appeal process to you</w:t>
      </w:r>
    </w:p>
    <w:p w:rsidR="00B07A1C" w:rsidRDefault="00B07A1C" w:rsidP="006D6428">
      <w:pPr>
        <w:pStyle w:val="ListBullet"/>
      </w:pPr>
      <w:r>
        <w:t>ensure your objections are handled by an independent officer and without bias</w:t>
      </w:r>
    </w:p>
    <w:p w:rsidR="00B07A1C" w:rsidRDefault="00B07A1C" w:rsidP="006D6428">
      <w:pPr>
        <w:pStyle w:val="ListBullet"/>
      </w:pPr>
      <w:r>
        <w:t>respect your privacy and maintain appropriate security of all information released to us</w:t>
      </w:r>
      <w:r w:rsidR="00225E75">
        <w:t>.</w:t>
      </w:r>
    </w:p>
    <w:p w:rsidR="00B07A1C" w:rsidRDefault="00B07A1C" w:rsidP="00FA162E">
      <w:pPr>
        <w:pStyle w:val="StyleHeading1Left0cmFirstline0cm"/>
        <w:numPr>
          <w:ilvl w:val="0"/>
          <w:numId w:val="0"/>
        </w:numPr>
      </w:pPr>
      <w:r>
        <w:t>What we require from you</w:t>
      </w:r>
    </w:p>
    <w:p w:rsidR="00B07A1C" w:rsidRDefault="00B07A1C" w:rsidP="00B07A1C">
      <w:pPr>
        <w:pStyle w:val="Heading2"/>
        <w:numPr>
          <w:ilvl w:val="0"/>
          <w:numId w:val="0"/>
        </w:numPr>
      </w:pPr>
      <w:r>
        <w:t>So that we can provide high quality service, it is essential that you</w:t>
      </w:r>
      <w:r w:rsidR="00225E75">
        <w:t>:</w:t>
      </w:r>
    </w:p>
    <w:p w:rsidR="00B07A1C" w:rsidRDefault="00B07A1C" w:rsidP="006D6428">
      <w:pPr>
        <w:pStyle w:val="ListBullet"/>
      </w:pPr>
      <w:r>
        <w:t xml:space="preserve">be honest and cooperative in your dealings with Territory Revenue </w:t>
      </w:r>
      <w:r w:rsidR="00296F24">
        <w:t>O</w:t>
      </w:r>
      <w:r w:rsidR="006D6428">
        <w:t>ffice</w:t>
      </w:r>
    </w:p>
    <w:p w:rsidR="00B07A1C" w:rsidRDefault="00B07A1C" w:rsidP="006D6428">
      <w:pPr>
        <w:pStyle w:val="ListBullet"/>
      </w:pPr>
      <w:r>
        <w:t>keep and allow access to records as required by the reve</w:t>
      </w:r>
      <w:r w:rsidR="006D6428">
        <w:t>nue laws, grants and subsidy sch</w:t>
      </w:r>
      <w:r>
        <w:t>emes</w:t>
      </w:r>
    </w:p>
    <w:p w:rsidR="00B07A1C" w:rsidRDefault="00B07A1C" w:rsidP="006D6428">
      <w:pPr>
        <w:pStyle w:val="ListBullet"/>
      </w:pPr>
      <w:r>
        <w:t>provide timely responses and give full and accurate information</w:t>
      </w:r>
    </w:p>
    <w:p w:rsidR="00B07A1C" w:rsidRDefault="00B07A1C" w:rsidP="006D6428">
      <w:pPr>
        <w:pStyle w:val="ListBullet"/>
      </w:pPr>
      <w:r>
        <w:t>pay on time the amount of tax or royalty required by the revenue laws</w:t>
      </w:r>
      <w:r w:rsidR="00225E75">
        <w:t>.</w:t>
      </w:r>
      <w:r>
        <w:t xml:space="preserve"> </w:t>
      </w:r>
    </w:p>
    <w:p w:rsidR="00B07A1C" w:rsidRDefault="00B07A1C" w:rsidP="00FA162E">
      <w:pPr>
        <w:pStyle w:val="StyleHeading1Left0cmFirstline0cm"/>
        <w:numPr>
          <w:ilvl w:val="0"/>
          <w:numId w:val="0"/>
        </w:numPr>
      </w:pPr>
      <w:r>
        <w:t>What you can expect from us</w:t>
      </w:r>
    </w:p>
    <w:p w:rsidR="00B07A1C" w:rsidRPr="00B07A1C" w:rsidRDefault="00B07A1C" w:rsidP="00B07A1C">
      <w:pPr>
        <w:pStyle w:val="Heading2"/>
        <w:numPr>
          <w:ilvl w:val="0"/>
          <w:numId w:val="0"/>
        </w:numPr>
        <w:rPr>
          <w:iCs w:val="0"/>
        </w:rPr>
      </w:pPr>
      <w:r w:rsidRPr="00B07A1C">
        <w:rPr>
          <w:iCs w:val="0"/>
        </w:rPr>
        <w:t>We will</w:t>
      </w:r>
      <w:r w:rsidR="00225E75">
        <w:rPr>
          <w:iCs w:val="0"/>
        </w:rPr>
        <w:t>:</w:t>
      </w:r>
    </w:p>
    <w:p w:rsidR="00B07A1C" w:rsidRDefault="00B07A1C" w:rsidP="006D6428">
      <w:pPr>
        <w:pStyle w:val="ListBullet"/>
      </w:pPr>
      <w:r>
        <w:t>issue stamp duty assessments for 90 per cent of all documents within five business days</w:t>
      </w:r>
      <w:r w:rsidR="006D6428">
        <w:t xml:space="preserve"> of receipt of all relevant information</w:t>
      </w:r>
    </w:p>
    <w:p w:rsidR="00B07A1C" w:rsidRDefault="00B07A1C" w:rsidP="006D6428">
      <w:pPr>
        <w:pStyle w:val="ListBullet"/>
      </w:pPr>
      <w:r>
        <w:t>complete 80 per cent of tax audits within 120 days, and 80 per cent of mineral or petroleum royalty audits within 180 days (subject to satisfactory cooperation and provision of all necessary information)</w:t>
      </w:r>
    </w:p>
    <w:p w:rsidR="00B07A1C" w:rsidRDefault="00B07A1C" w:rsidP="006D6428">
      <w:pPr>
        <w:pStyle w:val="ListBullet"/>
      </w:pPr>
      <w:r>
        <w:t>determine 80 per cent of objections within 120 days unl</w:t>
      </w:r>
      <w:r w:rsidR="0030099E">
        <w:t>ess we require more information</w:t>
      </w:r>
    </w:p>
    <w:p w:rsidR="00B07A1C" w:rsidRDefault="00B07A1C" w:rsidP="006D6428">
      <w:pPr>
        <w:pStyle w:val="ListBullet"/>
      </w:pPr>
      <w:r>
        <w:t xml:space="preserve">ensure that 95 per cent of approved first home owner grant payments are made within 24 hours of the payment eligibility date </w:t>
      </w:r>
    </w:p>
    <w:p w:rsidR="00296F24" w:rsidRDefault="00296F24" w:rsidP="006D6428">
      <w:pPr>
        <w:pStyle w:val="ListBullet"/>
      </w:pPr>
      <w:r>
        <w:t xml:space="preserve">determine 95 per cent of all grant applications within five business days of receipt of all business information </w:t>
      </w:r>
    </w:p>
    <w:p w:rsidR="00B07A1C" w:rsidRDefault="00B07A1C" w:rsidP="006D6428">
      <w:pPr>
        <w:pStyle w:val="ListBullet"/>
      </w:pPr>
      <w:r>
        <w:t>respond to written enquiries within 14 days or issue an interim response advising a contact name and telephone number within that timeframe</w:t>
      </w:r>
      <w:r w:rsidR="00225E75">
        <w:t>.</w:t>
      </w:r>
    </w:p>
    <w:p w:rsidR="00B07A1C" w:rsidRDefault="00B07A1C" w:rsidP="00B07A1C">
      <w:pPr>
        <w:pStyle w:val="TCBodyText"/>
      </w:pPr>
      <w:r>
        <w:t xml:space="preserve">Our performance in meeting these standards is published in </w:t>
      </w:r>
      <w:r w:rsidR="006D6428">
        <w:t>our department’s</w:t>
      </w:r>
      <w:r w:rsidR="00225E75">
        <w:t xml:space="preserve"> a</w:t>
      </w:r>
      <w:r>
        <w:t xml:space="preserve">nnual </w:t>
      </w:r>
      <w:r w:rsidR="00225E75">
        <w:t>r</w:t>
      </w:r>
      <w:r>
        <w:t>eport.</w:t>
      </w:r>
    </w:p>
    <w:p w:rsidR="00B07A1C" w:rsidRDefault="00B07A1C" w:rsidP="00FA162E">
      <w:pPr>
        <w:pStyle w:val="StyleHeading1Left0cmFirstline0cm"/>
        <w:numPr>
          <w:ilvl w:val="0"/>
          <w:numId w:val="0"/>
        </w:numPr>
      </w:pPr>
      <w:r>
        <w:lastRenderedPageBreak/>
        <w:t>Complaints</w:t>
      </w:r>
    </w:p>
    <w:p w:rsidR="00B07A1C" w:rsidRDefault="00B07A1C" w:rsidP="00B07A1C">
      <w:pPr>
        <w:pStyle w:val="Heading2"/>
        <w:numPr>
          <w:ilvl w:val="0"/>
          <w:numId w:val="0"/>
        </w:numPr>
      </w:pPr>
      <w:r>
        <w:t>We want to keep improving our service to you</w:t>
      </w:r>
    </w:p>
    <w:p w:rsidR="00B07A1C" w:rsidRDefault="00B07A1C" w:rsidP="0030099E">
      <w:r>
        <w:t>If we do not meet your expectations, please let us know. We will investigate your complaint, endeavour to resolve it quickly and efficiently and provide reasoning for the decision we make.</w:t>
      </w:r>
    </w:p>
    <w:p w:rsidR="00744D33" w:rsidRPr="00744D33" w:rsidRDefault="00744D33" w:rsidP="006D6428">
      <w:pPr>
        <w:pStyle w:val="Heading2"/>
        <w:numPr>
          <w:ilvl w:val="0"/>
          <w:numId w:val="0"/>
        </w:numPr>
      </w:pPr>
      <w:r w:rsidRPr="00744D33">
        <w:t xml:space="preserve">For </w:t>
      </w:r>
      <w:r w:rsidRPr="006D6428">
        <w:t>further</w:t>
      </w:r>
      <w:r w:rsidRPr="00744D33">
        <w:t xml:space="preserve"> information or to make a complaint</w:t>
      </w:r>
      <w:r w:rsidR="00225E75">
        <w:t>,</w:t>
      </w:r>
      <w:r w:rsidRPr="00744D33">
        <w:t xml:space="preserve"> contact </w:t>
      </w:r>
      <w:r w:rsidR="006D6428">
        <w:t xml:space="preserve">the </w:t>
      </w:r>
      <w:r w:rsidRPr="00744D33">
        <w:t xml:space="preserve">Territory Revenue </w:t>
      </w:r>
      <w:r w:rsidR="006D6428">
        <w:t>Office</w:t>
      </w:r>
    </w:p>
    <w:p w:rsidR="00744D33" w:rsidRPr="00B07A1C" w:rsidRDefault="006D6428" w:rsidP="006D6428">
      <w:r>
        <w:t>Level 14</w:t>
      </w:r>
      <w:r w:rsidR="00744D33">
        <w:t xml:space="preserve"> </w:t>
      </w:r>
      <w:r>
        <w:t>Charles Darwin Centre</w:t>
      </w:r>
      <w:r w:rsidR="000F123C">
        <w:br/>
      </w:r>
      <w:r w:rsidR="0030099E">
        <w:t>19 The Mall</w:t>
      </w:r>
      <w:r>
        <w:t xml:space="preserve"> Darwin NT 0800</w:t>
      </w:r>
      <w:r w:rsidR="00822705">
        <w:br/>
      </w:r>
      <w:r w:rsidR="00586490">
        <w:t>GPO Box 197</w:t>
      </w:r>
      <w:bookmarkStart w:id="0" w:name="_GoBack"/>
      <w:bookmarkEnd w:id="0"/>
      <w:r w:rsidR="00744D33">
        <w:t>4</w:t>
      </w:r>
      <w:r w:rsidR="0030099E">
        <w:t xml:space="preserve"> Darwin</w:t>
      </w:r>
      <w:r w:rsidR="00744D33">
        <w:t xml:space="preserve"> NT 0801</w:t>
      </w:r>
      <w:r w:rsidR="00822705">
        <w:br/>
      </w:r>
      <w:r w:rsidR="00744D33">
        <w:t xml:space="preserve">E: </w:t>
      </w:r>
      <w:hyperlink r:id="rId11" w:history="1">
        <w:r w:rsidR="0030099E" w:rsidRPr="00B041C2">
          <w:rPr>
            <w:rStyle w:val="Hyperlink"/>
          </w:rPr>
          <w:t>ntrevenue@nt.gov.au</w:t>
        </w:r>
      </w:hyperlink>
      <w:r w:rsidR="00822705">
        <w:br/>
      </w:r>
      <w:r w:rsidR="00744D33">
        <w:t>P: 1300 305 353</w:t>
      </w:r>
      <w:r w:rsidR="00822705">
        <w:br/>
      </w:r>
      <w:r w:rsidR="00FA162E">
        <w:t>W</w:t>
      </w:r>
      <w:r w:rsidR="00744D33">
        <w:t>: www.revenue.nt.gov.au</w:t>
      </w:r>
    </w:p>
    <w:sectPr w:rsidR="00744D33" w:rsidRPr="00B07A1C" w:rsidSect="00FA162E">
      <w:headerReference w:type="default" r:id="rId12"/>
      <w:footerReference w:type="default" r:id="rId13"/>
      <w:headerReference w:type="first" r:id="rId14"/>
      <w:footerReference w:type="first" r:id="rId15"/>
      <w:pgSz w:w="11906" w:h="16838" w:code="9"/>
      <w:pgMar w:top="993" w:right="1133"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43" w:rsidRDefault="00AB2B43" w:rsidP="007332FF">
      <w:r>
        <w:separator/>
      </w:r>
    </w:p>
  </w:endnote>
  <w:endnote w:type="continuationSeparator" w:id="0">
    <w:p w:rsidR="00AB2B43" w:rsidRDefault="00AB2B4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0" w:rsidRPr="00AE306C" w:rsidRDefault="00AB2B43" w:rsidP="002926BC">
    <w:pPr>
      <w:tabs>
        <w:tab w:val="right" w:pos="10206"/>
      </w:tabs>
      <w:spacing w:after="120"/>
      <w:ind w:left="-567" w:right="-568"/>
      <w:rPr>
        <w:sz w:val="16"/>
        <w:szCs w:val="16"/>
      </w:rPr>
    </w:pPr>
    <w:r>
      <w:rPr>
        <w:sz w:val="16"/>
        <w:szCs w:val="16"/>
      </w:rPr>
      <w:pict>
        <v:rect id="_x0000_i1025" style="width:481.9pt;height:.5pt"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B07A1C">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B07A1C">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586490">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586490">
      <w:rPr>
        <w:rStyle w:val="NTGFooter2deptpagenumChar"/>
        <w:rFonts w:eastAsia="Calibri"/>
        <w:noProof/>
      </w:rPr>
      <w:t>2</w:t>
    </w:r>
    <w:r w:rsidRPr="007B5DA2">
      <w:rPr>
        <w:rStyle w:val="NTGFooter2deptpagenumChar"/>
        <w:rFonts w:eastAsia="Calibri"/>
      </w:rPr>
      <w:fldChar w:fldCharType="end"/>
    </w:r>
  </w:p>
  <w:p w:rsidR="00A07490" w:rsidRPr="007B5DA2" w:rsidRDefault="00CE1601" w:rsidP="002926BC">
    <w:pPr>
      <w:pStyle w:val="NTGFooter2DateVersion"/>
      <w:tabs>
        <w:tab w:val="clear" w:pos="9639"/>
        <w:tab w:val="right" w:pos="10206"/>
      </w:tabs>
      <w:ind w:left="-567" w:right="-568"/>
      <w:rPr>
        <w:rStyle w:val="NTGFooter2deptpagenumChar"/>
        <w:rFonts w:eastAsia="Calibri"/>
      </w:rPr>
    </w:pPr>
    <w:r>
      <w:t>3</w:t>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1 August 2017</w:t>
    </w:r>
    <w:r w:rsidRPr="007B5DA2">
      <w:rPr>
        <w:rStyle w:val="NTGFooter1itemsChar"/>
      </w:rPr>
      <w:fldChar w:fldCharType="end"/>
    </w:r>
    <w:r w:rsidR="00705F13">
      <w:fldChar w:fldCharType="begin"/>
    </w:r>
    <w:r w:rsidR="00705F13">
      <w:instrText xml:space="preserve"> DOCPROPERTY  VersionNo  \* MERGEFORMAT </w:instrText>
    </w:r>
    <w:r w:rsidR="00705F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FA162E">
      <w:trPr>
        <w:cantSplit/>
        <w:trHeight w:hRule="exact" w:val="1282"/>
        <w:tblHeader/>
      </w:trPr>
      <w:tc>
        <w:tcPr>
          <w:tcW w:w="8505" w:type="dxa"/>
          <w:vAlign w:val="center"/>
        </w:tcPr>
        <w:p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B07A1C">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B07A1C">
            <w:rPr>
              <w:rStyle w:val="NTGFooterDepartmentNameChar"/>
            </w:rPr>
            <w:t>Treasury and Finance</w:t>
          </w:r>
          <w:r w:rsidRPr="00705C9D">
            <w:rPr>
              <w:rStyle w:val="NTGFooterDepartmentNameChar"/>
            </w:rPr>
            <w:fldChar w:fldCharType="end"/>
          </w:r>
        </w:p>
        <w:p w:rsidR="00A07490" w:rsidRPr="007B5DA2" w:rsidRDefault="00A07490"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86490">
            <w:rPr>
              <w:noProof/>
            </w:rPr>
            <w:t>1</w:t>
          </w:r>
          <w:r w:rsidRPr="007B5DA2">
            <w:fldChar w:fldCharType="end"/>
          </w:r>
          <w:r w:rsidRPr="007B5DA2">
            <w:t xml:space="preserve"> of </w:t>
          </w:r>
          <w:r w:rsidR="00AB2B43">
            <w:fldChar w:fldCharType="begin"/>
          </w:r>
          <w:r w:rsidR="00AB2B43">
            <w:instrText xml:space="preserve"> NUMPAGES  \* Arabic  \* MERGEFORMAT </w:instrText>
          </w:r>
          <w:r w:rsidR="00AB2B43">
            <w:fldChar w:fldCharType="separate"/>
          </w:r>
          <w:r w:rsidR="00586490">
            <w:rPr>
              <w:noProof/>
            </w:rPr>
            <w:t>2</w:t>
          </w:r>
          <w:r w:rsidR="00AB2B43">
            <w:rPr>
              <w:noProof/>
            </w:rPr>
            <w:fldChar w:fldCharType="end"/>
          </w:r>
          <w:r w:rsidRPr="007B5DA2">
            <w:tab/>
          </w:r>
          <w:r w:rsidR="00CE1601">
            <w:t>3</w:t>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CE1601">
            <w:rPr>
              <w:rStyle w:val="NTGFooter1itemsChar"/>
            </w:rPr>
            <w:t>1 August</w:t>
          </w:r>
          <w:r w:rsidR="00B07A1C">
            <w:rPr>
              <w:rStyle w:val="NTGFooter1itemsChar"/>
            </w:rPr>
            <w:t>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end"/>
          </w:r>
        </w:p>
      </w:tc>
      <w:tc>
        <w:tcPr>
          <w:tcW w:w="2268" w:type="dxa"/>
          <w:vAlign w:val="center"/>
        </w:tcPr>
        <w:p w:rsidR="00A07490" w:rsidRPr="001E14EB" w:rsidRDefault="00A07490" w:rsidP="00543BD1">
          <w:pPr>
            <w:spacing w:after="0"/>
            <w:jc w:val="right"/>
          </w:pPr>
          <w:r w:rsidRPr="00132658">
            <w:rPr>
              <w:noProof/>
              <w:lang w:eastAsia="en-AU"/>
            </w:rPr>
            <w:drawing>
              <wp:inline distT="0" distB="0" distL="0" distR="0" wp14:anchorId="239AB0B9" wp14:editId="007A718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43" w:rsidRDefault="00AB2B43" w:rsidP="007332FF">
      <w:r>
        <w:separator/>
      </w:r>
    </w:p>
  </w:footnote>
  <w:footnote w:type="continuationSeparator" w:id="0">
    <w:p w:rsidR="00AB2B43" w:rsidRDefault="00AB2B4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0" w:rsidRDefault="00AB2B43" w:rsidP="002926BC">
    <w:pPr>
      <w:pStyle w:val="Header"/>
      <w:tabs>
        <w:tab w:val="clear" w:pos="9026"/>
      </w:tabs>
      <w:ind w:right="-568"/>
    </w:pPr>
    <w:r>
      <w:fldChar w:fldCharType="begin"/>
    </w:r>
    <w:r>
      <w:instrText xml:space="preserve"> TITLE   \* MERGEFORMAT </w:instrText>
    </w:r>
    <w:r>
      <w:fldChar w:fldCharType="separate"/>
    </w:r>
    <w:r w:rsidR="00B07A1C">
      <w:t>Territory Revenue Office Service Charter</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48689283"/>
      <w:dataBinding w:prefixMappings="xmlns:ns0='http://purl.org/dc/elements/1.1/' xmlns:ns1='http://schemas.openxmlformats.org/package/2006/metadata/core-properties' " w:xpath="/ns1:coreProperties[1]/ns0:title[1]" w:storeItemID="{6C3C8BC8-F283-45AE-878A-BAB7291924A1}"/>
      <w:text/>
    </w:sdtPr>
    <w:sdtEndPr/>
    <w:sdtContent>
      <w:p w:rsidR="00A07490" w:rsidRDefault="00D71248" w:rsidP="0050530C">
        <w:pPr>
          <w:pStyle w:val="Title"/>
        </w:pPr>
        <w:r>
          <w:t>Territory Revenue Office Service Charter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1F4E3995"/>
    <w:multiLevelType w:val="hybridMultilevel"/>
    <w:tmpl w:val="A1D2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D1D87"/>
    <w:multiLevelType w:val="multilevel"/>
    <w:tmpl w:val="0C78A7AC"/>
    <w:name w:val="NTG Table Bullet List32"/>
    <w:numStyleLink w:val="NTGTableList"/>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345893"/>
    <w:multiLevelType w:val="multilevel"/>
    <w:tmpl w:val="4E6AC8F6"/>
    <w:name w:val="NTG Table Bullet List3322222222"/>
    <w:numStyleLink w:val="NTGStandardNumList"/>
  </w:abstractNum>
  <w:abstractNum w:abstractNumId="15" w15:restartNumberingAfterBreak="0">
    <w:nsid w:val="2EF077BC"/>
    <w:multiLevelType w:val="multilevel"/>
    <w:tmpl w:val="0C78A7AC"/>
    <w:name w:val="NTG Table Bullet List33222222222222222222"/>
    <w:numStyleLink w:val="NTGTableList"/>
  </w:abstractNum>
  <w:abstractNum w:abstractNumId="1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B8F005A"/>
    <w:multiLevelType w:val="multilevel"/>
    <w:tmpl w:val="4E6AC8F6"/>
    <w:numStyleLink w:val="NTGStandard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5EC17B3"/>
    <w:multiLevelType w:val="hybridMultilevel"/>
    <w:tmpl w:val="B610F5B2"/>
    <w:lvl w:ilvl="0" w:tplc="0C6836F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AB17DA"/>
    <w:multiLevelType w:val="hybridMultilevel"/>
    <w:tmpl w:val="5C64E75A"/>
    <w:lvl w:ilvl="0" w:tplc="0C6836F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453664D"/>
    <w:multiLevelType w:val="multilevel"/>
    <w:tmpl w:val="0C78A7AC"/>
    <w:name w:val="NTG Table Bullet List3322222222222222222"/>
    <w:numStyleLink w:val="NTGTableList"/>
  </w:abstractNum>
  <w:abstractNum w:abstractNumId="39" w15:restartNumberingAfterBreak="0">
    <w:nsid w:val="790D331E"/>
    <w:multiLevelType w:val="hybridMultilevel"/>
    <w:tmpl w:val="3B92D962"/>
    <w:lvl w:ilvl="0" w:tplc="0C6836F8">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3"/>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40"/>
  </w:num>
  <w:num w:numId="9">
    <w:abstractNumId w:val="0"/>
  </w:num>
  <w:num w:numId="10">
    <w:abstractNumId w:val="16"/>
  </w:num>
  <w:num w:numId="11">
    <w:abstractNumId w:val="14"/>
  </w:num>
  <w:num w:numId="12">
    <w:abstractNumId w:val="18"/>
  </w:num>
  <w:num w:numId="13">
    <w:abstractNumId w:val="6"/>
  </w:num>
  <w:num w:numId="14">
    <w:abstractNumId w:val="15"/>
  </w:num>
  <w:num w:numId="15">
    <w:abstractNumId w:val="11"/>
  </w:num>
  <w:num w:numId="16">
    <w:abstractNumId w:val="39"/>
  </w:num>
  <w:num w:numId="17">
    <w:abstractNumId w:val="34"/>
  </w:num>
  <w:num w:numId="1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48"/>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1F29"/>
    <w:rsid w:val="000F123C"/>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25E75"/>
    <w:rsid w:val="00230031"/>
    <w:rsid w:val="00247343"/>
    <w:rsid w:val="00265C56"/>
    <w:rsid w:val="002716CD"/>
    <w:rsid w:val="00274D4B"/>
    <w:rsid w:val="002806F5"/>
    <w:rsid w:val="00281577"/>
    <w:rsid w:val="002926BC"/>
    <w:rsid w:val="00293A72"/>
    <w:rsid w:val="00296F24"/>
    <w:rsid w:val="002A30C3"/>
    <w:rsid w:val="002A7712"/>
    <w:rsid w:val="002B38F7"/>
    <w:rsid w:val="002B5591"/>
    <w:rsid w:val="002C1FE9"/>
    <w:rsid w:val="002D3A57"/>
    <w:rsid w:val="002D7D05"/>
    <w:rsid w:val="002E20C8"/>
    <w:rsid w:val="002E4290"/>
    <w:rsid w:val="002E66A6"/>
    <w:rsid w:val="002F0DB1"/>
    <w:rsid w:val="002F2885"/>
    <w:rsid w:val="0030099E"/>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6D96"/>
    <w:rsid w:val="00467747"/>
    <w:rsid w:val="00473C98"/>
    <w:rsid w:val="00482DF8"/>
    <w:rsid w:val="004864DE"/>
    <w:rsid w:val="00494BE5"/>
    <w:rsid w:val="004A2538"/>
    <w:rsid w:val="004A767D"/>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86490"/>
    <w:rsid w:val="00595386"/>
    <w:rsid w:val="005A4AC0"/>
    <w:rsid w:val="005A5FDF"/>
    <w:rsid w:val="005B0FB7"/>
    <w:rsid w:val="005B122A"/>
    <w:rsid w:val="005B5AC2"/>
    <w:rsid w:val="005C2833"/>
    <w:rsid w:val="005E144D"/>
    <w:rsid w:val="005E1500"/>
    <w:rsid w:val="005E3A43"/>
    <w:rsid w:val="00620675"/>
    <w:rsid w:val="006433C3"/>
    <w:rsid w:val="00650F5B"/>
    <w:rsid w:val="006670D7"/>
    <w:rsid w:val="006719EA"/>
    <w:rsid w:val="00671F13"/>
    <w:rsid w:val="0067400A"/>
    <w:rsid w:val="006847AD"/>
    <w:rsid w:val="0069114B"/>
    <w:rsid w:val="006D6428"/>
    <w:rsid w:val="006D66F7"/>
    <w:rsid w:val="00705C9D"/>
    <w:rsid w:val="00705F13"/>
    <w:rsid w:val="00714F1D"/>
    <w:rsid w:val="00722DDB"/>
    <w:rsid w:val="00724728"/>
    <w:rsid w:val="00724F98"/>
    <w:rsid w:val="00730B9B"/>
    <w:rsid w:val="007332FF"/>
    <w:rsid w:val="007408F5"/>
    <w:rsid w:val="00741EAE"/>
    <w:rsid w:val="00744D33"/>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2705"/>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5193"/>
    <w:rsid w:val="00A31AE8"/>
    <w:rsid w:val="00A3739D"/>
    <w:rsid w:val="00A37DDA"/>
    <w:rsid w:val="00A467B2"/>
    <w:rsid w:val="00A925EC"/>
    <w:rsid w:val="00A929AA"/>
    <w:rsid w:val="00A92B6B"/>
    <w:rsid w:val="00AA541E"/>
    <w:rsid w:val="00AB2B43"/>
    <w:rsid w:val="00AD0DA4"/>
    <w:rsid w:val="00AD4169"/>
    <w:rsid w:val="00AE25C6"/>
    <w:rsid w:val="00AE306C"/>
    <w:rsid w:val="00AF5B01"/>
    <w:rsid w:val="00B02EF1"/>
    <w:rsid w:val="00B07A1C"/>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30171"/>
    <w:rsid w:val="00C309D8"/>
    <w:rsid w:val="00C61AFA"/>
    <w:rsid w:val="00C62099"/>
    <w:rsid w:val="00C64EA3"/>
    <w:rsid w:val="00C72867"/>
    <w:rsid w:val="00C75E81"/>
    <w:rsid w:val="00C86609"/>
    <w:rsid w:val="00C92B4C"/>
    <w:rsid w:val="00C954F6"/>
    <w:rsid w:val="00CA6BC5"/>
    <w:rsid w:val="00CC61CD"/>
    <w:rsid w:val="00CD5011"/>
    <w:rsid w:val="00CE1601"/>
    <w:rsid w:val="00CE640F"/>
    <w:rsid w:val="00CF540E"/>
    <w:rsid w:val="00D02F07"/>
    <w:rsid w:val="00D36A49"/>
    <w:rsid w:val="00D517C6"/>
    <w:rsid w:val="00D71248"/>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60EFF"/>
    <w:rsid w:val="00F94398"/>
    <w:rsid w:val="00FA162E"/>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2070"/>
  <w15:docId w15:val="{9B4D4D43-57EA-46D6-BA5D-C1E4952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customStyle="1" w:styleId="TCHeading2">
    <w:name w:val="TC Heading 2"/>
    <w:basedOn w:val="Heading2"/>
    <w:uiPriority w:val="99"/>
    <w:rsid w:val="00B07A1C"/>
    <w:pPr>
      <w:keepLines w:val="0"/>
      <w:numPr>
        <w:ilvl w:val="0"/>
        <w:numId w:val="0"/>
      </w:numPr>
      <w:suppressAutoHyphens/>
      <w:autoSpaceDE w:val="0"/>
      <w:autoSpaceDN w:val="0"/>
      <w:adjustRightInd w:val="0"/>
      <w:spacing w:before="57" w:after="28" w:line="440" w:lineRule="atLeast"/>
      <w:textAlignment w:val="baseline"/>
      <w:outlineLvl w:val="9"/>
    </w:pPr>
    <w:rPr>
      <w:rFonts w:eastAsia="Calibri" w:cs="Arial"/>
      <w:iCs w:val="0"/>
      <w:color w:val="ED4400"/>
      <w:sz w:val="30"/>
      <w:szCs w:val="30"/>
    </w:rPr>
  </w:style>
  <w:style w:type="paragraph" w:customStyle="1" w:styleId="TCBodyText">
    <w:name w:val="TC Body Text"/>
    <w:basedOn w:val="Normal"/>
    <w:uiPriority w:val="99"/>
    <w:rsid w:val="00B07A1C"/>
    <w:pPr>
      <w:suppressAutoHyphens/>
      <w:autoSpaceDE w:val="0"/>
      <w:autoSpaceDN w:val="0"/>
      <w:adjustRightInd w:val="0"/>
      <w:spacing w:after="57" w:line="340" w:lineRule="atLeast"/>
      <w:textAlignment w:val="baseline"/>
    </w:pPr>
    <w:rPr>
      <w:rFonts w:cs="Arial"/>
      <w:color w:val="000000"/>
      <w:sz w:val="21"/>
      <w:szCs w:val="21"/>
    </w:rPr>
  </w:style>
  <w:style w:type="paragraph" w:customStyle="1" w:styleId="TCHeading3">
    <w:name w:val="TC Heading 3"/>
    <w:basedOn w:val="TCBodyText"/>
    <w:uiPriority w:val="99"/>
    <w:rsid w:val="00B07A1C"/>
    <w:pPr>
      <w:spacing w:before="57" w:after="28"/>
    </w:pPr>
    <w:rPr>
      <w:color w:val="0035C4"/>
      <w:sz w:val="24"/>
      <w:szCs w:val="24"/>
    </w:rPr>
  </w:style>
  <w:style w:type="paragraph" w:customStyle="1" w:styleId="TCBulletText">
    <w:name w:val="TC Bullet Text"/>
    <w:basedOn w:val="Normal"/>
    <w:uiPriority w:val="99"/>
    <w:rsid w:val="00B07A1C"/>
    <w:pPr>
      <w:tabs>
        <w:tab w:val="left" w:pos="360"/>
      </w:tabs>
      <w:suppressAutoHyphens/>
      <w:autoSpaceDE w:val="0"/>
      <w:autoSpaceDN w:val="0"/>
      <w:adjustRightInd w:val="0"/>
      <w:spacing w:after="57" w:line="300" w:lineRule="atLeast"/>
      <w:ind w:left="170" w:hanging="170"/>
      <w:textAlignment w:val="baseline"/>
    </w:pPr>
    <w:rPr>
      <w:rFonts w:ascii="Myriad Pro" w:hAnsi="Myriad Pro" w:cs="Myriad Pro"/>
      <w:color w:val="000000"/>
    </w:rPr>
  </w:style>
  <w:style w:type="paragraph" w:customStyle="1" w:styleId="StyleHeading1Left0cmFirstline0cm">
    <w:name w:val="Style Heading 1 + Left:  0 cm First line:  0 cm"/>
    <w:basedOn w:val="Heading1"/>
    <w:rsid w:val="00FA162E"/>
    <w:pPr>
      <w:spacing w:before="180"/>
      <w:ind w:left="0" w:firstLine="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revenue@n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1m\AppData\Local\Temp\Temp1_blank-word-portrait-template_1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2017-09-04T14:30:00+00:00</Release_x0020_Date>
    <Publication_x0020_Title xmlns="378e824e-6e02-4c0d-8321-dd86fba681ee">Territory Revenue Office Service Charter</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36</Sub_x0020_Category>
    <Identifier xmlns="378e824e-6e02-4c0d-8321-dd86fba681ee">I-TROSC-001</Identifier>
    <Notify xmlns="378e824e-6e02-4c0d-8321-dd86fba681ee">false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C8FF-3673-4661-A1BB-F62D07F03E97}">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FFCB2ECF-1629-4023-BCC7-C9DC1B35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DD128-D9AD-4E43-BCD6-739EF19674D0}">
  <ds:schemaRefs>
    <ds:schemaRef ds:uri="http://schemas.microsoft.com/sharepoint/v3/contenttype/forms"/>
  </ds:schemaRefs>
</ds:datastoreItem>
</file>

<file path=customXml/itemProps4.xml><?xml version="1.0" encoding="utf-8"?>
<ds:datastoreItem xmlns:ds="http://schemas.openxmlformats.org/officeDocument/2006/customXml" ds:itemID="{BD4D0201-669D-4AB9-AB7A-A077AADC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Territory Revenue Office Service Charter</vt:lpstr>
    </vt:vector>
  </TitlesOfParts>
  <Company>Northern Territory Government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Revenue Office Service Charter</dc:title>
  <dc:subject/>
  <dc:creator>Joanne Boustead</dc:creator>
  <cp:keywords/>
  <dc:description/>
  <cp:lastModifiedBy>Jessica Symonds</cp:lastModifiedBy>
  <cp:revision>5</cp:revision>
  <cp:lastPrinted>2016-02-04T04:37:00Z</cp:lastPrinted>
  <dcterms:created xsi:type="dcterms:W3CDTF">2017-09-05T05:04:00Z</dcterms:created>
  <dcterms:modified xsi:type="dcterms:W3CDTF">2021-09-06T08:20:00Z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 June 2017</vt:lpwstr>
  </property>
  <property fmtid="{D5CDD505-2E9C-101B-9397-08002B2CF9AE}" pid="7" name="ContentTypeId">
    <vt:lpwstr>0x010100AE1D68356F7FB54A917EB6B48522F7AB</vt:lpwstr>
  </property>
</Properties>
</file>