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5D51" w14:textId="77777777" w:rsidR="00500FC3" w:rsidRPr="00C130FA" w:rsidRDefault="00500FC3" w:rsidP="00500FC3">
      <w:pPr>
        <w:pStyle w:val="Title"/>
        <w:rPr>
          <w:noProof/>
          <w:sz w:val="50"/>
          <w:szCs w:val="50"/>
          <w:lang w:eastAsia="en-AU"/>
        </w:rPr>
      </w:pPr>
      <w:r w:rsidRPr="00C130FA">
        <w:rPr>
          <w:noProof/>
          <w:sz w:val="50"/>
          <w:szCs w:val="50"/>
          <w:lang w:eastAsia="en-AU"/>
        </w:rPr>
        <w:t xml:space="preserve">Categories of Instruments </w:t>
      </w:r>
    </w:p>
    <w:p w14:paraId="6E41D89F" w14:textId="77777777" w:rsidR="00500FC3" w:rsidRPr="00C130FA" w:rsidRDefault="00500FC3" w:rsidP="00500FC3">
      <w:pPr>
        <w:pStyle w:val="Heading1"/>
        <w:rPr>
          <w:noProof/>
          <w:sz w:val="30"/>
          <w:szCs w:val="30"/>
          <w:lang w:eastAsia="en-AU"/>
        </w:rPr>
      </w:pPr>
      <w:r w:rsidRPr="00C130FA">
        <w:rPr>
          <w:noProof/>
          <w:sz w:val="30"/>
          <w:szCs w:val="30"/>
          <w:lang w:eastAsia="en-AU"/>
        </w:rPr>
        <w:t>Delegate Approval Process Categories 1-5</w:t>
      </w:r>
    </w:p>
    <w:tbl>
      <w:tblPr>
        <w:tblStyle w:val="NTGtable"/>
        <w:tblW w:w="15353" w:type="dxa"/>
        <w:tblLook w:val="04A0" w:firstRow="1" w:lastRow="0" w:firstColumn="1" w:lastColumn="0" w:noHBand="0" w:noVBand="1"/>
        <w:tblDescription w:val="Minor works: reporting period, due date and percentage of works."/>
      </w:tblPr>
      <w:tblGrid>
        <w:gridCol w:w="2499"/>
        <w:gridCol w:w="8"/>
        <w:gridCol w:w="12797"/>
        <w:gridCol w:w="49"/>
      </w:tblGrid>
      <w:tr w:rsidR="00500FC3" w14:paraId="2272DC8E" w14:textId="77777777" w:rsidTr="003B0BE5">
        <w:trPr>
          <w:gridAfter w:val="1"/>
          <w:cnfStyle w:val="100000000000" w:firstRow="1" w:lastRow="0" w:firstColumn="0" w:lastColumn="0" w:oddVBand="0" w:evenVBand="0" w:oddHBand="0" w:evenHBand="0" w:firstRowFirstColumn="0" w:firstRowLastColumn="0" w:lastRowFirstColumn="0" w:lastRowLastColumn="0"/>
          <w:wAfter w:w="49" w:type="dxa"/>
          <w:trHeight w:val="382"/>
          <w:tblHeader/>
        </w:trPr>
        <w:tc>
          <w:tcPr>
            <w:cnfStyle w:val="001000000100" w:firstRow="0" w:lastRow="0" w:firstColumn="1" w:lastColumn="0" w:oddVBand="0" w:evenVBand="0" w:oddHBand="0" w:evenHBand="0" w:firstRowFirstColumn="1" w:firstRowLastColumn="0" w:lastRowFirstColumn="0" w:lastRowLastColumn="0"/>
            <w:tcW w:w="2499" w:type="dxa"/>
          </w:tcPr>
          <w:p w14:paraId="6F2030B0" w14:textId="77777777" w:rsidR="00500FC3" w:rsidRPr="00BB3A07" w:rsidRDefault="00500FC3" w:rsidP="009870C7">
            <w:pPr>
              <w:pStyle w:val="ListNumber"/>
              <w:spacing w:after="60"/>
              <w:rPr>
                <w:b w:val="0"/>
              </w:rPr>
            </w:pPr>
            <w:r>
              <w:t>CATEGORY</w:t>
            </w:r>
          </w:p>
        </w:tc>
        <w:tc>
          <w:tcPr>
            <w:tcW w:w="12805" w:type="dxa"/>
            <w:gridSpan w:val="2"/>
          </w:tcPr>
          <w:p w14:paraId="40F8C38D" w14:textId="77777777" w:rsidR="00500FC3" w:rsidRPr="00BB3A07" w:rsidRDefault="00500FC3" w:rsidP="009870C7">
            <w:pPr>
              <w:pStyle w:val="ListNumber"/>
              <w:spacing w:after="60"/>
              <w:cnfStyle w:val="100000000000" w:firstRow="1" w:lastRow="0" w:firstColumn="0" w:lastColumn="0" w:oddVBand="0" w:evenVBand="0" w:oddHBand="0" w:evenHBand="0" w:firstRowFirstColumn="0" w:firstRowLastColumn="0" w:lastRowFirstColumn="0" w:lastRowLastColumn="0"/>
              <w:rPr>
                <w:b w:val="0"/>
              </w:rPr>
            </w:pPr>
            <w:r>
              <w:t xml:space="preserve">DESCRIPTION OF INSTRUMENT </w:t>
            </w:r>
          </w:p>
        </w:tc>
      </w:tr>
      <w:tr w:rsidR="00500FC3" w14:paraId="02B8C4B9" w14:textId="77777777" w:rsidTr="003B0BE5">
        <w:trPr>
          <w:gridAfter w:val="1"/>
          <w:cnfStyle w:val="000000100000" w:firstRow="0" w:lastRow="0" w:firstColumn="0" w:lastColumn="0" w:oddVBand="0" w:evenVBand="0" w:oddHBand="1" w:evenHBand="0" w:firstRowFirstColumn="0" w:firstRowLastColumn="0" w:lastRowFirstColumn="0" w:lastRowLastColumn="0"/>
          <w:wAfter w:w="49" w:type="dxa"/>
          <w:trHeight w:val="397"/>
        </w:trPr>
        <w:tc>
          <w:tcPr>
            <w:cnfStyle w:val="001000000000" w:firstRow="0" w:lastRow="0" w:firstColumn="1" w:lastColumn="0" w:oddVBand="0" w:evenVBand="0" w:oddHBand="0" w:evenHBand="0" w:firstRowFirstColumn="0" w:firstRowLastColumn="0" w:lastRowFirstColumn="0" w:lastRowLastColumn="0"/>
            <w:tcW w:w="2499" w:type="dxa"/>
          </w:tcPr>
          <w:p w14:paraId="2B83EF61" w14:textId="77777777" w:rsidR="00500FC3" w:rsidRPr="00891656" w:rsidRDefault="00500FC3" w:rsidP="009870C7">
            <w:pPr>
              <w:pStyle w:val="ListParagraph"/>
              <w:numPr>
                <w:ilvl w:val="0"/>
                <w:numId w:val="48"/>
              </w:numPr>
              <w:spacing w:before="120"/>
              <w:ind w:left="313" w:hanging="313"/>
              <w:contextualSpacing/>
              <w:rPr>
                <w:rFonts w:ascii="Arial" w:hAnsi="Arial" w:cs="Arial"/>
              </w:rPr>
            </w:pPr>
            <w:r>
              <w:rPr>
                <w:rFonts w:ascii="Arial" w:hAnsi="Arial" w:cs="Arial"/>
              </w:rPr>
              <w:t>Funding/Sponsoring Arrangements</w:t>
            </w:r>
          </w:p>
        </w:tc>
        <w:tc>
          <w:tcPr>
            <w:tcW w:w="12805" w:type="dxa"/>
            <w:gridSpan w:val="2"/>
          </w:tcPr>
          <w:p w14:paraId="7F833420" w14:textId="77777777" w:rsidR="00500FC3" w:rsidRDefault="00500FC3" w:rsidP="009870C7">
            <w:pPr>
              <w:pStyle w:val="ListParagraph"/>
              <w:numPr>
                <w:ilvl w:val="0"/>
                <w:numId w:val="49"/>
              </w:numPr>
              <w:spacing w:before="120"/>
              <w:ind w:left="317" w:hanging="317"/>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91656">
              <w:rPr>
                <w:rFonts w:ascii="Arial" w:hAnsi="Arial" w:cs="Arial"/>
              </w:rPr>
              <w:t>Agreements to facilitate funding for projects which the Territory Government would or might otherwise undertake at its own expense.</w:t>
            </w:r>
          </w:p>
          <w:p w14:paraId="6773B24C" w14:textId="77777777" w:rsidR="00500FC3" w:rsidRDefault="00500FC3" w:rsidP="009870C7">
            <w:pPr>
              <w:pStyle w:val="ListParagraph"/>
              <w:numPr>
                <w:ilvl w:val="0"/>
                <w:numId w:val="49"/>
              </w:numPr>
              <w:spacing w:before="120"/>
              <w:ind w:left="317" w:hanging="317"/>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91656">
              <w:rPr>
                <w:rFonts w:ascii="Arial" w:hAnsi="Arial" w:cs="Arial"/>
              </w:rPr>
              <w:t>The category includes funding agreements to undertake capital and research projects, establish cooperative research centres and provide statistics or other data/material to government organisations for publication or research.</w:t>
            </w:r>
          </w:p>
          <w:p w14:paraId="5C8C056B" w14:textId="77777777" w:rsidR="00500FC3" w:rsidRPr="00891656" w:rsidRDefault="00500FC3" w:rsidP="009870C7">
            <w:pPr>
              <w:pStyle w:val="ListParagraph"/>
              <w:numPr>
                <w:ilvl w:val="0"/>
                <w:numId w:val="49"/>
              </w:numPr>
              <w:spacing w:before="120"/>
              <w:ind w:left="317" w:hanging="317"/>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91656">
              <w:rPr>
                <w:rFonts w:ascii="Arial" w:hAnsi="Arial" w:cs="Arial"/>
              </w:rPr>
              <w:t>Category also includes agreements with the Charles Darwin University and the Batchelor Institute of Indigenous Tertiary Education.</w:t>
            </w:r>
          </w:p>
        </w:tc>
      </w:tr>
      <w:tr w:rsidR="00500FC3" w14:paraId="79D55098" w14:textId="77777777" w:rsidTr="003B0BE5">
        <w:trPr>
          <w:gridAfter w:val="1"/>
          <w:cnfStyle w:val="000000010000" w:firstRow="0" w:lastRow="0" w:firstColumn="0" w:lastColumn="0" w:oddVBand="0" w:evenVBand="0" w:oddHBand="0" w:evenHBand="1" w:firstRowFirstColumn="0" w:firstRowLastColumn="0" w:lastRowFirstColumn="0" w:lastRowLastColumn="0"/>
          <w:wAfter w:w="49" w:type="dxa"/>
          <w:trHeight w:val="3006"/>
        </w:trPr>
        <w:tc>
          <w:tcPr>
            <w:cnfStyle w:val="001000000000" w:firstRow="0" w:lastRow="0" w:firstColumn="1" w:lastColumn="0" w:oddVBand="0" w:evenVBand="0" w:oddHBand="0" w:evenHBand="0" w:firstRowFirstColumn="0" w:firstRowLastColumn="0" w:lastRowFirstColumn="0" w:lastRowLastColumn="0"/>
            <w:tcW w:w="2499" w:type="dxa"/>
          </w:tcPr>
          <w:p w14:paraId="6F3E5554" w14:textId="4CC79EC8" w:rsidR="00500FC3" w:rsidRPr="003B0BE5" w:rsidRDefault="00500FC3" w:rsidP="003B0BE5">
            <w:pPr>
              <w:pStyle w:val="ListParagraph"/>
              <w:numPr>
                <w:ilvl w:val="0"/>
                <w:numId w:val="48"/>
              </w:numPr>
              <w:spacing w:before="120"/>
              <w:ind w:left="313" w:hanging="313"/>
              <w:contextualSpacing/>
              <w:rPr>
                <w:rFonts w:ascii="Arial" w:hAnsi="Arial" w:cs="Arial"/>
              </w:rPr>
            </w:pPr>
            <w:r w:rsidRPr="00FA3D49">
              <w:rPr>
                <w:rFonts w:ascii="Arial" w:hAnsi="Arial" w:cs="Arial"/>
              </w:rPr>
              <w:t xml:space="preserve">Plant, Equipment and Software Purchase, Lease, </w:t>
            </w:r>
            <w:proofErr w:type="gramStart"/>
            <w:r w:rsidRPr="00FA3D49">
              <w:rPr>
                <w:rFonts w:ascii="Arial" w:hAnsi="Arial" w:cs="Arial"/>
              </w:rPr>
              <w:t>Agency</w:t>
            </w:r>
            <w:proofErr w:type="gramEnd"/>
            <w:r w:rsidRPr="00FA3D49">
              <w:rPr>
                <w:rFonts w:ascii="Arial" w:hAnsi="Arial" w:cs="Arial"/>
              </w:rPr>
              <w:t xml:space="preserve"> or Licence Arrangements</w:t>
            </w:r>
          </w:p>
        </w:tc>
        <w:tc>
          <w:tcPr>
            <w:tcW w:w="12805" w:type="dxa"/>
            <w:gridSpan w:val="2"/>
          </w:tcPr>
          <w:p w14:paraId="455C6B81" w14:textId="77777777" w:rsidR="00500FC3" w:rsidRPr="00891656" w:rsidRDefault="00500FC3" w:rsidP="009870C7">
            <w:pPr>
              <w:pStyle w:val="ListParagraph"/>
              <w:numPr>
                <w:ilvl w:val="0"/>
                <w:numId w:val="49"/>
              </w:numPr>
              <w:spacing w:before="120"/>
              <w:ind w:left="317" w:hanging="317"/>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891656">
              <w:rPr>
                <w:rFonts w:ascii="Arial" w:hAnsi="Arial" w:cs="Arial"/>
              </w:rPr>
              <w:t xml:space="preserve">Agreements with government or private sector organisations to procure, access or use material (including hardware or software) required for the delivery of Agency outputs. </w:t>
            </w:r>
          </w:p>
          <w:p w14:paraId="05951499" w14:textId="77777777" w:rsidR="00500FC3" w:rsidRPr="00FA3D49" w:rsidRDefault="00500FC3" w:rsidP="009870C7">
            <w:pPr>
              <w:pStyle w:val="ListParagraph"/>
              <w:numPr>
                <w:ilvl w:val="0"/>
                <w:numId w:val="49"/>
              </w:numPr>
              <w:spacing w:before="120"/>
              <w:ind w:left="317" w:hanging="317"/>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FA3D49">
              <w:rPr>
                <w:rFonts w:ascii="Arial" w:hAnsi="Arial" w:cs="Arial"/>
              </w:rPr>
              <w:t xml:space="preserve">The agreements may be for purchase or lease with on-going maintenance by the provider or a licence to use. </w:t>
            </w:r>
          </w:p>
          <w:p w14:paraId="4343F82A" w14:textId="77777777" w:rsidR="00500FC3" w:rsidRPr="00FA3D49" w:rsidRDefault="00500FC3" w:rsidP="009870C7">
            <w:pPr>
              <w:pStyle w:val="ListParagraph"/>
              <w:numPr>
                <w:ilvl w:val="0"/>
                <w:numId w:val="49"/>
              </w:numPr>
              <w:spacing w:before="120"/>
              <w:ind w:left="317" w:hanging="317"/>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FA3D49">
              <w:rPr>
                <w:rFonts w:ascii="Arial" w:hAnsi="Arial" w:cs="Arial"/>
              </w:rPr>
              <w:t>Arrangements for access to databases or copyrighted material, access to electronic booking systems, Agency arrangements where the Territory acts as booking or sales agent on behalf of a private sector organisation or agreements to purchase, lease or use specific software or hardware.</w:t>
            </w:r>
          </w:p>
          <w:p w14:paraId="21944125" w14:textId="77777777" w:rsidR="00500FC3" w:rsidRPr="00FA3D49" w:rsidRDefault="00500FC3" w:rsidP="009870C7">
            <w:pPr>
              <w:pStyle w:val="ListParagraph"/>
              <w:numPr>
                <w:ilvl w:val="0"/>
                <w:numId w:val="49"/>
              </w:numPr>
              <w:spacing w:before="120"/>
              <w:ind w:left="317" w:hanging="317"/>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FA3D49">
              <w:rPr>
                <w:rFonts w:ascii="Arial" w:hAnsi="Arial" w:cs="Arial"/>
              </w:rPr>
              <w:t>Access to Australia Post or banking facilities and leases of equipment.</w:t>
            </w:r>
          </w:p>
          <w:p w14:paraId="4F93F2C5" w14:textId="0EC68B92" w:rsidR="003B0BE5" w:rsidRPr="003B0BE5" w:rsidRDefault="00500FC3" w:rsidP="003B0BE5">
            <w:pPr>
              <w:pStyle w:val="ListParagraph"/>
              <w:numPr>
                <w:ilvl w:val="0"/>
                <w:numId w:val="49"/>
              </w:numPr>
              <w:spacing w:before="120"/>
              <w:ind w:left="317" w:hanging="317"/>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FA3D49">
              <w:rPr>
                <w:rFonts w:ascii="Arial" w:hAnsi="Arial" w:cs="Arial"/>
              </w:rPr>
              <w:t>Real property purchase, sale or lease arrangements are captured under Category 3</w:t>
            </w:r>
            <w:r>
              <w:rPr>
                <w:rFonts w:ascii="Arial" w:hAnsi="Arial" w:cs="Arial"/>
              </w:rPr>
              <w:t>.</w:t>
            </w:r>
          </w:p>
        </w:tc>
      </w:tr>
      <w:tr w:rsidR="00500FC3" w14:paraId="63ED8D95" w14:textId="77777777" w:rsidTr="003B0BE5">
        <w:trPr>
          <w:gridAfter w:val="1"/>
          <w:cnfStyle w:val="000000100000" w:firstRow="0" w:lastRow="0" w:firstColumn="0" w:lastColumn="0" w:oddVBand="0" w:evenVBand="0" w:oddHBand="1" w:evenHBand="0" w:firstRowFirstColumn="0" w:firstRowLastColumn="0" w:lastRowFirstColumn="0" w:lastRowLastColumn="0"/>
          <w:wAfter w:w="49" w:type="dxa"/>
          <w:trHeight w:val="397"/>
        </w:trPr>
        <w:tc>
          <w:tcPr>
            <w:cnfStyle w:val="001000000000" w:firstRow="0" w:lastRow="0" w:firstColumn="1" w:lastColumn="0" w:oddVBand="0" w:evenVBand="0" w:oddHBand="0" w:evenHBand="0" w:firstRowFirstColumn="0" w:firstRowLastColumn="0" w:lastRowFirstColumn="0" w:lastRowLastColumn="0"/>
            <w:tcW w:w="2499" w:type="dxa"/>
          </w:tcPr>
          <w:p w14:paraId="61DBABCF" w14:textId="3F223D82" w:rsidR="00F53563" w:rsidRPr="003B0BE5" w:rsidRDefault="00500FC3" w:rsidP="003B0BE5">
            <w:pPr>
              <w:pStyle w:val="ListParagraph"/>
              <w:numPr>
                <w:ilvl w:val="0"/>
                <w:numId w:val="48"/>
              </w:numPr>
              <w:spacing w:before="120"/>
              <w:ind w:left="313" w:hanging="313"/>
              <w:contextualSpacing/>
              <w:rPr>
                <w:rFonts w:ascii="Arial" w:hAnsi="Arial" w:cs="Arial"/>
              </w:rPr>
            </w:pPr>
            <w:r w:rsidRPr="00FA3D49">
              <w:rPr>
                <w:rFonts w:ascii="Arial" w:hAnsi="Arial" w:cs="Arial"/>
              </w:rPr>
              <w:lastRenderedPageBreak/>
              <w:t>Real Property Lease, Purchase and Sale Arrangements</w:t>
            </w:r>
          </w:p>
          <w:p w14:paraId="435B01C9" w14:textId="77777777" w:rsidR="00500FC3" w:rsidRPr="00F53563" w:rsidRDefault="00500FC3" w:rsidP="00F53563"/>
        </w:tc>
        <w:tc>
          <w:tcPr>
            <w:tcW w:w="12805" w:type="dxa"/>
            <w:gridSpan w:val="2"/>
          </w:tcPr>
          <w:p w14:paraId="156050D7" w14:textId="77777777" w:rsidR="00500FC3" w:rsidRPr="00FA3D49" w:rsidRDefault="00500FC3" w:rsidP="003B0BE5">
            <w:pPr>
              <w:pStyle w:val="ListParagraph"/>
              <w:keepNext/>
              <w:numPr>
                <w:ilvl w:val="0"/>
                <w:numId w:val="49"/>
              </w:numPr>
              <w:spacing w:before="120"/>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A3D49">
              <w:rPr>
                <w:rFonts w:ascii="Arial" w:hAnsi="Arial" w:cs="Arial"/>
              </w:rPr>
              <w:t xml:space="preserve">Agreements relating to the purchase, </w:t>
            </w:r>
            <w:proofErr w:type="gramStart"/>
            <w:r w:rsidRPr="00FA3D49">
              <w:rPr>
                <w:rFonts w:ascii="Arial" w:hAnsi="Arial" w:cs="Arial"/>
              </w:rPr>
              <w:t>lease</w:t>
            </w:r>
            <w:proofErr w:type="gramEnd"/>
            <w:r>
              <w:rPr>
                <w:rFonts w:ascii="Arial" w:hAnsi="Arial" w:cs="Arial"/>
              </w:rPr>
              <w:t xml:space="preserve"> or sale of real property only.</w:t>
            </w:r>
          </w:p>
          <w:p w14:paraId="2B0A1343" w14:textId="77777777" w:rsidR="00500FC3" w:rsidRPr="00FA3D49" w:rsidRDefault="00500FC3" w:rsidP="003B0BE5">
            <w:pPr>
              <w:pStyle w:val="ListParagraph"/>
              <w:keepNext/>
              <w:numPr>
                <w:ilvl w:val="0"/>
                <w:numId w:val="49"/>
              </w:numPr>
              <w:spacing w:before="120"/>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A3D49">
              <w:rPr>
                <w:rFonts w:ascii="Arial" w:hAnsi="Arial" w:cs="Arial"/>
              </w:rPr>
              <w:t>The category includes memorandum of common provisions used for Government office accommodation leases, leases with car park providers, leases for private sector provided housing and agreements for auction of Government owned real property.</w:t>
            </w:r>
          </w:p>
          <w:p w14:paraId="3C91ABEF" w14:textId="77777777" w:rsidR="00500FC3" w:rsidRPr="00FA3D49" w:rsidRDefault="00500FC3" w:rsidP="003B0BE5">
            <w:pPr>
              <w:pStyle w:val="ListParagraph"/>
              <w:keepNext/>
              <w:numPr>
                <w:ilvl w:val="0"/>
                <w:numId w:val="49"/>
              </w:numPr>
              <w:spacing w:before="120"/>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A3D49">
              <w:rPr>
                <w:rFonts w:ascii="Arial" w:hAnsi="Arial" w:cs="Arial"/>
              </w:rPr>
              <w:t>Plant and equipment purchase, sale or lease arrangement</w:t>
            </w:r>
            <w:r>
              <w:rPr>
                <w:rFonts w:ascii="Arial" w:hAnsi="Arial" w:cs="Arial"/>
              </w:rPr>
              <w:t>s are covered under Category 2.</w:t>
            </w:r>
          </w:p>
          <w:p w14:paraId="3B7DCB50" w14:textId="64096F82" w:rsidR="00500FC3" w:rsidRPr="00C86E86" w:rsidRDefault="00500FC3" w:rsidP="003B0BE5">
            <w:pPr>
              <w:pStyle w:val="ListParagraph"/>
              <w:keepNext/>
              <w:numPr>
                <w:ilvl w:val="0"/>
                <w:numId w:val="49"/>
              </w:numPr>
              <w:spacing w:before="120"/>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91656">
              <w:rPr>
                <w:rFonts w:ascii="Arial" w:hAnsi="Arial" w:cs="Arial"/>
              </w:rPr>
              <w:t xml:space="preserve">This category does not cover arrangements to access or enter private or other Government owned real property for specific events or to carry out specific works which are covered by Category </w:t>
            </w:r>
            <w:r w:rsidR="00515ED7">
              <w:rPr>
                <w:rFonts w:ascii="Arial" w:hAnsi="Arial" w:cs="Arial"/>
              </w:rPr>
              <w:t>7</w:t>
            </w:r>
            <w:r w:rsidRPr="00891656">
              <w:rPr>
                <w:rFonts w:ascii="Arial" w:hAnsi="Arial" w:cs="Arial"/>
              </w:rPr>
              <w:t>.</w:t>
            </w:r>
          </w:p>
        </w:tc>
      </w:tr>
      <w:tr w:rsidR="00500FC3" w14:paraId="42F85CCC" w14:textId="77777777" w:rsidTr="003B0BE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07" w:type="dxa"/>
            <w:gridSpan w:val="2"/>
          </w:tcPr>
          <w:p w14:paraId="3741CF47" w14:textId="4FF03B2B" w:rsidR="00030EA0" w:rsidRPr="003B0BE5" w:rsidRDefault="00500FC3" w:rsidP="003B0BE5">
            <w:pPr>
              <w:pStyle w:val="ListParagraph"/>
              <w:keepNext/>
              <w:numPr>
                <w:ilvl w:val="0"/>
                <w:numId w:val="48"/>
              </w:numPr>
              <w:spacing w:before="120"/>
              <w:ind w:left="318" w:hanging="318"/>
              <w:contextualSpacing/>
              <w:rPr>
                <w:rFonts w:ascii="Arial" w:hAnsi="Arial" w:cs="Arial"/>
              </w:rPr>
            </w:pPr>
            <w:r>
              <w:rPr>
                <w:rFonts w:ascii="Arial" w:hAnsi="Arial" w:cs="Arial"/>
              </w:rPr>
              <w:lastRenderedPageBreak/>
              <w:t xml:space="preserve">Venue Hire for </w:t>
            </w:r>
            <w:r w:rsidRPr="00FA3D49">
              <w:rPr>
                <w:rFonts w:ascii="Arial" w:hAnsi="Arial" w:cs="Arial"/>
              </w:rPr>
              <w:t xml:space="preserve">Public Displays, </w:t>
            </w:r>
            <w:r w:rsidR="00FF7C42">
              <w:rPr>
                <w:rFonts w:ascii="Arial" w:hAnsi="Arial" w:cs="Arial"/>
              </w:rPr>
              <w:t xml:space="preserve">Conferences, Meetings, </w:t>
            </w:r>
            <w:r w:rsidR="007E3D62">
              <w:rPr>
                <w:rFonts w:ascii="Arial" w:hAnsi="Arial" w:cs="Arial"/>
              </w:rPr>
              <w:t xml:space="preserve">Electoral purposes, </w:t>
            </w:r>
            <w:r w:rsidRPr="00FA3D49">
              <w:rPr>
                <w:rFonts w:ascii="Arial" w:hAnsi="Arial" w:cs="Arial"/>
              </w:rPr>
              <w:t>Exhibitions and Performances</w:t>
            </w:r>
          </w:p>
          <w:p w14:paraId="58584CEB" w14:textId="77777777" w:rsidR="00030EA0" w:rsidRDefault="00030EA0" w:rsidP="003B0BE5">
            <w:pPr>
              <w:keepNext/>
              <w:ind w:left="318" w:hanging="318"/>
              <w:rPr>
                <w:rFonts w:ascii="Arial" w:eastAsiaTheme="minorEastAsia" w:hAnsi="Arial" w:cs="Arial"/>
                <w:iCs/>
              </w:rPr>
            </w:pPr>
          </w:p>
          <w:p w14:paraId="632F97DE" w14:textId="77777777" w:rsidR="00030EA0" w:rsidRPr="00030EA0" w:rsidRDefault="00030EA0" w:rsidP="003B0BE5">
            <w:pPr>
              <w:keepNext/>
              <w:ind w:left="318" w:hanging="318"/>
            </w:pPr>
          </w:p>
          <w:p w14:paraId="0382902B" w14:textId="77777777" w:rsidR="00030EA0" w:rsidRPr="00030EA0" w:rsidRDefault="00030EA0" w:rsidP="003B0BE5">
            <w:pPr>
              <w:keepNext/>
              <w:ind w:left="318" w:hanging="318"/>
            </w:pPr>
          </w:p>
          <w:p w14:paraId="5B98B14F" w14:textId="77777777" w:rsidR="00030EA0" w:rsidRDefault="00030EA0" w:rsidP="003B0BE5">
            <w:pPr>
              <w:keepNext/>
              <w:ind w:left="318" w:hanging="318"/>
              <w:rPr>
                <w:rFonts w:ascii="Arial" w:eastAsiaTheme="minorEastAsia" w:hAnsi="Arial" w:cs="Arial"/>
                <w:iCs/>
              </w:rPr>
            </w:pPr>
          </w:p>
          <w:p w14:paraId="2B5D7EF2" w14:textId="77777777" w:rsidR="00030EA0" w:rsidRPr="00030EA0" w:rsidRDefault="00030EA0" w:rsidP="003B0BE5">
            <w:pPr>
              <w:keepNext/>
              <w:ind w:left="318" w:hanging="318"/>
            </w:pPr>
          </w:p>
        </w:tc>
        <w:tc>
          <w:tcPr>
            <w:tcW w:w="12846" w:type="dxa"/>
            <w:gridSpan w:val="2"/>
          </w:tcPr>
          <w:p w14:paraId="3CDBE062" w14:textId="77777777" w:rsidR="00500FC3" w:rsidRPr="00FA3D49" w:rsidRDefault="00500FC3" w:rsidP="003B0BE5">
            <w:pPr>
              <w:pStyle w:val="ListParagraph"/>
              <w:keepNext/>
              <w:numPr>
                <w:ilvl w:val="0"/>
                <w:numId w:val="49"/>
              </w:numPr>
              <w:spacing w:before="120"/>
              <w:ind w:left="318" w:hanging="318"/>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FA3D49">
              <w:rPr>
                <w:rFonts w:ascii="Arial" w:hAnsi="Arial" w:cs="Arial"/>
              </w:rPr>
              <w:t>Agreements relating to</w:t>
            </w:r>
            <w:r>
              <w:rPr>
                <w:rFonts w:ascii="Arial" w:hAnsi="Arial" w:cs="Arial"/>
              </w:rPr>
              <w:t xml:space="preserve"> hiring venues or space for</w:t>
            </w:r>
            <w:r w:rsidRPr="00FA3D49">
              <w:rPr>
                <w:rFonts w:ascii="Arial" w:hAnsi="Arial" w:cs="Arial"/>
              </w:rPr>
              <w:t xml:space="preserve"> displays, conferences,</w:t>
            </w:r>
            <w:r w:rsidR="00EA614D">
              <w:rPr>
                <w:rFonts w:ascii="Arial" w:hAnsi="Arial" w:cs="Arial"/>
              </w:rPr>
              <w:t xml:space="preserve"> meetings,</w:t>
            </w:r>
            <w:r w:rsidRPr="00FA3D49">
              <w:rPr>
                <w:rFonts w:ascii="Arial" w:hAnsi="Arial" w:cs="Arial"/>
              </w:rPr>
              <w:t xml:space="preserve"> </w:t>
            </w:r>
            <w:proofErr w:type="gramStart"/>
            <w:r w:rsidRPr="00FA3D49">
              <w:rPr>
                <w:rFonts w:ascii="Arial" w:hAnsi="Arial" w:cs="Arial"/>
              </w:rPr>
              <w:t>exhibitions</w:t>
            </w:r>
            <w:proofErr w:type="gramEnd"/>
            <w:r w:rsidRPr="00FA3D49">
              <w:rPr>
                <w:rFonts w:ascii="Arial" w:hAnsi="Arial" w:cs="Arial"/>
              </w:rPr>
              <w:t xml:space="preserve"> or performances organi</w:t>
            </w:r>
            <w:r>
              <w:rPr>
                <w:rFonts w:ascii="Arial" w:hAnsi="Arial" w:cs="Arial"/>
              </w:rPr>
              <w:t>sed or supported by Government.</w:t>
            </w:r>
          </w:p>
          <w:p w14:paraId="5A3BDA9A" w14:textId="77777777" w:rsidR="00500FC3" w:rsidRPr="00FA3D49" w:rsidRDefault="00500FC3" w:rsidP="003B0BE5">
            <w:pPr>
              <w:pStyle w:val="ListParagraph"/>
              <w:keepNext/>
              <w:numPr>
                <w:ilvl w:val="0"/>
                <w:numId w:val="49"/>
              </w:numPr>
              <w:spacing w:before="120"/>
              <w:ind w:left="318" w:hanging="318"/>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FA3D49">
              <w:rPr>
                <w:rFonts w:ascii="Arial" w:hAnsi="Arial" w:cs="Arial"/>
              </w:rPr>
              <w:t>Where access to real property is required for some other purpose, the agreement falls into Category 7.</w:t>
            </w:r>
          </w:p>
          <w:p w14:paraId="453E3F54" w14:textId="77777777" w:rsidR="00500FC3" w:rsidRPr="00FA3D49" w:rsidRDefault="00500FC3" w:rsidP="003B0BE5">
            <w:pPr>
              <w:pStyle w:val="ListParagraph"/>
              <w:keepNext/>
              <w:numPr>
                <w:ilvl w:val="0"/>
                <w:numId w:val="49"/>
              </w:numPr>
              <w:spacing w:before="120"/>
              <w:ind w:left="318" w:hanging="318"/>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FA3D49">
              <w:rPr>
                <w:rFonts w:ascii="Arial" w:hAnsi="Arial" w:cs="Arial"/>
              </w:rPr>
              <w:t>The category includes agreements required to enable standing displays to be held (</w:t>
            </w:r>
            <w:r>
              <w:rPr>
                <w:rFonts w:ascii="Arial" w:hAnsi="Arial" w:cs="Arial"/>
              </w:rPr>
              <w:t>for example,</w:t>
            </w:r>
            <w:r w:rsidRPr="00FA3D49">
              <w:rPr>
                <w:rFonts w:ascii="Arial" w:hAnsi="Arial" w:cs="Arial"/>
              </w:rPr>
              <w:t xml:space="preserve"> at shopping centres or expos), agreements with museums for travelling exhibits or agreements with producers of sta</w:t>
            </w:r>
            <w:r>
              <w:rPr>
                <w:rFonts w:ascii="Arial" w:hAnsi="Arial" w:cs="Arial"/>
              </w:rPr>
              <w:t>ge events or arts performances.</w:t>
            </w:r>
          </w:p>
          <w:p w14:paraId="00105D40" w14:textId="77777777" w:rsidR="00500FC3" w:rsidRDefault="00500FC3" w:rsidP="003B0BE5">
            <w:pPr>
              <w:pStyle w:val="ListParagraph"/>
              <w:keepNext/>
              <w:numPr>
                <w:ilvl w:val="0"/>
                <w:numId w:val="49"/>
              </w:numPr>
              <w:spacing w:before="120"/>
              <w:ind w:left="318" w:hanging="318"/>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FA3D49">
              <w:rPr>
                <w:rFonts w:ascii="Arial" w:hAnsi="Arial" w:cs="Arial"/>
              </w:rPr>
              <w:t xml:space="preserve">Agreements for use of convention, conference or exhibition facilities and arrangements for Government sponsorship of an event organised by a non-government organisation or private sector sponsorship of a </w:t>
            </w:r>
            <w:proofErr w:type="gramStart"/>
            <w:r w:rsidRPr="00FA3D49">
              <w:rPr>
                <w:rFonts w:ascii="Arial" w:hAnsi="Arial" w:cs="Arial"/>
              </w:rPr>
              <w:t>Government</w:t>
            </w:r>
            <w:proofErr w:type="gramEnd"/>
            <w:r w:rsidRPr="00FA3D49">
              <w:rPr>
                <w:rFonts w:ascii="Arial" w:hAnsi="Arial" w:cs="Arial"/>
              </w:rPr>
              <w:t xml:space="preserve"> organised event are also included.</w:t>
            </w:r>
          </w:p>
          <w:p w14:paraId="0ED60AAA" w14:textId="77777777" w:rsidR="00500FC3" w:rsidRDefault="00500FC3" w:rsidP="003B0BE5">
            <w:pPr>
              <w:pStyle w:val="ListParagraph"/>
              <w:keepNext/>
              <w:numPr>
                <w:ilvl w:val="0"/>
                <w:numId w:val="49"/>
              </w:numPr>
              <w:spacing w:before="120"/>
              <w:ind w:left="318" w:hanging="318"/>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166455">
              <w:rPr>
                <w:rFonts w:ascii="Arial" w:hAnsi="Arial" w:cs="Arial"/>
              </w:rPr>
              <w:t xml:space="preserve">This category includes agreements for the hire of venues and short-term hire of meeting space or similar. Where agencies hire or lease short-term meeting space on a regular basis, standing approval from the Delegate and standing Ministerial endorsement may be sought in accordance with </w:t>
            </w:r>
            <w:r>
              <w:rPr>
                <w:rFonts w:ascii="Arial" w:hAnsi="Arial" w:cs="Arial"/>
              </w:rPr>
              <w:t xml:space="preserve">the section on </w:t>
            </w:r>
            <w:r>
              <w:rPr>
                <w:rFonts w:ascii="Arial" w:hAnsi="Arial" w:cs="Arial"/>
                <w:b/>
              </w:rPr>
              <w:t>Standing approval process</w:t>
            </w:r>
            <w:r>
              <w:rPr>
                <w:rFonts w:ascii="Arial" w:hAnsi="Arial" w:cs="Arial"/>
              </w:rPr>
              <w:t xml:space="preserve"> in the Treasurer’s Direction – Guarantees and indemnities.</w:t>
            </w:r>
          </w:p>
          <w:p w14:paraId="4463C7E4" w14:textId="77777777" w:rsidR="00EA614D" w:rsidRPr="00EA614D" w:rsidRDefault="00EA614D" w:rsidP="003B0BE5">
            <w:pPr>
              <w:pStyle w:val="ListParagraph"/>
              <w:keepNext/>
              <w:numPr>
                <w:ilvl w:val="0"/>
                <w:numId w:val="49"/>
              </w:numPr>
              <w:spacing w:before="120"/>
              <w:ind w:left="318" w:hanging="318"/>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3B0BE5">
              <w:rPr>
                <w:rFonts w:ascii="Arial" w:hAnsi="Arial" w:cs="Arial"/>
              </w:rPr>
              <w:t>Agreements relating to the hiring of venues or spaces by the NT Electoral Commission to support its functions including the delivery of elections in the Northern Territory.</w:t>
            </w:r>
          </w:p>
        </w:tc>
      </w:tr>
      <w:tr w:rsidR="00500FC3" w14:paraId="138B689B" w14:textId="77777777" w:rsidTr="003B0BE5">
        <w:trPr>
          <w:gridAfter w:val="1"/>
          <w:cnfStyle w:val="000000100000" w:firstRow="0" w:lastRow="0" w:firstColumn="0" w:lastColumn="0" w:oddVBand="0" w:evenVBand="0" w:oddHBand="1" w:evenHBand="0" w:firstRowFirstColumn="0" w:firstRowLastColumn="0" w:lastRowFirstColumn="0" w:lastRowLastColumn="0"/>
          <w:wAfter w:w="49" w:type="dxa"/>
          <w:trHeight w:val="397"/>
        </w:trPr>
        <w:tc>
          <w:tcPr>
            <w:cnfStyle w:val="001000000000" w:firstRow="0" w:lastRow="0" w:firstColumn="1" w:lastColumn="0" w:oddVBand="0" w:evenVBand="0" w:oddHBand="0" w:evenHBand="0" w:firstRowFirstColumn="0" w:firstRowLastColumn="0" w:lastRowFirstColumn="0" w:lastRowLastColumn="0"/>
            <w:tcW w:w="2499" w:type="dxa"/>
          </w:tcPr>
          <w:p w14:paraId="4D0CE61C" w14:textId="77777777" w:rsidR="00500FC3" w:rsidRPr="00FA3D49" w:rsidRDefault="00500FC3" w:rsidP="009870C7">
            <w:pPr>
              <w:pStyle w:val="ListParagraph"/>
              <w:numPr>
                <w:ilvl w:val="0"/>
                <w:numId w:val="48"/>
              </w:numPr>
              <w:spacing w:before="120"/>
              <w:ind w:left="313" w:hanging="313"/>
              <w:contextualSpacing/>
              <w:rPr>
                <w:rFonts w:ascii="Arial" w:hAnsi="Arial" w:cs="Arial"/>
              </w:rPr>
            </w:pPr>
            <w:r w:rsidRPr="00FA3D49">
              <w:rPr>
                <w:rFonts w:ascii="Arial" w:hAnsi="Arial" w:cs="Arial"/>
              </w:rPr>
              <w:t>Employment and Consultancy Arrangements</w:t>
            </w:r>
          </w:p>
        </w:tc>
        <w:tc>
          <w:tcPr>
            <w:tcW w:w="12805" w:type="dxa"/>
            <w:gridSpan w:val="2"/>
          </w:tcPr>
          <w:p w14:paraId="02E49E83" w14:textId="77777777" w:rsidR="00500FC3" w:rsidRPr="00FA3D49" w:rsidRDefault="00500FC3" w:rsidP="003B0BE5">
            <w:pPr>
              <w:pStyle w:val="ListParagraph"/>
              <w:keepNext/>
              <w:numPr>
                <w:ilvl w:val="0"/>
                <w:numId w:val="49"/>
              </w:numPr>
              <w:spacing w:before="120"/>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A3D49">
              <w:rPr>
                <w:rFonts w:ascii="Arial" w:hAnsi="Arial" w:cs="Arial"/>
              </w:rPr>
              <w:t>Agreements relating to employment of individuals or engagement of non-government entities</w:t>
            </w:r>
            <w:r>
              <w:rPr>
                <w:rFonts w:ascii="Arial" w:hAnsi="Arial" w:cs="Arial"/>
              </w:rPr>
              <w:t xml:space="preserve"> to provide advice or services.</w:t>
            </w:r>
          </w:p>
          <w:p w14:paraId="17A1AF01" w14:textId="77777777" w:rsidR="00500FC3" w:rsidRPr="00FA3D49" w:rsidRDefault="00500FC3" w:rsidP="003B0BE5">
            <w:pPr>
              <w:pStyle w:val="ListParagraph"/>
              <w:keepNext/>
              <w:numPr>
                <w:ilvl w:val="0"/>
                <w:numId w:val="49"/>
              </w:numPr>
              <w:spacing w:before="120"/>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A3D49">
              <w:rPr>
                <w:rFonts w:ascii="Arial" w:hAnsi="Arial" w:cs="Arial"/>
              </w:rPr>
              <w:t xml:space="preserve">The services could range from the provision of project advice or research to employment arrangements which fall outside the </w:t>
            </w:r>
            <w:r w:rsidRPr="00056617">
              <w:rPr>
                <w:rFonts w:ascii="Arial" w:hAnsi="Arial" w:cs="Arial"/>
                <w:i/>
              </w:rPr>
              <w:t>Public Sector Employment and Management Act</w:t>
            </w:r>
            <w:r>
              <w:rPr>
                <w:rFonts w:ascii="Arial" w:hAnsi="Arial" w:cs="Arial"/>
                <w:i/>
              </w:rPr>
              <w:t> 1993</w:t>
            </w:r>
            <w:r>
              <w:rPr>
                <w:rFonts w:ascii="Arial" w:hAnsi="Arial" w:cs="Arial"/>
              </w:rPr>
              <w:t>.</w:t>
            </w:r>
          </w:p>
          <w:p w14:paraId="30C381AC" w14:textId="77777777" w:rsidR="00500FC3" w:rsidRPr="00FA3D49" w:rsidRDefault="00500FC3" w:rsidP="003B0BE5">
            <w:pPr>
              <w:pStyle w:val="ListParagraph"/>
              <w:keepNext/>
              <w:numPr>
                <w:ilvl w:val="0"/>
                <w:numId w:val="49"/>
              </w:numPr>
              <w:spacing w:before="120"/>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A3D49">
              <w:rPr>
                <w:rFonts w:ascii="Arial" w:hAnsi="Arial" w:cs="Arial"/>
              </w:rPr>
              <w:t>The category includes agreements with other organisations (government or non</w:t>
            </w:r>
            <w:r w:rsidRPr="00FA3D49">
              <w:rPr>
                <w:rFonts w:ascii="Arial" w:hAnsi="Arial" w:cs="Arial"/>
              </w:rPr>
              <w:noBreakHyphen/>
              <w:t>government, including private sector) for employee exchange, engagement for research and development projects and agency arrangements where an employee is seconde</w:t>
            </w:r>
            <w:r>
              <w:rPr>
                <w:rFonts w:ascii="Arial" w:hAnsi="Arial" w:cs="Arial"/>
              </w:rPr>
              <w:t xml:space="preserve">d to or undertakes research or </w:t>
            </w:r>
            <w:r w:rsidRPr="00FA3D49">
              <w:rPr>
                <w:rFonts w:ascii="Arial" w:hAnsi="Arial" w:cs="Arial"/>
              </w:rPr>
              <w:t xml:space="preserve">advisory work for or on behalf of another organisation or vice versa. Where a guarantee or indemnity is to be provided for placement of an external employee seconded to the Territory Government, approval should only be provided following consultation with </w:t>
            </w:r>
            <w:r>
              <w:rPr>
                <w:rFonts w:ascii="Arial" w:hAnsi="Arial" w:cs="Arial"/>
              </w:rPr>
              <w:t>Department of Treasury and Finance</w:t>
            </w:r>
            <w:r w:rsidRPr="00FA3D49">
              <w:rPr>
                <w:rFonts w:ascii="Arial" w:hAnsi="Arial" w:cs="Arial"/>
              </w:rPr>
              <w:t xml:space="preserve"> and</w:t>
            </w:r>
            <w:r>
              <w:rPr>
                <w:rFonts w:ascii="Arial" w:hAnsi="Arial" w:cs="Arial"/>
              </w:rPr>
              <w:t xml:space="preserve"> </w:t>
            </w:r>
            <w:r w:rsidRPr="00FA3D49">
              <w:rPr>
                <w:rFonts w:ascii="Arial" w:hAnsi="Arial" w:cs="Arial"/>
              </w:rPr>
              <w:t>or the Solicitor for the Northern Territory.</w:t>
            </w:r>
          </w:p>
          <w:p w14:paraId="575278D4" w14:textId="77777777" w:rsidR="00500FC3" w:rsidRPr="00FA3D49" w:rsidRDefault="00500FC3" w:rsidP="003B0BE5">
            <w:pPr>
              <w:pStyle w:val="ListParagraph"/>
              <w:keepNext/>
              <w:numPr>
                <w:ilvl w:val="0"/>
                <w:numId w:val="49"/>
              </w:numPr>
              <w:spacing w:before="120"/>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A3D49">
              <w:rPr>
                <w:rFonts w:ascii="Arial" w:hAnsi="Arial" w:cs="Arial"/>
              </w:rPr>
              <w:t>Volunteer agreements are also included in this category.</w:t>
            </w:r>
          </w:p>
          <w:p w14:paraId="11F23296" w14:textId="77777777" w:rsidR="00500FC3" w:rsidRPr="00FA3D49" w:rsidRDefault="00500FC3" w:rsidP="003B0BE5">
            <w:pPr>
              <w:pStyle w:val="ListParagraph"/>
              <w:keepNext/>
              <w:numPr>
                <w:ilvl w:val="0"/>
                <w:numId w:val="49"/>
              </w:numPr>
              <w:spacing w:before="120"/>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A3D49">
              <w:rPr>
                <w:rFonts w:ascii="Arial" w:hAnsi="Arial" w:cs="Arial"/>
              </w:rPr>
              <w:t>This category does not include any employment or consultancy work undertaken in the medical or allied health fields that are covered under Category 8.</w:t>
            </w:r>
          </w:p>
        </w:tc>
      </w:tr>
    </w:tbl>
    <w:p w14:paraId="6638BA0E" w14:textId="77777777" w:rsidR="00500FC3" w:rsidRDefault="00500FC3" w:rsidP="00500FC3">
      <w:pPr>
        <w:rPr>
          <w:lang w:eastAsia="en-AU"/>
        </w:rPr>
      </w:pPr>
    </w:p>
    <w:p w14:paraId="29468A52" w14:textId="77777777" w:rsidR="00F53563" w:rsidRPr="00C130FA" w:rsidRDefault="00F53563" w:rsidP="00F53563">
      <w:pPr>
        <w:pStyle w:val="Heading1"/>
        <w:rPr>
          <w:noProof/>
          <w:sz w:val="30"/>
          <w:szCs w:val="30"/>
          <w:lang w:eastAsia="en-AU"/>
        </w:rPr>
      </w:pPr>
      <w:r w:rsidRPr="00C130FA">
        <w:rPr>
          <w:noProof/>
          <w:sz w:val="30"/>
          <w:szCs w:val="30"/>
          <w:lang w:eastAsia="en-AU"/>
        </w:rPr>
        <w:lastRenderedPageBreak/>
        <w:t>Delegate</w:t>
      </w:r>
      <w:r>
        <w:rPr>
          <w:noProof/>
          <w:sz w:val="30"/>
          <w:szCs w:val="30"/>
          <w:lang w:eastAsia="en-AU"/>
        </w:rPr>
        <w:t xml:space="preserve"> Approval Process Categories 6-9</w:t>
      </w:r>
    </w:p>
    <w:tbl>
      <w:tblPr>
        <w:tblStyle w:val="NTGtable"/>
        <w:tblW w:w="15304" w:type="dxa"/>
        <w:tblLook w:val="04A0" w:firstRow="1" w:lastRow="0" w:firstColumn="1" w:lastColumn="0" w:noHBand="0" w:noVBand="1"/>
      </w:tblPr>
      <w:tblGrid>
        <w:gridCol w:w="2122"/>
        <w:gridCol w:w="13182"/>
      </w:tblGrid>
      <w:tr w:rsidR="00F53563" w:rsidRPr="00FA3D49" w14:paraId="55348AD4" w14:textId="77777777" w:rsidTr="00F93F0D">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2122" w:type="dxa"/>
          </w:tcPr>
          <w:p w14:paraId="12354076" w14:textId="77777777" w:rsidR="00F53563" w:rsidRPr="00BB3A07" w:rsidRDefault="00F53563" w:rsidP="00F93F0D">
            <w:pPr>
              <w:pStyle w:val="ListNumber"/>
              <w:spacing w:after="60"/>
              <w:rPr>
                <w:b w:val="0"/>
              </w:rPr>
            </w:pPr>
            <w:r>
              <w:t>CATEGORY</w:t>
            </w:r>
          </w:p>
        </w:tc>
        <w:tc>
          <w:tcPr>
            <w:tcW w:w="13182" w:type="dxa"/>
          </w:tcPr>
          <w:p w14:paraId="1FF6AC16" w14:textId="77777777" w:rsidR="00F53563" w:rsidRPr="00BB3A07" w:rsidRDefault="00F53563" w:rsidP="00F93F0D">
            <w:pPr>
              <w:pStyle w:val="ListNumber"/>
              <w:spacing w:after="60"/>
              <w:cnfStyle w:val="100000000000" w:firstRow="1" w:lastRow="0" w:firstColumn="0" w:lastColumn="0" w:oddVBand="0" w:evenVBand="0" w:oddHBand="0" w:evenHBand="0" w:firstRowFirstColumn="0" w:firstRowLastColumn="0" w:lastRowFirstColumn="0" w:lastRowLastColumn="0"/>
              <w:rPr>
                <w:b w:val="0"/>
              </w:rPr>
            </w:pPr>
            <w:r>
              <w:t xml:space="preserve">DESCRIPTION OF INSTRUMENT </w:t>
            </w:r>
          </w:p>
        </w:tc>
      </w:tr>
      <w:tr w:rsidR="00F53563" w:rsidRPr="00FA3D49" w14:paraId="773A76A0" w14:textId="77777777" w:rsidTr="00F93F0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22" w:type="dxa"/>
          </w:tcPr>
          <w:p w14:paraId="5BBEC1C1" w14:textId="77777777" w:rsidR="00F53563" w:rsidRPr="00891656" w:rsidRDefault="00F53563" w:rsidP="00F93F0D">
            <w:pPr>
              <w:pStyle w:val="ListParagraph"/>
              <w:numPr>
                <w:ilvl w:val="0"/>
                <w:numId w:val="48"/>
              </w:numPr>
              <w:spacing w:before="120"/>
              <w:ind w:left="313" w:hanging="313"/>
              <w:contextualSpacing/>
              <w:rPr>
                <w:rFonts w:ascii="Arial" w:hAnsi="Arial" w:cs="Arial"/>
              </w:rPr>
            </w:pPr>
            <w:r w:rsidRPr="00FA3D49">
              <w:rPr>
                <w:rFonts w:ascii="Arial" w:hAnsi="Arial" w:cs="Arial"/>
              </w:rPr>
              <w:t>Director, Trustee and Board Member Indemnities (except for medical or allied health boards)</w:t>
            </w:r>
          </w:p>
        </w:tc>
        <w:tc>
          <w:tcPr>
            <w:tcW w:w="13182" w:type="dxa"/>
          </w:tcPr>
          <w:p w14:paraId="401BE1AE" w14:textId="77777777" w:rsidR="00F53563" w:rsidRPr="00FA3D49" w:rsidRDefault="00F53563" w:rsidP="00F93F0D">
            <w:pPr>
              <w:pStyle w:val="ListParagraph"/>
              <w:numPr>
                <w:ilvl w:val="0"/>
                <w:numId w:val="49"/>
              </w:numPr>
              <w:spacing w:before="120" w:after="0"/>
              <w:ind w:left="317"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A3D49">
              <w:rPr>
                <w:rFonts w:ascii="Arial" w:hAnsi="Arial" w:cs="Arial"/>
              </w:rPr>
              <w:t xml:space="preserve">Agreements covering protection from liability offered to Government appointees on boards of statutory corporations, </w:t>
            </w:r>
            <w:proofErr w:type="gramStart"/>
            <w:r w:rsidRPr="00FA3D49">
              <w:rPr>
                <w:rFonts w:ascii="Arial" w:hAnsi="Arial" w:cs="Arial"/>
              </w:rPr>
              <w:t>tribu</w:t>
            </w:r>
            <w:r>
              <w:rPr>
                <w:rFonts w:ascii="Arial" w:hAnsi="Arial" w:cs="Arial"/>
              </w:rPr>
              <w:t>nals</w:t>
            </w:r>
            <w:proofErr w:type="gramEnd"/>
            <w:r>
              <w:rPr>
                <w:rFonts w:ascii="Arial" w:hAnsi="Arial" w:cs="Arial"/>
              </w:rPr>
              <w:t xml:space="preserve"> and private sector bodies.</w:t>
            </w:r>
          </w:p>
          <w:p w14:paraId="08AD9E84" w14:textId="77777777" w:rsidR="00F53563" w:rsidRPr="00FA3D49" w:rsidRDefault="00F53563" w:rsidP="00F93F0D">
            <w:pPr>
              <w:pStyle w:val="ListParagraph"/>
              <w:numPr>
                <w:ilvl w:val="0"/>
                <w:numId w:val="49"/>
              </w:numPr>
              <w:spacing w:before="120" w:after="0"/>
              <w:ind w:left="317"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A3D49">
              <w:rPr>
                <w:rFonts w:ascii="Arial" w:hAnsi="Arial" w:cs="Arial"/>
              </w:rPr>
              <w:t>This category also covers indemnities provided to Government appointed trustees.</w:t>
            </w:r>
          </w:p>
          <w:p w14:paraId="07A6DA50" w14:textId="77777777" w:rsidR="00F53563" w:rsidRPr="00FA3D49" w:rsidRDefault="00F53563" w:rsidP="00F93F0D">
            <w:pPr>
              <w:pStyle w:val="ListParagraph"/>
              <w:numPr>
                <w:ilvl w:val="0"/>
                <w:numId w:val="49"/>
              </w:numPr>
              <w:spacing w:before="120" w:after="0"/>
              <w:ind w:left="317"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A3D49">
              <w:rPr>
                <w:rFonts w:ascii="Arial" w:hAnsi="Arial" w:cs="Arial"/>
              </w:rPr>
              <w:t>The category covers deeds of indemnities provided where legislative protection is considered insufficient to fully protect Government appointees.</w:t>
            </w:r>
          </w:p>
          <w:p w14:paraId="2711F6EC" w14:textId="77777777" w:rsidR="00F53563" w:rsidRPr="00891656" w:rsidRDefault="00F53563" w:rsidP="00F93F0D">
            <w:pPr>
              <w:pStyle w:val="ListParagraph"/>
              <w:numPr>
                <w:ilvl w:val="0"/>
                <w:numId w:val="49"/>
              </w:numPr>
              <w:spacing w:before="120" w:after="0"/>
              <w:ind w:left="31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A3D49">
              <w:rPr>
                <w:rFonts w:ascii="Arial" w:hAnsi="Arial" w:cs="Arial"/>
              </w:rPr>
              <w:t>This category does not cover medical or allied health boards.</w:t>
            </w:r>
          </w:p>
        </w:tc>
      </w:tr>
      <w:tr w:rsidR="00F53563" w:rsidRPr="00FA3D49" w14:paraId="77ACC1EF" w14:textId="77777777" w:rsidTr="00F93F0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22" w:type="dxa"/>
          </w:tcPr>
          <w:p w14:paraId="18E5CF7D" w14:textId="77777777" w:rsidR="00F53563" w:rsidRPr="00891656" w:rsidRDefault="00F53563" w:rsidP="00F93F0D">
            <w:pPr>
              <w:pStyle w:val="ListParagraph"/>
              <w:numPr>
                <w:ilvl w:val="0"/>
                <w:numId w:val="48"/>
              </w:numPr>
              <w:spacing w:before="120"/>
              <w:ind w:left="313" w:hanging="313"/>
              <w:contextualSpacing/>
              <w:rPr>
                <w:rFonts w:ascii="Arial" w:hAnsi="Arial" w:cs="Arial"/>
              </w:rPr>
            </w:pPr>
            <w:r w:rsidRPr="00FA3D49">
              <w:rPr>
                <w:rFonts w:ascii="Arial" w:hAnsi="Arial" w:cs="Arial"/>
              </w:rPr>
              <w:t>Access or Entry Arrangements/ Licenses</w:t>
            </w:r>
          </w:p>
        </w:tc>
        <w:tc>
          <w:tcPr>
            <w:tcW w:w="13182" w:type="dxa"/>
          </w:tcPr>
          <w:p w14:paraId="4355AF86" w14:textId="1A1FD3CD" w:rsidR="00F53563" w:rsidRPr="00FA3D49" w:rsidRDefault="00F53563" w:rsidP="00F93F0D">
            <w:pPr>
              <w:pStyle w:val="ListParagraph"/>
              <w:numPr>
                <w:ilvl w:val="0"/>
                <w:numId w:val="49"/>
              </w:numPr>
              <w:spacing w:before="120" w:after="0"/>
              <w:ind w:left="317" w:hanging="283"/>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FA3D49">
              <w:rPr>
                <w:rFonts w:ascii="Arial" w:hAnsi="Arial" w:cs="Arial"/>
              </w:rPr>
              <w:t xml:space="preserve">Agreements relating to ongoing, </w:t>
            </w:r>
            <w:proofErr w:type="gramStart"/>
            <w:r w:rsidRPr="00FA3D49">
              <w:rPr>
                <w:rFonts w:ascii="Arial" w:hAnsi="Arial" w:cs="Arial"/>
              </w:rPr>
              <w:t>ad hoc</w:t>
            </w:r>
            <w:proofErr w:type="gramEnd"/>
            <w:r w:rsidRPr="00FA3D49">
              <w:rPr>
                <w:rFonts w:ascii="Arial" w:hAnsi="Arial" w:cs="Arial"/>
              </w:rPr>
              <w:t xml:space="preserve"> or </w:t>
            </w:r>
            <w:r w:rsidR="00515ED7" w:rsidRPr="00FA3D49">
              <w:rPr>
                <w:rFonts w:ascii="Arial" w:hAnsi="Arial" w:cs="Arial"/>
              </w:rPr>
              <w:t>one-off</w:t>
            </w:r>
            <w:r w:rsidRPr="00FA3D49">
              <w:rPr>
                <w:rFonts w:ascii="Arial" w:hAnsi="Arial" w:cs="Arial"/>
              </w:rPr>
              <w:t xml:space="preserve"> access or entry to privately owned land, buildings or other real property for a specific purpose.</w:t>
            </w:r>
          </w:p>
          <w:p w14:paraId="493B7B99" w14:textId="77777777" w:rsidR="00F53563" w:rsidRPr="00FA3D49" w:rsidRDefault="00F53563" w:rsidP="00F93F0D">
            <w:pPr>
              <w:pStyle w:val="ListParagraph"/>
              <w:numPr>
                <w:ilvl w:val="0"/>
                <w:numId w:val="49"/>
              </w:numPr>
              <w:spacing w:before="120" w:after="0"/>
              <w:ind w:left="317" w:hanging="283"/>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FA3D49">
              <w:rPr>
                <w:rFonts w:ascii="Arial" w:hAnsi="Arial" w:cs="Arial"/>
              </w:rPr>
              <w:t xml:space="preserve">The category includes access or entry to land for necessary Government construction activity, for defence or security training exercises or to enable </w:t>
            </w:r>
            <w:proofErr w:type="gramStart"/>
            <w:r w:rsidRPr="00FA3D49">
              <w:rPr>
                <w:rFonts w:ascii="Arial" w:hAnsi="Arial" w:cs="Arial"/>
              </w:rPr>
              <w:t>particular Government</w:t>
            </w:r>
            <w:proofErr w:type="gramEnd"/>
            <w:r w:rsidRPr="00FA3D49">
              <w:rPr>
                <w:rFonts w:ascii="Arial" w:hAnsi="Arial" w:cs="Arial"/>
              </w:rPr>
              <w:t xml:space="preserve"> organised events to take place that do not fall within Category 4.</w:t>
            </w:r>
          </w:p>
          <w:p w14:paraId="0A018735" w14:textId="77777777" w:rsidR="00F53563" w:rsidRPr="00F73638" w:rsidRDefault="00F53563" w:rsidP="00F93F0D">
            <w:pPr>
              <w:pStyle w:val="ListParagraph"/>
              <w:numPr>
                <w:ilvl w:val="0"/>
                <w:numId w:val="49"/>
              </w:numPr>
              <w:spacing w:before="120" w:after="0"/>
              <w:ind w:left="317" w:hanging="283"/>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FA3D49">
              <w:rPr>
                <w:rFonts w:ascii="Arial" w:hAnsi="Arial" w:cs="Arial"/>
              </w:rPr>
              <w:t xml:space="preserve">In the case of access or entry arrangements between agencies and Northern Territory Government Owned Corporations and </w:t>
            </w:r>
            <w:r>
              <w:rPr>
                <w:rFonts w:ascii="Arial" w:hAnsi="Arial" w:cs="Arial"/>
              </w:rPr>
              <w:t xml:space="preserve">Government </w:t>
            </w:r>
            <w:r w:rsidRPr="00FA3D49">
              <w:rPr>
                <w:rFonts w:ascii="Arial" w:hAnsi="Arial" w:cs="Arial"/>
              </w:rPr>
              <w:t>Business Divisions, Treasurer’s approval will not be required as there is no net increase in exposure to government, however Ministerial endorsement is still required.</w:t>
            </w:r>
          </w:p>
        </w:tc>
      </w:tr>
      <w:tr w:rsidR="00F53563" w:rsidRPr="00FA3D49" w14:paraId="21BFCB99" w14:textId="77777777" w:rsidTr="00F93F0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22" w:type="dxa"/>
          </w:tcPr>
          <w:p w14:paraId="3998EB2E" w14:textId="77777777" w:rsidR="00F53563" w:rsidRPr="00FA3D49" w:rsidRDefault="00F53563" w:rsidP="00F93F0D">
            <w:pPr>
              <w:pStyle w:val="ListParagraph"/>
              <w:numPr>
                <w:ilvl w:val="0"/>
                <w:numId w:val="48"/>
              </w:numPr>
              <w:spacing w:before="120"/>
              <w:ind w:left="313" w:hanging="313"/>
              <w:contextualSpacing/>
              <w:rPr>
                <w:rFonts w:ascii="Arial" w:hAnsi="Arial" w:cs="Arial"/>
              </w:rPr>
            </w:pPr>
            <w:r w:rsidRPr="00FA3D49">
              <w:rPr>
                <w:rFonts w:ascii="Arial" w:hAnsi="Arial" w:cs="Arial"/>
              </w:rPr>
              <w:t>Medical and Allied Health Arrangements</w:t>
            </w:r>
          </w:p>
        </w:tc>
        <w:tc>
          <w:tcPr>
            <w:tcW w:w="13182" w:type="dxa"/>
          </w:tcPr>
          <w:p w14:paraId="3A831934" w14:textId="77777777" w:rsidR="00F53563" w:rsidRPr="00FA3D49" w:rsidRDefault="00F53563" w:rsidP="00F93F0D">
            <w:pPr>
              <w:pStyle w:val="ListParagraph"/>
              <w:numPr>
                <w:ilvl w:val="0"/>
                <w:numId w:val="49"/>
              </w:numPr>
              <w:spacing w:before="120" w:after="0"/>
              <w:ind w:left="317"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A3D49">
              <w:rPr>
                <w:rFonts w:ascii="Arial" w:hAnsi="Arial" w:cs="Arial"/>
              </w:rPr>
              <w:t>Agreements relating to engagement of medical or allied health specialists, arrangements related to health ethics committees or arrangements for the provision of medical or allied health services.</w:t>
            </w:r>
          </w:p>
          <w:p w14:paraId="526AC365" w14:textId="77777777" w:rsidR="00F53563" w:rsidRPr="00FA3D49" w:rsidRDefault="00F53563" w:rsidP="00F93F0D">
            <w:pPr>
              <w:pStyle w:val="ListParagraph"/>
              <w:numPr>
                <w:ilvl w:val="0"/>
                <w:numId w:val="49"/>
              </w:numPr>
              <w:spacing w:before="120" w:after="0"/>
              <w:ind w:left="317"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A3D49">
              <w:rPr>
                <w:rFonts w:ascii="Arial" w:hAnsi="Arial" w:cs="Arial"/>
              </w:rPr>
              <w:t>The category includes employment of specialists, engagement of community health service providers, arrangements with the Australian Defence force for medical and allied health service provision and research and development wher</w:t>
            </w:r>
            <w:r>
              <w:rPr>
                <w:rFonts w:ascii="Arial" w:hAnsi="Arial" w:cs="Arial"/>
              </w:rPr>
              <w:t>e patient trials are conducted.</w:t>
            </w:r>
          </w:p>
          <w:p w14:paraId="64D6DBEC" w14:textId="77777777" w:rsidR="00F53563" w:rsidRPr="00FA3D49" w:rsidRDefault="00F53563" w:rsidP="00F93F0D">
            <w:pPr>
              <w:pStyle w:val="ListParagraph"/>
              <w:numPr>
                <w:ilvl w:val="0"/>
                <w:numId w:val="49"/>
              </w:numPr>
              <w:spacing w:before="120" w:after="0"/>
              <w:ind w:left="317"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A3D49">
              <w:rPr>
                <w:rFonts w:ascii="Arial" w:hAnsi="Arial" w:cs="Arial"/>
              </w:rPr>
              <w:t>This category also includes arrangements with medical or allied health boards.</w:t>
            </w:r>
          </w:p>
        </w:tc>
      </w:tr>
      <w:tr w:rsidR="00F53563" w:rsidRPr="00FA3D49" w14:paraId="4DB22706" w14:textId="77777777" w:rsidTr="00F93F0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22" w:type="dxa"/>
          </w:tcPr>
          <w:p w14:paraId="55F25E69" w14:textId="77777777" w:rsidR="00F53563" w:rsidRPr="00FA3D49" w:rsidRDefault="00F53563" w:rsidP="00F93F0D">
            <w:pPr>
              <w:pStyle w:val="ListParagraph"/>
              <w:numPr>
                <w:ilvl w:val="0"/>
                <w:numId w:val="48"/>
              </w:numPr>
              <w:spacing w:before="120"/>
              <w:ind w:left="313" w:hanging="313"/>
              <w:contextualSpacing/>
              <w:rPr>
                <w:rFonts w:ascii="Arial" w:hAnsi="Arial" w:cs="Arial"/>
              </w:rPr>
            </w:pPr>
            <w:r w:rsidRPr="00FA3D49">
              <w:rPr>
                <w:rFonts w:ascii="Arial" w:hAnsi="Arial" w:cs="Arial"/>
              </w:rPr>
              <w:lastRenderedPageBreak/>
              <w:t>Commercial Arrangements including Financial Guarantees</w:t>
            </w:r>
          </w:p>
        </w:tc>
        <w:tc>
          <w:tcPr>
            <w:tcW w:w="13182" w:type="dxa"/>
          </w:tcPr>
          <w:p w14:paraId="4E1CB3F7" w14:textId="77777777" w:rsidR="00F53563" w:rsidRPr="00FA3D49" w:rsidRDefault="00F53563" w:rsidP="00F93F0D">
            <w:pPr>
              <w:pStyle w:val="ListParagraph"/>
              <w:numPr>
                <w:ilvl w:val="0"/>
                <w:numId w:val="49"/>
              </w:numPr>
              <w:spacing w:before="120" w:after="0"/>
              <w:ind w:left="317" w:hanging="283"/>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FA3D49">
              <w:rPr>
                <w:rFonts w:ascii="Arial" w:hAnsi="Arial" w:cs="Arial"/>
              </w:rPr>
              <w:t>Agreements which relate to major projects or joint public/private sector initiatives</w:t>
            </w:r>
            <w:r>
              <w:rPr>
                <w:rFonts w:ascii="Arial" w:hAnsi="Arial" w:cs="Arial"/>
              </w:rPr>
              <w:t>.</w:t>
            </w:r>
          </w:p>
          <w:p w14:paraId="3E30F20F" w14:textId="77777777" w:rsidR="00F53563" w:rsidRPr="00FA3D49" w:rsidRDefault="00F53563" w:rsidP="00F93F0D">
            <w:pPr>
              <w:pStyle w:val="ListParagraph"/>
              <w:numPr>
                <w:ilvl w:val="0"/>
                <w:numId w:val="49"/>
              </w:numPr>
              <w:spacing w:before="120" w:after="0"/>
              <w:ind w:left="317" w:hanging="283"/>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FA3D49">
              <w:rPr>
                <w:rFonts w:ascii="Arial" w:hAnsi="Arial" w:cs="Arial"/>
              </w:rPr>
              <w:t>Agreements which relate to provision by Government of financial guarantees.</w:t>
            </w:r>
          </w:p>
          <w:p w14:paraId="76C2EF6E" w14:textId="77777777" w:rsidR="00F53563" w:rsidRPr="00FA3D49" w:rsidRDefault="00F53563" w:rsidP="00F93F0D">
            <w:pPr>
              <w:pStyle w:val="ListParagraph"/>
              <w:numPr>
                <w:ilvl w:val="0"/>
                <w:numId w:val="49"/>
              </w:numPr>
              <w:spacing w:before="120" w:after="0"/>
              <w:ind w:left="317" w:hanging="283"/>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FA3D49">
              <w:rPr>
                <w:rFonts w:ascii="Arial" w:hAnsi="Arial" w:cs="Arial"/>
              </w:rPr>
              <w:t>This category includes public private partnership arrangements</w:t>
            </w:r>
            <w:r>
              <w:rPr>
                <w:rFonts w:ascii="Arial" w:hAnsi="Arial" w:cs="Arial"/>
              </w:rPr>
              <w:t>.</w:t>
            </w:r>
          </w:p>
          <w:p w14:paraId="2F6841D4" w14:textId="77777777" w:rsidR="00F53563" w:rsidRPr="00FA3D49" w:rsidRDefault="00F53563" w:rsidP="00F93F0D">
            <w:pPr>
              <w:pStyle w:val="ListParagraph"/>
              <w:numPr>
                <w:ilvl w:val="0"/>
                <w:numId w:val="49"/>
              </w:numPr>
              <w:spacing w:before="120" w:after="0"/>
              <w:ind w:left="317" w:hanging="283"/>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FA3D49">
              <w:rPr>
                <w:rFonts w:ascii="Arial" w:hAnsi="Arial" w:cs="Arial"/>
              </w:rPr>
              <w:t>This category includes provision of letters of comfort and arrangements which effectively require Government to underwrite aspects of transactions.</w:t>
            </w:r>
          </w:p>
        </w:tc>
      </w:tr>
    </w:tbl>
    <w:p w14:paraId="468FF62F" w14:textId="77777777" w:rsidR="00F53563" w:rsidRPr="00500FC3" w:rsidRDefault="00F53563" w:rsidP="00500FC3"/>
    <w:sectPr w:rsidR="00F53563" w:rsidRPr="00500FC3" w:rsidSect="008F02EF">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04" w:right="794" w:bottom="794" w:left="794" w:header="283"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8C15" w14:textId="77777777" w:rsidR="00C8730F" w:rsidRDefault="00C8730F" w:rsidP="007332FF">
      <w:r>
        <w:separator/>
      </w:r>
    </w:p>
  </w:endnote>
  <w:endnote w:type="continuationSeparator" w:id="0">
    <w:p w14:paraId="197517DF" w14:textId="77777777" w:rsidR="00C8730F" w:rsidRDefault="00C8730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51"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12671"/>
      <w:gridCol w:w="2580"/>
    </w:tblGrid>
    <w:tr w:rsidR="00F53563" w:rsidRPr="00132658" w14:paraId="00F27D5D" w14:textId="77777777" w:rsidTr="00F93F0D">
      <w:trPr>
        <w:cantSplit/>
        <w:trHeight w:hRule="exact" w:val="1134"/>
      </w:trPr>
      <w:tc>
        <w:tcPr>
          <w:tcW w:w="12671" w:type="dxa"/>
          <w:vAlign w:val="bottom"/>
        </w:tcPr>
        <w:p w14:paraId="29206A5E" w14:textId="77777777" w:rsidR="00F20EB4" w:rsidRDefault="00F20EB4" w:rsidP="00F20EB4">
          <w:pPr>
            <w:spacing w:after="0"/>
            <w:rPr>
              <w:rStyle w:val="PageNumber"/>
              <w:b/>
            </w:rPr>
          </w:pPr>
          <w:r>
            <w:rPr>
              <w:rStyle w:val="PageNumber"/>
            </w:rPr>
            <w:t xml:space="preserve">Department of </w:t>
          </w:r>
          <w:sdt>
            <w:sdtPr>
              <w:rPr>
                <w:rStyle w:val="PageNumber"/>
                <w:b/>
              </w:rPr>
              <w:alias w:val="Company"/>
              <w:tag w:val=""/>
              <w:id w:val="1514881083"/>
              <w:dataBinding w:prefixMappings="xmlns:ns0='http://schemas.openxmlformats.org/officeDocument/2006/extended-properties' " w:xpath="/ns0:Properties[1]/ns0:Company[1]" w:storeItemID="{6668398D-A668-4E3E-A5EB-62B293D839F1}"/>
              <w:text w:multiLine="1"/>
            </w:sdtPr>
            <w:sdtContent>
              <w:r>
                <w:rPr>
                  <w:rStyle w:val="PageNumber"/>
                  <w:b/>
                </w:rPr>
                <w:t>Treasury and Finance</w:t>
              </w:r>
            </w:sdtContent>
          </w:sdt>
          <w:r w:rsidRPr="00CE6614">
            <w:rPr>
              <w:rStyle w:val="PageNumber"/>
            </w:rPr>
            <w:t xml:space="preserve"> </w:t>
          </w:r>
        </w:p>
        <w:p w14:paraId="26D4B113" w14:textId="77777777" w:rsidR="00030EA0" w:rsidRDefault="00030EA0" w:rsidP="00030EA0">
          <w:pPr>
            <w:spacing w:after="0"/>
            <w:rPr>
              <w:rStyle w:val="PageNumber"/>
            </w:rPr>
          </w:pPr>
          <w:r w:rsidRPr="00B54749">
            <w:rPr>
              <w:rStyle w:val="PageNumber"/>
            </w:rPr>
            <w:t>May 2024 | Version 1.5</w:t>
          </w:r>
        </w:p>
        <w:p w14:paraId="346242BE" w14:textId="77777777" w:rsidR="00F53563" w:rsidRPr="00CE30CF" w:rsidRDefault="00F53563" w:rsidP="00F53563">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E3D62">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E3D62">
            <w:rPr>
              <w:rStyle w:val="PageNumber"/>
              <w:noProof/>
            </w:rPr>
            <w:t>4</w:t>
          </w:r>
          <w:r w:rsidRPr="00AC4488">
            <w:rPr>
              <w:rStyle w:val="PageNumber"/>
            </w:rPr>
            <w:fldChar w:fldCharType="end"/>
          </w:r>
        </w:p>
      </w:tc>
      <w:tc>
        <w:tcPr>
          <w:tcW w:w="2580" w:type="dxa"/>
          <w:vAlign w:val="bottom"/>
        </w:tcPr>
        <w:p w14:paraId="38A7303E" w14:textId="77777777" w:rsidR="00F53563" w:rsidRPr="001E14EB" w:rsidRDefault="00F53563" w:rsidP="00F53563">
          <w:pPr>
            <w:spacing w:after="0"/>
            <w:jc w:val="right"/>
          </w:pPr>
          <w:r w:rsidRPr="00785C24">
            <w:rPr>
              <w:rStyle w:val="PageNumber"/>
              <w:noProof/>
              <w:lang w:eastAsia="en-AU"/>
            </w:rPr>
            <w:t xml:space="preserve"> </w:t>
          </w:r>
        </w:p>
      </w:tc>
    </w:tr>
  </w:tbl>
  <w:p w14:paraId="71C00D28" w14:textId="77777777" w:rsidR="00F53563" w:rsidRPr="00661BE1" w:rsidRDefault="00F53563" w:rsidP="00F53563">
    <w:pPr>
      <w:pStyle w:val="Hidden"/>
    </w:pPr>
  </w:p>
  <w:p w14:paraId="6FC5B675" w14:textId="77777777" w:rsidR="00F53563" w:rsidRDefault="00F53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3F81" w14:textId="77777777" w:rsidR="00983000" w:rsidRDefault="00983000" w:rsidP="00450636">
    <w:pPr>
      <w:spacing w:after="0"/>
    </w:pPr>
  </w:p>
  <w:tbl>
    <w:tblPr>
      <w:tblW w:w="15250"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5250"/>
    </w:tblGrid>
    <w:tr w:rsidR="00CA36A0" w:rsidRPr="00132658" w14:paraId="2DB9646F" w14:textId="77777777" w:rsidTr="003226BC">
      <w:trPr>
        <w:cantSplit/>
        <w:trHeight w:hRule="exact" w:val="850"/>
      </w:trPr>
      <w:tc>
        <w:tcPr>
          <w:tcW w:w="15250" w:type="dxa"/>
          <w:vAlign w:val="bottom"/>
        </w:tcPr>
        <w:p w14:paraId="5AD5F1DB" w14:textId="77777777" w:rsidR="00F20EB4" w:rsidRDefault="00F20EB4" w:rsidP="00F20EB4">
          <w:pPr>
            <w:spacing w:after="0"/>
            <w:rPr>
              <w:rStyle w:val="PageNumber"/>
              <w:b/>
            </w:rPr>
          </w:pPr>
          <w:r>
            <w:rPr>
              <w:rStyle w:val="PageNumber"/>
            </w:rPr>
            <w:t xml:space="preserve">Department of </w:t>
          </w:r>
          <w:sdt>
            <w:sdtPr>
              <w:rPr>
                <w:rStyle w:val="PageNumber"/>
                <w:b/>
              </w:rPr>
              <w:alias w:val="Company"/>
              <w:tag w:val=""/>
              <w:id w:val="588665406"/>
              <w:dataBinding w:prefixMappings="xmlns:ns0='http://schemas.openxmlformats.org/officeDocument/2006/extended-properties' " w:xpath="/ns0:Properties[1]/ns0:Company[1]" w:storeItemID="{6668398D-A668-4E3E-A5EB-62B293D839F1}"/>
              <w:text w:multiLine="1"/>
            </w:sdtPr>
            <w:sdtContent>
              <w:r>
                <w:rPr>
                  <w:rStyle w:val="PageNumber"/>
                  <w:b/>
                </w:rPr>
                <w:t>Treasury and Finance</w:t>
              </w:r>
            </w:sdtContent>
          </w:sdt>
          <w:r w:rsidRPr="00CE6614">
            <w:rPr>
              <w:rStyle w:val="PageNumber"/>
            </w:rPr>
            <w:t xml:space="preserve"> </w:t>
          </w:r>
        </w:p>
        <w:p w14:paraId="5895920E" w14:textId="77777777" w:rsidR="00030EA0" w:rsidRDefault="00030EA0" w:rsidP="00030EA0">
          <w:pPr>
            <w:spacing w:after="0"/>
            <w:rPr>
              <w:rStyle w:val="PageNumber"/>
            </w:rPr>
          </w:pPr>
          <w:r w:rsidRPr="00B54749">
            <w:rPr>
              <w:rStyle w:val="PageNumber"/>
            </w:rPr>
            <w:t>May 2024 | Version 1.5</w:t>
          </w:r>
        </w:p>
        <w:p w14:paraId="41C7EC19" w14:textId="77777777"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64DDC">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64DDC">
            <w:rPr>
              <w:rStyle w:val="PageNumber"/>
              <w:noProof/>
            </w:rPr>
            <w:t>4</w:t>
          </w:r>
          <w:r w:rsidRPr="00AC4488">
            <w:rPr>
              <w:rStyle w:val="PageNumber"/>
            </w:rPr>
            <w:fldChar w:fldCharType="end"/>
          </w:r>
        </w:p>
      </w:tc>
    </w:tr>
  </w:tbl>
  <w:p w14:paraId="3C4EB8A3" w14:textId="77777777" w:rsidR="00CA36A0" w:rsidRPr="00B11C67" w:rsidRDefault="00CA36A0" w:rsidP="00B11C67">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D1E" w14:textId="6F5C1CCF" w:rsidR="00D15D88" w:rsidRDefault="00D15D88" w:rsidP="0071700C">
    <w:pPr>
      <w:spacing w:after="0"/>
    </w:pPr>
  </w:p>
  <w:tbl>
    <w:tblPr>
      <w:tblW w:w="15251"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12671"/>
      <w:gridCol w:w="2580"/>
    </w:tblGrid>
    <w:tr w:rsidR="0071700C" w:rsidRPr="00132658" w14:paraId="3B62E10A" w14:textId="77777777" w:rsidTr="009254DC">
      <w:trPr>
        <w:cantSplit/>
        <w:trHeight w:hRule="exact" w:val="1134"/>
      </w:trPr>
      <w:tc>
        <w:tcPr>
          <w:tcW w:w="12671" w:type="dxa"/>
          <w:vAlign w:val="bottom"/>
        </w:tcPr>
        <w:p w14:paraId="6C4F7343" w14:textId="77777777" w:rsidR="00F20EB4" w:rsidRDefault="00F20EB4" w:rsidP="00F20EB4">
          <w:pPr>
            <w:spacing w:after="0"/>
            <w:rPr>
              <w:rStyle w:val="PageNumber"/>
              <w:b/>
            </w:rPr>
          </w:pPr>
          <w:r>
            <w:rPr>
              <w:rStyle w:val="PageNumber"/>
            </w:rPr>
            <w:t xml:space="preserve">Department of </w:t>
          </w:r>
          <w:sdt>
            <w:sdtPr>
              <w:rPr>
                <w:rStyle w:val="PageNumber"/>
                <w:b/>
              </w:rPr>
              <w:alias w:val="Company"/>
              <w:tag w:val=""/>
              <w:id w:val="1789860560"/>
              <w:dataBinding w:prefixMappings="xmlns:ns0='http://schemas.openxmlformats.org/officeDocument/2006/extended-properties' " w:xpath="/ns0:Properties[1]/ns0:Company[1]" w:storeItemID="{6668398D-A668-4E3E-A5EB-62B293D839F1}"/>
              <w:text w:multiLine="1"/>
            </w:sdtPr>
            <w:sdtContent>
              <w:r>
                <w:rPr>
                  <w:rStyle w:val="PageNumber"/>
                  <w:b/>
                </w:rPr>
                <w:t>Treasury and Finance</w:t>
              </w:r>
            </w:sdtContent>
          </w:sdt>
          <w:r w:rsidRPr="00CE6614">
            <w:rPr>
              <w:rStyle w:val="PageNumber"/>
            </w:rPr>
            <w:t xml:space="preserve"> </w:t>
          </w:r>
        </w:p>
        <w:p w14:paraId="15473AE0" w14:textId="77777777" w:rsidR="00030EA0" w:rsidRDefault="00030EA0" w:rsidP="00030EA0">
          <w:pPr>
            <w:spacing w:after="0"/>
            <w:rPr>
              <w:rStyle w:val="PageNumber"/>
            </w:rPr>
          </w:pPr>
          <w:r w:rsidRPr="00B54749">
            <w:rPr>
              <w:rStyle w:val="PageNumber"/>
            </w:rPr>
            <w:t>May 2024 | Version 1.5</w:t>
          </w:r>
        </w:p>
        <w:p w14:paraId="4A2E85CC" w14:textId="77777777"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E3D62">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E3D62">
            <w:rPr>
              <w:rStyle w:val="PageNumber"/>
              <w:noProof/>
            </w:rPr>
            <w:t>4</w:t>
          </w:r>
          <w:r w:rsidRPr="00AC4488">
            <w:rPr>
              <w:rStyle w:val="PageNumber"/>
            </w:rPr>
            <w:fldChar w:fldCharType="end"/>
          </w:r>
        </w:p>
      </w:tc>
      <w:tc>
        <w:tcPr>
          <w:tcW w:w="2580" w:type="dxa"/>
          <w:vAlign w:val="bottom"/>
        </w:tcPr>
        <w:p w14:paraId="75CFAE69" w14:textId="77777777" w:rsidR="0071700C" w:rsidRPr="001E14EB" w:rsidRDefault="0071700C" w:rsidP="0071700C">
          <w:pPr>
            <w:spacing w:after="0"/>
            <w:jc w:val="right"/>
          </w:pPr>
          <w:r>
            <w:rPr>
              <w:noProof/>
              <w:lang w:eastAsia="en-AU"/>
            </w:rPr>
            <w:drawing>
              <wp:inline distT="0" distB="0" distL="0" distR="0" wp14:anchorId="7F274E02" wp14:editId="1666FCC4">
                <wp:extent cx="1572479" cy="561600"/>
                <wp:effectExtent l="0" t="0" r="8890" b="0"/>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5B600FE0"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ACFC" w14:textId="77777777" w:rsidR="00C8730F" w:rsidRDefault="00C8730F" w:rsidP="007332FF">
      <w:r>
        <w:separator/>
      </w:r>
    </w:p>
  </w:footnote>
  <w:footnote w:type="continuationSeparator" w:id="0">
    <w:p w14:paraId="64A2EC57" w14:textId="77777777" w:rsidR="00C8730F" w:rsidRDefault="00C8730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9B9D" w14:textId="77777777" w:rsidR="00030EA0" w:rsidRDefault="00030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3F33" w14:textId="77777777" w:rsidR="00983000" w:rsidRPr="008F02EF" w:rsidRDefault="00000000" w:rsidP="00417A2F">
    <w:pPr>
      <w:pStyle w:val="Heading1"/>
      <w:rPr>
        <w:noProof/>
        <w:sz w:val="30"/>
        <w:szCs w:val="30"/>
        <w:lang w:eastAsia="en-AU"/>
      </w:rPr>
    </w:pPr>
    <w:sdt>
      <w:sdtPr>
        <w:alias w:val="Title"/>
        <w:tag w:val="Title"/>
        <w:id w:val="-2113969407"/>
        <w:lock w:val="sdtLocked"/>
        <w:showingPlcHdr/>
        <w:dataBinding w:prefixMappings="xmlns:ns0='http://purl.org/dc/elements/1.1/' xmlns:ns1='http://schemas.openxmlformats.org/package/2006/metadata/core-properties' " w:xpath="/ns1:coreProperties[1]/ns0:title[1]" w:storeItemID="{6C3C8BC8-F283-45AE-878A-BAB7291924A1}"/>
        <w:text/>
      </w:sdtPr>
      <w:sdtContent>
        <w:r w:rsidR="00F53563">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z w:val="30"/>
        <w:szCs w:val="30"/>
      </w:rPr>
      <w:alias w:val="Title"/>
      <w:tag w:val="Title"/>
      <w:id w:val="-509755993"/>
      <w:lock w:val="sdtLocked"/>
      <w:showingPlcHdr/>
      <w:dataBinding w:prefixMappings="xmlns:ns0='http://purl.org/dc/elements/1.1/' xmlns:ns1='http://schemas.openxmlformats.org/package/2006/metadata/core-properties' " w:xpath="/ns1:coreProperties[1]/ns0:title[1]" w:storeItemID="{6C3C8BC8-F283-45AE-878A-BAB7291924A1}"/>
      <w:text w:multiLine="1"/>
    </w:sdtPr>
    <w:sdtContent>
      <w:p w14:paraId="3E5D1E2F" w14:textId="77777777" w:rsidR="00E54F9E" w:rsidRDefault="00F53563" w:rsidP="00417A2F">
        <w:pPr>
          <w:pStyle w:val="Title"/>
          <w:jc w:val="right"/>
        </w:pPr>
        <w:r>
          <w:rPr>
            <w:rStyle w:val="TitleChar"/>
            <w:sz w:val="30"/>
            <w:szCs w:val="30"/>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2D22947"/>
    <w:multiLevelType w:val="hybridMultilevel"/>
    <w:tmpl w:val="997229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2" w15:restartNumberingAfterBreak="0">
    <w:nsid w:val="471232E5"/>
    <w:multiLevelType w:val="hybridMultilevel"/>
    <w:tmpl w:val="7A5EDD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9FD3A20"/>
    <w:multiLevelType w:val="multilevel"/>
    <w:tmpl w:val="3E5E177A"/>
    <w:name w:val="NTG Table Bullet List3322222222222"/>
    <w:numStyleLink w:val="Tablenumberlist"/>
  </w:abstractNum>
  <w:abstractNum w:abstractNumId="4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7"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8"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3842BC6"/>
    <w:multiLevelType w:val="multilevel"/>
    <w:tmpl w:val="0C78A7AC"/>
    <w:numStyleLink w:val="Tablebulletlist"/>
  </w:abstractNum>
  <w:abstractNum w:abstractNumId="5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2"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3" w15:restartNumberingAfterBreak="0">
    <w:nsid w:val="56DA2CAE"/>
    <w:multiLevelType w:val="multilevel"/>
    <w:tmpl w:val="3E5E177A"/>
    <w:name w:val="NTG Table Bullet List332222222222222"/>
    <w:numStyleLink w:val="Tablenumberlist"/>
  </w:abstractNum>
  <w:abstractNum w:abstractNumId="54" w15:restartNumberingAfterBreak="0">
    <w:nsid w:val="583359D9"/>
    <w:multiLevelType w:val="multilevel"/>
    <w:tmpl w:val="3E5E177A"/>
    <w:name w:val="NTG Table Bullet List332222222"/>
    <w:numStyleLink w:val="Tablenumberlist"/>
  </w:abstractNum>
  <w:abstractNum w:abstractNumId="55"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6"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8E21323"/>
    <w:multiLevelType w:val="multilevel"/>
    <w:tmpl w:val="4E6AC8F6"/>
    <w:numStyleLink w:val="Numberlist"/>
  </w:abstractNum>
  <w:abstractNum w:abstractNumId="58" w15:restartNumberingAfterBreak="0">
    <w:nsid w:val="5B9A5FFE"/>
    <w:multiLevelType w:val="multilevel"/>
    <w:tmpl w:val="0C78A7AC"/>
    <w:name w:val="NTG Table Bullet List33222222222222"/>
    <w:numStyleLink w:val="Tablebulletlist"/>
  </w:abstractNum>
  <w:abstractNum w:abstractNumId="59" w15:restartNumberingAfterBreak="0">
    <w:nsid w:val="5D444259"/>
    <w:multiLevelType w:val="multilevel"/>
    <w:tmpl w:val="0C78A7AC"/>
    <w:name w:val="NTG Table Bullet List332222"/>
    <w:numStyleLink w:val="Tablebulletlist"/>
  </w:abstractNum>
  <w:abstractNum w:abstractNumId="60"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1"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3"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5"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9262556"/>
    <w:multiLevelType w:val="multilevel"/>
    <w:tmpl w:val="3E5E177A"/>
    <w:name w:val="NTG Table Bullet List3322222222222222"/>
    <w:numStyleLink w:val="Tablenumberlist"/>
  </w:abstractNum>
  <w:abstractNum w:abstractNumId="67"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453664D"/>
    <w:multiLevelType w:val="multilevel"/>
    <w:tmpl w:val="0C78A7AC"/>
    <w:name w:val="NTG Table Bullet List3322222222222222222"/>
    <w:numStyleLink w:val="Tablebulletlist"/>
  </w:abstractNum>
  <w:abstractNum w:abstractNumId="70" w15:restartNumberingAfterBreak="0">
    <w:nsid w:val="76141D1E"/>
    <w:multiLevelType w:val="multilevel"/>
    <w:tmpl w:val="0C78A7AC"/>
    <w:name w:val="NTG Table Bullet List332222222222"/>
    <w:numStyleLink w:val="Tablebulletlist"/>
  </w:abstractNum>
  <w:abstractNum w:abstractNumId="71" w15:restartNumberingAfterBreak="0">
    <w:nsid w:val="765A32D4"/>
    <w:multiLevelType w:val="multilevel"/>
    <w:tmpl w:val="4E6AC8F6"/>
    <w:numStyleLink w:val="Numberlist"/>
  </w:abstractNum>
  <w:abstractNum w:abstractNumId="72"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2069524546">
    <w:abstractNumId w:val="33"/>
  </w:num>
  <w:num w:numId="2" w16cid:durableId="1932546741">
    <w:abstractNumId w:val="21"/>
  </w:num>
  <w:num w:numId="3" w16cid:durableId="1667247680">
    <w:abstractNumId w:val="73"/>
  </w:num>
  <w:num w:numId="4" w16cid:durableId="959258782">
    <w:abstractNumId w:val="45"/>
  </w:num>
  <w:num w:numId="5" w16cid:durableId="13190269">
    <w:abstractNumId w:val="27"/>
  </w:num>
  <w:num w:numId="6" w16cid:durableId="1367288472">
    <w:abstractNumId w:val="15"/>
  </w:num>
  <w:num w:numId="7" w16cid:durableId="501117911">
    <w:abstractNumId w:val="50"/>
  </w:num>
  <w:num w:numId="8" w16cid:durableId="1309749903">
    <w:abstractNumId w:val="24"/>
  </w:num>
  <w:num w:numId="9" w16cid:durableId="1354530096">
    <w:abstractNumId w:val="57"/>
  </w:num>
  <w:num w:numId="10" w16cid:durableId="2046906198">
    <w:abstractNumId w:val="20"/>
  </w:num>
  <w:num w:numId="11" w16cid:durableId="329601715">
    <w:abstractNumId w:val="63"/>
  </w:num>
  <w:num w:numId="12" w16cid:durableId="1456754273">
    <w:abstractNumId w:val="17"/>
  </w:num>
  <w:num w:numId="13" w16cid:durableId="1637949151">
    <w:abstractNumId w:val="1"/>
  </w:num>
  <w:num w:numId="14" w16cid:durableId="961881715">
    <w:abstractNumId w:val="61"/>
  </w:num>
  <w:num w:numId="15" w16cid:durableId="1818761925">
    <w:abstractNumId w:val="26"/>
  </w:num>
  <w:num w:numId="16" w16cid:durableId="725186221">
    <w:abstractNumId w:val="62"/>
  </w:num>
  <w:num w:numId="17" w16cid:durableId="1015495561">
    <w:abstractNumId w:val="71"/>
  </w:num>
  <w:num w:numId="18" w16cid:durableId="2055229795">
    <w:abstractNumId w:val="56"/>
  </w:num>
  <w:num w:numId="19" w16cid:durableId="545724926">
    <w:abstractNumId w:val="48"/>
  </w:num>
  <w:num w:numId="20" w16cid:durableId="679162460">
    <w:abstractNumId w:val="52"/>
  </w:num>
  <w:num w:numId="21" w16cid:durableId="1790539395">
    <w:abstractNumId w:val="38"/>
  </w:num>
  <w:num w:numId="22" w16cid:durableId="1878619269">
    <w:abstractNumId w:val="55"/>
  </w:num>
  <w:num w:numId="23" w16cid:durableId="474835311">
    <w:abstractNumId w:val="47"/>
  </w:num>
  <w:num w:numId="24" w16cid:durableId="1702051406">
    <w:abstractNumId w:val="41"/>
  </w:num>
  <w:num w:numId="25" w16cid:durableId="291981343">
    <w:abstractNumId w:val="36"/>
  </w:num>
  <w:num w:numId="26" w16cid:durableId="2023122358">
    <w:abstractNumId w:val="10"/>
  </w:num>
  <w:num w:numId="27" w16cid:durableId="2038696623">
    <w:abstractNumId w:val="72"/>
  </w:num>
  <w:num w:numId="28" w16cid:durableId="575214066">
    <w:abstractNumId w:val="35"/>
  </w:num>
  <w:num w:numId="29" w16cid:durableId="1202018173">
    <w:abstractNumId w:val="28"/>
  </w:num>
  <w:num w:numId="30" w16cid:durableId="1871609091">
    <w:abstractNumId w:val="0"/>
  </w:num>
  <w:num w:numId="31" w16cid:durableId="1925411663">
    <w:abstractNumId w:val="39"/>
  </w:num>
  <w:num w:numId="32" w16cid:durableId="895968029">
    <w:abstractNumId w:val="9"/>
  </w:num>
  <w:num w:numId="33" w16cid:durableId="1362969760">
    <w:abstractNumId w:val="64"/>
  </w:num>
  <w:num w:numId="34" w16cid:durableId="1595823240">
    <w:abstractNumId w:val="31"/>
  </w:num>
  <w:num w:numId="35" w16cid:durableId="1975796403">
    <w:abstractNumId w:val="49"/>
  </w:num>
  <w:num w:numId="36" w16cid:durableId="1527644907">
    <w:abstractNumId w:val="65"/>
  </w:num>
  <w:num w:numId="37" w16cid:durableId="845512547">
    <w:abstractNumId w:val="67"/>
  </w:num>
  <w:num w:numId="38" w16cid:durableId="1025716568">
    <w:abstractNumId w:val="14"/>
  </w:num>
  <w:num w:numId="39" w16cid:durableId="740982202">
    <w:abstractNumId w:val="25"/>
  </w:num>
  <w:num w:numId="40" w16cid:durableId="1562904505">
    <w:abstractNumId w:val="68"/>
  </w:num>
  <w:num w:numId="41" w16cid:durableId="1947468520">
    <w:abstractNumId w:val="2"/>
  </w:num>
  <w:num w:numId="42" w16cid:durableId="1823350864">
    <w:abstractNumId w:val="60"/>
  </w:num>
  <w:num w:numId="43" w16cid:durableId="1625697633">
    <w:abstractNumId w:val="11"/>
  </w:num>
  <w:num w:numId="44" w16cid:durableId="1064793338">
    <w:abstractNumId w:val="34"/>
  </w:num>
  <w:num w:numId="45" w16cid:durableId="1385174450">
    <w:abstractNumId w:val="43"/>
  </w:num>
  <w:num w:numId="46" w16cid:durableId="3115694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91573508">
    <w:abstractNumId w:val="7"/>
  </w:num>
  <w:num w:numId="48" w16cid:durableId="1010761902">
    <w:abstractNumId w:val="42"/>
  </w:num>
  <w:num w:numId="49" w16cid:durableId="2056196044">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451"/>
    <w:rsid w:val="00001DDF"/>
    <w:rsid w:val="0000322D"/>
    <w:rsid w:val="00007670"/>
    <w:rsid w:val="00010665"/>
    <w:rsid w:val="0002393A"/>
    <w:rsid w:val="00027DB8"/>
    <w:rsid w:val="00030EA0"/>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0F02"/>
    <w:rsid w:val="000911EF"/>
    <w:rsid w:val="000962C5"/>
    <w:rsid w:val="00097865"/>
    <w:rsid w:val="000A1CAF"/>
    <w:rsid w:val="000A4317"/>
    <w:rsid w:val="000A559C"/>
    <w:rsid w:val="000B2CA1"/>
    <w:rsid w:val="000D1451"/>
    <w:rsid w:val="000D1F29"/>
    <w:rsid w:val="000D633D"/>
    <w:rsid w:val="000E342B"/>
    <w:rsid w:val="000E3ED2"/>
    <w:rsid w:val="000E5DD2"/>
    <w:rsid w:val="000F2958"/>
    <w:rsid w:val="000F3850"/>
    <w:rsid w:val="000F604F"/>
    <w:rsid w:val="00104E7F"/>
    <w:rsid w:val="001119B7"/>
    <w:rsid w:val="001137EC"/>
    <w:rsid w:val="001152F5"/>
    <w:rsid w:val="00117743"/>
    <w:rsid w:val="00117F5B"/>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3459"/>
    <w:rsid w:val="00235C01"/>
    <w:rsid w:val="00247343"/>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26BC"/>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2394"/>
    <w:rsid w:val="00377B21"/>
    <w:rsid w:val="00390862"/>
    <w:rsid w:val="00390CE3"/>
    <w:rsid w:val="00394876"/>
    <w:rsid w:val="00394AAF"/>
    <w:rsid w:val="00394CE5"/>
    <w:rsid w:val="003A6341"/>
    <w:rsid w:val="003B0BE5"/>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17A2F"/>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1B08"/>
    <w:rsid w:val="00494BE5"/>
    <w:rsid w:val="004A0EBA"/>
    <w:rsid w:val="004A2538"/>
    <w:rsid w:val="004A331E"/>
    <w:rsid w:val="004B0C15"/>
    <w:rsid w:val="004B35EA"/>
    <w:rsid w:val="004B69E4"/>
    <w:rsid w:val="004C6C39"/>
    <w:rsid w:val="004D075F"/>
    <w:rsid w:val="004D09B0"/>
    <w:rsid w:val="004D1B76"/>
    <w:rsid w:val="004D344E"/>
    <w:rsid w:val="004E019E"/>
    <w:rsid w:val="004E06EC"/>
    <w:rsid w:val="004E0A3F"/>
    <w:rsid w:val="004E2CB7"/>
    <w:rsid w:val="004F016A"/>
    <w:rsid w:val="00500F94"/>
    <w:rsid w:val="00500FC3"/>
    <w:rsid w:val="00502FB3"/>
    <w:rsid w:val="00503DE9"/>
    <w:rsid w:val="00504A8F"/>
    <w:rsid w:val="0050530C"/>
    <w:rsid w:val="00505DEA"/>
    <w:rsid w:val="00507782"/>
    <w:rsid w:val="00512A04"/>
    <w:rsid w:val="00515ED7"/>
    <w:rsid w:val="00520499"/>
    <w:rsid w:val="005249F5"/>
    <w:rsid w:val="005260F7"/>
    <w:rsid w:val="00543BD1"/>
    <w:rsid w:val="00556113"/>
    <w:rsid w:val="00564C12"/>
    <w:rsid w:val="005654B8"/>
    <w:rsid w:val="00570D94"/>
    <w:rsid w:val="00572961"/>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20675"/>
    <w:rsid w:val="00622910"/>
    <w:rsid w:val="006254B6"/>
    <w:rsid w:val="00627FC8"/>
    <w:rsid w:val="006433C3"/>
    <w:rsid w:val="00650F5B"/>
    <w:rsid w:val="006670D7"/>
    <w:rsid w:val="006719EA"/>
    <w:rsid w:val="00671F13"/>
    <w:rsid w:val="0067400A"/>
    <w:rsid w:val="006847AD"/>
    <w:rsid w:val="0069114B"/>
    <w:rsid w:val="006944C1"/>
    <w:rsid w:val="006A756A"/>
    <w:rsid w:val="006C0EC2"/>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4DDC"/>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3D62"/>
    <w:rsid w:val="007E70CF"/>
    <w:rsid w:val="007E74A4"/>
    <w:rsid w:val="007F1B6F"/>
    <w:rsid w:val="007F263F"/>
    <w:rsid w:val="008015A8"/>
    <w:rsid w:val="0080766E"/>
    <w:rsid w:val="00811169"/>
    <w:rsid w:val="00815297"/>
    <w:rsid w:val="008170DB"/>
    <w:rsid w:val="00817BA1"/>
    <w:rsid w:val="00823022"/>
    <w:rsid w:val="0082598B"/>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8F02EF"/>
    <w:rsid w:val="00902B13"/>
    <w:rsid w:val="00911941"/>
    <w:rsid w:val="0092024D"/>
    <w:rsid w:val="00925146"/>
    <w:rsid w:val="009254DC"/>
    <w:rsid w:val="00925F0F"/>
    <w:rsid w:val="00932F6B"/>
    <w:rsid w:val="009444F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9F352F"/>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541E"/>
    <w:rsid w:val="00AD0DA4"/>
    <w:rsid w:val="00AD4169"/>
    <w:rsid w:val="00AE25C6"/>
    <w:rsid w:val="00AE306C"/>
    <w:rsid w:val="00AF28C1"/>
    <w:rsid w:val="00AF50AB"/>
    <w:rsid w:val="00B003C5"/>
    <w:rsid w:val="00B02EF1"/>
    <w:rsid w:val="00B07C97"/>
    <w:rsid w:val="00B11C6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30FA"/>
    <w:rsid w:val="00C15D4D"/>
    <w:rsid w:val="00C175DC"/>
    <w:rsid w:val="00C30171"/>
    <w:rsid w:val="00C309D8"/>
    <w:rsid w:val="00C43519"/>
    <w:rsid w:val="00C45263"/>
    <w:rsid w:val="00C51537"/>
    <w:rsid w:val="00C52BC3"/>
    <w:rsid w:val="00C61AFA"/>
    <w:rsid w:val="00C61D64"/>
    <w:rsid w:val="00C62099"/>
    <w:rsid w:val="00C62A34"/>
    <w:rsid w:val="00C64EA3"/>
    <w:rsid w:val="00C72867"/>
    <w:rsid w:val="00C75E81"/>
    <w:rsid w:val="00C83BB6"/>
    <w:rsid w:val="00C86609"/>
    <w:rsid w:val="00C8730F"/>
    <w:rsid w:val="00C92B4C"/>
    <w:rsid w:val="00C954F6"/>
    <w:rsid w:val="00CA36A0"/>
    <w:rsid w:val="00CA6BC5"/>
    <w:rsid w:val="00CA6DDD"/>
    <w:rsid w:val="00CC571B"/>
    <w:rsid w:val="00CC61CD"/>
    <w:rsid w:val="00CC6C02"/>
    <w:rsid w:val="00CC737B"/>
    <w:rsid w:val="00CD5011"/>
    <w:rsid w:val="00CE640F"/>
    <w:rsid w:val="00CE76BC"/>
    <w:rsid w:val="00CE7962"/>
    <w:rsid w:val="00CF540E"/>
    <w:rsid w:val="00D02F07"/>
    <w:rsid w:val="00D051E1"/>
    <w:rsid w:val="00D15D88"/>
    <w:rsid w:val="00D27D49"/>
    <w:rsid w:val="00D27EBE"/>
    <w:rsid w:val="00D36A49"/>
    <w:rsid w:val="00D47DC7"/>
    <w:rsid w:val="00D517C6"/>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9D9"/>
    <w:rsid w:val="00DC1F0F"/>
    <w:rsid w:val="00DC3117"/>
    <w:rsid w:val="00DC4E2A"/>
    <w:rsid w:val="00DC5DD9"/>
    <w:rsid w:val="00DC6D2D"/>
    <w:rsid w:val="00DD1B88"/>
    <w:rsid w:val="00DD4E59"/>
    <w:rsid w:val="00DE33B5"/>
    <w:rsid w:val="00DE5E18"/>
    <w:rsid w:val="00DF0487"/>
    <w:rsid w:val="00DF5EA4"/>
    <w:rsid w:val="00E02681"/>
    <w:rsid w:val="00E02792"/>
    <w:rsid w:val="00E034D8"/>
    <w:rsid w:val="00E04CC0"/>
    <w:rsid w:val="00E054AA"/>
    <w:rsid w:val="00E15816"/>
    <w:rsid w:val="00E160D5"/>
    <w:rsid w:val="00E2245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6AD6"/>
    <w:rsid w:val="00E770C4"/>
    <w:rsid w:val="00E84C5A"/>
    <w:rsid w:val="00E861DB"/>
    <w:rsid w:val="00E908F1"/>
    <w:rsid w:val="00E93406"/>
    <w:rsid w:val="00E956C5"/>
    <w:rsid w:val="00E95C39"/>
    <w:rsid w:val="00EA2C39"/>
    <w:rsid w:val="00EA614D"/>
    <w:rsid w:val="00EB0A3C"/>
    <w:rsid w:val="00EB0A96"/>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20EB4"/>
    <w:rsid w:val="00F30AE1"/>
    <w:rsid w:val="00F53563"/>
    <w:rsid w:val="00F5696E"/>
    <w:rsid w:val="00F60EFF"/>
    <w:rsid w:val="00F67D2D"/>
    <w:rsid w:val="00F858F2"/>
    <w:rsid w:val="00F860CC"/>
    <w:rsid w:val="00F94398"/>
    <w:rsid w:val="00FB2B56"/>
    <w:rsid w:val="00FB55D5"/>
    <w:rsid w:val="00FB6D84"/>
    <w:rsid w:val="00FC12BF"/>
    <w:rsid w:val="00FC2C60"/>
    <w:rsid w:val="00FD3E6F"/>
    <w:rsid w:val="00FD51B9"/>
    <w:rsid w:val="00FD5849"/>
    <w:rsid w:val="00FE03E4"/>
    <w:rsid w:val="00FE2A39"/>
    <w:rsid w:val="00FF39CF"/>
    <w:rsid w:val="00FF7159"/>
    <w:rsid w:val="00FF792F"/>
    <w:rsid w:val="00FF7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43C11"/>
  <w15:docId w15:val="{E400F0D7-3173-484A-90A7-E61375C6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FC3"/>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99"/>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99"/>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491B08"/>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Lato" w:hAnsi="Lato"/>
        <w:b/>
        <w:sz w:val="22"/>
      </w:rPr>
      <w:tblPr/>
      <w:tcPr>
        <w:shd w:val="clear" w:color="auto" w:fill="1F1F5F" w:themeFill="text1"/>
      </w:tcPr>
    </w:tblStylePr>
    <w:tblStylePr w:type="lastRow">
      <w:rPr>
        <w:rFonts w:ascii="Lato" w:hAnsi="Lato"/>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Lato" w:hAnsi="Lato"/>
        <w:sz w:val="22"/>
      </w:rPr>
    </w:tblStylePr>
    <w:tblStylePr w:type="lastCol">
      <w:rPr>
        <w:rFonts w:ascii="Lato" w:hAnsi="Lato"/>
        <w:sz w:val="22"/>
      </w:rPr>
    </w:tblStylePr>
    <w:tblStylePr w:type="band1Vert">
      <w:rPr>
        <w:rFonts w:ascii="Lato" w:hAnsi="Lato"/>
        <w:sz w:val="22"/>
      </w:rPr>
    </w:tblStylePr>
    <w:tblStylePr w:type="band2Vert">
      <w:rPr>
        <w:rFonts w:ascii="Lato" w:hAnsi="Lato"/>
        <w:color w:val="au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rFonts w:ascii="Lato" w:hAnsi="Lato"/>
        <w:sz w:val="22"/>
      </w:rPr>
    </w:tblStylePr>
    <w:tblStylePr w:type="nwCell">
      <w:rPr>
        <w:rFonts w:ascii="Lato" w:hAnsi="Lato"/>
        <w:sz w:val="22"/>
      </w:rPr>
    </w:tblStylePr>
    <w:tblStylePr w:type="seCell">
      <w:rPr>
        <w:rFonts w:ascii="Lato" w:hAnsi="Lato"/>
        <w:sz w:val="22"/>
      </w:rPr>
    </w:tblStylePr>
    <w:tblStylePr w:type="swCell">
      <w:rPr>
        <w:rFonts w:ascii="Lato" w:hAnsi="Lato"/>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491B08"/>
    <w:pPr>
      <w:spacing w:after="0"/>
    </w:pPr>
    <w:rPr>
      <w:sz w:val="20"/>
      <w:szCs w:val="20"/>
    </w:rPr>
  </w:style>
  <w:style w:type="character" w:customStyle="1" w:styleId="FootnoteTextChar">
    <w:name w:val="Footnote Text Char"/>
    <w:basedOn w:val="DefaultParagraphFont"/>
    <w:link w:val="FootnoteText"/>
    <w:uiPriority w:val="99"/>
    <w:semiHidden/>
    <w:rsid w:val="00491B08"/>
    <w:rPr>
      <w:rFonts w:ascii="Lato" w:hAnsi="Lato"/>
      <w:sz w:val="20"/>
      <w:szCs w:val="20"/>
    </w:rPr>
  </w:style>
  <w:style w:type="character" w:styleId="FootnoteReference">
    <w:name w:val="footnote reference"/>
    <w:basedOn w:val="DefaultParagraphFont"/>
    <w:uiPriority w:val="99"/>
    <w:semiHidden/>
    <w:unhideWhenUsed/>
    <w:rsid w:val="00491B08"/>
    <w:rPr>
      <w:vertAlign w:val="superscript"/>
    </w:rPr>
  </w:style>
  <w:style w:type="paragraph" w:styleId="EndnoteText">
    <w:name w:val="endnote text"/>
    <w:basedOn w:val="Normal"/>
    <w:link w:val="EndnoteTextChar"/>
    <w:uiPriority w:val="99"/>
    <w:semiHidden/>
    <w:unhideWhenUsed/>
    <w:rsid w:val="00491B08"/>
    <w:pPr>
      <w:spacing w:after="0"/>
    </w:pPr>
    <w:rPr>
      <w:sz w:val="20"/>
      <w:szCs w:val="20"/>
    </w:rPr>
  </w:style>
  <w:style w:type="character" w:customStyle="1" w:styleId="EndnoteTextChar">
    <w:name w:val="Endnote Text Char"/>
    <w:basedOn w:val="DefaultParagraphFont"/>
    <w:link w:val="EndnoteText"/>
    <w:uiPriority w:val="99"/>
    <w:semiHidden/>
    <w:rsid w:val="00491B08"/>
    <w:rPr>
      <w:rFonts w:ascii="Lato" w:hAnsi="Lato"/>
      <w:sz w:val="20"/>
      <w:szCs w:val="20"/>
    </w:rPr>
  </w:style>
  <w:style w:type="character" w:styleId="EndnoteReference">
    <w:name w:val="endnote reference"/>
    <w:basedOn w:val="DefaultParagraphFont"/>
    <w:uiPriority w:val="99"/>
    <w:semiHidden/>
    <w:unhideWhenUsed/>
    <w:rsid w:val="00491B08"/>
    <w:rPr>
      <w:vertAlign w:val="superscript"/>
    </w:rPr>
  </w:style>
  <w:style w:type="paragraph" w:styleId="Revision">
    <w:name w:val="Revision"/>
    <w:hidden/>
    <w:uiPriority w:val="99"/>
    <w:semiHidden/>
    <w:rsid w:val="00B003C5"/>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A1E1C1-B92C-4AEA-9F2A-07B73628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Treasury and Finance</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Symonds</dc:creator>
  <cp:lastModifiedBy>Tim McMeel</cp:lastModifiedBy>
  <cp:revision>18</cp:revision>
  <cp:lastPrinted>2019-07-29T01:45:00Z</cp:lastPrinted>
  <dcterms:created xsi:type="dcterms:W3CDTF">2024-02-16T05:14:00Z</dcterms:created>
  <dcterms:modified xsi:type="dcterms:W3CDTF">2024-05-21T23:36:00Z</dcterms:modified>
</cp:coreProperties>
</file>