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AF6" w:rsidRDefault="00576AF6" w:rsidP="00576AF6">
      <w:pPr>
        <w:pStyle w:val="TROHeading1"/>
        <w:jc w:val="right"/>
      </w:pPr>
    </w:p>
    <w:p w:rsidR="00576AF6" w:rsidRPr="006652E8" w:rsidRDefault="00576AF6" w:rsidP="00576AF6">
      <w:pPr>
        <w:pStyle w:val="TROHeading1"/>
        <w:spacing w:before="4560" w:after="240" w:line="480" w:lineRule="atLeast"/>
        <w:jc w:val="right"/>
        <w:rPr>
          <w:sz w:val="44"/>
          <w:szCs w:val="44"/>
        </w:rPr>
      </w:pPr>
      <w:r w:rsidRPr="006652E8">
        <w:rPr>
          <w:sz w:val="44"/>
          <w:szCs w:val="44"/>
        </w:rPr>
        <w:t>Conveyance by Return (CBR) User Guide</w:t>
      </w:r>
    </w:p>
    <w:p w:rsidR="00576AF6" w:rsidRPr="006652E8" w:rsidRDefault="00576AF6" w:rsidP="00576AF6">
      <w:pPr>
        <w:pStyle w:val="TROHeading1"/>
        <w:spacing w:after="240" w:line="480" w:lineRule="atLeast"/>
        <w:jc w:val="right"/>
        <w:rPr>
          <w:sz w:val="44"/>
          <w:szCs w:val="44"/>
        </w:rPr>
      </w:pPr>
      <w:bookmarkStart w:id="0" w:name="_Toc426036409"/>
      <w:r w:rsidRPr="006652E8">
        <w:rPr>
          <w:sz w:val="44"/>
          <w:szCs w:val="44"/>
        </w:rPr>
        <w:t>Territory Revenue Office</w:t>
      </w:r>
      <w:bookmarkEnd w:id="0"/>
    </w:p>
    <w:p w:rsidR="00576AF6" w:rsidRPr="006652E8" w:rsidRDefault="00576AF6" w:rsidP="00576AF6">
      <w:pPr>
        <w:pStyle w:val="TROHeading1"/>
        <w:spacing w:after="240" w:line="480" w:lineRule="atLeast"/>
        <w:jc w:val="right"/>
        <w:rPr>
          <w:sz w:val="44"/>
          <w:szCs w:val="44"/>
        </w:rPr>
      </w:pPr>
      <w:bookmarkStart w:id="1" w:name="_Toc426036410"/>
      <w:r w:rsidRPr="006652E8">
        <w:rPr>
          <w:sz w:val="44"/>
          <w:szCs w:val="44"/>
        </w:rPr>
        <w:t>201</w:t>
      </w:r>
      <w:bookmarkEnd w:id="1"/>
      <w:r w:rsidR="00440B30">
        <w:rPr>
          <w:sz w:val="44"/>
          <w:szCs w:val="44"/>
        </w:rPr>
        <w:t>6</w:t>
      </w:r>
    </w:p>
    <w:p w:rsidR="00576AF6" w:rsidRPr="006652E8" w:rsidRDefault="00576AF6" w:rsidP="00576AF6">
      <w:pPr>
        <w:pStyle w:val="TROHeading1"/>
        <w:spacing w:line="440" w:lineRule="atLeast"/>
        <w:jc w:val="right"/>
        <w:rPr>
          <w:sz w:val="44"/>
          <w:szCs w:val="44"/>
        </w:rPr>
        <w:sectPr w:rsidR="00576AF6" w:rsidRPr="006652E8" w:rsidSect="00576AF6">
          <w:headerReference w:type="default" r:id="rId9"/>
          <w:footerReference w:type="default" r:id="rId10"/>
          <w:headerReference w:type="first" r:id="rId11"/>
          <w:footerReference w:type="first" r:id="rId12"/>
          <w:pgSz w:w="11906" w:h="16838" w:code="9"/>
          <w:pgMar w:top="1816" w:right="851" w:bottom="567" w:left="851" w:header="851" w:footer="567" w:gutter="0"/>
          <w:cols w:space="708"/>
          <w:titlePg/>
          <w:docGrid w:linePitch="360"/>
        </w:sectPr>
      </w:pPr>
    </w:p>
    <w:p w:rsidR="00576AF6" w:rsidRDefault="00576AF6" w:rsidP="00576AF6">
      <w:pPr>
        <w:rPr>
          <w:b/>
        </w:rPr>
      </w:pPr>
      <w:r>
        <w:rPr>
          <w:b/>
        </w:rPr>
        <w:lastRenderedPageBreak/>
        <w:br w:type="page"/>
      </w:r>
    </w:p>
    <w:p w:rsidR="00576AF6" w:rsidRDefault="00576AF6" w:rsidP="00576AF6">
      <w:pPr>
        <w:spacing w:after="240"/>
        <w:rPr>
          <w:b/>
        </w:rPr>
      </w:pPr>
      <w:r w:rsidRPr="00980311">
        <w:rPr>
          <w:b/>
        </w:rPr>
        <w:lastRenderedPageBreak/>
        <w:t>Table of contents</w:t>
      </w:r>
    </w:p>
    <w:p w:rsidR="00576AF6" w:rsidRDefault="00576AF6" w:rsidP="00576AF6">
      <w:pPr>
        <w:pStyle w:val="TOC1"/>
        <w:tabs>
          <w:tab w:val="right" w:pos="10194"/>
        </w:tabs>
        <w:rPr>
          <w:rFonts w:asciiTheme="minorHAnsi" w:eastAsiaTheme="minorEastAsia" w:hAnsiTheme="minorHAnsi" w:cstheme="minorBidi"/>
          <w:noProof/>
          <w:szCs w:val="22"/>
        </w:rPr>
      </w:pPr>
      <w:r>
        <w:rPr>
          <w:b/>
        </w:rPr>
        <w:fldChar w:fldCharType="begin"/>
      </w:r>
      <w:r>
        <w:rPr>
          <w:b/>
        </w:rPr>
        <w:instrText xml:space="preserve"> TOC \h \z \t "TRO Heading 2,1" </w:instrText>
      </w:r>
      <w:r>
        <w:rPr>
          <w:b/>
        </w:rPr>
        <w:fldChar w:fldCharType="separate"/>
      </w:r>
      <w:hyperlink w:anchor="_Toc427748459" w:history="1">
        <w:r w:rsidRPr="00C47376">
          <w:rPr>
            <w:rStyle w:val="Hyperlink"/>
            <w:noProof/>
          </w:rPr>
          <w:t>1. Definitions</w:t>
        </w:r>
        <w:r>
          <w:rPr>
            <w:noProof/>
            <w:webHidden/>
          </w:rPr>
          <w:tab/>
        </w:r>
        <w:r>
          <w:rPr>
            <w:noProof/>
            <w:webHidden/>
          </w:rPr>
          <w:fldChar w:fldCharType="begin"/>
        </w:r>
        <w:r>
          <w:rPr>
            <w:noProof/>
            <w:webHidden/>
          </w:rPr>
          <w:instrText xml:space="preserve"> PAGEREF _Toc427748459 \h </w:instrText>
        </w:r>
        <w:r>
          <w:rPr>
            <w:noProof/>
            <w:webHidden/>
          </w:rPr>
        </w:r>
        <w:r>
          <w:rPr>
            <w:noProof/>
            <w:webHidden/>
          </w:rPr>
          <w:fldChar w:fldCharType="separate"/>
        </w:r>
        <w:r w:rsidR="00CB606E">
          <w:rPr>
            <w:noProof/>
            <w:webHidden/>
          </w:rPr>
          <w:t>3</w:t>
        </w:r>
        <w:r>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0" w:history="1">
        <w:r w:rsidR="00576AF6" w:rsidRPr="00C47376">
          <w:rPr>
            <w:rStyle w:val="Hyperlink"/>
            <w:noProof/>
          </w:rPr>
          <w:t>2. Introduction</w:t>
        </w:r>
        <w:r w:rsidR="00576AF6">
          <w:rPr>
            <w:noProof/>
            <w:webHidden/>
          </w:rPr>
          <w:tab/>
        </w:r>
        <w:r w:rsidR="00576AF6">
          <w:rPr>
            <w:noProof/>
            <w:webHidden/>
          </w:rPr>
          <w:fldChar w:fldCharType="begin"/>
        </w:r>
        <w:r w:rsidR="00576AF6">
          <w:rPr>
            <w:noProof/>
            <w:webHidden/>
          </w:rPr>
          <w:instrText xml:space="preserve"> PAGEREF _Toc427748460 \h </w:instrText>
        </w:r>
        <w:r w:rsidR="00576AF6">
          <w:rPr>
            <w:noProof/>
            <w:webHidden/>
          </w:rPr>
        </w:r>
        <w:r w:rsidR="00576AF6">
          <w:rPr>
            <w:noProof/>
            <w:webHidden/>
          </w:rPr>
          <w:fldChar w:fldCharType="separate"/>
        </w:r>
        <w:r w:rsidR="00CB606E">
          <w:rPr>
            <w:noProof/>
            <w:webHidden/>
          </w:rPr>
          <w:t>6</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1" w:history="1">
        <w:r w:rsidR="00576AF6" w:rsidRPr="00C47376">
          <w:rPr>
            <w:rStyle w:val="Hyperlink"/>
            <w:noProof/>
          </w:rPr>
          <w:t>3. CBR Online</w:t>
        </w:r>
        <w:r w:rsidR="00576AF6">
          <w:rPr>
            <w:noProof/>
            <w:webHidden/>
          </w:rPr>
          <w:tab/>
        </w:r>
        <w:r w:rsidR="00576AF6">
          <w:rPr>
            <w:noProof/>
            <w:webHidden/>
          </w:rPr>
          <w:fldChar w:fldCharType="begin"/>
        </w:r>
        <w:r w:rsidR="00576AF6">
          <w:rPr>
            <w:noProof/>
            <w:webHidden/>
          </w:rPr>
          <w:instrText xml:space="preserve"> PAGEREF _Toc427748461 \h </w:instrText>
        </w:r>
        <w:r w:rsidR="00576AF6">
          <w:rPr>
            <w:noProof/>
            <w:webHidden/>
          </w:rPr>
        </w:r>
        <w:r w:rsidR="00576AF6">
          <w:rPr>
            <w:noProof/>
            <w:webHidden/>
          </w:rPr>
          <w:fldChar w:fldCharType="separate"/>
        </w:r>
        <w:r w:rsidR="00CB606E">
          <w:rPr>
            <w:noProof/>
            <w:webHidden/>
          </w:rPr>
          <w:t>6</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2" w:history="1">
        <w:r w:rsidR="00576AF6" w:rsidRPr="00C47376">
          <w:rPr>
            <w:rStyle w:val="Hyperlink"/>
            <w:noProof/>
          </w:rPr>
          <w:t>4. Obligations of approved persons</w:t>
        </w:r>
        <w:r w:rsidR="00576AF6">
          <w:rPr>
            <w:noProof/>
            <w:webHidden/>
          </w:rPr>
          <w:tab/>
        </w:r>
        <w:r w:rsidR="00576AF6">
          <w:rPr>
            <w:noProof/>
            <w:webHidden/>
          </w:rPr>
          <w:fldChar w:fldCharType="begin"/>
        </w:r>
        <w:r w:rsidR="00576AF6">
          <w:rPr>
            <w:noProof/>
            <w:webHidden/>
          </w:rPr>
          <w:instrText xml:space="preserve"> PAGEREF _Toc427748462 \h </w:instrText>
        </w:r>
        <w:r w:rsidR="00576AF6">
          <w:rPr>
            <w:noProof/>
            <w:webHidden/>
          </w:rPr>
        </w:r>
        <w:r w:rsidR="00576AF6">
          <w:rPr>
            <w:noProof/>
            <w:webHidden/>
          </w:rPr>
          <w:fldChar w:fldCharType="separate"/>
        </w:r>
        <w:r w:rsidR="00CB606E">
          <w:rPr>
            <w:noProof/>
            <w:webHidden/>
          </w:rPr>
          <w:t>7</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3" w:history="1">
        <w:r w:rsidR="00576AF6" w:rsidRPr="00C47376">
          <w:rPr>
            <w:rStyle w:val="Hyperlink"/>
            <w:noProof/>
          </w:rPr>
          <w:t>5. Approved instruments</w:t>
        </w:r>
        <w:r w:rsidR="00576AF6">
          <w:rPr>
            <w:noProof/>
            <w:webHidden/>
          </w:rPr>
          <w:tab/>
        </w:r>
        <w:r w:rsidR="00576AF6">
          <w:rPr>
            <w:noProof/>
            <w:webHidden/>
          </w:rPr>
          <w:fldChar w:fldCharType="begin"/>
        </w:r>
        <w:r w:rsidR="00576AF6">
          <w:rPr>
            <w:noProof/>
            <w:webHidden/>
          </w:rPr>
          <w:instrText xml:space="preserve"> PAGEREF _Toc427748463 \h </w:instrText>
        </w:r>
        <w:r w:rsidR="00576AF6">
          <w:rPr>
            <w:noProof/>
            <w:webHidden/>
          </w:rPr>
        </w:r>
        <w:r w:rsidR="00576AF6">
          <w:rPr>
            <w:noProof/>
            <w:webHidden/>
          </w:rPr>
          <w:fldChar w:fldCharType="separate"/>
        </w:r>
        <w:r w:rsidR="00CB606E">
          <w:rPr>
            <w:noProof/>
            <w:webHidden/>
          </w:rPr>
          <w:t>7</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4" w:history="1">
        <w:r w:rsidR="00576AF6" w:rsidRPr="00C47376">
          <w:rPr>
            <w:rStyle w:val="Hyperlink"/>
            <w:noProof/>
          </w:rPr>
          <w:t>6. Concession and rebate</w:t>
        </w:r>
        <w:r w:rsidR="00576AF6">
          <w:rPr>
            <w:noProof/>
            <w:webHidden/>
          </w:rPr>
          <w:tab/>
        </w:r>
        <w:r w:rsidR="00576AF6">
          <w:rPr>
            <w:noProof/>
            <w:webHidden/>
          </w:rPr>
          <w:fldChar w:fldCharType="begin"/>
        </w:r>
        <w:r w:rsidR="00576AF6">
          <w:rPr>
            <w:noProof/>
            <w:webHidden/>
          </w:rPr>
          <w:instrText xml:space="preserve"> PAGEREF _Toc427748464 \h </w:instrText>
        </w:r>
        <w:r w:rsidR="00576AF6">
          <w:rPr>
            <w:noProof/>
            <w:webHidden/>
          </w:rPr>
        </w:r>
        <w:r w:rsidR="00576AF6">
          <w:rPr>
            <w:noProof/>
            <w:webHidden/>
          </w:rPr>
          <w:fldChar w:fldCharType="separate"/>
        </w:r>
        <w:r w:rsidR="00CB606E">
          <w:rPr>
            <w:noProof/>
            <w:webHidden/>
          </w:rPr>
          <w:t>8</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5" w:history="1">
        <w:r w:rsidR="00576AF6" w:rsidRPr="00C47376">
          <w:rPr>
            <w:rStyle w:val="Hyperlink"/>
            <w:noProof/>
          </w:rPr>
          <w:t>7. Assessing an approved instrument</w:t>
        </w:r>
        <w:r w:rsidR="00576AF6">
          <w:rPr>
            <w:noProof/>
            <w:webHidden/>
          </w:rPr>
          <w:tab/>
        </w:r>
        <w:r w:rsidR="00576AF6">
          <w:rPr>
            <w:noProof/>
            <w:webHidden/>
          </w:rPr>
          <w:fldChar w:fldCharType="begin"/>
        </w:r>
        <w:r w:rsidR="00576AF6">
          <w:rPr>
            <w:noProof/>
            <w:webHidden/>
          </w:rPr>
          <w:instrText xml:space="preserve"> PAGEREF _Toc427748465 \h </w:instrText>
        </w:r>
        <w:r w:rsidR="00576AF6">
          <w:rPr>
            <w:noProof/>
            <w:webHidden/>
          </w:rPr>
        </w:r>
        <w:r w:rsidR="00576AF6">
          <w:rPr>
            <w:noProof/>
            <w:webHidden/>
          </w:rPr>
          <w:fldChar w:fldCharType="separate"/>
        </w:r>
        <w:r w:rsidR="00CB606E">
          <w:rPr>
            <w:noProof/>
            <w:webHidden/>
          </w:rPr>
          <w:t>9</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6" w:history="1">
        <w:r w:rsidR="00576AF6" w:rsidRPr="00C47376">
          <w:rPr>
            <w:rStyle w:val="Hyperlink"/>
            <w:noProof/>
          </w:rPr>
          <w:t>8. Entering data in CBR</w:t>
        </w:r>
        <w:r w:rsidR="00576AF6">
          <w:rPr>
            <w:noProof/>
            <w:webHidden/>
          </w:rPr>
          <w:tab/>
        </w:r>
        <w:r w:rsidR="00576AF6">
          <w:rPr>
            <w:noProof/>
            <w:webHidden/>
          </w:rPr>
          <w:fldChar w:fldCharType="begin"/>
        </w:r>
        <w:r w:rsidR="00576AF6">
          <w:rPr>
            <w:noProof/>
            <w:webHidden/>
          </w:rPr>
          <w:instrText xml:space="preserve"> PAGEREF _Toc427748466 \h </w:instrText>
        </w:r>
        <w:r w:rsidR="00576AF6">
          <w:rPr>
            <w:noProof/>
            <w:webHidden/>
          </w:rPr>
        </w:r>
        <w:r w:rsidR="00576AF6">
          <w:rPr>
            <w:noProof/>
            <w:webHidden/>
          </w:rPr>
          <w:fldChar w:fldCharType="separate"/>
        </w:r>
        <w:r w:rsidR="00CB606E">
          <w:rPr>
            <w:noProof/>
            <w:webHidden/>
          </w:rPr>
          <w:t>11</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7" w:history="1">
        <w:r w:rsidR="00576AF6" w:rsidRPr="00C47376">
          <w:rPr>
            <w:rStyle w:val="Hyperlink"/>
            <w:noProof/>
          </w:rPr>
          <w:t>9. Stamping of instruments</w:t>
        </w:r>
        <w:r w:rsidR="00576AF6">
          <w:rPr>
            <w:noProof/>
            <w:webHidden/>
          </w:rPr>
          <w:tab/>
        </w:r>
        <w:r w:rsidR="00576AF6">
          <w:rPr>
            <w:noProof/>
            <w:webHidden/>
          </w:rPr>
          <w:fldChar w:fldCharType="begin"/>
        </w:r>
        <w:r w:rsidR="00576AF6">
          <w:rPr>
            <w:noProof/>
            <w:webHidden/>
          </w:rPr>
          <w:instrText xml:space="preserve"> PAGEREF _Toc427748467 \h </w:instrText>
        </w:r>
        <w:r w:rsidR="00576AF6">
          <w:rPr>
            <w:noProof/>
            <w:webHidden/>
          </w:rPr>
        </w:r>
        <w:r w:rsidR="00576AF6">
          <w:rPr>
            <w:noProof/>
            <w:webHidden/>
          </w:rPr>
          <w:fldChar w:fldCharType="separate"/>
        </w:r>
        <w:r w:rsidR="00CB606E">
          <w:rPr>
            <w:noProof/>
            <w:webHidden/>
          </w:rPr>
          <w:t>13</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8" w:history="1">
        <w:r w:rsidR="00576AF6" w:rsidRPr="00C47376">
          <w:rPr>
            <w:rStyle w:val="Hyperlink"/>
            <w:noProof/>
          </w:rPr>
          <w:t>10. Completion in CBR Online</w:t>
        </w:r>
        <w:r w:rsidR="00576AF6">
          <w:rPr>
            <w:noProof/>
            <w:webHidden/>
          </w:rPr>
          <w:tab/>
        </w:r>
        <w:r w:rsidR="00576AF6">
          <w:rPr>
            <w:noProof/>
            <w:webHidden/>
          </w:rPr>
          <w:fldChar w:fldCharType="begin"/>
        </w:r>
        <w:r w:rsidR="00576AF6">
          <w:rPr>
            <w:noProof/>
            <w:webHidden/>
          </w:rPr>
          <w:instrText xml:space="preserve"> PAGEREF _Toc427748468 \h </w:instrText>
        </w:r>
        <w:r w:rsidR="00576AF6">
          <w:rPr>
            <w:noProof/>
            <w:webHidden/>
          </w:rPr>
        </w:r>
        <w:r w:rsidR="00576AF6">
          <w:rPr>
            <w:noProof/>
            <w:webHidden/>
          </w:rPr>
          <w:fldChar w:fldCharType="separate"/>
        </w:r>
        <w:r w:rsidR="00CB606E">
          <w:rPr>
            <w:noProof/>
            <w:webHidden/>
          </w:rPr>
          <w:t>14</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69" w:history="1">
        <w:r w:rsidR="00576AF6" w:rsidRPr="00C47376">
          <w:rPr>
            <w:rStyle w:val="Hyperlink"/>
            <w:noProof/>
          </w:rPr>
          <w:t>11. Searching and editing</w:t>
        </w:r>
        <w:r w:rsidR="00576AF6">
          <w:rPr>
            <w:noProof/>
            <w:webHidden/>
          </w:rPr>
          <w:tab/>
        </w:r>
        <w:r w:rsidR="00576AF6">
          <w:rPr>
            <w:noProof/>
            <w:webHidden/>
          </w:rPr>
          <w:fldChar w:fldCharType="begin"/>
        </w:r>
        <w:r w:rsidR="00576AF6">
          <w:rPr>
            <w:noProof/>
            <w:webHidden/>
          </w:rPr>
          <w:instrText xml:space="preserve"> PAGEREF _Toc427748469 \h </w:instrText>
        </w:r>
        <w:r w:rsidR="00576AF6">
          <w:rPr>
            <w:noProof/>
            <w:webHidden/>
          </w:rPr>
        </w:r>
        <w:r w:rsidR="00576AF6">
          <w:rPr>
            <w:noProof/>
            <w:webHidden/>
          </w:rPr>
          <w:fldChar w:fldCharType="separate"/>
        </w:r>
        <w:r w:rsidR="00CB606E">
          <w:rPr>
            <w:noProof/>
            <w:webHidden/>
          </w:rPr>
          <w:t>14</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70" w:history="1">
        <w:r w:rsidR="00576AF6" w:rsidRPr="00C47376">
          <w:rPr>
            <w:rStyle w:val="Hyperlink"/>
            <w:noProof/>
          </w:rPr>
          <w:t>12. Collection of duty</w:t>
        </w:r>
        <w:r w:rsidR="00576AF6">
          <w:rPr>
            <w:noProof/>
            <w:webHidden/>
          </w:rPr>
          <w:tab/>
        </w:r>
        <w:r w:rsidR="00576AF6">
          <w:rPr>
            <w:noProof/>
            <w:webHidden/>
          </w:rPr>
          <w:fldChar w:fldCharType="begin"/>
        </w:r>
        <w:r w:rsidR="00576AF6">
          <w:rPr>
            <w:noProof/>
            <w:webHidden/>
          </w:rPr>
          <w:instrText xml:space="preserve"> PAGEREF _Toc427748470 \h </w:instrText>
        </w:r>
        <w:r w:rsidR="00576AF6">
          <w:rPr>
            <w:noProof/>
            <w:webHidden/>
          </w:rPr>
        </w:r>
        <w:r w:rsidR="00576AF6">
          <w:rPr>
            <w:noProof/>
            <w:webHidden/>
          </w:rPr>
          <w:fldChar w:fldCharType="separate"/>
        </w:r>
        <w:r w:rsidR="00CB606E">
          <w:rPr>
            <w:noProof/>
            <w:webHidden/>
          </w:rPr>
          <w:t>15</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71" w:history="1">
        <w:r w:rsidR="00576AF6" w:rsidRPr="00C47376">
          <w:rPr>
            <w:rStyle w:val="Hyperlink"/>
            <w:noProof/>
          </w:rPr>
          <w:t>13. Monthly return statement</w:t>
        </w:r>
        <w:r w:rsidR="00576AF6">
          <w:rPr>
            <w:noProof/>
            <w:webHidden/>
          </w:rPr>
          <w:tab/>
        </w:r>
        <w:r w:rsidR="00576AF6">
          <w:rPr>
            <w:noProof/>
            <w:webHidden/>
          </w:rPr>
          <w:fldChar w:fldCharType="begin"/>
        </w:r>
        <w:r w:rsidR="00576AF6">
          <w:rPr>
            <w:noProof/>
            <w:webHidden/>
          </w:rPr>
          <w:instrText xml:space="preserve"> PAGEREF _Toc427748471 \h </w:instrText>
        </w:r>
        <w:r w:rsidR="00576AF6">
          <w:rPr>
            <w:noProof/>
            <w:webHidden/>
          </w:rPr>
        </w:r>
        <w:r w:rsidR="00576AF6">
          <w:rPr>
            <w:noProof/>
            <w:webHidden/>
          </w:rPr>
          <w:fldChar w:fldCharType="separate"/>
        </w:r>
        <w:r w:rsidR="00CB606E">
          <w:rPr>
            <w:noProof/>
            <w:webHidden/>
          </w:rPr>
          <w:t>15</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72" w:history="1">
        <w:r w:rsidR="00576AF6" w:rsidRPr="00C47376">
          <w:rPr>
            <w:rStyle w:val="Hyperlink"/>
            <w:noProof/>
          </w:rPr>
          <w:t>14. Monthly payment</w:t>
        </w:r>
        <w:r w:rsidR="00576AF6">
          <w:rPr>
            <w:noProof/>
            <w:webHidden/>
          </w:rPr>
          <w:tab/>
        </w:r>
        <w:r w:rsidR="00576AF6">
          <w:rPr>
            <w:noProof/>
            <w:webHidden/>
          </w:rPr>
          <w:fldChar w:fldCharType="begin"/>
        </w:r>
        <w:r w:rsidR="00576AF6">
          <w:rPr>
            <w:noProof/>
            <w:webHidden/>
          </w:rPr>
          <w:instrText xml:space="preserve"> PAGEREF _Toc427748472 \h </w:instrText>
        </w:r>
        <w:r w:rsidR="00576AF6">
          <w:rPr>
            <w:noProof/>
            <w:webHidden/>
          </w:rPr>
        </w:r>
        <w:r w:rsidR="00576AF6">
          <w:rPr>
            <w:noProof/>
            <w:webHidden/>
          </w:rPr>
          <w:fldChar w:fldCharType="separate"/>
        </w:r>
        <w:r w:rsidR="00CB606E">
          <w:rPr>
            <w:noProof/>
            <w:webHidden/>
          </w:rPr>
          <w:t>15</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74" w:history="1">
        <w:r w:rsidR="00576AF6" w:rsidRPr="00C47376">
          <w:rPr>
            <w:rStyle w:val="Hyperlink"/>
            <w:noProof/>
          </w:rPr>
          <w:t>1</w:t>
        </w:r>
        <w:r w:rsidR="00790A69">
          <w:rPr>
            <w:rStyle w:val="Hyperlink"/>
            <w:noProof/>
          </w:rPr>
          <w:t>5</w:t>
        </w:r>
        <w:r w:rsidR="00576AF6" w:rsidRPr="00C47376">
          <w:rPr>
            <w:rStyle w:val="Hyperlink"/>
            <w:noProof/>
          </w:rPr>
          <w:t>. Underpayments</w:t>
        </w:r>
        <w:r w:rsidR="00576AF6">
          <w:rPr>
            <w:noProof/>
            <w:webHidden/>
          </w:rPr>
          <w:tab/>
        </w:r>
        <w:r w:rsidR="00576AF6">
          <w:rPr>
            <w:noProof/>
            <w:webHidden/>
          </w:rPr>
          <w:fldChar w:fldCharType="begin"/>
        </w:r>
        <w:r w:rsidR="00576AF6">
          <w:rPr>
            <w:noProof/>
            <w:webHidden/>
          </w:rPr>
          <w:instrText xml:space="preserve"> PAGEREF _Toc427748474 \h </w:instrText>
        </w:r>
        <w:r w:rsidR="00576AF6">
          <w:rPr>
            <w:noProof/>
            <w:webHidden/>
          </w:rPr>
        </w:r>
        <w:r w:rsidR="00576AF6">
          <w:rPr>
            <w:noProof/>
            <w:webHidden/>
          </w:rPr>
          <w:fldChar w:fldCharType="separate"/>
        </w:r>
        <w:r w:rsidR="00CB606E">
          <w:rPr>
            <w:noProof/>
            <w:webHidden/>
          </w:rPr>
          <w:t>16</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75" w:history="1">
        <w:r w:rsidR="00576AF6" w:rsidRPr="00C47376">
          <w:rPr>
            <w:rStyle w:val="Hyperlink"/>
            <w:noProof/>
          </w:rPr>
          <w:t>1</w:t>
        </w:r>
        <w:r w:rsidR="00790A69">
          <w:rPr>
            <w:rStyle w:val="Hyperlink"/>
            <w:noProof/>
          </w:rPr>
          <w:t>6</w:t>
        </w:r>
        <w:r w:rsidR="00576AF6" w:rsidRPr="00C47376">
          <w:rPr>
            <w:rStyle w:val="Hyperlink"/>
            <w:noProof/>
          </w:rPr>
          <w:t>. Overpayments</w:t>
        </w:r>
        <w:r w:rsidR="00576AF6">
          <w:rPr>
            <w:noProof/>
            <w:webHidden/>
          </w:rPr>
          <w:tab/>
        </w:r>
        <w:r w:rsidR="00576AF6">
          <w:rPr>
            <w:noProof/>
            <w:webHidden/>
          </w:rPr>
          <w:fldChar w:fldCharType="begin"/>
        </w:r>
        <w:r w:rsidR="00576AF6">
          <w:rPr>
            <w:noProof/>
            <w:webHidden/>
          </w:rPr>
          <w:instrText xml:space="preserve"> PAGEREF _Toc427748475 \h </w:instrText>
        </w:r>
        <w:r w:rsidR="00576AF6">
          <w:rPr>
            <w:noProof/>
            <w:webHidden/>
          </w:rPr>
        </w:r>
        <w:r w:rsidR="00576AF6">
          <w:rPr>
            <w:noProof/>
            <w:webHidden/>
          </w:rPr>
          <w:fldChar w:fldCharType="separate"/>
        </w:r>
        <w:r w:rsidR="00CB606E">
          <w:rPr>
            <w:noProof/>
            <w:webHidden/>
          </w:rPr>
          <w:t>16</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76" w:history="1">
        <w:r w:rsidR="00576AF6" w:rsidRPr="00C47376">
          <w:rPr>
            <w:rStyle w:val="Hyperlink"/>
            <w:noProof/>
          </w:rPr>
          <w:t>1</w:t>
        </w:r>
        <w:r w:rsidR="00790A69">
          <w:rPr>
            <w:rStyle w:val="Hyperlink"/>
            <w:noProof/>
          </w:rPr>
          <w:t>7</w:t>
        </w:r>
        <w:r w:rsidR="00576AF6" w:rsidRPr="00C47376">
          <w:rPr>
            <w:rStyle w:val="Hyperlink"/>
            <w:noProof/>
          </w:rPr>
          <w:t>. Refunds</w:t>
        </w:r>
        <w:r w:rsidR="00576AF6">
          <w:rPr>
            <w:noProof/>
            <w:webHidden/>
          </w:rPr>
          <w:tab/>
        </w:r>
        <w:r w:rsidR="00576AF6">
          <w:rPr>
            <w:noProof/>
            <w:webHidden/>
          </w:rPr>
          <w:fldChar w:fldCharType="begin"/>
        </w:r>
        <w:r w:rsidR="00576AF6">
          <w:rPr>
            <w:noProof/>
            <w:webHidden/>
          </w:rPr>
          <w:instrText xml:space="preserve"> PAGEREF _Toc427748476 \h </w:instrText>
        </w:r>
        <w:r w:rsidR="00576AF6">
          <w:rPr>
            <w:noProof/>
            <w:webHidden/>
          </w:rPr>
        </w:r>
        <w:r w:rsidR="00576AF6">
          <w:rPr>
            <w:noProof/>
            <w:webHidden/>
          </w:rPr>
          <w:fldChar w:fldCharType="separate"/>
        </w:r>
        <w:r w:rsidR="00CB606E">
          <w:rPr>
            <w:noProof/>
            <w:webHidden/>
          </w:rPr>
          <w:t>16</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77" w:history="1">
        <w:r w:rsidR="00576AF6" w:rsidRPr="00C47376">
          <w:rPr>
            <w:rStyle w:val="Hyperlink"/>
            <w:noProof/>
          </w:rPr>
          <w:t>1</w:t>
        </w:r>
        <w:r w:rsidR="00790A69">
          <w:rPr>
            <w:rStyle w:val="Hyperlink"/>
            <w:noProof/>
          </w:rPr>
          <w:t>8</w:t>
        </w:r>
        <w:r w:rsidR="00576AF6" w:rsidRPr="00C47376">
          <w:rPr>
            <w:rStyle w:val="Hyperlink"/>
            <w:noProof/>
          </w:rPr>
          <w:t>. Penalties</w:t>
        </w:r>
        <w:r w:rsidR="00576AF6">
          <w:rPr>
            <w:noProof/>
            <w:webHidden/>
          </w:rPr>
          <w:tab/>
        </w:r>
        <w:r w:rsidR="00576AF6">
          <w:rPr>
            <w:noProof/>
            <w:webHidden/>
          </w:rPr>
          <w:fldChar w:fldCharType="begin"/>
        </w:r>
        <w:r w:rsidR="00576AF6">
          <w:rPr>
            <w:noProof/>
            <w:webHidden/>
          </w:rPr>
          <w:instrText xml:space="preserve"> PAGEREF _Toc427748477 \h </w:instrText>
        </w:r>
        <w:r w:rsidR="00576AF6">
          <w:rPr>
            <w:noProof/>
            <w:webHidden/>
          </w:rPr>
        </w:r>
        <w:r w:rsidR="00576AF6">
          <w:rPr>
            <w:noProof/>
            <w:webHidden/>
          </w:rPr>
          <w:fldChar w:fldCharType="separate"/>
        </w:r>
        <w:r w:rsidR="00CB606E">
          <w:rPr>
            <w:noProof/>
            <w:webHidden/>
          </w:rPr>
          <w:t>16</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78" w:history="1">
        <w:r w:rsidR="00790A69">
          <w:rPr>
            <w:rStyle w:val="Hyperlink"/>
            <w:noProof/>
          </w:rPr>
          <w:t>19</w:t>
        </w:r>
        <w:r w:rsidR="00576AF6" w:rsidRPr="00C47376">
          <w:rPr>
            <w:rStyle w:val="Hyperlink"/>
            <w:noProof/>
          </w:rPr>
          <w:t>. Security</w:t>
        </w:r>
        <w:r w:rsidR="00576AF6">
          <w:rPr>
            <w:noProof/>
            <w:webHidden/>
          </w:rPr>
          <w:tab/>
        </w:r>
        <w:r w:rsidR="00576AF6">
          <w:rPr>
            <w:noProof/>
            <w:webHidden/>
          </w:rPr>
          <w:fldChar w:fldCharType="begin"/>
        </w:r>
        <w:r w:rsidR="00576AF6">
          <w:rPr>
            <w:noProof/>
            <w:webHidden/>
          </w:rPr>
          <w:instrText xml:space="preserve"> PAGEREF _Toc427748478 \h </w:instrText>
        </w:r>
        <w:r w:rsidR="00576AF6">
          <w:rPr>
            <w:noProof/>
            <w:webHidden/>
          </w:rPr>
        </w:r>
        <w:r w:rsidR="00576AF6">
          <w:rPr>
            <w:noProof/>
            <w:webHidden/>
          </w:rPr>
          <w:fldChar w:fldCharType="separate"/>
        </w:r>
        <w:r w:rsidR="00CB606E">
          <w:rPr>
            <w:noProof/>
            <w:webHidden/>
          </w:rPr>
          <w:t>16</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79" w:history="1">
        <w:r w:rsidR="00576AF6" w:rsidRPr="00C47376">
          <w:rPr>
            <w:rStyle w:val="Hyperlink"/>
            <w:noProof/>
          </w:rPr>
          <w:t>2</w:t>
        </w:r>
        <w:r w:rsidR="00790A69">
          <w:rPr>
            <w:rStyle w:val="Hyperlink"/>
            <w:noProof/>
          </w:rPr>
          <w:t>0</w:t>
        </w:r>
        <w:r w:rsidR="00576AF6" w:rsidRPr="00C47376">
          <w:rPr>
            <w:rStyle w:val="Hyperlink"/>
            <w:noProof/>
          </w:rPr>
          <w:t>. Undertaking by Commissioner</w:t>
        </w:r>
        <w:r w:rsidR="00576AF6">
          <w:rPr>
            <w:noProof/>
            <w:webHidden/>
          </w:rPr>
          <w:tab/>
        </w:r>
        <w:r w:rsidR="00576AF6">
          <w:rPr>
            <w:noProof/>
            <w:webHidden/>
          </w:rPr>
          <w:fldChar w:fldCharType="begin"/>
        </w:r>
        <w:r w:rsidR="00576AF6">
          <w:rPr>
            <w:noProof/>
            <w:webHidden/>
          </w:rPr>
          <w:instrText xml:space="preserve"> PAGEREF _Toc427748479 \h </w:instrText>
        </w:r>
        <w:r w:rsidR="00576AF6">
          <w:rPr>
            <w:noProof/>
            <w:webHidden/>
          </w:rPr>
        </w:r>
        <w:r w:rsidR="00576AF6">
          <w:rPr>
            <w:noProof/>
            <w:webHidden/>
          </w:rPr>
          <w:fldChar w:fldCharType="separate"/>
        </w:r>
        <w:r w:rsidR="00CB606E">
          <w:rPr>
            <w:noProof/>
            <w:webHidden/>
          </w:rPr>
          <w:t>17</w:t>
        </w:r>
        <w:r w:rsidR="00576AF6">
          <w:rPr>
            <w:noProof/>
            <w:webHidden/>
          </w:rPr>
          <w:fldChar w:fldCharType="end"/>
        </w:r>
      </w:hyperlink>
    </w:p>
    <w:p w:rsidR="00576AF6" w:rsidRDefault="000A0CBF" w:rsidP="00576AF6">
      <w:pPr>
        <w:pStyle w:val="TOC1"/>
        <w:tabs>
          <w:tab w:val="right" w:pos="10194"/>
        </w:tabs>
        <w:rPr>
          <w:rFonts w:asciiTheme="minorHAnsi" w:eastAsiaTheme="minorEastAsia" w:hAnsiTheme="minorHAnsi" w:cstheme="minorBidi"/>
          <w:noProof/>
          <w:szCs w:val="22"/>
        </w:rPr>
      </w:pPr>
      <w:hyperlink w:anchor="_Toc427748480" w:history="1">
        <w:r w:rsidR="00576AF6" w:rsidRPr="00C47376">
          <w:rPr>
            <w:rStyle w:val="Hyperlink"/>
            <w:noProof/>
          </w:rPr>
          <w:t>2</w:t>
        </w:r>
        <w:r w:rsidR="00790A69">
          <w:rPr>
            <w:rStyle w:val="Hyperlink"/>
            <w:noProof/>
          </w:rPr>
          <w:t>1</w:t>
        </w:r>
        <w:r w:rsidR="00576AF6" w:rsidRPr="00C47376">
          <w:rPr>
            <w:rStyle w:val="Hyperlink"/>
            <w:noProof/>
          </w:rPr>
          <w:t>. Contact details</w:t>
        </w:r>
        <w:r w:rsidR="00576AF6">
          <w:rPr>
            <w:noProof/>
            <w:webHidden/>
          </w:rPr>
          <w:tab/>
        </w:r>
        <w:r w:rsidR="00576AF6">
          <w:rPr>
            <w:noProof/>
            <w:webHidden/>
          </w:rPr>
          <w:fldChar w:fldCharType="begin"/>
        </w:r>
        <w:r w:rsidR="00576AF6">
          <w:rPr>
            <w:noProof/>
            <w:webHidden/>
          </w:rPr>
          <w:instrText xml:space="preserve"> PAGEREF _Toc427748480 \h </w:instrText>
        </w:r>
        <w:r w:rsidR="00576AF6">
          <w:rPr>
            <w:noProof/>
            <w:webHidden/>
          </w:rPr>
        </w:r>
        <w:r w:rsidR="00576AF6">
          <w:rPr>
            <w:noProof/>
            <w:webHidden/>
          </w:rPr>
          <w:fldChar w:fldCharType="separate"/>
        </w:r>
        <w:r w:rsidR="00CB606E">
          <w:rPr>
            <w:noProof/>
            <w:webHidden/>
          </w:rPr>
          <w:t>17</w:t>
        </w:r>
        <w:r w:rsidR="00576AF6">
          <w:rPr>
            <w:noProof/>
            <w:webHidden/>
          </w:rPr>
          <w:fldChar w:fldCharType="end"/>
        </w:r>
      </w:hyperlink>
    </w:p>
    <w:p w:rsidR="00576AF6" w:rsidRPr="00980311" w:rsidRDefault="00576AF6" w:rsidP="00576AF6">
      <w:pPr>
        <w:rPr>
          <w:b/>
        </w:rPr>
      </w:pPr>
      <w:r>
        <w:rPr>
          <w:b/>
        </w:rPr>
        <w:fldChar w:fldCharType="end"/>
      </w:r>
      <w:r w:rsidRPr="00980311">
        <w:rPr>
          <w:b/>
        </w:rPr>
        <w:br w:type="page"/>
      </w:r>
    </w:p>
    <w:p w:rsidR="00576AF6" w:rsidRPr="00946802" w:rsidRDefault="00576AF6" w:rsidP="00576AF6">
      <w:pPr>
        <w:pStyle w:val="TROHeading2"/>
      </w:pPr>
      <w:bookmarkStart w:id="2" w:name="_Toc427748459"/>
      <w:r w:rsidRPr="00946802">
        <w:lastRenderedPageBreak/>
        <w:t>1. Definitions</w:t>
      </w:r>
      <w:bookmarkEnd w:id="2"/>
    </w:p>
    <w:p w:rsidR="00576AF6" w:rsidRPr="00980311" w:rsidRDefault="00576AF6" w:rsidP="00576AF6">
      <w:pPr>
        <w:pStyle w:val="TROHeading3"/>
        <w:rPr>
          <w:rFonts w:ascii="ArialMT" w:hAnsi="ArialMT" w:cs="ArialMT"/>
          <w:b w:val="0"/>
          <w:sz w:val="21"/>
          <w:szCs w:val="21"/>
        </w:rPr>
      </w:pPr>
      <w:r w:rsidRPr="00980311">
        <w:rPr>
          <w:b w:val="0"/>
        </w:rPr>
        <w:t>Allowable period</w:t>
      </w:r>
      <w:r w:rsidRPr="00980311">
        <w:rPr>
          <w:rFonts w:ascii="ArialMT" w:hAnsi="ArialMT" w:cs="ArialMT"/>
          <w:b w:val="0"/>
          <w:sz w:val="21"/>
          <w:szCs w:val="21"/>
        </w:rPr>
        <w:t xml:space="preserve"> </w:t>
      </w:r>
    </w:p>
    <w:p w:rsidR="00576AF6" w:rsidRPr="00946802" w:rsidRDefault="00576AF6" w:rsidP="00576AF6">
      <w:pPr>
        <w:pStyle w:val="TROBodytext"/>
        <w:spacing w:after="60"/>
      </w:pPr>
      <w:r w:rsidRPr="00980311">
        <w:t xml:space="preserve">The </w:t>
      </w:r>
      <w:r w:rsidRPr="00980311">
        <w:rPr>
          <w:i/>
          <w:iCs/>
        </w:rPr>
        <w:t xml:space="preserve">allowable period </w:t>
      </w:r>
      <w:r w:rsidRPr="00980311">
        <w:t xml:space="preserve">is whichever of the following occurs first. A period of 60 days from the date of execution or exchange of contract, or in the case of an </w:t>
      </w:r>
      <w:r w:rsidRPr="00980311">
        <w:rPr>
          <w:i/>
          <w:iCs/>
        </w:rPr>
        <w:t xml:space="preserve">eligible conditional agreement </w:t>
      </w:r>
      <w:r w:rsidRPr="00946802">
        <w:t>the earliest of the following dates:</w:t>
      </w:r>
    </w:p>
    <w:p w:rsidR="00576AF6" w:rsidRPr="00946802" w:rsidRDefault="00576AF6" w:rsidP="00576AF6">
      <w:pPr>
        <w:pStyle w:val="TROBulletText"/>
        <w:spacing w:after="60"/>
      </w:pPr>
      <w:r w:rsidRPr="00946802">
        <w:t>60 days after the date upon which all relevant conditions to the agreement are satisfied;</w:t>
      </w:r>
    </w:p>
    <w:p w:rsidR="00576AF6" w:rsidRPr="00946802" w:rsidRDefault="00576AF6" w:rsidP="00576AF6">
      <w:pPr>
        <w:pStyle w:val="TROBulletText"/>
        <w:spacing w:after="60"/>
      </w:pPr>
      <w:r w:rsidRPr="00946802">
        <w:t xml:space="preserve">60 days from the date of the </w:t>
      </w:r>
      <w:proofErr w:type="spellStart"/>
      <w:r w:rsidRPr="00980311">
        <w:rPr>
          <w:i/>
          <w:iCs/>
        </w:rPr>
        <w:t>conveyee</w:t>
      </w:r>
      <w:proofErr w:type="spellEnd"/>
      <w:r w:rsidRPr="00980311">
        <w:rPr>
          <w:i/>
          <w:iCs/>
        </w:rPr>
        <w:t xml:space="preserve"> </w:t>
      </w:r>
      <w:r w:rsidRPr="00980311">
        <w:t xml:space="preserve">having the right to possession of the property, disregarding any deferment of the </w:t>
      </w:r>
      <w:proofErr w:type="spellStart"/>
      <w:r w:rsidRPr="00980311">
        <w:rPr>
          <w:i/>
          <w:iCs/>
        </w:rPr>
        <w:t>conveyee’s</w:t>
      </w:r>
      <w:proofErr w:type="spellEnd"/>
      <w:r w:rsidRPr="00980311">
        <w:rPr>
          <w:i/>
          <w:iCs/>
        </w:rPr>
        <w:t xml:space="preserve"> </w:t>
      </w:r>
      <w:r w:rsidRPr="00946802">
        <w:t>right to possession due to the leasing of the property;</w:t>
      </w:r>
    </w:p>
    <w:p w:rsidR="00576AF6" w:rsidRPr="00946802" w:rsidRDefault="00576AF6" w:rsidP="00576AF6">
      <w:pPr>
        <w:pStyle w:val="TROBulletText"/>
        <w:spacing w:after="60"/>
      </w:pPr>
      <w:r w:rsidRPr="00946802">
        <w:t xml:space="preserve">the date specified under a written notice by the </w:t>
      </w:r>
      <w:r w:rsidRPr="00980311">
        <w:rPr>
          <w:i/>
          <w:iCs/>
        </w:rPr>
        <w:t xml:space="preserve">Commissioner </w:t>
      </w:r>
      <w:r w:rsidRPr="00946802">
        <w:t>to lodge the agreement;</w:t>
      </w:r>
    </w:p>
    <w:p w:rsidR="00576AF6" w:rsidRPr="00946802" w:rsidRDefault="00576AF6" w:rsidP="00576AF6">
      <w:pPr>
        <w:pStyle w:val="TROBulletText"/>
        <w:spacing w:after="60"/>
      </w:pPr>
      <w:r w:rsidRPr="00946802">
        <w:t xml:space="preserve">where the agreement is an </w:t>
      </w:r>
      <w:r w:rsidRPr="00980311">
        <w:rPr>
          <w:i/>
          <w:iCs/>
        </w:rPr>
        <w:t xml:space="preserve">off-the-plan conditional agreement </w:t>
      </w:r>
      <w:r w:rsidRPr="00980311">
        <w:t xml:space="preserve">or subdivision conditional agreement, 24 months after the date on which the agreement was first </w:t>
      </w:r>
      <w:r w:rsidRPr="00980311">
        <w:rPr>
          <w:i/>
          <w:iCs/>
        </w:rPr>
        <w:t>executed</w:t>
      </w:r>
      <w:r w:rsidRPr="00946802">
        <w:t>; or</w:t>
      </w:r>
    </w:p>
    <w:p w:rsidR="00576AF6" w:rsidRPr="00946802" w:rsidRDefault="00576AF6" w:rsidP="00576AF6">
      <w:pPr>
        <w:pStyle w:val="TROBulletText"/>
      </w:pPr>
      <w:proofErr w:type="gramStart"/>
      <w:r w:rsidRPr="00946802">
        <w:t>in</w:t>
      </w:r>
      <w:proofErr w:type="gramEnd"/>
      <w:r w:rsidRPr="00946802">
        <w:t xml:space="preserve"> all other cases (other than where the property is subject to a subsequent sub</w:t>
      </w:r>
      <w:r>
        <w:t xml:space="preserve"> </w:t>
      </w:r>
      <w:r w:rsidRPr="00946802">
        <w:t xml:space="preserve">sale or a </w:t>
      </w:r>
      <w:r w:rsidRPr="00980311">
        <w:rPr>
          <w:i/>
          <w:iCs/>
        </w:rPr>
        <w:t xml:space="preserve">Conveyance </w:t>
      </w:r>
      <w:r w:rsidRPr="00980311">
        <w:t xml:space="preserve">by direction of the </w:t>
      </w:r>
      <w:proofErr w:type="spellStart"/>
      <w:r w:rsidRPr="00980311">
        <w:rPr>
          <w:i/>
          <w:iCs/>
        </w:rPr>
        <w:t>conveyee</w:t>
      </w:r>
      <w:bookmarkStart w:id="3" w:name="_GoBack"/>
      <w:bookmarkEnd w:id="3"/>
      <w:proofErr w:type="spellEnd"/>
      <w:r w:rsidRPr="00946802">
        <w:t>),</w:t>
      </w:r>
      <w:r w:rsidR="002C51D7">
        <w:t xml:space="preserve"> </w:t>
      </w:r>
      <w:r w:rsidRPr="00946802">
        <w:t xml:space="preserve">12 months after the date on which the agreement was first </w:t>
      </w:r>
      <w:r w:rsidRPr="00790A69">
        <w:rPr>
          <w:i/>
        </w:rPr>
        <w:t>executed</w:t>
      </w:r>
      <w:r w:rsidRPr="00946802">
        <w:t>.</w:t>
      </w:r>
    </w:p>
    <w:p w:rsidR="00576AF6" w:rsidRPr="00980311" w:rsidRDefault="00576AF6" w:rsidP="00576AF6">
      <w:pPr>
        <w:pStyle w:val="TROHeading3"/>
        <w:rPr>
          <w:rFonts w:ascii="ArialMT" w:hAnsi="ArialMT" w:cs="ArialMT"/>
          <w:b w:val="0"/>
          <w:sz w:val="21"/>
          <w:szCs w:val="21"/>
        </w:rPr>
      </w:pPr>
      <w:r w:rsidRPr="00980311">
        <w:rPr>
          <w:b w:val="0"/>
        </w:rPr>
        <w:t>Approved instrument</w:t>
      </w:r>
    </w:p>
    <w:p w:rsidR="00576AF6" w:rsidRPr="00946802" w:rsidRDefault="00576AF6" w:rsidP="00576AF6">
      <w:pPr>
        <w:pStyle w:val="TROBodytext"/>
      </w:pPr>
      <w:proofErr w:type="gramStart"/>
      <w:r w:rsidRPr="00980311">
        <w:t xml:space="preserve">An </w:t>
      </w:r>
      <w:r w:rsidRPr="00980311">
        <w:rPr>
          <w:i/>
          <w:iCs/>
        </w:rPr>
        <w:t xml:space="preserve">instrument </w:t>
      </w:r>
      <w:r w:rsidRPr="00980311">
        <w:t xml:space="preserve">that has been approved by the </w:t>
      </w:r>
      <w:r w:rsidRPr="00980311">
        <w:rPr>
          <w:i/>
          <w:iCs/>
        </w:rPr>
        <w:t xml:space="preserve">Commissioner </w:t>
      </w:r>
      <w:r w:rsidRPr="00980311">
        <w:t xml:space="preserve">for assessment and stamping under the </w:t>
      </w:r>
      <w:r w:rsidRPr="00980311">
        <w:rPr>
          <w:i/>
          <w:iCs/>
        </w:rPr>
        <w:t xml:space="preserve">CBR </w:t>
      </w:r>
      <w:r w:rsidRPr="00946802">
        <w:t>system (see section 5 of this guide).</w:t>
      </w:r>
      <w:proofErr w:type="gramEnd"/>
    </w:p>
    <w:p w:rsidR="00576AF6" w:rsidRPr="00980311" w:rsidRDefault="00576AF6" w:rsidP="00576AF6">
      <w:pPr>
        <w:pStyle w:val="TROHeading3"/>
        <w:rPr>
          <w:rFonts w:ascii="ArialMT" w:hAnsi="ArialMT" w:cs="ArialMT"/>
          <w:b w:val="0"/>
          <w:sz w:val="21"/>
          <w:szCs w:val="21"/>
        </w:rPr>
      </w:pPr>
      <w:r w:rsidRPr="00980311">
        <w:rPr>
          <w:b w:val="0"/>
        </w:rPr>
        <w:t>Approved person</w:t>
      </w:r>
    </w:p>
    <w:p w:rsidR="00576AF6" w:rsidRPr="00946802" w:rsidRDefault="00576AF6" w:rsidP="00576AF6">
      <w:pPr>
        <w:pStyle w:val="TROBodytext"/>
      </w:pPr>
      <w:r w:rsidRPr="00980311">
        <w:t xml:space="preserve">A person approved or required by the </w:t>
      </w:r>
      <w:r w:rsidRPr="00980311">
        <w:rPr>
          <w:i/>
          <w:iCs/>
        </w:rPr>
        <w:t xml:space="preserve">Commissioner </w:t>
      </w:r>
      <w:r w:rsidRPr="00980311">
        <w:t xml:space="preserve">to pay stamp duty on </w:t>
      </w:r>
      <w:r w:rsidRPr="00980311">
        <w:rPr>
          <w:i/>
          <w:iCs/>
        </w:rPr>
        <w:t xml:space="preserve">instruments </w:t>
      </w:r>
      <w:r w:rsidRPr="00946802">
        <w:t>by way of return.</w:t>
      </w:r>
    </w:p>
    <w:p w:rsidR="00576AF6" w:rsidRPr="00980311" w:rsidRDefault="00576AF6" w:rsidP="00576AF6">
      <w:pPr>
        <w:pStyle w:val="TROHeading3"/>
        <w:rPr>
          <w:rFonts w:ascii="ArialMT" w:hAnsi="ArialMT" w:cs="ArialMT"/>
          <w:b w:val="0"/>
          <w:sz w:val="21"/>
          <w:szCs w:val="21"/>
        </w:rPr>
      </w:pPr>
      <w:r w:rsidRPr="00980311">
        <w:rPr>
          <w:b w:val="0"/>
        </w:rPr>
        <w:t>CBR Online</w:t>
      </w:r>
    </w:p>
    <w:p w:rsidR="00576AF6" w:rsidRPr="00980311" w:rsidRDefault="00576AF6" w:rsidP="00576AF6">
      <w:pPr>
        <w:pStyle w:val="TROBodytext"/>
        <w:rPr>
          <w:i/>
          <w:iCs/>
        </w:rPr>
      </w:pPr>
      <w:r w:rsidRPr="00980311">
        <w:rPr>
          <w:i/>
          <w:iCs/>
        </w:rPr>
        <w:t xml:space="preserve">Conveyance </w:t>
      </w:r>
      <w:proofErr w:type="gramStart"/>
      <w:r w:rsidRPr="00980311">
        <w:t>By</w:t>
      </w:r>
      <w:proofErr w:type="gramEnd"/>
      <w:r w:rsidRPr="00980311">
        <w:t xml:space="preserve"> Return Online, the electronic program under which </w:t>
      </w:r>
      <w:r w:rsidRPr="00980311">
        <w:rPr>
          <w:i/>
          <w:iCs/>
        </w:rPr>
        <w:t xml:space="preserve">approved persons </w:t>
      </w:r>
      <w:r w:rsidRPr="00946802">
        <w:t xml:space="preserve">assess stamp duty on </w:t>
      </w:r>
      <w:r w:rsidRPr="00980311">
        <w:rPr>
          <w:i/>
          <w:iCs/>
        </w:rPr>
        <w:t>approved instruments.</w:t>
      </w:r>
      <w:r w:rsidR="00227296">
        <w:rPr>
          <w:i/>
          <w:iCs/>
        </w:rPr>
        <w:t xml:space="preserve"> </w:t>
      </w:r>
      <w:r w:rsidR="00227296" w:rsidRPr="000B2EB0">
        <w:rPr>
          <w:iCs/>
        </w:rPr>
        <w:t xml:space="preserve">Access to </w:t>
      </w:r>
      <w:r w:rsidR="00227296" w:rsidRPr="00403730">
        <w:rPr>
          <w:i/>
          <w:iCs/>
        </w:rPr>
        <w:t>CBR Online</w:t>
      </w:r>
      <w:r w:rsidR="00227296" w:rsidRPr="000B2EB0">
        <w:rPr>
          <w:iCs/>
        </w:rPr>
        <w:t xml:space="preserve"> is through the Integrated Revenue Application (INTRA) system.</w:t>
      </w:r>
    </w:p>
    <w:p w:rsidR="00576AF6" w:rsidRPr="00980311" w:rsidRDefault="00576AF6" w:rsidP="00576AF6">
      <w:pPr>
        <w:pStyle w:val="TROHeading3"/>
        <w:rPr>
          <w:rFonts w:ascii="ArialMT" w:hAnsi="ArialMT" w:cs="ArialMT"/>
          <w:b w:val="0"/>
          <w:sz w:val="21"/>
          <w:szCs w:val="21"/>
        </w:rPr>
      </w:pPr>
      <w:r w:rsidRPr="00980311">
        <w:rPr>
          <w:b w:val="0"/>
        </w:rPr>
        <w:t>CEO (Housing)</w:t>
      </w:r>
    </w:p>
    <w:p w:rsidR="00576AF6" w:rsidRPr="00946802" w:rsidRDefault="00576AF6" w:rsidP="00576AF6">
      <w:pPr>
        <w:pStyle w:val="TROBodytext"/>
      </w:pPr>
      <w:proofErr w:type="gramStart"/>
      <w:r w:rsidRPr="00946802">
        <w:t>The Chief Executive Officer (Housing).</w:t>
      </w:r>
      <w:proofErr w:type="gramEnd"/>
    </w:p>
    <w:p w:rsidR="00576AF6" w:rsidRPr="00980311" w:rsidRDefault="00576AF6" w:rsidP="00576AF6">
      <w:pPr>
        <w:pStyle w:val="TROHeading3"/>
        <w:rPr>
          <w:rFonts w:ascii="ArialMT" w:hAnsi="ArialMT" w:cs="ArialMT"/>
          <w:b w:val="0"/>
          <w:sz w:val="21"/>
          <w:szCs w:val="21"/>
        </w:rPr>
      </w:pPr>
      <w:r w:rsidRPr="00980311">
        <w:rPr>
          <w:b w:val="0"/>
        </w:rPr>
        <w:t>Commissioner</w:t>
      </w:r>
    </w:p>
    <w:p w:rsidR="00576AF6" w:rsidRPr="00980311" w:rsidRDefault="00576AF6" w:rsidP="00576AF6">
      <w:pPr>
        <w:pStyle w:val="TROBodytext"/>
        <w:rPr>
          <w:i/>
          <w:iCs/>
        </w:rPr>
      </w:pPr>
      <w:r w:rsidRPr="00980311">
        <w:t>The Commissioner of Territory Revenue as set out in the definition of ‘</w:t>
      </w:r>
      <w:r w:rsidRPr="00980311">
        <w:rPr>
          <w:i/>
          <w:iCs/>
        </w:rPr>
        <w:t xml:space="preserve">Commissioner’ </w:t>
      </w:r>
      <w:r w:rsidRPr="00946802">
        <w:t xml:space="preserve">in section 3(1) of the </w:t>
      </w:r>
      <w:r w:rsidRPr="00980311">
        <w:rPr>
          <w:i/>
          <w:iCs/>
        </w:rPr>
        <w:t>Taxation Administration Act.</w:t>
      </w:r>
    </w:p>
    <w:p w:rsidR="00576AF6" w:rsidRPr="00980311" w:rsidRDefault="00576AF6" w:rsidP="00576AF6">
      <w:pPr>
        <w:pStyle w:val="TROHeading3"/>
        <w:rPr>
          <w:rFonts w:ascii="ArialMT" w:hAnsi="ArialMT" w:cs="ArialMT"/>
          <w:b w:val="0"/>
          <w:sz w:val="21"/>
          <w:szCs w:val="21"/>
        </w:rPr>
      </w:pPr>
      <w:r w:rsidRPr="00980311">
        <w:rPr>
          <w:b w:val="0"/>
        </w:rPr>
        <w:t>Conveyance</w:t>
      </w:r>
    </w:p>
    <w:p w:rsidR="00576AF6" w:rsidRPr="00946802" w:rsidRDefault="00576AF6" w:rsidP="00576AF6">
      <w:pPr>
        <w:pStyle w:val="TROBodytext"/>
      </w:pPr>
      <w:r w:rsidRPr="00980311">
        <w:t xml:space="preserve">Includes the grant of property (but not the grant of a lease other than a Convertible Crown lease or the grant of a patent), the transfer or assignment of property; the vesting of property in, or the accrual of property to a person, the foreclosure of a mortgagor’s equity of redemption in mortgaged property, an agreement to make a </w:t>
      </w:r>
      <w:r w:rsidRPr="00980311">
        <w:rPr>
          <w:i/>
          <w:iCs/>
        </w:rPr>
        <w:t>conveyance</w:t>
      </w:r>
      <w:r w:rsidRPr="00980311">
        <w:t xml:space="preserve">, a transaction that is taken to be, or treated as, a </w:t>
      </w:r>
      <w:r w:rsidRPr="00980311">
        <w:rPr>
          <w:i/>
          <w:iCs/>
        </w:rPr>
        <w:t xml:space="preserve">conveyance </w:t>
      </w:r>
      <w:r w:rsidRPr="00980311">
        <w:t xml:space="preserve">under the </w:t>
      </w:r>
      <w:r w:rsidRPr="00980311">
        <w:rPr>
          <w:i/>
          <w:iCs/>
        </w:rPr>
        <w:t>Stamp Duty Act</w:t>
      </w:r>
      <w:r w:rsidRPr="00980311">
        <w:t xml:space="preserve">, an </w:t>
      </w:r>
      <w:r w:rsidRPr="00980311">
        <w:rPr>
          <w:i/>
          <w:iCs/>
        </w:rPr>
        <w:t xml:space="preserve">instrument </w:t>
      </w:r>
      <w:r w:rsidRPr="00980311">
        <w:t xml:space="preserve">effecting or evidencing a </w:t>
      </w:r>
      <w:r w:rsidRPr="00980311">
        <w:rPr>
          <w:i/>
          <w:iCs/>
        </w:rPr>
        <w:t xml:space="preserve">conveyance </w:t>
      </w:r>
      <w:r w:rsidRPr="00980311">
        <w:t xml:space="preserve">(including a decree, judgment or order of a court) and an </w:t>
      </w:r>
      <w:r w:rsidRPr="00980311">
        <w:rPr>
          <w:i/>
          <w:iCs/>
        </w:rPr>
        <w:t>instrument</w:t>
      </w:r>
      <w:r w:rsidRPr="00980311">
        <w:t xml:space="preserve">, agreement, transaction or arrangement that would operate as a </w:t>
      </w:r>
      <w:r w:rsidRPr="00980311">
        <w:rPr>
          <w:i/>
          <w:iCs/>
        </w:rPr>
        <w:t xml:space="preserve">conveyance </w:t>
      </w:r>
      <w:r w:rsidRPr="00946802">
        <w:t>but for a statutory condition requiring Ministerial approval or registration.</w:t>
      </w:r>
    </w:p>
    <w:p w:rsidR="00576AF6" w:rsidRPr="00980311" w:rsidRDefault="00576AF6" w:rsidP="00576AF6">
      <w:pPr>
        <w:pStyle w:val="TROHeading3"/>
        <w:rPr>
          <w:rFonts w:ascii="ArialMT" w:hAnsi="ArialMT" w:cs="ArialMT"/>
          <w:b w:val="0"/>
          <w:sz w:val="21"/>
          <w:szCs w:val="21"/>
        </w:rPr>
      </w:pPr>
      <w:proofErr w:type="spellStart"/>
      <w:r w:rsidRPr="00980311">
        <w:rPr>
          <w:b w:val="0"/>
        </w:rPr>
        <w:t>Conveyee</w:t>
      </w:r>
      <w:proofErr w:type="spellEnd"/>
    </w:p>
    <w:p w:rsidR="00576AF6" w:rsidRPr="00946802" w:rsidRDefault="00576AF6" w:rsidP="00576AF6">
      <w:pPr>
        <w:pStyle w:val="TROBodytext"/>
      </w:pPr>
      <w:r w:rsidRPr="00980311">
        <w:t xml:space="preserve">A </w:t>
      </w:r>
      <w:proofErr w:type="gramStart"/>
      <w:r w:rsidRPr="00980311">
        <w:t>person</w:t>
      </w:r>
      <w:proofErr w:type="gramEnd"/>
      <w:r w:rsidRPr="00980311">
        <w:t xml:space="preserve"> to whom property is granted, transferred or assigned, in whom property is vested, or to whom property accrues under a </w:t>
      </w:r>
      <w:r w:rsidRPr="00980311">
        <w:rPr>
          <w:i/>
          <w:iCs/>
        </w:rPr>
        <w:t>Conveyance</w:t>
      </w:r>
      <w:r w:rsidRPr="00946802">
        <w:t>.</w:t>
      </w:r>
    </w:p>
    <w:p w:rsidR="00576AF6" w:rsidRPr="00980311" w:rsidRDefault="00576AF6" w:rsidP="00576AF6">
      <w:pPr>
        <w:pStyle w:val="TROHeading3"/>
        <w:rPr>
          <w:rFonts w:ascii="Arial-ItalicMT" w:hAnsi="Arial-ItalicMT" w:cs="Arial-ItalicMT"/>
          <w:b w:val="0"/>
          <w:i/>
          <w:iCs/>
          <w:sz w:val="21"/>
          <w:szCs w:val="21"/>
        </w:rPr>
      </w:pPr>
      <w:r w:rsidRPr="00980311">
        <w:rPr>
          <w:b w:val="0"/>
        </w:rPr>
        <w:t xml:space="preserve">Dutiable </w:t>
      </w:r>
      <w:r>
        <w:rPr>
          <w:b w:val="0"/>
        </w:rPr>
        <w:t>p</w:t>
      </w:r>
      <w:r w:rsidRPr="00980311">
        <w:rPr>
          <w:b w:val="0"/>
        </w:rPr>
        <w:t>roperty</w:t>
      </w:r>
    </w:p>
    <w:p w:rsidR="00576AF6" w:rsidRPr="00946802" w:rsidRDefault="00576AF6" w:rsidP="00576AF6">
      <w:pPr>
        <w:pStyle w:val="TROBulletText"/>
        <w:spacing w:after="60"/>
      </w:pPr>
      <w:r w:rsidRPr="00980311">
        <w:t>land</w:t>
      </w:r>
      <w:r w:rsidRPr="00946802">
        <w:t>;</w:t>
      </w:r>
    </w:p>
    <w:p w:rsidR="00576AF6" w:rsidRPr="00946802" w:rsidRDefault="00576AF6" w:rsidP="00576AF6">
      <w:pPr>
        <w:pStyle w:val="TROBulletText"/>
        <w:spacing w:after="60"/>
      </w:pPr>
      <w:r w:rsidRPr="00946802">
        <w:lastRenderedPageBreak/>
        <w:t xml:space="preserve">the goodwill of a business undertaking carried on or to be carried on in the Territory, or in the Territory and elsewhere, including any restraint of trade arrangement which, in the opinion of the </w:t>
      </w:r>
      <w:r w:rsidRPr="00980311">
        <w:t>Commissioner</w:t>
      </w:r>
      <w:r w:rsidRPr="00946802">
        <w:t>, enhances or is likely to enhance the value of the business;</w:t>
      </w:r>
    </w:p>
    <w:p w:rsidR="00576AF6" w:rsidRPr="00946802" w:rsidRDefault="00576AF6" w:rsidP="00576AF6">
      <w:pPr>
        <w:pStyle w:val="TROBulletText"/>
        <w:spacing w:after="60"/>
      </w:pPr>
      <w:r>
        <w:t>a</w:t>
      </w:r>
      <w:r w:rsidRPr="00946802">
        <w:t xml:space="preserve"> right to use in the Territory a business name, trading name or trade mark that is used in connection with such a business undertaking;</w:t>
      </w:r>
    </w:p>
    <w:p w:rsidR="00576AF6" w:rsidRPr="00946802" w:rsidRDefault="00576AF6" w:rsidP="00576AF6">
      <w:pPr>
        <w:pStyle w:val="TROBulletText"/>
        <w:spacing w:after="60"/>
      </w:pPr>
      <w:r>
        <w:t>a</w:t>
      </w:r>
      <w:r w:rsidRPr="00946802">
        <w:t xml:space="preserve"> right to use in the Territory a thing, system or process that is used in connection with such a business undertaking and is the subject of a patent, a registered design or copyright, or a right to use an adaptation or modification of such a thing, system or process;</w:t>
      </w:r>
    </w:p>
    <w:p w:rsidR="00576AF6" w:rsidRPr="00946802" w:rsidRDefault="00576AF6" w:rsidP="00576AF6">
      <w:pPr>
        <w:pStyle w:val="TROBulletText"/>
        <w:spacing w:after="60"/>
      </w:pPr>
      <w:r>
        <w:t>a</w:t>
      </w:r>
      <w:r w:rsidRPr="00946802">
        <w:t xml:space="preserve"> right to use in the Territory information or technical knowledge connected with such a business undertaking;</w:t>
      </w:r>
    </w:p>
    <w:p w:rsidR="00576AF6" w:rsidRPr="00946802" w:rsidRDefault="00576AF6" w:rsidP="00576AF6">
      <w:pPr>
        <w:pStyle w:val="TROBulletText"/>
        <w:spacing w:after="60"/>
      </w:pPr>
      <w:r>
        <w:t>a</w:t>
      </w:r>
      <w:r w:rsidRPr="00946802">
        <w:t xml:space="preserve"> patent, a registered design or a copyright;</w:t>
      </w:r>
    </w:p>
    <w:p w:rsidR="00576AF6" w:rsidRPr="00946802" w:rsidRDefault="00576AF6" w:rsidP="00576AF6">
      <w:pPr>
        <w:pStyle w:val="TROBulletText"/>
        <w:spacing w:after="60"/>
      </w:pPr>
      <w:r>
        <w:t>a</w:t>
      </w:r>
      <w:r w:rsidRPr="00946802">
        <w:t xml:space="preserve"> statutory licence or permission (Territory or Commonwealth) used in or in connection with such a business under-taking, including a licence or permission surrendered or relinquished or for which an application for renewal is not made and the licence or permission, or a similar licence or permission, is given, granted or issued to another person where, in the opinion of the </w:t>
      </w:r>
      <w:r w:rsidRPr="00980311">
        <w:t>Commissioner</w:t>
      </w:r>
      <w:r w:rsidRPr="00946802">
        <w:t>, the giving, grant or issue amounts to or has the same effect as a transfer of the licence or permission;</w:t>
      </w:r>
    </w:p>
    <w:p w:rsidR="00576AF6" w:rsidRPr="00980311" w:rsidRDefault="00576AF6" w:rsidP="00576AF6">
      <w:pPr>
        <w:pStyle w:val="TROBulletText"/>
        <w:spacing w:after="60"/>
      </w:pPr>
      <w:r>
        <w:t>a</w:t>
      </w:r>
      <w:r w:rsidRPr="00946802">
        <w:t xml:space="preserve">n option to purchase </w:t>
      </w:r>
      <w:r w:rsidRPr="00980311">
        <w:t xml:space="preserve">dutiable property </w:t>
      </w:r>
      <w:r w:rsidRPr="00946802">
        <w:t xml:space="preserve">or an interest in </w:t>
      </w:r>
      <w:r w:rsidRPr="00980311">
        <w:t>dutiable property;</w:t>
      </w:r>
    </w:p>
    <w:p w:rsidR="00576AF6" w:rsidRPr="00946802" w:rsidRDefault="00576AF6" w:rsidP="00576AF6">
      <w:pPr>
        <w:pStyle w:val="TROBulletText"/>
        <w:spacing w:after="60"/>
      </w:pPr>
      <w:r>
        <w:t>c</w:t>
      </w:r>
      <w:r w:rsidRPr="00980311">
        <w:t xml:space="preserve">hattels, if part of a transaction in which other dutiable property </w:t>
      </w:r>
      <w:r w:rsidRPr="00946802">
        <w:t>is conveyed, acquired or created or the beneficial ownership is changed, other than:</w:t>
      </w:r>
    </w:p>
    <w:p w:rsidR="00576AF6" w:rsidRPr="00946802" w:rsidRDefault="00576AF6" w:rsidP="00576AF6">
      <w:pPr>
        <w:pStyle w:val="TRODashedText"/>
        <w:spacing w:after="60"/>
      </w:pPr>
      <w:r w:rsidRPr="00946802">
        <w:t>goods, wares or merchandise that are stock-in-trade;</w:t>
      </w:r>
    </w:p>
    <w:p w:rsidR="00576AF6" w:rsidRPr="00946802" w:rsidRDefault="00576AF6" w:rsidP="00576AF6">
      <w:pPr>
        <w:pStyle w:val="TRODashedText"/>
        <w:spacing w:after="60"/>
      </w:pPr>
      <w:r w:rsidRPr="00946802">
        <w:t>materials held for use in manufacture;</w:t>
      </w:r>
    </w:p>
    <w:p w:rsidR="00576AF6" w:rsidRPr="00946802" w:rsidRDefault="00576AF6" w:rsidP="00576AF6">
      <w:pPr>
        <w:pStyle w:val="TRODashedText"/>
        <w:spacing w:after="60"/>
      </w:pPr>
      <w:r w:rsidRPr="00946802">
        <w:t>goods under manufacture;</w:t>
      </w:r>
    </w:p>
    <w:p w:rsidR="00576AF6" w:rsidRPr="00946802" w:rsidRDefault="00576AF6" w:rsidP="00576AF6">
      <w:pPr>
        <w:pStyle w:val="TRODashedText"/>
        <w:spacing w:after="60"/>
      </w:pPr>
      <w:r w:rsidRPr="00946802">
        <w:t>livestock;</w:t>
      </w:r>
    </w:p>
    <w:p w:rsidR="00576AF6" w:rsidRPr="00946802" w:rsidRDefault="00576AF6" w:rsidP="00576AF6">
      <w:pPr>
        <w:pStyle w:val="TRODashedText"/>
        <w:spacing w:after="60"/>
      </w:pPr>
      <w:r w:rsidRPr="00946802">
        <w:t xml:space="preserve">any motor vehicle in respect of which a motor vehicle certificate of registration is or will, in the opinion of the </w:t>
      </w:r>
      <w:r w:rsidRPr="00980311">
        <w:rPr>
          <w:i/>
          <w:iCs/>
        </w:rPr>
        <w:t>Commissioner</w:t>
      </w:r>
      <w:r w:rsidRPr="00980311">
        <w:t xml:space="preserve">, be issued to the </w:t>
      </w:r>
      <w:proofErr w:type="spellStart"/>
      <w:r w:rsidRPr="00980311">
        <w:rPr>
          <w:i/>
          <w:iCs/>
        </w:rPr>
        <w:t>conveyee</w:t>
      </w:r>
      <w:proofErr w:type="spellEnd"/>
      <w:r w:rsidRPr="00946802">
        <w:t>;</w:t>
      </w:r>
    </w:p>
    <w:p w:rsidR="00576AF6" w:rsidRPr="00946802" w:rsidRDefault="00576AF6" w:rsidP="00576AF6">
      <w:pPr>
        <w:pStyle w:val="TRODashedText"/>
        <w:spacing w:after="60"/>
      </w:pPr>
      <w:r w:rsidRPr="00946802">
        <w:t>cash or money in an account at call; or</w:t>
      </w:r>
    </w:p>
    <w:p w:rsidR="00576AF6" w:rsidRPr="00946802" w:rsidRDefault="00576AF6" w:rsidP="00576AF6">
      <w:pPr>
        <w:pStyle w:val="TRODashedText"/>
        <w:spacing w:after="60"/>
      </w:pPr>
      <w:r w:rsidRPr="00946802">
        <w:t>negotiable instruments, and money on deposit with any person; and</w:t>
      </w:r>
    </w:p>
    <w:p w:rsidR="00576AF6" w:rsidRPr="00980311" w:rsidRDefault="00576AF6" w:rsidP="00576AF6">
      <w:pPr>
        <w:pStyle w:val="TROBulletText"/>
        <w:rPr>
          <w:i/>
          <w:iCs/>
        </w:rPr>
      </w:pPr>
      <w:proofErr w:type="gramStart"/>
      <w:r w:rsidRPr="00946802">
        <w:t>includes</w:t>
      </w:r>
      <w:proofErr w:type="gramEnd"/>
      <w:r w:rsidRPr="00946802">
        <w:t xml:space="preserve"> an estate or interest (which may be a partnership interest) in </w:t>
      </w:r>
      <w:r w:rsidRPr="00980311">
        <w:rPr>
          <w:i/>
          <w:iCs/>
        </w:rPr>
        <w:t>dutiable property.</w:t>
      </w:r>
    </w:p>
    <w:p w:rsidR="00576AF6" w:rsidRPr="00980311" w:rsidRDefault="00576AF6" w:rsidP="00576AF6">
      <w:pPr>
        <w:pStyle w:val="TROHeading3"/>
        <w:rPr>
          <w:rFonts w:ascii="ArialMT" w:hAnsi="ArialMT" w:cs="ArialMT"/>
          <w:b w:val="0"/>
          <w:sz w:val="21"/>
          <w:szCs w:val="21"/>
        </w:rPr>
      </w:pPr>
      <w:r w:rsidRPr="00980311">
        <w:rPr>
          <w:b w:val="0"/>
        </w:rPr>
        <w:t>Eligible conditional agreement</w:t>
      </w:r>
    </w:p>
    <w:p w:rsidR="00576AF6" w:rsidRPr="00980311" w:rsidRDefault="00576AF6" w:rsidP="00576AF6">
      <w:pPr>
        <w:pStyle w:val="TROBodytext"/>
        <w:rPr>
          <w:i/>
          <w:iCs/>
        </w:rPr>
      </w:pPr>
      <w:r w:rsidRPr="00946802">
        <w:t xml:space="preserve">Has the same meaning as that given to it in Commissioner’s Guideline CG-SD-002: </w:t>
      </w:r>
      <w:r w:rsidRPr="00980311">
        <w:rPr>
          <w:i/>
          <w:iCs/>
        </w:rPr>
        <w:t>Eligible conditional agreements – extension of time to lodge instrument and pay duty.</w:t>
      </w:r>
    </w:p>
    <w:p w:rsidR="00576AF6" w:rsidRPr="00980311" w:rsidRDefault="00576AF6" w:rsidP="00576AF6">
      <w:pPr>
        <w:pStyle w:val="TROHeading3"/>
        <w:rPr>
          <w:b w:val="0"/>
          <w:bCs w:val="0"/>
        </w:rPr>
      </w:pPr>
      <w:r w:rsidRPr="00980311">
        <w:rPr>
          <w:b w:val="0"/>
          <w:bCs w:val="0"/>
        </w:rPr>
        <w:t>Execute</w:t>
      </w:r>
    </w:p>
    <w:p w:rsidR="00576AF6" w:rsidRPr="00946802" w:rsidRDefault="00576AF6" w:rsidP="00576AF6">
      <w:pPr>
        <w:pStyle w:val="TROBodytext"/>
      </w:pPr>
      <w:r w:rsidRPr="00980311">
        <w:t xml:space="preserve">In relation to an </w:t>
      </w:r>
      <w:r w:rsidRPr="00980311">
        <w:rPr>
          <w:i/>
          <w:iCs/>
        </w:rPr>
        <w:t>instrument</w:t>
      </w:r>
      <w:r w:rsidRPr="00980311">
        <w:t xml:space="preserve">, means sign the </w:t>
      </w:r>
      <w:r w:rsidRPr="00980311">
        <w:rPr>
          <w:i/>
          <w:iCs/>
        </w:rPr>
        <w:t xml:space="preserve">instrument </w:t>
      </w:r>
      <w:r w:rsidRPr="00980311">
        <w:t xml:space="preserve">and, if the </w:t>
      </w:r>
      <w:r w:rsidRPr="00980311">
        <w:rPr>
          <w:i/>
          <w:iCs/>
        </w:rPr>
        <w:t xml:space="preserve">instrument </w:t>
      </w:r>
      <w:r w:rsidRPr="00980311">
        <w:t xml:space="preserve">is under seal, sign and seal the </w:t>
      </w:r>
      <w:r w:rsidRPr="00980311">
        <w:rPr>
          <w:i/>
          <w:iCs/>
        </w:rPr>
        <w:t>instrument</w:t>
      </w:r>
      <w:r w:rsidRPr="00946802">
        <w:t>.</w:t>
      </w:r>
    </w:p>
    <w:p w:rsidR="002C51D7" w:rsidRPr="002C51D7" w:rsidRDefault="002C51D7" w:rsidP="00576AF6">
      <w:pPr>
        <w:pStyle w:val="TROHeading3"/>
        <w:rPr>
          <w:b w:val="0"/>
          <w:bCs w:val="0"/>
        </w:rPr>
      </w:pPr>
      <w:r w:rsidRPr="002C51D7">
        <w:rPr>
          <w:b w:val="0"/>
          <w:bCs w:val="0"/>
        </w:rPr>
        <w:t>First Home Owner Discount</w:t>
      </w:r>
    </w:p>
    <w:p w:rsidR="002C51D7" w:rsidRPr="002C51D7" w:rsidRDefault="002C51D7" w:rsidP="002C51D7">
      <w:pPr>
        <w:pStyle w:val="TROHeading3"/>
        <w:spacing w:before="0" w:after="120" w:line="300" w:lineRule="atLeast"/>
        <w:rPr>
          <w:b w:val="0"/>
          <w:bCs w:val="0"/>
        </w:rPr>
      </w:pPr>
      <w:r>
        <w:rPr>
          <w:b w:val="0"/>
          <w:bCs w:val="0"/>
        </w:rPr>
        <w:t>A stamp duty discount on the purchase of an established home by first home buyers.</w:t>
      </w:r>
    </w:p>
    <w:p w:rsidR="00576AF6" w:rsidRPr="00980311" w:rsidRDefault="00576AF6" w:rsidP="00576AF6">
      <w:pPr>
        <w:pStyle w:val="TROHeading3"/>
        <w:rPr>
          <w:rFonts w:ascii="ArialMT" w:hAnsi="ArialMT" w:cs="ArialMT"/>
          <w:b w:val="0"/>
          <w:sz w:val="21"/>
          <w:szCs w:val="21"/>
        </w:rPr>
      </w:pPr>
      <w:r w:rsidRPr="00980311">
        <w:rPr>
          <w:b w:val="0"/>
        </w:rPr>
        <w:t>Instrument</w:t>
      </w:r>
    </w:p>
    <w:p w:rsidR="00576AF6" w:rsidRPr="00946802" w:rsidRDefault="00576AF6" w:rsidP="00576AF6">
      <w:pPr>
        <w:pStyle w:val="TROBodytext"/>
      </w:pPr>
      <w:proofErr w:type="gramStart"/>
      <w:r w:rsidRPr="00980311">
        <w:t>A contract of sale</w:t>
      </w:r>
      <w:r w:rsidR="005B68F6">
        <w:t xml:space="preserve"> and</w:t>
      </w:r>
      <w:r w:rsidRPr="00980311">
        <w:t xml:space="preserve"> a transfer of </w:t>
      </w:r>
      <w:r w:rsidRPr="00980311">
        <w:rPr>
          <w:i/>
          <w:iCs/>
        </w:rPr>
        <w:t>land</w:t>
      </w:r>
      <w:r w:rsidR="005B68F6">
        <w:rPr>
          <w:iCs/>
        </w:rPr>
        <w:t>.</w:t>
      </w:r>
      <w:proofErr w:type="gramEnd"/>
    </w:p>
    <w:p w:rsidR="00576AF6" w:rsidRPr="00980311" w:rsidRDefault="00576AF6" w:rsidP="00576AF6">
      <w:pPr>
        <w:pStyle w:val="TROHeading3"/>
        <w:rPr>
          <w:rFonts w:ascii="ArialMT" w:hAnsi="ArialMT" w:cs="ArialMT"/>
          <w:b w:val="0"/>
          <w:sz w:val="21"/>
          <w:szCs w:val="21"/>
        </w:rPr>
      </w:pPr>
      <w:r w:rsidRPr="00980311">
        <w:rPr>
          <w:b w:val="0"/>
        </w:rPr>
        <w:t>Land</w:t>
      </w:r>
    </w:p>
    <w:p w:rsidR="00576AF6" w:rsidRPr="00946802" w:rsidRDefault="00576AF6" w:rsidP="00576AF6">
      <w:pPr>
        <w:pStyle w:val="TROBodytext"/>
        <w:spacing w:after="60"/>
      </w:pPr>
      <w:r>
        <w:t>Refers to</w:t>
      </w:r>
      <w:r w:rsidRPr="00980311">
        <w:t xml:space="preserve"> </w:t>
      </w:r>
      <w:r w:rsidRPr="00980311">
        <w:rPr>
          <w:i/>
          <w:iCs/>
        </w:rPr>
        <w:t xml:space="preserve">land </w:t>
      </w:r>
      <w:r w:rsidRPr="00946802">
        <w:t>in the Territory and includes:</w:t>
      </w:r>
    </w:p>
    <w:p w:rsidR="00576AF6" w:rsidRPr="00946802" w:rsidRDefault="00576AF6" w:rsidP="00576AF6">
      <w:pPr>
        <w:pStyle w:val="TROBulletText"/>
        <w:spacing w:after="60"/>
      </w:pPr>
      <w:r w:rsidRPr="00946802">
        <w:t xml:space="preserve">an estate or interest in </w:t>
      </w:r>
      <w:r w:rsidRPr="00980311">
        <w:rPr>
          <w:i/>
          <w:iCs/>
        </w:rPr>
        <w:t>land</w:t>
      </w:r>
      <w:r w:rsidRPr="00946802">
        <w:t>; and</w:t>
      </w:r>
    </w:p>
    <w:p w:rsidR="00576AF6" w:rsidRPr="00946802" w:rsidRDefault="00576AF6" w:rsidP="00576AF6">
      <w:pPr>
        <w:pStyle w:val="TROBulletText"/>
        <w:spacing w:after="60"/>
      </w:pPr>
      <w:r w:rsidRPr="00946802">
        <w:t xml:space="preserve">a lease of </w:t>
      </w:r>
      <w:r w:rsidRPr="00980311">
        <w:rPr>
          <w:i/>
          <w:iCs/>
        </w:rPr>
        <w:t xml:space="preserve">land </w:t>
      </w:r>
      <w:r w:rsidRPr="00980311">
        <w:t xml:space="preserve">or mining tenement (or an interest in a lease of </w:t>
      </w:r>
      <w:r w:rsidRPr="00980311">
        <w:rPr>
          <w:i/>
          <w:iCs/>
        </w:rPr>
        <w:t xml:space="preserve">land </w:t>
      </w:r>
      <w:r w:rsidRPr="00946802">
        <w:t>or mining tenement); and</w:t>
      </w:r>
    </w:p>
    <w:p w:rsidR="00576AF6" w:rsidRPr="00946802" w:rsidRDefault="00576AF6" w:rsidP="00576AF6">
      <w:pPr>
        <w:pStyle w:val="TROBulletText"/>
      </w:pPr>
      <w:proofErr w:type="gramStart"/>
      <w:r w:rsidRPr="00946802">
        <w:lastRenderedPageBreak/>
        <w:t>a</w:t>
      </w:r>
      <w:proofErr w:type="gramEnd"/>
      <w:r w:rsidRPr="00946802">
        <w:t xml:space="preserve"> fixture to </w:t>
      </w:r>
      <w:r w:rsidRPr="00980311">
        <w:rPr>
          <w:i/>
          <w:iCs/>
        </w:rPr>
        <w:t xml:space="preserve">land </w:t>
      </w:r>
      <w:r w:rsidRPr="00980311">
        <w:t xml:space="preserve">(including a tenant’s fixture or a fixture associated with mining operations conducted, or formerly conducted, on the </w:t>
      </w:r>
      <w:r w:rsidRPr="00980311">
        <w:rPr>
          <w:i/>
          <w:iCs/>
        </w:rPr>
        <w:t>land</w:t>
      </w:r>
      <w:r w:rsidRPr="00946802">
        <w:t>).</w:t>
      </w:r>
    </w:p>
    <w:p w:rsidR="00576AF6" w:rsidRPr="00946802" w:rsidRDefault="00576AF6" w:rsidP="00576AF6">
      <w:pPr>
        <w:pStyle w:val="TROHeading3"/>
        <w:rPr>
          <w:rFonts w:ascii="ArialMT" w:hAnsi="ArialMT" w:cs="ArialMT"/>
          <w:sz w:val="21"/>
          <w:szCs w:val="21"/>
        </w:rPr>
      </w:pPr>
      <w:r w:rsidRPr="00980311">
        <w:rPr>
          <w:b w:val="0"/>
        </w:rPr>
        <w:t>Nominee</w:t>
      </w:r>
    </w:p>
    <w:p w:rsidR="00576AF6" w:rsidRPr="00946802" w:rsidRDefault="00576AF6" w:rsidP="00576AF6">
      <w:pPr>
        <w:pStyle w:val="TROBodytext"/>
      </w:pPr>
      <w:r w:rsidRPr="00946802">
        <w:t>The person to whom the property is being transferred where the contract has been signed by an agent, on behalf of this person, and this person is named in the contract as the purchaser.</w:t>
      </w:r>
    </w:p>
    <w:p w:rsidR="00576AF6" w:rsidRPr="00980311" w:rsidRDefault="00576AF6" w:rsidP="00576AF6">
      <w:pPr>
        <w:pStyle w:val="TROHeading3"/>
        <w:rPr>
          <w:rFonts w:ascii="ArialMT" w:hAnsi="ArialMT" w:cs="ArialMT"/>
          <w:b w:val="0"/>
          <w:sz w:val="21"/>
          <w:szCs w:val="21"/>
        </w:rPr>
      </w:pPr>
      <w:r w:rsidRPr="00980311">
        <w:rPr>
          <w:b w:val="0"/>
        </w:rPr>
        <w:t>Off-the-plan conditional agreement</w:t>
      </w:r>
    </w:p>
    <w:p w:rsidR="00576AF6" w:rsidRPr="00980311" w:rsidRDefault="00576AF6" w:rsidP="00576AF6">
      <w:pPr>
        <w:pStyle w:val="TROBodytext"/>
        <w:rPr>
          <w:i/>
          <w:iCs/>
        </w:rPr>
      </w:pPr>
      <w:r w:rsidRPr="00946802">
        <w:t xml:space="preserve">Has the same meaning as that given to it in Commissioner’s Guideline CG-SD-002: </w:t>
      </w:r>
      <w:r w:rsidRPr="00980311">
        <w:rPr>
          <w:i/>
          <w:iCs/>
        </w:rPr>
        <w:t>Eligible conditional agreements extension of time to lodge instrument and pay duty.</w:t>
      </w:r>
    </w:p>
    <w:p w:rsidR="00576AF6" w:rsidRPr="00980311" w:rsidRDefault="00576AF6" w:rsidP="00576AF6">
      <w:pPr>
        <w:pStyle w:val="TROHeading3"/>
        <w:rPr>
          <w:rFonts w:ascii="ArialMT" w:hAnsi="ArialMT" w:cs="ArialMT"/>
          <w:b w:val="0"/>
          <w:sz w:val="21"/>
          <w:szCs w:val="21"/>
        </w:rPr>
      </w:pPr>
      <w:r w:rsidRPr="00980311">
        <w:rPr>
          <w:b w:val="0"/>
        </w:rPr>
        <w:t>Original instrument</w:t>
      </w:r>
    </w:p>
    <w:p w:rsidR="00576AF6" w:rsidRPr="00946802" w:rsidRDefault="00576AF6" w:rsidP="00576AF6">
      <w:pPr>
        <w:pStyle w:val="TROBodytext"/>
      </w:pPr>
      <w:proofErr w:type="gramStart"/>
      <w:r w:rsidRPr="00980311">
        <w:t xml:space="preserve">The </w:t>
      </w:r>
      <w:r w:rsidRPr="00980311">
        <w:rPr>
          <w:i/>
          <w:iCs/>
        </w:rPr>
        <w:t xml:space="preserve">instrument </w:t>
      </w:r>
      <w:r>
        <w:t>that</w:t>
      </w:r>
      <w:r w:rsidRPr="00946802">
        <w:t xml:space="preserve"> bears the duty (not a copy).</w:t>
      </w:r>
      <w:proofErr w:type="gramEnd"/>
    </w:p>
    <w:p w:rsidR="00576AF6" w:rsidRPr="00980311" w:rsidRDefault="00576AF6" w:rsidP="00576AF6">
      <w:pPr>
        <w:pStyle w:val="TROHeading3"/>
        <w:rPr>
          <w:rFonts w:ascii="ArialMT" w:hAnsi="ArialMT" w:cs="ArialMT"/>
          <w:b w:val="0"/>
          <w:sz w:val="21"/>
          <w:szCs w:val="21"/>
        </w:rPr>
      </w:pPr>
      <w:r w:rsidRPr="00980311">
        <w:rPr>
          <w:b w:val="0"/>
        </w:rPr>
        <w:t>Principal Place of Residence Rebate</w:t>
      </w:r>
    </w:p>
    <w:p w:rsidR="00576AF6" w:rsidRPr="00980311" w:rsidRDefault="00576AF6" w:rsidP="00576AF6">
      <w:pPr>
        <w:pStyle w:val="TROBodytext"/>
        <w:rPr>
          <w:b/>
        </w:rPr>
      </w:pPr>
      <w:r w:rsidRPr="00946802">
        <w:t xml:space="preserve">A stamp duty rebate is available for eligible applicants who are purchasing a home, or land on which a home will be built, for use as their principal place of residence. </w:t>
      </w:r>
    </w:p>
    <w:p w:rsidR="00576AF6" w:rsidRPr="00946802" w:rsidRDefault="00576AF6" w:rsidP="00576AF6">
      <w:pPr>
        <w:pStyle w:val="TROHeading3"/>
        <w:rPr>
          <w:rFonts w:ascii="ArialMT" w:hAnsi="ArialMT" w:cs="ArialMT"/>
          <w:sz w:val="21"/>
          <w:szCs w:val="21"/>
        </w:rPr>
      </w:pPr>
      <w:r w:rsidRPr="00980311">
        <w:rPr>
          <w:b w:val="0"/>
        </w:rPr>
        <w:t>Related</w:t>
      </w:r>
    </w:p>
    <w:p w:rsidR="00576AF6" w:rsidRPr="00946802" w:rsidRDefault="00576AF6" w:rsidP="00576AF6">
      <w:pPr>
        <w:pStyle w:val="TROBodytext"/>
        <w:spacing w:after="60"/>
      </w:pPr>
      <w:r w:rsidRPr="00946802">
        <w:t>For the purpose of this guide includes:</w:t>
      </w:r>
    </w:p>
    <w:p w:rsidR="00576AF6" w:rsidRPr="00946802" w:rsidRDefault="00576AF6" w:rsidP="00576AF6">
      <w:pPr>
        <w:pStyle w:val="TROBulletText"/>
        <w:spacing w:after="60"/>
      </w:pPr>
      <w:r>
        <w:rPr>
          <w:i/>
          <w:iCs/>
        </w:rPr>
        <w:t>r</w:t>
      </w:r>
      <w:r w:rsidRPr="00980311">
        <w:rPr>
          <w:i/>
          <w:iCs/>
        </w:rPr>
        <w:t xml:space="preserve">elated </w:t>
      </w:r>
      <w:r w:rsidRPr="00946802">
        <w:t>by blood, marriage (including de facto relationships), or co-ownership (such as by partnership or joint venture)</w:t>
      </w:r>
      <w:r>
        <w:t>;</w:t>
      </w:r>
    </w:p>
    <w:p w:rsidR="00576AF6" w:rsidRPr="00980311" w:rsidRDefault="00576AF6" w:rsidP="00576AF6">
      <w:pPr>
        <w:pStyle w:val="TROBulletText"/>
        <w:spacing w:after="60"/>
        <w:rPr>
          <w:i/>
          <w:iCs/>
        </w:rPr>
      </w:pPr>
      <w:r>
        <w:rPr>
          <w:i/>
          <w:iCs/>
        </w:rPr>
        <w:t>r</w:t>
      </w:r>
      <w:r w:rsidRPr="00980311">
        <w:rPr>
          <w:i/>
          <w:iCs/>
        </w:rPr>
        <w:t xml:space="preserve">elated </w:t>
      </w:r>
      <w:r w:rsidRPr="00946802">
        <w:t xml:space="preserve">corporations as defined in the </w:t>
      </w:r>
      <w:r w:rsidRPr="00980311">
        <w:rPr>
          <w:i/>
          <w:iCs/>
        </w:rPr>
        <w:t>Corporations Act</w:t>
      </w:r>
      <w:r>
        <w:rPr>
          <w:i/>
          <w:iCs/>
        </w:rPr>
        <w:t>;</w:t>
      </w:r>
    </w:p>
    <w:p w:rsidR="00576AF6" w:rsidRPr="00946802" w:rsidRDefault="00576AF6" w:rsidP="00576AF6">
      <w:pPr>
        <w:pStyle w:val="TROBulletText"/>
        <w:spacing w:after="60"/>
      </w:pPr>
      <w:r>
        <w:rPr>
          <w:i/>
          <w:iCs/>
        </w:rPr>
        <w:t>r</w:t>
      </w:r>
      <w:r w:rsidRPr="00980311">
        <w:rPr>
          <w:i/>
          <w:iCs/>
        </w:rPr>
        <w:t xml:space="preserve">elated </w:t>
      </w:r>
      <w:r w:rsidRPr="00946802">
        <w:t>natural person and corporation – by virtue of the fact that one is a director or secretary or other officer (as defined in the Corporations Law) of the other, or holds shares or units or some other interest in the other</w:t>
      </w:r>
      <w:r>
        <w:t>;</w:t>
      </w:r>
    </w:p>
    <w:p w:rsidR="00576AF6" w:rsidRPr="00946802" w:rsidRDefault="00576AF6" w:rsidP="00576AF6">
      <w:pPr>
        <w:pStyle w:val="TROBulletText"/>
        <w:spacing w:after="60"/>
      </w:pPr>
      <w:r>
        <w:rPr>
          <w:i/>
          <w:iCs/>
        </w:rPr>
        <w:t>r</w:t>
      </w:r>
      <w:r w:rsidRPr="00980311">
        <w:rPr>
          <w:i/>
          <w:iCs/>
        </w:rPr>
        <w:t xml:space="preserve">elated </w:t>
      </w:r>
      <w:r w:rsidRPr="00980311">
        <w:t xml:space="preserve">corporation and trustee – if the corporation, shareholder, director or secretary of the corporation is a beneficiary of the trust, or a </w:t>
      </w:r>
      <w:r w:rsidRPr="00980311">
        <w:rPr>
          <w:i/>
          <w:iCs/>
        </w:rPr>
        <w:t xml:space="preserve">related </w:t>
      </w:r>
      <w:r w:rsidRPr="00946802">
        <w:t>corporation is a beneficiary (whether contingently entitled or not)</w:t>
      </w:r>
      <w:r>
        <w:t>;</w:t>
      </w:r>
    </w:p>
    <w:p w:rsidR="00576AF6" w:rsidRPr="00946802" w:rsidRDefault="00576AF6" w:rsidP="00576AF6">
      <w:pPr>
        <w:pStyle w:val="TROBulletText"/>
        <w:spacing w:after="60"/>
      </w:pPr>
      <w:r>
        <w:rPr>
          <w:i/>
          <w:iCs/>
        </w:rPr>
        <w:t>r</w:t>
      </w:r>
      <w:r w:rsidRPr="00980311">
        <w:rPr>
          <w:i/>
          <w:iCs/>
        </w:rPr>
        <w:t xml:space="preserve">elated </w:t>
      </w:r>
      <w:r w:rsidRPr="00946802">
        <w:t>trustees – if there are one or more beneficiaries common to the trusts (whether contingently entitled or not)</w:t>
      </w:r>
      <w:r>
        <w:t>;</w:t>
      </w:r>
    </w:p>
    <w:p w:rsidR="00576AF6" w:rsidRPr="00946802" w:rsidRDefault="00576AF6" w:rsidP="00576AF6">
      <w:pPr>
        <w:pStyle w:val="TROBulletText"/>
        <w:spacing w:after="60"/>
      </w:pPr>
      <w:r>
        <w:rPr>
          <w:i/>
          <w:iCs/>
        </w:rPr>
        <w:t>r</w:t>
      </w:r>
      <w:r w:rsidRPr="00980311">
        <w:rPr>
          <w:i/>
          <w:iCs/>
        </w:rPr>
        <w:t xml:space="preserve">elated </w:t>
      </w:r>
      <w:r w:rsidRPr="00946802">
        <w:t>natural person and trustee – if the person/s is/are a beneficiary/</w:t>
      </w:r>
      <w:proofErr w:type="spellStart"/>
      <w:r w:rsidRPr="00946802">
        <w:t>ies</w:t>
      </w:r>
      <w:proofErr w:type="spellEnd"/>
      <w:r w:rsidRPr="00946802">
        <w:t xml:space="preserve"> under the trust (whether contingently entitled or not)</w:t>
      </w:r>
      <w:r>
        <w:t>; or</w:t>
      </w:r>
    </w:p>
    <w:p w:rsidR="00576AF6" w:rsidRPr="00946802" w:rsidRDefault="00576AF6" w:rsidP="00576AF6">
      <w:pPr>
        <w:pStyle w:val="TROBulletText"/>
      </w:pPr>
      <w:proofErr w:type="gramStart"/>
      <w:r>
        <w:rPr>
          <w:i/>
          <w:iCs/>
        </w:rPr>
        <w:t>r</w:t>
      </w:r>
      <w:r w:rsidRPr="00980311">
        <w:rPr>
          <w:i/>
          <w:iCs/>
        </w:rPr>
        <w:t>elated</w:t>
      </w:r>
      <w:proofErr w:type="gramEnd"/>
      <w:r w:rsidRPr="00980311">
        <w:rPr>
          <w:i/>
          <w:iCs/>
        </w:rPr>
        <w:t xml:space="preserve"> </w:t>
      </w:r>
      <w:r w:rsidRPr="00946802">
        <w:t>by prior or current business relationship (including that of landlord and tenant).</w:t>
      </w:r>
    </w:p>
    <w:p w:rsidR="00576AF6" w:rsidRPr="00980311" w:rsidRDefault="00576AF6" w:rsidP="00576AF6">
      <w:pPr>
        <w:pStyle w:val="TROHeading3"/>
        <w:rPr>
          <w:b w:val="0"/>
          <w:bCs w:val="0"/>
        </w:rPr>
      </w:pPr>
      <w:r w:rsidRPr="00980311">
        <w:rPr>
          <w:b w:val="0"/>
          <w:bCs w:val="0"/>
        </w:rPr>
        <w:t>SDA</w:t>
      </w:r>
    </w:p>
    <w:p w:rsidR="00576AF6" w:rsidRPr="00980311" w:rsidRDefault="00576AF6" w:rsidP="00576AF6">
      <w:pPr>
        <w:pStyle w:val="TROBodytext"/>
        <w:rPr>
          <w:i/>
          <w:iCs/>
        </w:rPr>
      </w:pPr>
      <w:proofErr w:type="gramStart"/>
      <w:r w:rsidRPr="00946802">
        <w:t xml:space="preserve">The </w:t>
      </w:r>
      <w:r w:rsidRPr="00980311">
        <w:rPr>
          <w:i/>
          <w:iCs/>
        </w:rPr>
        <w:t>Stamp Duty Act.</w:t>
      </w:r>
      <w:proofErr w:type="gramEnd"/>
    </w:p>
    <w:p w:rsidR="00576AF6" w:rsidRPr="00980311" w:rsidRDefault="00576AF6" w:rsidP="00576AF6">
      <w:pPr>
        <w:pStyle w:val="TROHeading3"/>
        <w:rPr>
          <w:rFonts w:ascii="ArialMT" w:hAnsi="ArialMT" w:cs="ArialMT"/>
          <w:b w:val="0"/>
          <w:sz w:val="21"/>
          <w:szCs w:val="21"/>
        </w:rPr>
      </w:pPr>
      <w:r w:rsidRPr="00980311">
        <w:rPr>
          <w:b w:val="0"/>
        </w:rPr>
        <w:t>Senior, Pensioner and Carer Concession</w:t>
      </w:r>
    </w:p>
    <w:p w:rsidR="00576AF6" w:rsidRPr="00946802" w:rsidRDefault="00576AF6" w:rsidP="00576AF6">
      <w:pPr>
        <w:pStyle w:val="TROBodytext"/>
      </w:pPr>
      <w:r w:rsidRPr="00980311">
        <w:t xml:space="preserve">A stamp duty concession is available for eligible applicants. Further information on the eligibility </w:t>
      </w:r>
      <w:r>
        <w:br/>
      </w:r>
      <w:r w:rsidRPr="00980311">
        <w:t xml:space="preserve">criteria is available in the guide to the application form which is available on </w:t>
      </w:r>
      <w:r w:rsidRPr="00946802">
        <w:rPr>
          <w:i/>
        </w:rPr>
        <w:t>TRO’s</w:t>
      </w:r>
      <w:r w:rsidRPr="00946802">
        <w:t xml:space="preserve"> website at www</w:t>
      </w:r>
      <w:r>
        <w:t>.</w:t>
      </w:r>
      <w:r w:rsidRPr="00946802">
        <w:t xml:space="preserve">revenue.nt.gov.au. </w:t>
      </w:r>
    </w:p>
    <w:p w:rsidR="00576AF6" w:rsidRPr="00980311" w:rsidRDefault="00576AF6" w:rsidP="00576AF6">
      <w:pPr>
        <w:pStyle w:val="TROHeading3"/>
        <w:rPr>
          <w:rFonts w:ascii="ArialMT" w:hAnsi="ArialMT" w:cs="ArialMT"/>
          <w:b w:val="0"/>
          <w:sz w:val="21"/>
          <w:szCs w:val="21"/>
        </w:rPr>
      </w:pPr>
      <w:r w:rsidRPr="00980311">
        <w:rPr>
          <w:b w:val="0"/>
        </w:rPr>
        <w:t>TAA</w:t>
      </w:r>
    </w:p>
    <w:p w:rsidR="00576AF6" w:rsidRPr="00946802" w:rsidRDefault="00576AF6" w:rsidP="00576AF6">
      <w:pPr>
        <w:pStyle w:val="TROBodytext"/>
      </w:pPr>
      <w:proofErr w:type="gramStart"/>
      <w:r w:rsidRPr="00980311">
        <w:t xml:space="preserve">The </w:t>
      </w:r>
      <w:r w:rsidRPr="00980311">
        <w:rPr>
          <w:i/>
          <w:iCs/>
        </w:rPr>
        <w:t>Taxation Administration Act</w:t>
      </w:r>
      <w:r w:rsidRPr="00946802">
        <w:t>.</w:t>
      </w:r>
      <w:proofErr w:type="gramEnd"/>
    </w:p>
    <w:p w:rsidR="00576AF6" w:rsidRPr="00980311" w:rsidRDefault="00576AF6" w:rsidP="00576AF6">
      <w:pPr>
        <w:pStyle w:val="TROHeading3"/>
        <w:rPr>
          <w:rFonts w:ascii="ArialMT" w:hAnsi="ArialMT" w:cs="ArialMT"/>
          <w:b w:val="0"/>
          <w:sz w:val="21"/>
          <w:szCs w:val="21"/>
        </w:rPr>
      </w:pPr>
      <w:r w:rsidRPr="00980311">
        <w:rPr>
          <w:b w:val="0"/>
        </w:rPr>
        <w:t>TRO</w:t>
      </w:r>
    </w:p>
    <w:p w:rsidR="00576AF6" w:rsidRPr="00946802" w:rsidRDefault="00576AF6" w:rsidP="00576AF6">
      <w:pPr>
        <w:pStyle w:val="TROBodytext"/>
      </w:pPr>
      <w:proofErr w:type="gramStart"/>
      <w:r w:rsidRPr="00946802">
        <w:t>The Territory Revenue Office.</w:t>
      </w:r>
      <w:proofErr w:type="gramEnd"/>
    </w:p>
    <w:p w:rsidR="00576AF6" w:rsidRPr="00980311" w:rsidRDefault="00576AF6" w:rsidP="00576AF6">
      <w:pPr>
        <w:pStyle w:val="TROHeading3"/>
        <w:rPr>
          <w:rFonts w:ascii="ArialMT" w:hAnsi="ArialMT" w:cs="ArialMT"/>
          <w:b w:val="0"/>
          <w:sz w:val="21"/>
          <w:szCs w:val="21"/>
        </w:rPr>
      </w:pPr>
      <w:r w:rsidRPr="00980311">
        <w:rPr>
          <w:b w:val="0"/>
        </w:rPr>
        <w:t>Vendor</w:t>
      </w:r>
    </w:p>
    <w:p w:rsidR="00576AF6" w:rsidRPr="00946802" w:rsidRDefault="00576AF6" w:rsidP="00576AF6">
      <w:pPr>
        <w:pStyle w:val="TROBodytext"/>
      </w:pPr>
      <w:proofErr w:type="gramStart"/>
      <w:r w:rsidRPr="00946802">
        <w:t>The conveyor (or seller) of the property.</w:t>
      </w:r>
      <w:proofErr w:type="gramEnd"/>
    </w:p>
    <w:p w:rsidR="00576AF6" w:rsidRPr="00946802" w:rsidRDefault="00576AF6" w:rsidP="00576AF6">
      <w:pPr>
        <w:pStyle w:val="TROHeading2"/>
      </w:pPr>
      <w:bookmarkStart w:id="4" w:name="_Toc427748460"/>
      <w:r w:rsidRPr="00946802">
        <w:lastRenderedPageBreak/>
        <w:t>2. Introduction</w:t>
      </w:r>
      <w:bookmarkEnd w:id="4"/>
    </w:p>
    <w:p w:rsidR="00576AF6" w:rsidRPr="00946802" w:rsidRDefault="00576AF6" w:rsidP="00576AF6">
      <w:pPr>
        <w:pStyle w:val="TROBodytext"/>
      </w:pPr>
      <w:r w:rsidRPr="00980311">
        <w:t xml:space="preserve">The </w:t>
      </w:r>
      <w:r w:rsidRPr="00980311">
        <w:rPr>
          <w:i/>
          <w:iCs/>
        </w:rPr>
        <w:t xml:space="preserve">Conveyance </w:t>
      </w:r>
      <w:r w:rsidRPr="00980311">
        <w:t>by Return (</w:t>
      </w:r>
      <w:r w:rsidRPr="00980311">
        <w:rPr>
          <w:i/>
          <w:iCs/>
        </w:rPr>
        <w:t>CBR</w:t>
      </w:r>
      <w:r w:rsidRPr="00980311">
        <w:t>) scheme is an approved special tax return arrangement under section</w:t>
      </w:r>
      <w:r>
        <w:t> </w:t>
      </w:r>
      <w:r w:rsidRPr="00980311">
        <w:t xml:space="preserve">49 of the </w:t>
      </w:r>
      <w:r w:rsidRPr="00980311">
        <w:rPr>
          <w:i/>
          <w:iCs/>
        </w:rPr>
        <w:t>Taxation Administration Act</w:t>
      </w:r>
      <w:r w:rsidRPr="00980311">
        <w:t xml:space="preserve">. Subject to the terms and conditions detailed in this guide, </w:t>
      </w:r>
      <w:r w:rsidRPr="00980311">
        <w:rPr>
          <w:i/>
          <w:iCs/>
        </w:rPr>
        <w:t xml:space="preserve">CBR Online </w:t>
      </w:r>
      <w:r w:rsidRPr="00980311">
        <w:t xml:space="preserve">allows </w:t>
      </w:r>
      <w:r w:rsidRPr="00980311">
        <w:rPr>
          <w:i/>
          <w:iCs/>
        </w:rPr>
        <w:t xml:space="preserve">approved persons </w:t>
      </w:r>
      <w:r w:rsidRPr="00980311">
        <w:t xml:space="preserve">to effectively and accurately calculate stamp duty on </w:t>
      </w:r>
      <w:r w:rsidRPr="00980311">
        <w:rPr>
          <w:i/>
          <w:iCs/>
        </w:rPr>
        <w:t xml:space="preserve">approved instruments. </w:t>
      </w:r>
      <w:r w:rsidRPr="00980311">
        <w:t xml:space="preserve">These </w:t>
      </w:r>
      <w:r w:rsidRPr="00980311">
        <w:rPr>
          <w:i/>
          <w:iCs/>
        </w:rPr>
        <w:t xml:space="preserve">instruments </w:t>
      </w:r>
      <w:r w:rsidRPr="00980311">
        <w:t xml:space="preserve">can then be stamped and the duty payable remitted to the </w:t>
      </w:r>
      <w:r w:rsidRPr="00980311">
        <w:rPr>
          <w:i/>
          <w:iCs/>
        </w:rPr>
        <w:t xml:space="preserve">Commissioner </w:t>
      </w:r>
      <w:r w:rsidRPr="00946802">
        <w:rPr>
          <w:rFonts w:ascii="Arial-ItalicMT" w:hAnsi="Arial-ItalicMT" w:cs="Arial-ItalicMT"/>
          <w:iCs/>
        </w:rPr>
        <w:t>on a monthly basis</w:t>
      </w:r>
      <w:r w:rsidRPr="00946802">
        <w:t>.</w:t>
      </w:r>
    </w:p>
    <w:p w:rsidR="00576AF6" w:rsidRPr="00946802" w:rsidRDefault="00576AF6" w:rsidP="00576AF6">
      <w:pPr>
        <w:pStyle w:val="TROBodytext"/>
      </w:pPr>
      <w:r w:rsidRPr="00946802">
        <w:t xml:space="preserve">This guide is designed to assist </w:t>
      </w:r>
      <w:r w:rsidRPr="00980311">
        <w:rPr>
          <w:i/>
          <w:iCs/>
        </w:rPr>
        <w:t xml:space="preserve">approved persons </w:t>
      </w:r>
      <w:r w:rsidRPr="00980311">
        <w:t xml:space="preserve">in satisfying the requirements of </w:t>
      </w:r>
      <w:r w:rsidRPr="00980311">
        <w:rPr>
          <w:i/>
          <w:iCs/>
        </w:rPr>
        <w:t>CBR</w:t>
      </w:r>
      <w:r w:rsidRPr="00946802">
        <w:t>.</w:t>
      </w:r>
    </w:p>
    <w:p w:rsidR="00576AF6" w:rsidRPr="00946802" w:rsidRDefault="00576AF6" w:rsidP="00576AF6">
      <w:pPr>
        <w:pStyle w:val="TROBodytext"/>
      </w:pPr>
      <w:r w:rsidRPr="00946802">
        <w:t xml:space="preserve">The information provided is based on legislation in force as at </w:t>
      </w:r>
      <w:r w:rsidR="005B68F6">
        <w:t>May 2016</w:t>
      </w:r>
      <w:r w:rsidRPr="004810E6">
        <w:rPr>
          <w:rStyle w:val="FootnoteReference"/>
        </w:rPr>
        <w:footnoteReference w:id="1"/>
      </w:r>
      <w:r w:rsidRPr="00946802">
        <w:rPr>
          <w:sz w:val="12"/>
          <w:szCs w:val="12"/>
        </w:rPr>
        <w:t xml:space="preserve"> </w:t>
      </w:r>
      <w:r w:rsidRPr="00946802">
        <w:t>and covers:</w:t>
      </w:r>
    </w:p>
    <w:p w:rsidR="00576AF6" w:rsidRPr="00946802" w:rsidRDefault="00576AF6" w:rsidP="00576AF6">
      <w:pPr>
        <w:pStyle w:val="TROBulletText"/>
      </w:pPr>
      <w:r w:rsidRPr="00946802">
        <w:t xml:space="preserve">the type of </w:t>
      </w:r>
      <w:r w:rsidRPr="00980311">
        <w:rPr>
          <w:i/>
          <w:iCs/>
        </w:rPr>
        <w:t xml:space="preserve">instruments </w:t>
      </w:r>
      <w:r w:rsidRPr="00980311">
        <w:t xml:space="preserve">that are </w:t>
      </w:r>
      <w:r w:rsidRPr="00980311">
        <w:rPr>
          <w:i/>
          <w:iCs/>
        </w:rPr>
        <w:t xml:space="preserve">approved instruments </w:t>
      </w:r>
      <w:r w:rsidRPr="00980311">
        <w:t xml:space="preserve">and guidance on how to determine whether an </w:t>
      </w:r>
      <w:r w:rsidRPr="00980311">
        <w:rPr>
          <w:i/>
          <w:iCs/>
        </w:rPr>
        <w:t xml:space="preserve">instrument </w:t>
      </w:r>
      <w:r w:rsidRPr="00980311">
        <w:t xml:space="preserve">is an </w:t>
      </w:r>
      <w:r w:rsidRPr="00980311">
        <w:rPr>
          <w:i/>
          <w:iCs/>
        </w:rPr>
        <w:t>approved instrument</w:t>
      </w:r>
      <w:r w:rsidRPr="00946802">
        <w:t>;</w:t>
      </w:r>
    </w:p>
    <w:p w:rsidR="00576AF6" w:rsidRPr="00946802" w:rsidRDefault="00576AF6" w:rsidP="00576AF6">
      <w:pPr>
        <w:pStyle w:val="TROBulletText"/>
      </w:pPr>
      <w:r w:rsidRPr="00946802">
        <w:t xml:space="preserve">how </w:t>
      </w:r>
      <w:r w:rsidRPr="00980311">
        <w:rPr>
          <w:i/>
          <w:iCs/>
        </w:rPr>
        <w:t xml:space="preserve">approved instruments </w:t>
      </w:r>
      <w:r w:rsidRPr="00946802">
        <w:t>are to be stamped;</w:t>
      </w:r>
    </w:p>
    <w:p w:rsidR="00576AF6" w:rsidRPr="00946802" w:rsidRDefault="00576AF6" w:rsidP="00576AF6">
      <w:pPr>
        <w:pStyle w:val="TROBulletText"/>
      </w:pPr>
      <w:r w:rsidRPr="00946802">
        <w:t xml:space="preserve">the record keeping requirements for </w:t>
      </w:r>
      <w:r w:rsidRPr="00980311">
        <w:rPr>
          <w:i/>
          <w:iCs/>
        </w:rPr>
        <w:t>approved persons</w:t>
      </w:r>
      <w:r w:rsidRPr="00946802">
        <w:t>;</w:t>
      </w:r>
    </w:p>
    <w:p w:rsidR="00576AF6" w:rsidRPr="001F077C" w:rsidRDefault="00576AF6" w:rsidP="00576AF6">
      <w:pPr>
        <w:pStyle w:val="TROBulletText"/>
      </w:pPr>
      <w:r w:rsidRPr="001F077C">
        <w:t>the process for collection and payment of duty; and</w:t>
      </w:r>
    </w:p>
    <w:p w:rsidR="00576AF6" w:rsidRPr="00946802" w:rsidRDefault="00576AF6" w:rsidP="00576AF6">
      <w:pPr>
        <w:pStyle w:val="TROBulletText"/>
      </w:pPr>
      <w:proofErr w:type="gramStart"/>
      <w:r w:rsidRPr="00980311">
        <w:t>the</w:t>
      </w:r>
      <w:proofErr w:type="gramEnd"/>
      <w:r w:rsidRPr="00980311">
        <w:t xml:space="preserve"> penalties for failing to comply with </w:t>
      </w:r>
      <w:r w:rsidRPr="00980311">
        <w:rPr>
          <w:i/>
          <w:iCs/>
        </w:rPr>
        <w:t xml:space="preserve">CBR </w:t>
      </w:r>
      <w:r w:rsidRPr="00946802">
        <w:t>requirements.</w:t>
      </w:r>
    </w:p>
    <w:p w:rsidR="00576AF6" w:rsidRPr="00946802" w:rsidRDefault="00576AF6" w:rsidP="00576AF6">
      <w:pPr>
        <w:pStyle w:val="TROBodytext"/>
      </w:pPr>
      <w:r w:rsidRPr="00946802">
        <w:t xml:space="preserve">Upon determining that an </w:t>
      </w:r>
      <w:r w:rsidRPr="00980311">
        <w:rPr>
          <w:i/>
          <w:iCs/>
        </w:rPr>
        <w:t xml:space="preserve">instrument </w:t>
      </w:r>
      <w:r w:rsidRPr="00980311">
        <w:t xml:space="preserve">is an </w:t>
      </w:r>
      <w:r w:rsidRPr="00980311">
        <w:rPr>
          <w:i/>
          <w:iCs/>
        </w:rPr>
        <w:t>approved instrument</w:t>
      </w:r>
      <w:r w:rsidRPr="00980311">
        <w:t xml:space="preserve">, full details are to be entered on </w:t>
      </w:r>
      <w:r w:rsidRPr="00980311">
        <w:rPr>
          <w:i/>
          <w:iCs/>
        </w:rPr>
        <w:t>CBR</w:t>
      </w:r>
      <w:r>
        <w:rPr>
          <w:i/>
          <w:iCs/>
        </w:rPr>
        <w:t> </w:t>
      </w:r>
      <w:r w:rsidRPr="00980311">
        <w:rPr>
          <w:i/>
          <w:iCs/>
        </w:rPr>
        <w:t>Online</w:t>
      </w:r>
      <w:r w:rsidRPr="00946802">
        <w:t>. For step-by-step instructions on using the program see section 8 of this guide.</w:t>
      </w:r>
    </w:p>
    <w:p w:rsidR="00576AF6" w:rsidRPr="00946802" w:rsidRDefault="00576AF6" w:rsidP="00576AF6">
      <w:pPr>
        <w:pStyle w:val="TROHeading2"/>
      </w:pPr>
      <w:bookmarkStart w:id="5" w:name="_Toc427748461"/>
      <w:r w:rsidRPr="00946802">
        <w:t>3. CBR Online</w:t>
      </w:r>
      <w:bookmarkEnd w:id="5"/>
    </w:p>
    <w:p w:rsidR="00576AF6" w:rsidRPr="00946802" w:rsidRDefault="00576AF6" w:rsidP="00576AF6">
      <w:pPr>
        <w:pStyle w:val="TROBodytext"/>
      </w:pPr>
      <w:r w:rsidRPr="00980311">
        <w:t xml:space="preserve">Based on the information entered, </w:t>
      </w:r>
      <w:r w:rsidRPr="00980311">
        <w:rPr>
          <w:i/>
          <w:iCs/>
        </w:rPr>
        <w:t>CBR Online</w:t>
      </w:r>
      <w:r w:rsidRPr="00946802">
        <w:t xml:space="preserve"> automatically:</w:t>
      </w:r>
    </w:p>
    <w:p w:rsidR="00576AF6" w:rsidRPr="00946802" w:rsidRDefault="00576AF6" w:rsidP="00576AF6">
      <w:pPr>
        <w:pStyle w:val="TROBulletText"/>
      </w:pPr>
      <w:r w:rsidRPr="00946802">
        <w:t xml:space="preserve">allocates an </w:t>
      </w:r>
      <w:r w:rsidRPr="00946802">
        <w:rPr>
          <w:rFonts w:ascii="Arial-ItalicMT" w:hAnsi="Arial-ItalicMT" w:cs="Arial-ItalicMT"/>
          <w:iCs/>
        </w:rPr>
        <w:t>assessment</w:t>
      </w:r>
      <w:r w:rsidRPr="00980311">
        <w:rPr>
          <w:i/>
          <w:iCs/>
        </w:rPr>
        <w:t xml:space="preserve"> </w:t>
      </w:r>
      <w:r w:rsidRPr="00946802">
        <w:t>number;</w:t>
      </w:r>
    </w:p>
    <w:p w:rsidR="00576AF6" w:rsidRPr="00980311" w:rsidRDefault="00576AF6" w:rsidP="00576AF6">
      <w:pPr>
        <w:pStyle w:val="TROBulletText"/>
        <w:rPr>
          <w:i/>
          <w:iCs/>
        </w:rPr>
      </w:pPr>
      <w:r w:rsidRPr="00946802">
        <w:t xml:space="preserve">determines the amount of duty payable on an </w:t>
      </w:r>
      <w:r w:rsidRPr="00980311">
        <w:rPr>
          <w:i/>
          <w:iCs/>
        </w:rPr>
        <w:t>approved instrument</w:t>
      </w:r>
      <w:r w:rsidRPr="00946802">
        <w:t>; and</w:t>
      </w:r>
    </w:p>
    <w:p w:rsidR="00576AF6" w:rsidRPr="00980311" w:rsidRDefault="00576AF6" w:rsidP="00576AF6">
      <w:pPr>
        <w:pStyle w:val="TROBulletText"/>
        <w:rPr>
          <w:i/>
          <w:iCs/>
        </w:rPr>
      </w:pPr>
      <w:proofErr w:type="gramStart"/>
      <w:r w:rsidRPr="00980311">
        <w:t>maintains</w:t>
      </w:r>
      <w:proofErr w:type="gramEnd"/>
      <w:r w:rsidRPr="00980311">
        <w:t xml:space="preserve"> an electronic register of entered </w:t>
      </w:r>
      <w:r w:rsidRPr="00980311">
        <w:rPr>
          <w:i/>
          <w:iCs/>
        </w:rPr>
        <w:t>instruments</w:t>
      </w:r>
      <w:r w:rsidRPr="00980311">
        <w:t xml:space="preserve">. Relevant information provided by </w:t>
      </w:r>
      <w:r w:rsidRPr="00980311">
        <w:rPr>
          <w:i/>
          <w:iCs/>
        </w:rPr>
        <w:t xml:space="preserve">CBR Online </w:t>
      </w:r>
      <w:r w:rsidRPr="00946802">
        <w:t xml:space="preserve">must then be noted on the </w:t>
      </w:r>
      <w:r w:rsidRPr="00980311">
        <w:rPr>
          <w:i/>
          <w:iCs/>
        </w:rPr>
        <w:t>approved instrument.</w:t>
      </w:r>
    </w:p>
    <w:p w:rsidR="00576AF6" w:rsidRPr="00980311" w:rsidRDefault="00576AF6" w:rsidP="00576AF6">
      <w:pPr>
        <w:pStyle w:val="TROBodytext"/>
        <w:rPr>
          <w:i/>
          <w:iCs/>
        </w:rPr>
      </w:pPr>
      <w:r w:rsidRPr="00980311">
        <w:t xml:space="preserve">The following process should be used when entering </w:t>
      </w:r>
      <w:r w:rsidRPr="00980311">
        <w:rPr>
          <w:i/>
          <w:iCs/>
        </w:rPr>
        <w:t xml:space="preserve">instruments </w:t>
      </w:r>
      <w:r w:rsidRPr="00946802">
        <w:t xml:space="preserve">through </w:t>
      </w:r>
      <w:r w:rsidRPr="00980311">
        <w:rPr>
          <w:i/>
          <w:iCs/>
        </w:rPr>
        <w:t>CBR Online:</w:t>
      </w:r>
    </w:p>
    <w:p w:rsidR="00576AF6" w:rsidRPr="00946802" w:rsidRDefault="00576AF6" w:rsidP="00576AF6">
      <w:pPr>
        <w:pStyle w:val="TROBulletText"/>
      </w:pPr>
      <w:proofErr w:type="gramStart"/>
      <w:r w:rsidRPr="00980311">
        <w:t>enter</w:t>
      </w:r>
      <w:proofErr w:type="gramEnd"/>
      <w:r w:rsidRPr="00980311">
        <w:t xml:space="preserve"> the details of the </w:t>
      </w:r>
      <w:r w:rsidRPr="00980311">
        <w:rPr>
          <w:i/>
          <w:iCs/>
        </w:rPr>
        <w:t xml:space="preserve">approved instrument </w:t>
      </w:r>
      <w:r w:rsidRPr="00980311">
        <w:t xml:space="preserve">into </w:t>
      </w:r>
      <w:r w:rsidRPr="00980311">
        <w:rPr>
          <w:i/>
          <w:iCs/>
        </w:rPr>
        <w:t>CBR Online</w:t>
      </w:r>
      <w:r w:rsidRPr="00980311">
        <w:t xml:space="preserve">. This will calculate the amount of stamp duty to be applied to that </w:t>
      </w:r>
      <w:r w:rsidRPr="00980311">
        <w:rPr>
          <w:i/>
          <w:iCs/>
        </w:rPr>
        <w:t xml:space="preserve">instrument </w:t>
      </w:r>
      <w:r w:rsidRPr="00946802">
        <w:t>and record data relevant to the transaction (see section 8)</w:t>
      </w:r>
      <w:r>
        <w:t>;</w:t>
      </w:r>
    </w:p>
    <w:p w:rsidR="00576AF6" w:rsidRPr="00946802" w:rsidRDefault="00576AF6" w:rsidP="00576AF6">
      <w:pPr>
        <w:pStyle w:val="TROBulletText"/>
      </w:pPr>
      <w:r w:rsidRPr="00946802">
        <w:t xml:space="preserve">once stamp duty funds have been received, stamp and endorse the </w:t>
      </w:r>
      <w:r w:rsidRPr="00980311">
        <w:rPr>
          <w:i/>
          <w:iCs/>
        </w:rPr>
        <w:t xml:space="preserve">approved instrument </w:t>
      </w:r>
      <w:r w:rsidRPr="00946802">
        <w:t xml:space="preserve">with the required details (see section 9 for </w:t>
      </w:r>
      <w:r w:rsidR="001900D2">
        <w:t xml:space="preserve">an </w:t>
      </w:r>
      <w:r w:rsidRPr="00946802">
        <w:t>example of stamping)</w:t>
      </w:r>
      <w:r>
        <w:t>; and</w:t>
      </w:r>
    </w:p>
    <w:p w:rsidR="00576AF6" w:rsidRPr="00946802" w:rsidRDefault="00576AF6" w:rsidP="00576AF6">
      <w:pPr>
        <w:pStyle w:val="TROBulletText"/>
      </w:pPr>
      <w:proofErr w:type="gramStart"/>
      <w:r w:rsidRPr="00946802">
        <w:t>complete</w:t>
      </w:r>
      <w:proofErr w:type="gramEnd"/>
      <w:r w:rsidRPr="00946802">
        <w:t xml:space="preserve"> the transaction on </w:t>
      </w:r>
      <w:r w:rsidRPr="00946802">
        <w:rPr>
          <w:i/>
        </w:rPr>
        <w:t xml:space="preserve">CBR Online </w:t>
      </w:r>
      <w:r w:rsidRPr="00980311">
        <w:t>(see section 10)</w:t>
      </w:r>
      <w:r>
        <w:t>.</w:t>
      </w:r>
    </w:p>
    <w:p w:rsidR="00576AF6" w:rsidRPr="00946802" w:rsidRDefault="00576AF6" w:rsidP="00576AF6">
      <w:pPr>
        <w:pStyle w:val="TROBodytext"/>
      </w:pPr>
      <w:r w:rsidRPr="00946802">
        <w:t xml:space="preserve">At the end of each month the </w:t>
      </w:r>
      <w:r w:rsidRPr="00946802">
        <w:rPr>
          <w:i/>
        </w:rPr>
        <w:t>approved person</w:t>
      </w:r>
      <w:r w:rsidRPr="00980311">
        <w:t xml:space="preserve"> will receive a Monthly Return Statement in </w:t>
      </w:r>
      <w:r w:rsidR="001900D2">
        <w:t>the</w:t>
      </w:r>
      <w:r w:rsidRPr="00980311">
        <w:t xml:space="preserve"> nominated email account from </w:t>
      </w:r>
      <w:r w:rsidRPr="00946802">
        <w:rPr>
          <w:i/>
        </w:rPr>
        <w:t>TRO</w:t>
      </w:r>
      <w:r w:rsidRPr="00980311">
        <w:t xml:space="preserve"> </w:t>
      </w:r>
      <w:r>
        <w:t>that</w:t>
      </w:r>
      <w:r w:rsidRPr="00980311">
        <w:t xml:space="preserve"> summarises the </w:t>
      </w:r>
      <w:r w:rsidRPr="00946802">
        <w:rPr>
          <w:i/>
        </w:rPr>
        <w:t>instruments</w:t>
      </w:r>
      <w:r w:rsidRPr="00980311">
        <w:t xml:space="preserve"> processed during the month and the duty payable to </w:t>
      </w:r>
      <w:r w:rsidRPr="00946802">
        <w:rPr>
          <w:i/>
        </w:rPr>
        <w:t>TRO</w:t>
      </w:r>
      <w:r w:rsidRPr="00946802">
        <w:t xml:space="preserve">. </w:t>
      </w:r>
    </w:p>
    <w:p w:rsidR="00576AF6" w:rsidRPr="00946802" w:rsidRDefault="00576AF6" w:rsidP="00576AF6">
      <w:pPr>
        <w:pStyle w:val="TROHeading2"/>
      </w:pPr>
      <w:r w:rsidRPr="00946802">
        <w:br w:type="page"/>
      </w:r>
    </w:p>
    <w:p w:rsidR="00576AF6" w:rsidRPr="00946802" w:rsidRDefault="00576AF6" w:rsidP="00576AF6">
      <w:pPr>
        <w:pStyle w:val="TROHeading2"/>
      </w:pPr>
      <w:bookmarkStart w:id="6" w:name="_Toc427748462"/>
      <w:r w:rsidRPr="00946802">
        <w:lastRenderedPageBreak/>
        <w:t>4. Obligations of approved persons</w:t>
      </w:r>
      <w:bookmarkEnd w:id="6"/>
    </w:p>
    <w:p w:rsidR="00576AF6" w:rsidRPr="00946802" w:rsidRDefault="00576AF6" w:rsidP="00576AF6">
      <w:pPr>
        <w:pStyle w:val="TROHeading3"/>
      </w:pPr>
      <w:r w:rsidRPr="00946802">
        <w:t>4.1 Records to be kept by approved persons</w:t>
      </w:r>
    </w:p>
    <w:p w:rsidR="00576AF6" w:rsidRPr="00946802" w:rsidRDefault="00576AF6" w:rsidP="00576AF6">
      <w:pPr>
        <w:pStyle w:val="TROBodytext"/>
      </w:pPr>
      <w:r w:rsidRPr="00980311">
        <w:rPr>
          <w:i/>
          <w:iCs/>
        </w:rPr>
        <w:t xml:space="preserve">Approved persons </w:t>
      </w:r>
      <w:r w:rsidRPr="00980311">
        <w:t xml:space="preserve">must retain a copy of all stamped </w:t>
      </w:r>
      <w:r w:rsidRPr="00980311">
        <w:rPr>
          <w:i/>
          <w:iCs/>
        </w:rPr>
        <w:t xml:space="preserve">instruments </w:t>
      </w:r>
      <w:r w:rsidRPr="00980311">
        <w:t xml:space="preserve">and sufficient records to show for audit purposes that the correct stamp duty has been accounted for by return on all </w:t>
      </w:r>
      <w:r w:rsidRPr="00980311">
        <w:rPr>
          <w:i/>
          <w:iCs/>
        </w:rPr>
        <w:t xml:space="preserve">approved instruments </w:t>
      </w:r>
      <w:r w:rsidRPr="00946802">
        <w:t>held or processed by them.</w:t>
      </w:r>
    </w:p>
    <w:p w:rsidR="00576AF6" w:rsidRPr="001F077C" w:rsidRDefault="00576AF6" w:rsidP="00576AF6">
      <w:pPr>
        <w:autoSpaceDE w:val="0"/>
        <w:autoSpaceDN w:val="0"/>
        <w:adjustRightInd w:val="0"/>
        <w:spacing w:before="120"/>
        <w:rPr>
          <w:rFonts w:cs="Times"/>
          <w:color w:val="000000"/>
          <w:sz w:val="22"/>
          <w:szCs w:val="22"/>
          <w:lang w:val="en-GB"/>
        </w:rPr>
      </w:pPr>
      <w:r w:rsidRPr="001F077C">
        <w:rPr>
          <w:rFonts w:cs="Times"/>
          <w:color w:val="000000"/>
          <w:sz w:val="22"/>
          <w:szCs w:val="22"/>
          <w:lang w:val="en-GB"/>
        </w:rPr>
        <w:t>Such records must be kept for a period of five (5) years. The five-year period shall commence from the last date in the month to which the return relates.</w:t>
      </w:r>
    </w:p>
    <w:p w:rsidR="00576AF6" w:rsidRPr="00946802" w:rsidRDefault="00576AF6" w:rsidP="00576AF6">
      <w:pPr>
        <w:pStyle w:val="TROBodytext"/>
      </w:pPr>
      <w:r w:rsidRPr="00980311">
        <w:t xml:space="preserve">For the purpose of keeping sufficient records, the </w:t>
      </w:r>
      <w:r w:rsidRPr="00980311">
        <w:rPr>
          <w:i/>
          <w:iCs/>
        </w:rPr>
        <w:t xml:space="preserve">approved person </w:t>
      </w:r>
      <w:r w:rsidRPr="00980311">
        <w:t>must keep original copies of all relevant declarations and forms including</w:t>
      </w:r>
      <w:r w:rsidR="001900D2">
        <w:t>,</w:t>
      </w:r>
      <w:r w:rsidRPr="00980311">
        <w:t xml:space="preserve"> but not limited to</w:t>
      </w:r>
      <w:r w:rsidR="001900D2">
        <w:t>,</w:t>
      </w:r>
      <w:r w:rsidRPr="00980311">
        <w:t xml:space="preserve"> original copies of the fully completed application form for the </w:t>
      </w:r>
      <w:r w:rsidRPr="00980311">
        <w:rPr>
          <w:i/>
          <w:iCs/>
        </w:rPr>
        <w:t xml:space="preserve">Senior, Pensioner and Carer Concession </w:t>
      </w:r>
      <w:r w:rsidRPr="00980311">
        <w:t xml:space="preserve">(SPCC) and the </w:t>
      </w:r>
      <w:r w:rsidRPr="00980311">
        <w:rPr>
          <w:i/>
          <w:iCs/>
        </w:rPr>
        <w:t xml:space="preserve">Principal Place of Residence Rebate </w:t>
      </w:r>
      <w:r w:rsidRPr="00946802">
        <w:t>(PPRR)</w:t>
      </w:r>
      <w:r w:rsidR="001900D2">
        <w:t xml:space="preserve"> and First Home Owner Discount</w:t>
      </w:r>
      <w:r w:rsidRPr="00946802">
        <w:t xml:space="preserve"> </w:t>
      </w:r>
      <w:r w:rsidR="00756B5F">
        <w:t xml:space="preserve">(FHOD) </w:t>
      </w:r>
      <w:r w:rsidRPr="00946802">
        <w:t>and any evidence required to support the application.</w:t>
      </w:r>
    </w:p>
    <w:p w:rsidR="00576AF6" w:rsidRPr="00946802" w:rsidRDefault="00576AF6" w:rsidP="00576AF6">
      <w:pPr>
        <w:pStyle w:val="TROHeading3"/>
      </w:pPr>
      <w:r w:rsidRPr="00946802">
        <w:t>4.2 Safeguarding stamps</w:t>
      </w:r>
    </w:p>
    <w:p w:rsidR="00576AF6" w:rsidRPr="00946802" w:rsidRDefault="00576AF6" w:rsidP="00576AF6">
      <w:pPr>
        <w:pStyle w:val="TROBodytext"/>
      </w:pPr>
      <w:r w:rsidRPr="00980311">
        <w:t xml:space="preserve">The </w:t>
      </w:r>
      <w:r w:rsidRPr="00980311">
        <w:rPr>
          <w:i/>
          <w:iCs/>
        </w:rPr>
        <w:t xml:space="preserve">approved person </w:t>
      </w:r>
      <w:r w:rsidRPr="00980311">
        <w:t xml:space="preserve">is responsible for security of the stamps provided by the </w:t>
      </w:r>
      <w:r w:rsidRPr="00980311">
        <w:rPr>
          <w:i/>
          <w:iCs/>
        </w:rPr>
        <w:t>Commissioner</w:t>
      </w:r>
      <w:r w:rsidRPr="00946802">
        <w:t>.</w:t>
      </w:r>
    </w:p>
    <w:p w:rsidR="00576AF6" w:rsidRPr="00946802" w:rsidRDefault="00576AF6" w:rsidP="00576AF6">
      <w:pPr>
        <w:pStyle w:val="TROHeading3"/>
      </w:pPr>
      <w:r w:rsidRPr="00946802">
        <w:t>4.3 Compliance program</w:t>
      </w:r>
    </w:p>
    <w:p w:rsidR="00576AF6" w:rsidRPr="00946802" w:rsidRDefault="00576AF6" w:rsidP="00576AF6">
      <w:pPr>
        <w:pStyle w:val="TROBodytext"/>
      </w:pPr>
      <w:r w:rsidRPr="00980311">
        <w:rPr>
          <w:i/>
          <w:iCs/>
        </w:rPr>
        <w:t xml:space="preserve">TRO </w:t>
      </w:r>
      <w:r w:rsidRPr="00980311">
        <w:t xml:space="preserve">recognises that there are risks and the potential for error (either intentional or not) associated with any scheme such as </w:t>
      </w:r>
      <w:r w:rsidRPr="00980311">
        <w:rPr>
          <w:i/>
          <w:iCs/>
        </w:rPr>
        <w:t xml:space="preserve">CBR Online. </w:t>
      </w:r>
      <w:r w:rsidRPr="00980311">
        <w:t xml:space="preserve">Accordingly, it is necessary to have an appropriate compliance program in place to review transactions being processed and documentation held by </w:t>
      </w:r>
      <w:r w:rsidRPr="00980311">
        <w:rPr>
          <w:i/>
          <w:iCs/>
        </w:rPr>
        <w:t xml:space="preserve">approved persons </w:t>
      </w:r>
      <w:r w:rsidRPr="00946802">
        <w:t>from time to time to ensure that they are acting within the parameters of the scheme.</w:t>
      </w:r>
    </w:p>
    <w:p w:rsidR="00576AF6" w:rsidRPr="00946802" w:rsidRDefault="00576AF6" w:rsidP="00576AF6">
      <w:pPr>
        <w:pStyle w:val="TROBodytext"/>
      </w:pPr>
      <w:r w:rsidRPr="00946802">
        <w:t xml:space="preserve">Audits are conducted by experienced </w:t>
      </w:r>
      <w:r w:rsidRPr="00980311">
        <w:rPr>
          <w:i/>
          <w:iCs/>
        </w:rPr>
        <w:t xml:space="preserve">TRO </w:t>
      </w:r>
      <w:r w:rsidRPr="00980311">
        <w:t xml:space="preserve">officers and, in addition to the ‘compliance’ factor, provide an additional opportunity for </w:t>
      </w:r>
      <w:r w:rsidRPr="00980311">
        <w:rPr>
          <w:i/>
          <w:iCs/>
        </w:rPr>
        <w:t xml:space="preserve">approved persons </w:t>
      </w:r>
      <w:r w:rsidRPr="00980311">
        <w:t xml:space="preserve">to raise issues or concerns with </w:t>
      </w:r>
      <w:r w:rsidRPr="00980311">
        <w:rPr>
          <w:i/>
          <w:iCs/>
        </w:rPr>
        <w:t xml:space="preserve">CBR </w:t>
      </w:r>
      <w:r w:rsidRPr="00946802">
        <w:rPr>
          <w:i/>
        </w:rPr>
        <w:t>Online</w:t>
      </w:r>
      <w:r w:rsidRPr="00980311">
        <w:t xml:space="preserve"> or </w:t>
      </w:r>
      <w:r w:rsidRPr="00980311">
        <w:rPr>
          <w:i/>
          <w:iCs/>
        </w:rPr>
        <w:t xml:space="preserve">TRO </w:t>
      </w:r>
      <w:r w:rsidRPr="00946802">
        <w:t>in general.</w:t>
      </w:r>
    </w:p>
    <w:p w:rsidR="00576AF6" w:rsidRPr="00946802" w:rsidRDefault="00576AF6" w:rsidP="00576AF6">
      <w:pPr>
        <w:pStyle w:val="TROHeading2"/>
      </w:pPr>
      <w:bookmarkStart w:id="7" w:name="_Toc427748463"/>
      <w:r w:rsidRPr="00946802">
        <w:t>5. Approved instruments</w:t>
      </w:r>
      <w:bookmarkEnd w:id="7"/>
    </w:p>
    <w:p w:rsidR="00576AF6" w:rsidRPr="00946802" w:rsidRDefault="00576AF6" w:rsidP="00576AF6">
      <w:pPr>
        <w:pStyle w:val="TROBodytext"/>
        <w:spacing w:before="60"/>
      </w:pPr>
      <w:r w:rsidRPr="00980311">
        <w:t xml:space="preserve">Under the </w:t>
      </w:r>
      <w:r w:rsidRPr="00980311">
        <w:rPr>
          <w:i/>
          <w:iCs/>
        </w:rPr>
        <w:t xml:space="preserve">CBR </w:t>
      </w:r>
      <w:r w:rsidRPr="00946802">
        <w:rPr>
          <w:rFonts w:ascii="Arial-ItalicMT" w:hAnsi="Arial-ItalicMT" w:cs="Arial-ItalicMT"/>
          <w:iCs/>
        </w:rPr>
        <w:t>scheme</w:t>
      </w:r>
      <w:r w:rsidRPr="00980311">
        <w:t xml:space="preserve">, </w:t>
      </w:r>
      <w:r w:rsidRPr="00980311">
        <w:rPr>
          <w:i/>
          <w:iCs/>
        </w:rPr>
        <w:t xml:space="preserve">approved persons </w:t>
      </w:r>
      <w:r w:rsidRPr="00980311">
        <w:t xml:space="preserve">are authorised to determine the duty payable on, and stamp, </w:t>
      </w:r>
      <w:r w:rsidRPr="00980311">
        <w:rPr>
          <w:i/>
          <w:iCs/>
        </w:rPr>
        <w:t>approved instruments</w:t>
      </w:r>
      <w:r w:rsidRPr="00946802">
        <w:t>. This section provides details of:</w:t>
      </w:r>
    </w:p>
    <w:p w:rsidR="00576AF6" w:rsidRPr="00946802" w:rsidRDefault="00576AF6" w:rsidP="00576AF6">
      <w:pPr>
        <w:pStyle w:val="TROBulletText"/>
      </w:pPr>
      <w:r w:rsidRPr="00946802">
        <w:t xml:space="preserve">what </w:t>
      </w:r>
      <w:r w:rsidRPr="00980311">
        <w:rPr>
          <w:i/>
          <w:iCs/>
        </w:rPr>
        <w:t xml:space="preserve">instruments </w:t>
      </w:r>
      <w:r w:rsidRPr="00946802">
        <w:t>are approved;</w:t>
      </w:r>
    </w:p>
    <w:p w:rsidR="00576AF6" w:rsidRPr="00946802" w:rsidRDefault="00576AF6" w:rsidP="00576AF6">
      <w:pPr>
        <w:pStyle w:val="TROBulletText"/>
      </w:pPr>
      <w:r w:rsidRPr="00946802">
        <w:t xml:space="preserve">what </w:t>
      </w:r>
      <w:r w:rsidRPr="00946802">
        <w:rPr>
          <w:i/>
        </w:rPr>
        <w:t>instruments</w:t>
      </w:r>
      <w:r w:rsidRPr="00946802">
        <w:t xml:space="preserve"> are not approved;</w:t>
      </w:r>
    </w:p>
    <w:p w:rsidR="00576AF6" w:rsidRPr="00946802" w:rsidRDefault="00576AF6" w:rsidP="00576AF6">
      <w:pPr>
        <w:pStyle w:val="TROBulletText"/>
      </w:pPr>
      <w:r w:rsidRPr="00946802">
        <w:t xml:space="preserve">guidance on how to determine what category an </w:t>
      </w:r>
      <w:r w:rsidRPr="00980311">
        <w:rPr>
          <w:i/>
          <w:iCs/>
        </w:rPr>
        <w:t xml:space="preserve">instrument </w:t>
      </w:r>
      <w:r w:rsidRPr="00946802">
        <w:t>fits into; and</w:t>
      </w:r>
    </w:p>
    <w:p w:rsidR="00576AF6" w:rsidRPr="00946802" w:rsidRDefault="00576AF6" w:rsidP="00576AF6">
      <w:pPr>
        <w:pStyle w:val="TROBulletText"/>
      </w:pPr>
      <w:proofErr w:type="gramStart"/>
      <w:r w:rsidRPr="00946802">
        <w:t>the</w:t>
      </w:r>
      <w:proofErr w:type="gramEnd"/>
      <w:r w:rsidRPr="00946802">
        <w:t xml:space="preserve"> information that must be contained within the </w:t>
      </w:r>
      <w:r w:rsidRPr="00980311">
        <w:rPr>
          <w:i/>
          <w:iCs/>
        </w:rPr>
        <w:t xml:space="preserve">instrument </w:t>
      </w:r>
      <w:r w:rsidRPr="00980311">
        <w:t xml:space="preserve">or obtained prior to an </w:t>
      </w:r>
      <w:r w:rsidRPr="00980311">
        <w:rPr>
          <w:i/>
          <w:iCs/>
        </w:rPr>
        <w:t xml:space="preserve">instrument </w:t>
      </w:r>
      <w:r w:rsidRPr="00946802">
        <w:t>being processed.</w:t>
      </w:r>
    </w:p>
    <w:p w:rsidR="00576AF6" w:rsidRPr="00946802" w:rsidRDefault="00576AF6" w:rsidP="00576AF6">
      <w:pPr>
        <w:pStyle w:val="TROBodytext"/>
      </w:pPr>
      <w:r w:rsidRPr="00946802">
        <w:t xml:space="preserve">Any </w:t>
      </w:r>
      <w:r w:rsidRPr="00980311">
        <w:rPr>
          <w:i/>
          <w:iCs/>
        </w:rPr>
        <w:t xml:space="preserve">instrument </w:t>
      </w:r>
      <w:r w:rsidRPr="00980311">
        <w:t xml:space="preserve">that is not an </w:t>
      </w:r>
      <w:r w:rsidRPr="00980311">
        <w:rPr>
          <w:i/>
          <w:iCs/>
        </w:rPr>
        <w:t xml:space="preserve">approved instrument </w:t>
      </w:r>
      <w:r w:rsidRPr="00980311">
        <w:t xml:space="preserve">cannot be processed in </w:t>
      </w:r>
      <w:r w:rsidRPr="00980311">
        <w:rPr>
          <w:i/>
          <w:iCs/>
        </w:rPr>
        <w:t xml:space="preserve">CBR Online </w:t>
      </w:r>
      <w:r w:rsidRPr="00980311">
        <w:t xml:space="preserve">and must be submitted to the </w:t>
      </w:r>
      <w:r w:rsidRPr="00980311">
        <w:rPr>
          <w:i/>
          <w:iCs/>
        </w:rPr>
        <w:t xml:space="preserve">Commissioner </w:t>
      </w:r>
      <w:r w:rsidRPr="00946802">
        <w:t>for assessment.</w:t>
      </w:r>
    </w:p>
    <w:p w:rsidR="00576AF6" w:rsidRPr="00946802" w:rsidRDefault="00576AF6" w:rsidP="00576AF6">
      <w:pPr>
        <w:pStyle w:val="TROHeading3"/>
      </w:pPr>
      <w:r w:rsidRPr="00946802">
        <w:t>5.1 Approved</w:t>
      </w:r>
    </w:p>
    <w:p w:rsidR="00576AF6" w:rsidRPr="00946802" w:rsidRDefault="00576AF6" w:rsidP="00576AF6">
      <w:pPr>
        <w:pStyle w:val="TROBodytext"/>
      </w:pPr>
      <w:r w:rsidRPr="00980311">
        <w:t xml:space="preserve">A contract of sale or transfer of </w:t>
      </w:r>
      <w:r w:rsidRPr="00980311">
        <w:rPr>
          <w:i/>
          <w:iCs/>
        </w:rPr>
        <w:t xml:space="preserve">land </w:t>
      </w:r>
      <w:r w:rsidRPr="00946802">
        <w:t>where the purchase price is equivalent to the unencumbered value and the contract of sale or transfer is one of the following:</w:t>
      </w:r>
    </w:p>
    <w:p w:rsidR="00576AF6" w:rsidRPr="00946802" w:rsidRDefault="00576AF6" w:rsidP="00576AF6">
      <w:pPr>
        <w:pStyle w:val="TROBulletText"/>
      </w:pPr>
      <w:r w:rsidRPr="00946802">
        <w:t xml:space="preserve">a single </w:t>
      </w:r>
      <w:r w:rsidRPr="00980311">
        <w:rPr>
          <w:i/>
          <w:iCs/>
        </w:rPr>
        <w:t xml:space="preserve">conveyance </w:t>
      </w:r>
      <w:r w:rsidRPr="00980311">
        <w:t xml:space="preserve">of residential property between parties who are not </w:t>
      </w:r>
      <w:r w:rsidRPr="00980311">
        <w:rPr>
          <w:i/>
          <w:iCs/>
        </w:rPr>
        <w:t>related</w:t>
      </w:r>
      <w:r>
        <w:t>;</w:t>
      </w:r>
    </w:p>
    <w:p w:rsidR="00576AF6" w:rsidRPr="00946802" w:rsidRDefault="00576AF6" w:rsidP="00576AF6">
      <w:pPr>
        <w:pStyle w:val="TROBulletText"/>
      </w:pPr>
      <w:r w:rsidRPr="00946802">
        <w:t xml:space="preserve">a single </w:t>
      </w:r>
      <w:r w:rsidRPr="00980311">
        <w:rPr>
          <w:i/>
          <w:iCs/>
        </w:rPr>
        <w:t xml:space="preserve">conveyance </w:t>
      </w:r>
      <w:r w:rsidRPr="00980311">
        <w:t xml:space="preserve">of commercial property between parties who are not </w:t>
      </w:r>
      <w:r w:rsidRPr="00980311">
        <w:rPr>
          <w:i/>
          <w:iCs/>
        </w:rPr>
        <w:t xml:space="preserve">related </w:t>
      </w:r>
      <w:r w:rsidRPr="00980311">
        <w:t xml:space="preserve">where there is no associated </w:t>
      </w:r>
      <w:r w:rsidRPr="00980311">
        <w:rPr>
          <w:i/>
          <w:iCs/>
        </w:rPr>
        <w:t xml:space="preserve">conveyance </w:t>
      </w:r>
      <w:r w:rsidRPr="00980311">
        <w:t xml:space="preserve">of business property (i.e. the </w:t>
      </w:r>
      <w:r w:rsidRPr="00980311">
        <w:rPr>
          <w:i/>
          <w:iCs/>
        </w:rPr>
        <w:t xml:space="preserve">conveyance </w:t>
      </w:r>
      <w:r w:rsidRPr="00946802">
        <w:t>does not involve a sale of business)</w:t>
      </w:r>
      <w:r>
        <w:t>;</w:t>
      </w:r>
    </w:p>
    <w:p w:rsidR="00576AF6" w:rsidRPr="00946802" w:rsidRDefault="00576AF6" w:rsidP="00576AF6">
      <w:pPr>
        <w:pStyle w:val="TROBulletText"/>
      </w:pPr>
      <w:r w:rsidRPr="00946802">
        <w:t xml:space="preserve">a single </w:t>
      </w:r>
      <w:r w:rsidRPr="00980311">
        <w:rPr>
          <w:i/>
          <w:iCs/>
        </w:rPr>
        <w:t xml:space="preserve">conveyance </w:t>
      </w:r>
      <w:r w:rsidRPr="00980311">
        <w:t xml:space="preserve">to </w:t>
      </w:r>
      <w:r w:rsidRPr="00980311">
        <w:rPr>
          <w:i/>
          <w:iCs/>
        </w:rPr>
        <w:t xml:space="preserve">nominees </w:t>
      </w:r>
      <w:r w:rsidRPr="00980311">
        <w:t xml:space="preserve">pursuant to a contract of sale where the </w:t>
      </w:r>
      <w:r w:rsidRPr="00980311">
        <w:rPr>
          <w:i/>
          <w:iCs/>
        </w:rPr>
        <w:t xml:space="preserve">nominees </w:t>
      </w:r>
      <w:r w:rsidRPr="00946802">
        <w:t>are specified in the contract</w:t>
      </w:r>
      <w:r>
        <w:t>;</w:t>
      </w:r>
    </w:p>
    <w:p w:rsidR="00576AF6" w:rsidRPr="00946802" w:rsidRDefault="00576AF6" w:rsidP="00576AF6">
      <w:pPr>
        <w:pStyle w:val="TROBulletText"/>
      </w:pPr>
      <w:r w:rsidRPr="00946802">
        <w:lastRenderedPageBreak/>
        <w:t xml:space="preserve">the ‘buy out’ of a share owned by </w:t>
      </w:r>
      <w:r w:rsidRPr="00980311">
        <w:rPr>
          <w:i/>
          <w:iCs/>
        </w:rPr>
        <w:t>CEO (Housing)</w:t>
      </w:r>
      <w:r w:rsidRPr="00980311">
        <w:t xml:space="preserve">, where the interest held by </w:t>
      </w:r>
      <w:r w:rsidRPr="00980311">
        <w:rPr>
          <w:i/>
          <w:iCs/>
        </w:rPr>
        <w:t xml:space="preserve">CEO (Housing) </w:t>
      </w:r>
      <w:r w:rsidRPr="00946802">
        <w:t>is being acquired by the other owner(s) already noted on the title, and nobody else is gaining an interest in the property</w:t>
      </w:r>
      <w:r w:rsidR="00EF71BA">
        <w:t>.</w:t>
      </w:r>
    </w:p>
    <w:p w:rsidR="00576AF6" w:rsidRPr="00946802" w:rsidRDefault="00576AF6" w:rsidP="00576AF6">
      <w:pPr>
        <w:pStyle w:val="TROHeading3"/>
      </w:pPr>
      <w:r w:rsidRPr="00946802">
        <w:t>5.2 Not approved</w:t>
      </w:r>
    </w:p>
    <w:p w:rsidR="00576AF6" w:rsidRPr="00946802" w:rsidRDefault="00576AF6" w:rsidP="00576AF6">
      <w:pPr>
        <w:pStyle w:val="TROBulletText"/>
      </w:pPr>
      <w:r w:rsidRPr="00980311">
        <w:t xml:space="preserve">Any </w:t>
      </w:r>
      <w:r w:rsidRPr="00980311">
        <w:rPr>
          <w:i/>
          <w:iCs/>
        </w:rPr>
        <w:t xml:space="preserve">conveyance </w:t>
      </w:r>
      <w:r w:rsidRPr="00980311">
        <w:t xml:space="preserve">that conveys property other than </w:t>
      </w:r>
      <w:r w:rsidRPr="00980311">
        <w:rPr>
          <w:i/>
          <w:iCs/>
        </w:rPr>
        <w:t>land</w:t>
      </w:r>
      <w:r w:rsidRPr="00946802">
        <w:t>.</w:t>
      </w:r>
    </w:p>
    <w:p w:rsidR="00576AF6" w:rsidRPr="00946802" w:rsidRDefault="00576AF6" w:rsidP="00576AF6">
      <w:pPr>
        <w:pStyle w:val="TROBulletText"/>
      </w:pPr>
      <w:r w:rsidRPr="00946802">
        <w:t xml:space="preserve">Any </w:t>
      </w:r>
      <w:r w:rsidRPr="00980311">
        <w:rPr>
          <w:i/>
          <w:iCs/>
        </w:rPr>
        <w:t xml:space="preserve">conveyance </w:t>
      </w:r>
      <w:r w:rsidRPr="00980311">
        <w:t xml:space="preserve">where the transferor </w:t>
      </w:r>
      <w:r w:rsidRPr="00980311">
        <w:rPr>
          <w:i/>
          <w:iCs/>
        </w:rPr>
        <w:t xml:space="preserve">(vendor) </w:t>
      </w:r>
      <w:r w:rsidRPr="00980311">
        <w:t xml:space="preserve">and transferee (purchaser) are </w:t>
      </w:r>
      <w:r w:rsidRPr="00980311">
        <w:rPr>
          <w:i/>
          <w:iCs/>
        </w:rPr>
        <w:t>related</w:t>
      </w:r>
      <w:r w:rsidRPr="00946802">
        <w:t>.</w:t>
      </w:r>
    </w:p>
    <w:p w:rsidR="00576AF6" w:rsidRPr="00946802" w:rsidRDefault="00576AF6" w:rsidP="00576AF6">
      <w:pPr>
        <w:pStyle w:val="TROBulletText"/>
      </w:pPr>
      <w:r w:rsidRPr="00946802">
        <w:t xml:space="preserve">Any </w:t>
      </w:r>
      <w:r w:rsidRPr="00980311">
        <w:rPr>
          <w:i/>
          <w:iCs/>
        </w:rPr>
        <w:t xml:space="preserve">conveyance </w:t>
      </w:r>
      <w:r w:rsidRPr="00946802">
        <w:t>where the transferee (purchaser) assumes any liability, such as a mortgage liability, in addition to or instead of the purchase price.</w:t>
      </w:r>
    </w:p>
    <w:p w:rsidR="00576AF6" w:rsidRPr="00946802" w:rsidRDefault="00576AF6" w:rsidP="00576AF6">
      <w:pPr>
        <w:pStyle w:val="TROBulletText"/>
      </w:pPr>
      <w:r w:rsidRPr="00946802">
        <w:t xml:space="preserve">Any </w:t>
      </w:r>
      <w:r w:rsidRPr="00980311">
        <w:rPr>
          <w:i/>
          <w:iCs/>
        </w:rPr>
        <w:t xml:space="preserve">conveyance </w:t>
      </w:r>
      <w:r w:rsidRPr="00980311">
        <w:t xml:space="preserve">that is part of a transaction or series of transactions or where there is more than one </w:t>
      </w:r>
      <w:r w:rsidRPr="00980311">
        <w:rPr>
          <w:i/>
          <w:iCs/>
        </w:rPr>
        <w:t xml:space="preserve">conveyance </w:t>
      </w:r>
      <w:r w:rsidRPr="00980311">
        <w:t xml:space="preserve">(contract or transfer), </w:t>
      </w:r>
      <w:r w:rsidRPr="00980311">
        <w:rPr>
          <w:i/>
          <w:iCs/>
        </w:rPr>
        <w:t xml:space="preserve">executed </w:t>
      </w:r>
      <w:r w:rsidRPr="00946802">
        <w:t>within 12 months, between the same parties.</w:t>
      </w:r>
    </w:p>
    <w:p w:rsidR="00576AF6" w:rsidRPr="00946802" w:rsidRDefault="00576AF6" w:rsidP="00576AF6">
      <w:pPr>
        <w:pStyle w:val="TROBulletText"/>
      </w:pPr>
      <w:r w:rsidRPr="00946802">
        <w:t xml:space="preserve">Any contract and subsequent transfer where the purchaser under the contract and the transferee in the subsequent transfer differs, except where the transferee has been named as a </w:t>
      </w:r>
      <w:r w:rsidRPr="00980311">
        <w:rPr>
          <w:i/>
          <w:iCs/>
        </w:rPr>
        <w:t xml:space="preserve">nominee </w:t>
      </w:r>
      <w:r w:rsidRPr="00946802">
        <w:t>under the contract.</w:t>
      </w:r>
    </w:p>
    <w:p w:rsidR="00576AF6" w:rsidRPr="00946802" w:rsidRDefault="00576AF6" w:rsidP="00576AF6">
      <w:pPr>
        <w:pStyle w:val="TROBulletText"/>
      </w:pPr>
      <w:r w:rsidRPr="00946802">
        <w:t xml:space="preserve">Any </w:t>
      </w:r>
      <w:r w:rsidRPr="00980311">
        <w:rPr>
          <w:i/>
          <w:iCs/>
        </w:rPr>
        <w:t xml:space="preserve">conveyance </w:t>
      </w:r>
      <w:r w:rsidRPr="00946802">
        <w:t>where the total consideration expressed in the contract or transfer does not reflect the full unencumbered value of the property.</w:t>
      </w:r>
    </w:p>
    <w:p w:rsidR="00576AF6" w:rsidRPr="00946802" w:rsidRDefault="00576AF6" w:rsidP="00576AF6">
      <w:pPr>
        <w:pStyle w:val="TROBulletText"/>
        <w:rPr>
          <w:rFonts w:ascii="ArialMT" w:hAnsi="ArialMT" w:cs="ArialMT"/>
          <w:sz w:val="21"/>
          <w:szCs w:val="21"/>
        </w:rPr>
      </w:pPr>
      <w:r w:rsidRPr="00946802">
        <w:rPr>
          <w:rFonts w:ascii="ArialMT" w:hAnsi="ArialMT" w:cs="ArialMT"/>
          <w:sz w:val="21"/>
          <w:szCs w:val="21"/>
        </w:rPr>
        <w:t>Any transaction where all or part of the consideration is not payable by money, except where the full amount of consideration has been expressed in the contract in money terms.</w:t>
      </w:r>
    </w:p>
    <w:p w:rsidR="00576AF6" w:rsidRPr="00946802" w:rsidRDefault="00576AF6" w:rsidP="00576AF6">
      <w:pPr>
        <w:pStyle w:val="TROBulletText"/>
      </w:pPr>
      <w:r w:rsidRPr="00980311">
        <w:t xml:space="preserve">Any transaction that amounts to an option agreement or any </w:t>
      </w:r>
      <w:r w:rsidRPr="00980311">
        <w:rPr>
          <w:i/>
          <w:iCs/>
        </w:rPr>
        <w:t xml:space="preserve">conveyance </w:t>
      </w:r>
      <w:r w:rsidRPr="00946802">
        <w:t>that results from an option agreement.</w:t>
      </w:r>
    </w:p>
    <w:p w:rsidR="00576AF6" w:rsidRPr="00946802" w:rsidRDefault="00576AF6" w:rsidP="00576AF6">
      <w:pPr>
        <w:pStyle w:val="TROBulletText"/>
      </w:pPr>
      <w:r w:rsidRPr="00946802">
        <w:t>Where exemptions or concessions other than the SPCC under section 89A, PPRR under section 90</w:t>
      </w:r>
      <w:r w:rsidR="00756B5F">
        <w:t xml:space="preserve"> or FHOD under section 89AA</w:t>
      </w:r>
      <w:r w:rsidRPr="00946802">
        <w:t xml:space="preserve"> of the </w:t>
      </w:r>
      <w:r w:rsidRPr="00980311">
        <w:rPr>
          <w:i/>
          <w:iCs/>
        </w:rPr>
        <w:t xml:space="preserve">SDA </w:t>
      </w:r>
      <w:r w:rsidRPr="00946802">
        <w:t>are being claimed.</w:t>
      </w:r>
    </w:p>
    <w:p w:rsidR="00576AF6" w:rsidRPr="00946802" w:rsidRDefault="00576AF6" w:rsidP="00576AF6">
      <w:pPr>
        <w:pStyle w:val="TROBulletText"/>
      </w:pPr>
      <w:r w:rsidRPr="00946802">
        <w:t xml:space="preserve">Any contract involving multiple purchasers where there is a variation in the subsequent transfer </w:t>
      </w:r>
      <w:r w:rsidRPr="00980311">
        <w:rPr>
          <w:i/>
          <w:iCs/>
        </w:rPr>
        <w:t xml:space="preserve">instrument </w:t>
      </w:r>
      <w:r w:rsidRPr="00946802">
        <w:t>of the share or interest being acquired.</w:t>
      </w:r>
    </w:p>
    <w:p w:rsidR="00576AF6" w:rsidRPr="00946802" w:rsidRDefault="00576AF6" w:rsidP="00576AF6">
      <w:pPr>
        <w:pStyle w:val="TROBulletText"/>
      </w:pPr>
      <w:r w:rsidRPr="00946802">
        <w:t xml:space="preserve">Any contract with a provision for the </w:t>
      </w:r>
      <w:r w:rsidRPr="00980311">
        <w:rPr>
          <w:i/>
          <w:iCs/>
        </w:rPr>
        <w:t xml:space="preserve">conveyance </w:t>
      </w:r>
      <w:r w:rsidRPr="00946802">
        <w:t>of other property or lease of the property being transferred, such as one of the following</w:t>
      </w:r>
      <w:r>
        <w:t>:</w:t>
      </w:r>
    </w:p>
    <w:p w:rsidR="00576AF6" w:rsidRPr="00946802" w:rsidRDefault="00576AF6" w:rsidP="00576AF6">
      <w:pPr>
        <w:pStyle w:val="TRODashedText"/>
      </w:pPr>
      <w:r w:rsidRPr="00946802">
        <w:t xml:space="preserve">the purchaser will transfer a parcel of </w:t>
      </w:r>
      <w:r w:rsidRPr="00980311">
        <w:rPr>
          <w:i/>
          <w:iCs/>
        </w:rPr>
        <w:t xml:space="preserve">land </w:t>
      </w:r>
      <w:r w:rsidRPr="00980311">
        <w:t xml:space="preserve">to the </w:t>
      </w:r>
      <w:r w:rsidRPr="00980311">
        <w:rPr>
          <w:i/>
          <w:iCs/>
        </w:rPr>
        <w:t xml:space="preserve">vendor </w:t>
      </w:r>
      <w:r w:rsidRPr="00946802">
        <w:t>as part satisfaction of the purchase price</w:t>
      </w:r>
      <w:r>
        <w:t>;</w:t>
      </w:r>
      <w:r w:rsidR="00756B5F">
        <w:t xml:space="preserve"> or</w:t>
      </w:r>
    </w:p>
    <w:p w:rsidR="00576AF6" w:rsidRPr="00946802" w:rsidRDefault="00576AF6" w:rsidP="00576AF6">
      <w:pPr>
        <w:pStyle w:val="TRODashedText"/>
      </w:pPr>
      <w:proofErr w:type="gramStart"/>
      <w:r w:rsidRPr="00946802">
        <w:t>the</w:t>
      </w:r>
      <w:proofErr w:type="gramEnd"/>
      <w:r w:rsidRPr="00946802">
        <w:t xml:space="preserve"> purchaser agrees to lease the property back to the </w:t>
      </w:r>
      <w:r w:rsidRPr="00756B5F">
        <w:rPr>
          <w:i/>
          <w:iCs/>
        </w:rPr>
        <w:t>vendor</w:t>
      </w:r>
      <w:r w:rsidRPr="00946802">
        <w:t>.</w:t>
      </w:r>
    </w:p>
    <w:p w:rsidR="00576AF6" w:rsidRPr="00946802" w:rsidRDefault="00576AF6" w:rsidP="00576AF6">
      <w:pPr>
        <w:pStyle w:val="TROHeading2"/>
      </w:pPr>
      <w:bookmarkStart w:id="8" w:name="_Toc427748464"/>
      <w:r w:rsidRPr="00946802">
        <w:t>6. Concession and rebate</w:t>
      </w:r>
      <w:bookmarkEnd w:id="8"/>
    </w:p>
    <w:p w:rsidR="00576AF6" w:rsidRPr="00946802" w:rsidRDefault="00576AF6" w:rsidP="00576AF6">
      <w:pPr>
        <w:pStyle w:val="TROBodytext"/>
      </w:pPr>
      <w:r w:rsidRPr="00980311">
        <w:t>There are t</w:t>
      </w:r>
      <w:r w:rsidR="00440B30">
        <w:t>hree</w:t>
      </w:r>
      <w:r w:rsidRPr="00980311">
        <w:t xml:space="preserve"> types of concessions which </w:t>
      </w:r>
      <w:r w:rsidRPr="00980311">
        <w:rPr>
          <w:i/>
          <w:iCs/>
        </w:rPr>
        <w:t xml:space="preserve">approved persons </w:t>
      </w:r>
      <w:r w:rsidRPr="00980311">
        <w:t xml:space="preserve">can process through </w:t>
      </w:r>
      <w:r w:rsidRPr="00980311">
        <w:rPr>
          <w:i/>
          <w:iCs/>
        </w:rPr>
        <w:t>CBR Online</w:t>
      </w:r>
      <w:r w:rsidRPr="00946802">
        <w:t>. These are:</w:t>
      </w:r>
    </w:p>
    <w:p w:rsidR="00576AF6" w:rsidRPr="00946802" w:rsidRDefault="00576AF6" w:rsidP="00576AF6">
      <w:pPr>
        <w:pStyle w:val="TROBulletText"/>
      </w:pPr>
      <w:r w:rsidRPr="00C0012B">
        <w:rPr>
          <w:i/>
        </w:rPr>
        <w:t>Senior, Pensioner and Carer Concession</w:t>
      </w:r>
      <w:r w:rsidRPr="00980311">
        <w:t xml:space="preserve"> </w:t>
      </w:r>
      <w:r w:rsidRPr="00946802">
        <w:t>(</w:t>
      </w:r>
      <w:r w:rsidRPr="001F077C">
        <w:t>SPCC</w:t>
      </w:r>
      <w:r w:rsidRPr="00946802">
        <w:t xml:space="preserve">); </w:t>
      </w:r>
    </w:p>
    <w:p w:rsidR="00576AF6" w:rsidRDefault="00576AF6" w:rsidP="00576AF6">
      <w:pPr>
        <w:pStyle w:val="TROBulletText"/>
      </w:pPr>
      <w:r w:rsidRPr="00C0012B">
        <w:rPr>
          <w:i/>
        </w:rPr>
        <w:t>Principal Place of Residence Rebate</w:t>
      </w:r>
      <w:r w:rsidRPr="00980311">
        <w:t xml:space="preserve"> </w:t>
      </w:r>
      <w:r w:rsidRPr="00946802">
        <w:t>(</w:t>
      </w:r>
      <w:r w:rsidRPr="001F077C">
        <w:t>PPRR</w:t>
      </w:r>
      <w:r w:rsidRPr="00946802">
        <w:t>)</w:t>
      </w:r>
      <w:r w:rsidR="00440B30">
        <w:t>; and</w:t>
      </w:r>
    </w:p>
    <w:p w:rsidR="00440B30" w:rsidRPr="00946802" w:rsidRDefault="00440B30" w:rsidP="00576AF6">
      <w:pPr>
        <w:pStyle w:val="TROBulletText"/>
      </w:pPr>
      <w:r>
        <w:rPr>
          <w:i/>
        </w:rPr>
        <w:t xml:space="preserve">First Home Owner Discount </w:t>
      </w:r>
      <w:r w:rsidRPr="007B6651">
        <w:t>(FHOD)</w:t>
      </w:r>
    </w:p>
    <w:p w:rsidR="00576AF6" w:rsidRPr="00946802" w:rsidRDefault="00576AF6" w:rsidP="00576AF6">
      <w:pPr>
        <w:pStyle w:val="TROBodytext"/>
      </w:pPr>
      <w:r w:rsidRPr="00946802">
        <w:t xml:space="preserve">Information relating to each of these schemes, including current and previous rates and eligibility thresholds, is available in the guide to the respective application and on the </w:t>
      </w:r>
      <w:r w:rsidRPr="00980311">
        <w:rPr>
          <w:i/>
          <w:iCs/>
        </w:rPr>
        <w:t xml:space="preserve">TRO </w:t>
      </w:r>
      <w:r w:rsidRPr="00946802">
        <w:t>website at www.revenue.nt.gov.au.</w:t>
      </w:r>
    </w:p>
    <w:p w:rsidR="00576AF6" w:rsidRPr="00946802" w:rsidRDefault="00576AF6" w:rsidP="00576AF6">
      <w:pPr>
        <w:pStyle w:val="TROBodytext"/>
      </w:pPr>
      <w:r w:rsidRPr="00946802">
        <w:rPr>
          <w:rFonts w:ascii="Arial-BoldMT" w:hAnsi="Arial-BoldMT" w:cs="Arial-BoldMT"/>
          <w:b/>
          <w:bCs/>
        </w:rPr>
        <w:t>Note</w:t>
      </w:r>
      <w:r w:rsidRPr="00980311">
        <w:t xml:space="preserve">: If an applicant for a concession processed by an </w:t>
      </w:r>
      <w:r w:rsidRPr="00980311">
        <w:rPr>
          <w:i/>
          <w:iCs/>
        </w:rPr>
        <w:t xml:space="preserve">approved person </w:t>
      </w:r>
      <w:r w:rsidRPr="00980311">
        <w:t xml:space="preserve">is later found to be ineligible to have received it, the </w:t>
      </w:r>
      <w:r w:rsidRPr="00980311">
        <w:rPr>
          <w:i/>
          <w:iCs/>
        </w:rPr>
        <w:t xml:space="preserve">approved person </w:t>
      </w:r>
      <w:r w:rsidRPr="00946802">
        <w:t xml:space="preserve">will be absolved from any responsibility provided they retained a fully completed application form (which indicated the applicant’s eligibility) and all relevant supporting </w:t>
      </w:r>
      <w:r w:rsidRPr="00946802">
        <w:lastRenderedPageBreak/>
        <w:t>documentation, and they were unaware at the time of processing the application that the applicant(s) were ineligible.</w:t>
      </w:r>
    </w:p>
    <w:p w:rsidR="00576AF6" w:rsidRPr="00946802" w:rsidRDefault="00576AF6" w:rsidP="00576AF6">
      <w:pPr>
        <w:pStyle w:val="TROHeading3"/>
      </w:pPr>
      <w:r w:rsidRPr="00946802">
        <w:t>6.1 Application form</w:t>
      </w:r>
    </w:p>
    <w:p w:rsidR="00576AF6" w:rsidRPr="00946802" w:rsidRDefault="00576AF6" w:rsidP="00576AF6">
      <w:pPr>
        <w:pStyle w:val="TROBodytext"/>
      </w:pPr>
      <w:r w:rsidRPr="00980311">
        <w:t xml:space="preserve">The relevant application form must be fully completed and signed by all </w:t>
      </w:r>
      <w:proofErr w:type="spellStart"/>
      <w:r w:rsidRPr="00980311">
        <w:rPr>
          <w:i/>
          <w:iCs/>
        </w:rPr>
        <w:t>conveyees</w:t>
      </w:r>
      <w:proofErr w:type="spellEnd"/>
      <w:r w:rsidRPr="00980311">
        <w:rPr>
          <w:i/>
          <w:iCs/>
        </w:rPr>
        <w:t xml:space="preserve"> </w:t>
      </w:r>
      <w:r w:rsidRPr="00980311">
        <w:t xml:space="preserve">(excluding </w:t>
      </w:r>
      <w:r w:rsidRPr="00980311">
        <w:rPr>
          <w:i/>
          <w:iCs/>
        </w:rPr>
        <w:t xml:space="preserve">CEO (Housing) </w:t>
      </w:r>
      <w:r w:rsidRPr="00946802">
        <w:t xml:space="preserve">if applicable). </w:t>
      </w:r>
    </w:p>
    <w:p w:rsidR="00576AF6" w:rsidRPr="00946802" w:rsidRDefault="00576AF6" w:rsidP="00576AF6">
      <w:pPr>
        <w:pStyle w:val="TROHeading3"/>
      </w:pPr>
      <w:r w:rsidRPr="00946802">
        <w:t>6.2 Assessing an application</w:t>
      </w:r>
    </w:p>
    <w:p w:rsidR="00576AF6" w:rsidRPr="00C0012B" w:rsidRDefault="00576AF6" w:rsidP="00576AF6">
      <w:pPr>
        <w:pStyle w:val="TROHeading3"/>
        <w:rPr>
          <w:b w:val="0"/>
          <w:bCs w:val="0"/>
        </w:rPr>
      </w:pPr>
      <w:r w:rsidRPr="00C0012B">
        <w:rPr>
          <w:b w:val="0"/>
          <w:bCs w:val="0"/>
        </w:rPr>
        <w:t>Applicant eligibility</w:t>
      </w:r>
    </w:p>
    <w:p w:rsidR="00576AF6" w:rsidRPr="001F077C" w:rsidRDefault="00576AF6" w:rsidP="00576AF6">
      <w:pPr>
        <w:autoSpaceDE w:val="0"/>
        <w:autoSpaceDN w:val="0"/>
        <w:adjustRightInd w:val="0"/>
        <w:spacing w:before="120"/>
        <w:rPr>
          <w:rFonts w:cs="Times"/>
          <w:color w:val="000000"/>
          <w:sz w:val="22"/>
          <w:szCs w:val="22"/>
          <w:lang w:val="en-GB"/>
        </w:rPr>
      </w:pPr>
      <w:r w:rsidRPr="001F077C">
        <w:rPr>
          <w:rFonts w:cs="Times"/>
          <w:color w:val="000000"/>
          <w:sz w:val="22"/>
          <w:szCs w:val="22"/>
          <w:lang w:val="en-GB"/>
        </w:rPr>
        <w:t>The applicant’s responses to the eligibility questions in section 1 of the application form, and the accompanying documentation, will be used to assist in determining their eligibility.</w:t>
      </w:r>
    </w:p>
    <w:p w:rsidR="00576AF6" w:rsidRPr="00946802" w:rsidRDefault="00576AF6" w:rsidP="00576AF6">
      <w:pPr>
        <w:pStyle w:val="TROBodytext"/>
      </w:pPr>
      <w:r w:rsidRPr="00980311">
        <w:t xml:space="preserve">If you are uncertain about any aspect of an applicant’s eligibility, you should contact </w:t>
      </w:r>
      <w:r w:rsidRPr="00980311">
        <w:rPr>
          <w:i/>
          <w:iCs/>
        </w:rPr>
        <w:t>TRO</w:t>
      </w:r>
      <w:r w:rsidRPr="00946802">
        <w:t>.</w:t>
      </w:r>
    </w:p>
    <w:p w:rsidR="00576AF6" w:rsidRPr="00946802" w:rsidRDefault="00576AF6" w:rsidP="00576AF6">
      <w:pPr>
        <w:pStyle w:val="TROBodytext"/>
      </w:pPr>
      <w:r w:rsidRPr="00946802">
        <w:rPr>
          <w:rFonts w:ascii="Arial-BoldMT" w:hAnsi="Arial-BoldMT" w:cs="Arial-BoldMT"/>
          <w:b/>
          <w:bCs/>
        </w:rPr>
        <w:t>Note</w:t>
      </w:r>
      <w:r w:rsidRPr="00980311">
        <w:t xml:space="preserve">: The </w:t>
      </w:r>
      <w:r w:rsidRPr="00980311">
        <w:rPr>
          <w:i/>
          <w:iCs/>
        </w:rPr>
        <w:t xml:space="preserve">Commissioner </w:t>
      </w:r>
      <w:r w:rsidR="00756B5F">
        <w:t>has the</w:t>
      </w:r>
      <w:r w:rsidRPr="00980311">
        <w:t xml:space="preserve"> discretion to exempt or vary compliance with some (but not all) of the eligibility criteria. For further details please refer to the guide to the respective application form, or Commissioner’s Guideline CG-HI-003: </w:t>
      </w:r>
      <w:r w:rsidRPr="00980311">
        <w:rPr>
          <w:i/>
          <w:iCs/>
        </w:rPr>
        <w:t xml:space="preserve">Commissioner’s discretion to exempt or vary compliance with the eligibility criteria. </w:t>
      </w:r>
      <w:r w:rsidRPr="00980311">
        <w:t xml:space="preserve">The guideline is available on the </w:t>
      </w:r>
      <w:r w:rsidRPr="00980311">
        <w:rPr>
          <w:i/>
          <w:iCs/>
        </w:rPr>
        <w:t xml:space="preserve">TRO </w:t>
      </w:r>
      <w:r w:rsidRPr="00946802">
        <w:t xml:space="preserve">website at </w:t>
      </w:r>
      <w:hyperlink r:id="rId13" w:history="1">
        <w:r w:rsidRPr="00B97C96">
          <w:rPr>
            <w:rStyle w:val="Hyperlink"/>
            <w:u w:val="none"/>
          </w:rPr>
          <w:t>www.revenue.nt.gov.au</w:t>
        </w:r>
      </w:hyperlink>
      <w:r w:rsidRPr="00946802">
        <w:t>.</w:t>
      </w:r>
    </w:p>
    <w:p w:rsidR="00576AF6" w:rsidRPr="00C0012B" w:rsidRDefault="00576AF6" w:rsidP="00576AF6">
      <w:pPr>
        <w:pStyle w:val="TROHeading3"/>
        <w:rPr>
          <w:b w:val="0"/>
          <w:bCs w:val="0"/>
        </w:rPr>
      </w:pPr>
      <w:r w:rsidRPr="00C0012B">
        <w:rPr>
          <w:b w:val="0"/>
          <w:bCs w:val="0"/>
        </w:rPr>
        <w:t>6.2.1 Supporting documentation to be retained on file</w:t>
      </w:r>
    </w:p>
    <w:p w:rsidR="00576AF6" w:rsidRPr="00946802" w:rsidRDefault="00576AF6" w:rsidP="00576AF6">
      <w:pPr>
        <w:pStyle w:val="TROBodytext"/>
      </w:pPr>
      <w:r w:rsidRPr="00980311">
        <w:t xml:space="preserve">The supporting evidence required varies depending on the type of concession or rebate being claimed and is detailed in the guide to each respective application. A supporting documentation checklist is also provided at the back of the application form. You should work through this checklist ensuring you tick off each item as you evidence it. If you have any questions pertaining to requirements, you should contact </w:t>
      </w:r>
      <w:r w:rsidRPr="00980311">
        <w:rPr>
          <w:i/>
          <w:iCs/>
        </w:rPr>
        <w:t xml:space="preserve">TRO </w:t>
      </w:r>
      <w:r w:rsidRPr="00946802">
        <w:t>prior to processing the application.</w:t>
      </w:r>
    </w:p>
    <w:p w:rsidR="00576AF6" w:rsidRPr="00C0012B" w:rsidRDefault="00576AF6" w:rsidP="00576AF6">
      <w:pPr>
        <w:pStyle w:val="TROHeading3"/>
        <w:rPr>
          <w:b w:val="0"/>
          <w:bCs w:val="0"/>
        </w:rPr>
      </w:pPr>
      <w:r w:rsidRPr="00C0012B">
        <w:rPr>
          <w:b w:val="0"/>
          <w:bCs w:val="0"/>
        </w:rPr>
        <w:t>6.2.2 Information to be provided to the applicant</w:t>
      </w:r>
    </w:p>
    <w:p w:rsidR="00576AF6" w:rsidRPr="00946802" w:rsidRDefault="00576AF6" w:rsidP="00576AF6">
      <w:pPr>
        <w:pStyle w:val="TROBodytext"/>
      </w:pPr>
      <w:r w:rsidRPr="00980311">
        <w:t>The applicants are to retain the guide to the application</w:t>
      </w:r>
      <w:r w:rsidR="00E07184">
        <w:t>.</w:t>
      </w:r>
      <w:r w:rsidRPr="00980311">
        <w:t xml:space="preserve"> </w:t>
      </w:r>
    </w:p>
    <w:p w:rsidR="00576AF6" w:rsidRPr="00946802" w:rsidRDefault="00576AF6" w:rsidP="00576AF6">
      <w:pPr>
        <w:pStyle w:val="TROBodytext"/>
      </w:pPr>
      <w:r w:rsidRPr="00980311">
        <w:rPr>
          <w:i/>
          <w:iCs/>
        </w:rPr>
        <w:t xml:space="preserve">CBR Online </w:t>
      </w:r>
      <w:r w:rsidRPr="00946802">
        <w:t>automatically assesses the amount of stamp duty payable and the amount of the concession/rebate once all the relevant details have been entered.</w:t>
      </w:r>
    </w:p>
    <w:p w:rsidR="00576AF6" w:rsidRPr="00946802" w:rsidRDefault="00576AF6" w:rsidP="00576AF6">
      <w:pPr>
        <w:pStyle w:val="TROHeading2"/>
      </w:pPr>
      <w:bookmarkStart w:id="9" w:name="_Toc427748465"/>
      <w:r w:rsidRPr="00946802">
        <w:t>7. Assessing an approved instrument</w:t>
      </w:r>
      <w:bookmarkEnd w:id="9"/>
    </w:p>
    <w:p w:rsidR="00576AF6" w:rsidRPr="00946802" w:rsidRDefault="00576AF6" w:rsidP="00576AF6">
      <w:pPr>
        <w:pStyle w:val="TROHeading3"/>
      </w:pPr>
      <w:r w:rsidRPr="00946802">
        <w:t>7.1 Contract of sale</w:t>
      </w:r>
    </w:p>
    <w:p w:rsidR="00576AF6" w:rsidRPr="00946802" w:rsidRDefault="00576AF6" w:rsidP="00576AF6">
      <w:pPr>
        <w:pStyle w:val="TROBodytext"/>
      </w:pPr>
      <w:r w:rsidRPr="00980311">
        <w:t xml:space="preserve">Prior to assessing a contract of sale the </w:t>
      </w:r>
      <w:r w:rsidRPr="00946802">
        <w:rPr>
          <w:i/>
        </w:rPr>
        <w:t>approved person</w:t>
      </w:r>
      <w:r w:rsidRPr="00946802">
        <w:t xml:space="preserve"> must ensure:</w:t>
      </w:r>
    </w:p>
    <w:p w:rsidR="00576AF6" w:rsidRPr="00980311" w:rsidRDefault="00576AF6" w:rsidP="00576AF6">
      <w:pPr>
        <w:pStyle w:val="TROBulletText"/>
        <w:rPr>
          <w:i/>
          <w:iCs/>
        </w:rPr>
      </w:pPr>
      <w:r w:rsidRPr="00946802">
        <w:t xml:space="preserve">the contract has been dated and is within the </w:t>
      </w:r>
      <w:r w:rsidRPr="00980311">
        <w:rPr>
          <w:i/>
          <w:iCs/>
        </w:rPr>
        <w:t>allowable period</w:t>
      </w:r>
      <w:r>
        <w:rPr>
          <w:i/>
          <w:iCs/>
        </w:rPr>
        <w:t>;</w:t>
      </w:r>
    </w:p>
    <w:p w:rsidR="00576AF6" w:rsidRPr="00946802" w:rsidRDefault="00576AF6" w:rsidP="00576AF6">
      <w:pPr>
        <w:pStyle w:val="TROBulletText"/>
        <w:rPr>
          <w:rFonts w:ascii="ArialMT" w:hAnsi="ArialMT" w:cs="ArialMT"/>
          <w:sz w:val="21"/>
          <w:szCs w:val="21"/>
        </w:rPr>
      </w:pPr>
      <w:r w:rsidRPr="00946802">
        <w:rPr>
          <w:rFonts w:ascii="ArialMT" w:hAnsi="ArialMT" w:cs="ArialMT"/>
          <w:sz w:val="21"/>
          <w:szCs w:val="21"/>
        </w:rPr>
        <w:t>the contract includes:</w:t>
      </w:r>
    </w:p>
    <w:p w:rsidR="00576AF6" w:rsidRPr="00946802" w:rsidRDefault="00576AF6" w:rsidP="00576AF6">
      <w:pPr>
        <w:pStyle w:val="TRODashedText"/>
      </w:pPr>
      <w:r w:rsidRPr="00946802">
        <w:t>the names of the parties (Buyer and Seller);</w:t>
      </w:r>
    </w:p>
    <w:p w:rsidR="00576AF6" w:rsidRPr="00946802" w:rsidRDefault="00576AF6" w:rsidP="00576AF6">
      <w:pPr>
        <w:pStyle w:val="TRODashedText"/>
      </w:pPr>
      <w:r w:rsidRPr="00946802">
        <w:t>the purchase price; and</w:t>
      </w:r>
    </w:p>
    <w:p w:rsidR="00576AF6" w:rsidRPr="00946802" w:rsidRDefault="00576AF6" w:rsidP="00576AF6">
      <w:pPr>
        <w:pStyle w:val="TRODashedText"/>
      </w:pPr>
      <w:r w:rsidRPr="00946802">
        <w:t>the property details including volume and folio numbers, the legal description (Location and Lot/Section Number), plan number and unit number (if applicable)</w:t>
      </w:r>
      <w:r>
        <w:t>;</w:t>
      </w:r>
    </w:p>
    <w:p w:rsidR="00576AF6" w:rsidRPr="00946802" w:rsidRDefault="00576AF6" w:rsidP="00576AF6">
      <w:pPr>
        <w:pStyle w:val="TROBulletText"/>
      </w:pPr>
      <w:r w:rsidRPr="00980311">
        <w:t xml:space="preserve">if there has been a correction to any of the above in the contract it must be initialled by the </w:t>
      </w:r>
      <w:r w:rsidRPr="00980311">
        <w:rPr>
          <w:i/>
          <w:iCs/>
        </w:rPr>
        <w:t xml:space="preserve">approved person </w:t>
      </w:r>
      <w:r w:rsidRPr="00946802">
        <w:t>to show that the correction was made prior to stamping</w:t>
      </w:r>
      <w:r>
        <w:t>;</w:t>
      </w:r>
    </w:p>
    <w:p w:rsidR="00576AF6" w:rsidRPr="00946802" w:rsidRDefault="00576AF6" w:rsidP="00576AF6">
      <w:pPr>
        <w:pStyle w:val="TROBulletText"/>
      </w:pPr>
      <w:r w:rsidRPr="00946802">
        <w:t xml:space="preserve">the contract has been </w:t>
      </w:r>
      <w:r w:rsidRPr="00980311">
        <w:rPr>
          <w:i/>
          <w:iCs/>
        </w:rPr>
        <w:t xml:space="preserve">executed </w:t>
      </w:r>
      <w:r w:rsidRPr="00980311">
        <w:t xml:space="preserve">by the </w:t>
      </w:r>
      <w:r w:rsidRPr="00980311">
        <w:rPr>
          <w:i/>
          <w:iCs/>
        </w:rPr>
        <w:t xml:space="preserve">Vendor, </w:t>
      </w:r>
      <w:r w:rsidRPr="00980311">
        <w:t xml:space="preserve">if completed by way of exchange of contracts, or the </w:t>
      </w:r>
      <w:r w:rsidRPr="00980311">
        <w:rPr>
          <w:i/>
          <w:iCs/>
        </w:rPr>
        <w:t xml:space="preserve">Vendor </w:t>
      </w:r>
      <w:r w:rsidRPr="00946802">
        <w:rPr>
          <w:b/>
        </w:rPr>
        <w:t>and</w:t>
      </w:r>
      <w:r w:rsidRPr="00946802">
        <w:t xml:space="preserve"> Purchaser, if not completed by way of exchange</w:t>
      </w:r>
      <w:r>
        <w:t>;</w:t>
      </w:r>
    </w:p>
    <w:p w:rsidR="00576AF6" w:rsidRPr="00946802" w:rsidRDefault="00576AF6" w:rsidP="00576AF6">
      <w:pPr>
        <w:pStyle w:val="TROBulletText"/>
      </w:pPr>
      <w:r w:rsidRPr="00946802">
        <w:t xml:space="preserve">if the contract has been </w:t>
      </w:r>
      <w:r w:rsidRPr="00980311">
        <w:rPr>
          <w:i/>
          <w:iCs/>
        </w:rPr>
        <w:t xml:space="preserve">executed </w:t>
      </w:r>
      <w:r w:rsidRPr="00946802">
        <w:t>for any party under a letter of authority, ensure that the contract has been signed in accordance with the letter of authority</w:t>
      </w:r>
      <w:r>
        <w:t>; and</w:t>
      </w:r>
    </w:p>
    <w:p w:rsidR="00576AF6" w:rsidRPr="00946802" w:rsidRDefault="00576AF6" w:rsidP="00576AF6">
      <w:pPr>
        <w:pStyle w:val="TROBulletText"/>
      </w:pPr>
      <w:proofErr w:type="gramStart"/>
      <w:r w:rsidRPr="00946802">
        <w:t>are</w:t>
      </w:r>
      <w:proofErr w:type="gramEnd"/>
      <w:r w:rsidRPr="00946802">
        <w:t xml:space="preserve"> there any special conditions? If so, consider the following:</w:t>
      </w:r>
    </w:p>
    <w:p w:rsidR="00576AF6" w:rsidRPr="00946802" w:rsidRDefault="00576AF6" w:rsidP="00576AF6">
      <w:pPr>
        <w:pStyle w:val="TRODashedText"/>
      </w:pPr>
      <w:r w:rsidRPr="00946802">
        <w:lastRenderedPageBreak/>
        <w:t>if the special conditions have the effect of increasing the purchase price then the contract is to be assessed on the increased price</w:t>
      </w:r>
      <w:r>
        <w:t>;</w:t>
      </w:r>
    </w:p>
    <w:p w:rsidR="00576AF6" w:rsidRPr="00946802" w:rsidRDefault="00576AF6" w:rsidP="00576AF6">
      <w:pPr>
        <w:pStyle w:val="TRODashedText"/>
      </w:pPr>
      <w:r w:rsidRPr="00946802">
        <w:t>if the special conditions have no effect on, or decrease the purchase price, then the contract is to be assessed on the purchase price without the decrease</w:t>
      </w:r>
      <w:r>
        <w:t>; and</w:t>
      </w:r>
    </w:p>
    <w:p w:rsidR="00576AF6" w:rsidRPr="00946802" w:rsidRDefault="00576AF6" w:rsidP="00576AF6">
      <w:pPr>
        <w:pStyle w:val="TRODashedText"/>
      </w:pPr>
      <w:proofErr w:type="gramStart"/>
      <w:r w:rsidRPr="00980311">
        <w:t>if</w:t>
      </w:r>
      <w:proofErr w:type="gramEnd"/>
      <w:r w:rsidRPr="00980311">
        <w:t xml:space="preserve"> there is a special condition which links the completion of this contract to the completion of one or more other contracts the </w:t>
      </w:r>
      <w:r w:rsidRPr="00980311">
        <w:rPr>
          <w:i/>
          <w:iCs/>
        </w:rPr>
        <w:t xml:space="preserve">instrument </w:t>
      </w:r>
      <w:r w:rsidRPr="00980311">
        <w:t xml:space="preserve">must be lodged with </w:t>
      </w:r>
      <w:r w:rsidRPr="00980311">
        <w:rPr>
          <w:i/>
          <w:iCs/>
        </w:rPr>
        <w:t xml:space="preserve">TRO </w:t>
      </w:r>
      <w:r w:rsidRPr="00946802">
        <w:rPr>
          <w:rFonts w:ascii="Arial-ItalicMT" w:hAnsi="Arial-ItalicMT" w:cs="Arial-ItalicMT"/>
          <w:iCs/>
        </w:rPr>
        <w:t>for assessment</w:t>
      </w:r>
      <w:r w:rsidRPr="00946802">
        <w:t>.</w:t>
      </w:r>
    </w:p>
    <w:p w:rsidR="00576AF6" w:rsidRPr="00946802" w:rsidRDefault="00576AF6" w:rsidP="00576AF6">
      <w:pPr>
        <w:pStyle w:val="TROBodytext"/>
      </w:pPr>
      <w:r w:rsidRPr="00946802">
        <w:t xml:space="preserve">If all of these checks have been satisfied the contract details can be entered in </w:t>
      </w:r>
      <w:r w:rsidRPr="00980311">
        <w:rPr>
          <w:i/>
          <w:iCs/>
        </w:rPr>
        <w:t xml:space="preserve">CBR Online </w:t>
      </w:r>
      <w:r w:rsidRPr="00946802">
        <w:t>by following the steps at section 8 of this guide.</w:t>
      </w:r>
    </w:p>
    <w:p w:rsidR="00576AF6" w:rsidRPr="00946802" w:rsidRDefault="00576AF6" w:rsidP="00576AF6">
      <w:pPr>
        <w:pStyle w:val="TROHeading3"/>
      </w:pPr>
      <w:r w:rsidRPr="00946802">
        <w:t xml:space="preserve">7.2 Transfer in conformity with a contract of sale </w:t>
      </w:r>
    </w:p>
    <w:p w:rsidR="00576AF6" w:rsidRPr="001F077C" w:rsidRDefault="00576AF6" w:rsidP="00576AF6">
      <w:pPr>
        <w:autoSpaceDE w:val="0"/>
        <w:autoSpaceDN w:val="0"/>
        <w:adjustRightInd w:val="0"/>
        <w:spacing w:before="120"/>
        <w:rPr>
          <w:rFonts w:cs="Times"/>
          <w:color w:val="000000"/>
          <w:sz w:val="22"/>
          <w:szCs w:val="22"/>
          <w:lang w:val="en-GB"/>
        </w:rPr>
      </w:pPr>
      <w:r w:rsidRPr="001F077C">
        <w:rPr>
          <w:rFonts w:cs="Times"/>
          <w:color w:val="000000"/>
          <w:sz w:val="22"/>
          <w:szCs w:val="22"/>
          <w:lang w:val="en-GB"/>
        </w:rPr>
        <w:t>Prior to assessing a transfer in conformity with a contract of sale you must ensure:</w:t>
      </w:r>
    </w:p>
    <w:p w:rsidR="00576AF6" w:rsidRPr="00946802" w:rsidRDefault="00576AF6" w:rsidP="00576AF6">
      <w:pPr>
        <w:pStyle w:val="TROBulletText"/>
      </w:pPr>
      <w:r w:rsidRPr="00980311">
        <w:t xml:space="preserve">the transfer has been dated and is within the </w:t>
      </w:r>
      <w:r w:rsidRPr="00980311">
        <w:rPr>
          <w:i/>
          <w:iCs/>
        </w:rPr>
        <w:t>allowable period</w:t>
      </w:r>
      <w:r>
        <w:t>; and</w:t>
      </w:r>
    </w:p>
    <w:p w:rsidR="00576AF6" w:rsidRPr="001F077C" w:rsidRDefault="00576AF6" w:rsidP="00576AF6">
      <w:pPr>
        <w:pStyle w:val="TROBulletText"/>
      </w:pPr>
      <w:r w:rsidRPr="001F077C">
        <w:t>the following details are the same as on the contract:</w:t>
      </w:r>
    </w:p>
    <w:p w:rsidR="00576AF6" w:rsidRPr="00946802" w:rsidRDefault="00576AF6" w:rsidP="00576AF6">
      <w:pPr>
        <w:pStyle w:val="TRODashedText"/>
      </w:pPr>
      <w:r w:rsidRPr="00980311">
        <w:t xml:space="preserve">the names of the </w:t>
      </w:r>
      <w:r w:rsidRPr="00980311">
        <w:rPr>
          <w:i/>
          <w:iCs/>
        </w:rPr>
        <w:t xml:space="preserve">Vendor </w:t>
      </w:r>
      <w:r w:rsidRPr="00946802">
        <w:t>and Purchaser</w:t>
      </w:r>
      <w:r>
        <w:t>;</w:t>
      </w:r>
    </w:p>
    <w:p w:rsidR="00576AF6" w:rsidRPr="001F077C" w:rsidRDefault="00576AF6" w:rsidP="00576AF6">
      <w:pPr>
        <w:pStyle w:val="TRODashedText"/>
      </w:pPr>
      <w:r w:rsidRPr="001F077C">
        <w:t>the proportion of the property being transferred to each of the purchasers (if indicated on the contract);</w:t>
      </w:r>
    </w:p>
    <w:p w:rsidR="00576AF6" w:rsidRPr="001F077C" w:rsidRDefault="00576AF6" w:rsidP="00576AF6">
      <w:pPr>
        <w:pStyle w:val="TRODashedText"/>
      </w:pPr>
      <w:r w:rsidRPr="001F077C">
        <w:t>the purchase price;</w:t>
      </w:r>
    </w:p>
    <w:p w:rsidR="00576AF6" w:rsidRPr="001F077C" w:rsidRDefault="00576AF6" w:rsidP="00576AF6">
      <w:pPr>
        <w:pStyle w:val="TRODashedText"/>
      </w:pPr>
      <w:proofErr w:type="gramStart"/>
      <w:r w:rsidRPr="001F077C">
        <w:t>the</w:t>
      </w:r>
      <w:proofErr w:type="gramEnd"/>
      <w:r w:rsidRPr="001F077C">
        <w:t xml:space="preserve"> property details including the legal description (Location and Lot/Section Number), plan number and unit number (if applicable). Note that the volume and folio often change however you must be satisfied that they relate to the same property as those in the contract;</w:t>
      </w:r>
    </w:p>
    <w:p w:rsidR="00576AF6" w:rsidRPr="00946802" w:rsidRDefault="00576AF6" w:rsidP="00576AF6">
      <w:pPr>
        <w:pStyle w:val="TRODashedText"/>
      </w:pPr>
      <w:r w:rsidRPr="00980311">
        <w:t xml:space="preserve">any corrections made to the items listed above must be initialled by the </w:t>
      </w:r>
      <w:r w:rsidRPr="00980311">
        <w:rPr>
          <w:i/>
          <w:iCs/>
        </w:rPr>
        <w:t xml:space="preserve">approved person </w:t>
      </w:r>
      <w:r w:rsidRPr="00946802">
        <w:t>to show that the correction was made prior to stamping</w:t>
      </w:r>
      <w:r>
        <w:t>; and</w:t>
      </w:r>
    </w:p>
    <w:p w:rsidR="00576AF6" w:rsidRPr="00946802" w:rsidRDefault="00576AF6" w:rsidP="00576AF6">
      <w:pPr>
        <w:pStyle w:val="TRODashedText"/>
      </w:pPr>
      <w:proofErr w:type="gramStart"/>
      <w:r w:rsidRPr="00946802">
        <w:t>the</w:t>
      </w:r>
      <w:proofErr w:type="gramEnd"/>
      <w:r w:rsidRPr="00946802">
        <w:t xml:space="preserve"> </w:t>
      </w:r>
      <w:r w:rsidRPr="00980311">
        <w:rPr>
          <w:i/>
          <w:iCs/>
        </w:rPr>
        <w:t xml:space="preserve">instrument </w:t>
      </w:r>
      <w:r w:rsidRPr="00980311">
        <w:t xml:space="preserve">has been fully </w:t>
      </w:r>
      <w:r w:rsidRPr="00980311">
        <w:rPr>
          <w:i/>
          <w:iCs/>
        </w:rPr>
        <w:t xml:space="preserve">executed </w:t>
      </w:r>
      <w:r w:rsidRPr="00946802">
        <w:t>(refer to notes on the reverse of the transfer document).</w:t>
      </w:r>
    </w:p>
    <w:p w:rsidR="00576AF6" w:rsidRPr="00946802" w:rsidRDefault="00576AF6" w:rsidP="00576AF6">
      <w:pPr>
        <w:pStyle w:val="TROBodytext"/>
      </w:pPr>
      <w:r w:rsidRPr="00946802">
        <w:t xml:space="preserve">If all of these checks have been satisfied the contract details can be entered in </w:t>
      </w:r>
      <w:r w:rsidRPr="00980311">
        <w:rPr>
          <w:i/>
          <w:iCs/>
        </w:rPr>
        <w:t xml:space="preserve">CBR Online </w:t>
      </w:r>
      <w:r w:rsidRPr="00946802">
        <w:t>by following the steps at section 8 of this guide.</w:t>
      </w:r>
    </w:p>
    <w:p w:rsidR="00576AF6" w:rsidRPr="00946802" w:rsidRDefault="00576AF6" w:rsidP="00576AF6">
      <w:pPr>
        <w:pStyle w:val="TROHeading3"/>
      </w:pPr>
      <w:r w:rsidRPr="00946802">
        <w:t xml:space="preserve">7.3 Transfer is the only instrument evidencing the sale </w:t>
      </w:r>
    </w:p>
    <w:p w:rsidR="00576AF6" w:rsidRPr="00946802" w:rsidRDefault="00576AF6" w:rsidP="00576AF6">
      <w:pPr>
        <w:pStyle w:val="TROBodytext"/>
      </w:pPr>
      <w:r w:rsidRPr="00980311">
        <w:t xml:space="preserve">Where a transfer is the only </w:t>
      </w:r>
      <w:r w:rsidRPr="00980311">
        <w:rPr>
          <w:i/>
          <w:iCs/>
        </w:rPr>
        <w:t xml:space="preserve">instrument </w:t>
      </w:r>
      <w:r w:rsidRPr="00980311">
        <w:t xml:space="preserve">evidencing the sale (i.e. no contract of sale) you must take extra care to ensure that there is no pre-existing relationship between the </w:t>
      </w:r>
      <w:r w:rsidRPr="00980311">
        <w:rPr>
          <w:i/>
          <w:iCs/>
        </w:rPr>
        <w:t xml:space="preserve">Vendor </w:t>
      </w:r>
      <w:r w:rsidRPr="00980311">
        <w:t>and Purchaser. It is unusual for un</w:t>
      </w:r>
      <w:r w:rsidRPr="00980311">
        <w:rPr>
          <w:i/>
          <w:iCs/>
        </w:rPr>
        <w:t xml:space="preserve">related </w:t>
      </w:r>
      <w:r w:rsidRPr="00980311">
        <w:t xml:space="preserve">parties not to have a contract of sale that documents the conditions of sale and protects the parties’ rights during the </w:t>
      </w:r>
      <w:r w:rsidRPr="00980311">
        <w:rPr>
          <w:i/>
          <w:iCs/>
        </w:rPr>
        <w:t xml:space="preserve">conveyance </w:t>
      </w:r>
      <w:r w:rsidRPr="00946802">
        <w:t>process.</w:t>
      </w:r>
    </w:p>
    <w:p w:rsidR="00576AF6" w:rsidRPr="00980311" w:rsidRDefault="00576AF6" w:rsidP="00576AF6">
      <w:pPr>
        <w:pStyle w:val="TROBodytext"/>
        <w:rPr>
          <w:i/>
          <w:iCs/>
        </w:rPr>
      </w:pPr>
      <w:r w:rsidRPr="00946802">
        <w:t xml:space="preserve">If it is determined that the parties are </w:t>
      </w:r>
      <w:r w:rsidRPr="00980311">
        <w:rPr>
          <w:i/>
          <w:iCs/>
        </w:rPr>
        <w:t xml:space="preserve">related </w:t>
      </w:r>
      <w:r w:rsidRPr="00980311">
        <w:t xml:space="preserve">the </w:t>
      </w:r>
      <w:r w:rsidRPr="00980311">
        <w:rPr>
          <w:i/>
          <w:iCs/>
        </w:rPr>
        <w:t xml:space="preserve">instrument </w:t>
      </w:r>
      <w:r w:rsidRPr="00980311">
        <w:t xml:space="preserve">must be lodged with </w:t>
      </w:r>
      <w:r w:rsidRPr="00980311">
        <w:rPr>
          <w:i/>
          <w:iCs/>
        </w:rPr>
        <w:t xml:space="preserve">TRO </w:t>
      </w:r>
      <w:r w:rsidRPr="00980311">
        <w:t xml:space="preserve">for assessment. If not, you are able to proceed with the assessment through </w:t>
      </w:r>
      <w:r w:rsidRPr="00980311">
        <w:rPr>
          <w:i/>
          <w:iCs/>
        </w:rPr>
        <w:t xml:space="preserve">CBR Online </w:t>
      </w:r>
      <w:r w:rsidRPr="00980311">
        <w:t xml:space="preserve">once satisfied that the transfer has been fully completed and </w:t>
      </w:r>
      <w:r w:rsidRPr="00980311">
        <w:rPr>
          <w:i/>
          <w:iCs/>
        </w:rPr>
        <w:t xml:space="preserve">executed </w:t>
      </w:r>
      <w:r w:rsidRPr="00946802">
        <w:t xml:space="preserve">and that it is within the </w:t>
      </w:r>
      <w:r w:rsidRPr="00980311">
        <w:rPr>
          <w:i/>
          <w:iCs/>
        </w:rPr>
        <w:t>allowable period.</w:t>
      </w:r>
    </w:p>
    <w:p w:rsidR="00576AF6" w:rsidRPr="00946802" w:rsidRDefault="00576AF6" w:rsidP="00576AF6">
      <w:pPr>
        <w:pStyle w:val="TROHeading3"/>
      </w:pPr>
    </w:p>
    <w:p w:rsidR="00576AF6" w:rsidRPr="00946802" w:rsidRDefault="00576AF6" w:rsidP="00576AF6">
      <w:pPr>
        <w:pStyle w:val="TROHeading3"/>
      </w:pPr>
    </w:p>
    <w:p w:rsidR="00576AF6" w:rsidRPr="00946802" w:rsidRDefault="00576AF6" w:rsidP="00576AF6">
      <w:pPr>
        <w:autoSpaceDE w:val="0"/>
        <w:autoSpaceDN w:val="0"/>
        <w:adjustRightInd w:val="0"/>
        <w:rPr>
          <w:rFonts w:ascii="MyriadPro-Regular" w:hAnsi="MyriadPro-Regular" w:cs="MyriadPro-Regular"/>
          <w:sz w:val="32"/>
          <w:szCs w:val="32"/>
        </w:rPr>
      </w:pPr>
    </w:p>
    <w:p w:rsidR="00576AF6" w:rsidRPr="00946802" w:rsidRDefault="00576AF6" w:rsidP="00576AF6">
      <w:pPr>
        <w:pStyle w:val="TROHeading2"/>
      </w:pPr>
      <w:r w:rsidRPr="00946802">
        <w:br w:type="page"/>
      </w:r>
    </w:p>
    <w:p w:rsidR="00576AF6" w:rsidRPr="00946802" w:rsidRDefault="00576AF6" w:rsidP="00576AF6">
      <w:pPr>
        <w:pStyle w:val="TROHeading2"/>
      </w:pPr>
      <w:bookmarkStart w:id="10" w:name="_Toc427748466"/>
      <w:r w:rsidRPr="00946802">
        <w:lastRenderedPageBreak/>
        <w:t>8. Entering data in CBR</w:t>
      </w:r>
      <w:bookmarkEnd w:id="10"/>
    </w:p>
    <w:p w:rsidR="00576AF6" w:rsidRPr="00946802" w:rsidRDefault="00576AF6" w:rsidP="00576AF6">
      <w:pPr>
        <w:pStyle w:val="TROHeading3"/>
      </w:pPr>
      <w:r w:rsidRPr="00946802">
        <w:t>8.1 Log</w:t>
      </w:r>
      <w:r>
        <w:t xml:space="preserve"> </w:t>
      </w:r>
      <w:r w:rsidRPr="00946802">
        <w:t>in/Log</w:t>
      </w:r>
      <w:r>
        <w:t xml:space="preserve"> </w:t>
      </w:r>
      <w:r w:rsidRPr="00946802">
        <w:t xml:space="preserve">out </w:t>
      </w:r>
    </w:p>
    <w:p w:rsidR="00576AF6" w:rsidRPr="00C0012B" w:rsidRDefault="00576AF6" w:rsidP="00576AF6">
      <w:pPr>
        <w:pStyle w:val="TROHeading3"/>
        <w:rPr>
          <w:b w:val="0"/>
          <w:bCs w:val="0"/>
        </w:rPr>
      </w:pPr>
      <w:r w:rsidRPr="00C0012B">
        <w:rPr>
          <w:b w:val="0"/>
          <w:bCs w:val="0"/>
        </w:rPr>
        <w:t>Log</w:t>
      </w:r>
      <w:r>
        <w:rPr>
          <w:b w:val="0"/>
          <w:bCs w:val="0"/>
        </w:rPr>
        <w:t xml:space="preserve"> i</w:t>
      </w:r>
      <w:r w:rsidRPr="00C0012B">
        <w:rPr>
          <w:b w:val="0"/>
          <w:bCs w:val="0"/>
        </w:rPr>
        <w:t>n</w:t>
      </w:r>
    </w:p>
    <w:p w:rsidR="00576AF6" w:rsidRPr="00946802" w:rsidRDefault="00576AF6" w:rsidP="00405C84">
      <w:pPr>
        <w:pStyle w:val="TRONumberText"/>
      </w:pPr>
      <w:r w:rsidRPr="00946802">
        <w:t xml:space="preserve">Open an approved browser and enter the URL </w:t>
      </w:r>
      <w:hyperlink r:id="rId14" w:history="1">
        <w:r w:rsidR="00440B30">
          <w:t>https://intra.nt.gov.au</w:t>
        </w:r>
      </w:hyperlink>
      <w:r w:rsidRPr="00946802">
        <w:t xml:space="preserve">. </w:t>
      </w:r>
    </w:p>
    <w:p w:rsidR="00576AF6" w:rsidRPr="00946802" w:rsidRDefault="00576AF6" w:rsidP="00576AF6">
      <w:pPr>
        <w:pStyle w:val="TRONumberText"/>
      </w:pPr>
      <w:r w:rsidRPr="00946802">
        <w:t xml:space="preserve">Enter your user name </w:t>
      </w:r>
      <w:r w:rsidR="00440B30">
        <w:t xml:space="preserve">(email address) </w:t>
      </w:r>
      <w:r w:rsidRPr="00946802">
        <w:t>and password and click ‘Log-in’.</w:t>
      </w:r>
    </w:p>
    <w:p w:rsidR="00576AF6" w:rsidRPr="00946802" w:rsidRDefault="00576AF6" w:rsidP="00576AF6">
      <w:pPr>
        <w:pStyle w:val="TRONumberText"/>
      </w:pPr>
      <w:r w:rsidRPr="00946802">
        <w:t xml:space="preserve">The </w:t>
      </w:r>
      <w:r w:rsidR="00440B30">
        <w:t xml:space="preserve">client index panel </w:t>
      </w:r>
      <w:r w:rsidRPr="00946802">
        <w:t>appears.</w:t>
      </w:r>
    </w:p>
    <w:p w:rsidR="00576AF6" w:rsidRPr="00946802" w:rsidRDefault="00576AF6" w:rsidP="00576AF6">
      <w:pPr>
        <w:pStyle w:val="TRONumberText"/>
      </w:pPr>
      <w:r w:rsidRPr="00946802">
        <w:t>You are now logged on to the program.</w:t>
      </w:r>
    </w:p>
    <w:p w:rsidR="00576AF6" w:rsidRPr="00C0012B" w:rsidRDefault="00576AF6" w:rsidP="00576AF6">
      <w:pPr>
        <w:pStyle w:val="TROHeading3"/>
        <w:rPr>
          <w:b w:val="0"/>
          <w:bCs w:val="0"/>
        </w:rPr>
      </w:pPr>
      <w:r w:rsidRPr="00C0012B">
        <w:rPr>
          <w:b w:val="0"/>
          <w:bCs w:val="0"/>
        </w:rPr>
        <w:t>Log</w:t>
      </w:r>
      <w:r>
        <w:rPr>
          <w:b w:val="0"/>
          <w:bCs w:val="0"/>
        </w:rPr>
        <w:t xml:space="preserve"> </w:t>
      </w:r>
      <w:r w:rsidRPr="00C0012B">
        <w:rPr>
          <w:b w:val="0"/>
          <w:bCs w:val="0"/>
        </w:rPr>
        <w:t>out</w:t>
      </w:r>
    </w:p>
    <w:p w:rsidR="00576AF6" w:rsidRPr="00946802" w:rsidRDefault="00576AF6" w:rsidP="00576AF6">
      <w:pPr>
        <w:pStyle w:val="TRONumberText"/>
        <w:numPr>
          <w:ilvl w:val="0"/>
          <w:numId w:val="23"/>
        </w:numPr>
      </w:pPr>
      <w:r w:rsidRPr="00946802">
        <w:t xml:space="preserve">Click on </w:t>
      </w:r>
      <w:r w:rsidR="00440B30">
        <w:t>your email address</w:t>
      </w:r>
      <w:r w:rsidRPr="00946802">
        <w:t xml:space="preserve"> in the top right hand corner of the screen</w:t>
      </w:r>
      <w:r w:rsidR="00440B30">
        <w:t xml:space="preserve"> and click ‘Log out’</w:t>
      </w:r>
      <w:r w:rsidRPr="00946802">
        <w:t>.</w:t>
      </w:r>
    </w:p>
    <w:p w:rsidR="00576AF6" w:rsidRPr="00946802" w:rsidRDefault="00576AF6" w:rsidP="00576AF6">
      <w:pPr>
        <w:pStyle w:val="TRONumberText"/>
      </w:pPr>
      <w:r w:rsidRPr="00946802">
        <w:t>You will be taken back to the home page.</w:t>
      </w:r>
    </w:p>
    <w:p w:rsidR="00576AF6" w:rsidRPr="00946802" w:rsidRDefault="00576AF6" w:rsidP="00576AF6">
      <w:pPr>
        <w:pStyle w:val="TROHeading3"/>
      </w:pPr>
      <w:r w:rsidRPr="00946802">
        <w:t>8.2 Duty calculator</w:t>
      </w:r>
    </w:p>
    <w:p w:rsidR="00576AF6" w:rsidRPr="00946802" w:rsidRDefault="00576AF6" w:rsidP="00576AF6">
      <w:pPr>
        <w:pStyle w:val="TROBodytext"/>
      </w:pPr>
      <w:r w:rsidRPr="00946802">
        <w:rPr>
          <w:i/>
        </w:rPr>
        <w:t>CBR Online</w:t>
      </w:r>
      <w:r w:rsidRPr="00980311">
        <w:t xml:space="preserve"> provides users with the ability to access an online stamp duty calculator. The duty calculator enables you to calculate the duty on a </w:t>
      </w:r>
      <w:r w:rsidRPr="00980311">
        <w:rPr>
          <w:i/>
          <w:iCs/>
        </w:rPr>
        <w:t xml:space="preserve">conveyance </w:t>
      </w:r>
      <w:r w:rsidRPr="00946802">
        <w:t>and to print a quote for your client.</w:t>
      </w:r>
    </w:p>
    <w:p w:rsidR="00D9716A" w:rsidRDefault="00D9716A" w:rsidP="00576AF6">
      <w:pPr>
        <w:pStyle w:val="TRONumberText"/>
        <w:numPr>
          <w:ilvl w:val="0"/>
          <w:numId w:val="24"/>
        </w:numPr>
      </w:pPr>
      <w:r>
        <w:t xml:space="preserve">Once logged in to </w:t>
      </w:r>
      <w:r w:rsidRPr="00227296">
        <w:rPr>
          <w:i/>
        </w:rPr>
        <w:t>CBR Online</w:t>
      </w:r>
      <w:r>
        <w:t xml:space="preserve">, click on ‘External Links’ on the </w:t>
      </w:r>
    </w:p>
    <w:p w:rsidR="00576AF6" w:rsidRPr="00946802" w:rsidRDefault="00D9716A" w:rsidP="00D9716A">
      <w:pPr>
        <w:pStyle w:val="TRONumberText"/>
        <w:numPr>
          <w:ilvl w:val="0"/>
          <w:numId w:val="24"/>
        </w:numPr>
      </w:pPr>
      <w:r>
        <w:t xml:space="preserve">Click on ‘Stamp Duty Calculator’. </w:t>
      </w:r>
    </w:p>
    <w:p w:rsidR="00576AF6" w:rsidRPr="00946802" w:rsidRDefault="00576AF6" w:rsidP="00576AF6">
      <w:pPr>
        <w:pStyle w:val="TRONumberText"/>
        <w:numPr>
          <w:ilvl w:val="0"/>
          <w:numId w:val="24"/>
        </w:numPr>
      </w:pPr>
      <w:r w:rsidRPr="00946802">
        <w:t>This will open a new tab in your browser which you can personalise to include details of your client and/or the relevant property prior to performing the calculation of duty.</w:t>
      </w:r>
    </w:p>
    <w:p w:rsidR="00576AF6" w:rsidRPr="00946802" w:rsidRDefault="00576AF6" w:rsidP="00576AF6">
      <w:pPr>
        <w:pStyle w:val="TRONumberText"/>
        <w:numPr>
          <w:ilvl w:val="0"/>
          <w:numId w:val="24"/>
        </w:numPr>
      </w:pPr>
      <w:r w:rsidRPr="00946802">
        <w:t xml:space="preserve">Once completed, simply close this tab to return to </w:t>
      </w:r>
      <w:r w:rsidRPr="001372C8">
        <w:rPr>
          <w:i/>
        </w:rPr>
        <w:t>CBR Online</w:t>
      </w:r>
      <w:r w:rsidRPr="00946802">
        <w:t xml:space="preserve">. </w:t>
      </w:r>
    </w:p>
    <w:p w:rsidR="00576AF6" w:rsidRPr="00946802" w:rsidRDefault="00576AF6" w:rsidP="00576AF6">
      <w:pPr>
        <w:pStyle w:val="TROHeading3"/>
      </w:pPr>
      <w:r w:rsidRPr="00946802">
        <w:t xml:space="preserve">8.3 </w:t>
      </w:r>
      <w:r>
        <w:t xml:space="preserve">Conveyance – contract of sale </w:t>
      </w:r>
    </w:p>
    <w:p w:rsidR="00576AF6" w:rsidRPr="00946802" w:rsidRDefault="00576AF6" w:rsidP="00576AF6">
      <w:pPr>
        <w:pStyle w:val="TROBodytext"/>
        <w:rPr>
          <w:i/>
        </w:rPr>
      </w:pPr>
      <w:r w:rsidRPr="00980311">
        <w:t xml:space="preserve">The data entry requirements for a </w:t>
      </w:r>
      <w:r w:rsidRPr="00980311">
        <w:rPr>
          <w:i/>
          <w:iCs/>
        </w:rPr>
        <w:t xml:space="preserve">conveyance </w:t>
      </w:r>
      <w:r w:rsidRPr="00980311">
        <w:t xml:space="preserve">will vary depending on the nature of the transaction, including whether </w:t>
      </w:r>
      <w:r w:rsidRPr="00946802">
        <w:rPr>
          <w:rFonts w:ascii="Arial-ItalicMT" w:hAnsi="Arial-ItalicMT" w:cs="Arial-ItalicMT"/>
          <w:iCs/>
        </w:rPr>
        <w:t>the instrument is an eligible conditional agreement</w:t>
      </w:r>
      <w:r w:rsidRPr="00946802">
        <w:t xml:space="preserve">. The instructions below will provide you with guidance on how to enter the transaction in </w:t>
      </w:r>
      <w:r w:rsidRPr="00946802">
        <w:rPr>
          <w:i/>
        </w:rPr>
        <w:t>CBR Online.</w:t>
      </w:r>
    </w:p>
    <w:p w:rsidR="00576AF6" w:rsidRPr="00946802" w:rsidRDefault="00576AF6" w:rsidP="00576AF6">
      <w:pPr>
        <w:pStyle w:val="TRONumberText"/>
        <w:numPr>
          <w:ilvl w:val="0"/>
          <w:numId w:val="25"/>
        </w:numPr>
      </w:pPr>
      <w:r w:rsidRPr="00946802">
        <w:t xml:space="preserve">Log-in to </w:t>
      </w:r>
      <w:r w:rsidRPr="001372C8">
        <w:rPr>
          <w:i/>
        </w:rPr>
        <w:t>CBR Online</w:t>
      </w:r>
      <w:r w:rsidRPr="00946802">
        <w:t>.</w:t>
      </w:r>
    </w:p>
    <w:p w:rsidR="00576AF6" w:rsidRPr="00946802" w:rsidRDefault="00440B30" w:rsidP="00576AF6">
      <w:pPr>
        <w:pStyle w:val="TRONumberText"/>
        <w:numPr>
          <w:ilvl w:val="0"/>
          <w:numId w:val="25"/>
        </w:numPr>
      </w:pPr>
      <w:r>
        <w:t xml:space="preserve">From the ‘client index panel’, click on ‘CBR’. </w:t>
      </w:r>
    </w:p>
    <w:p w:rsidR="00576AF6" w:rsidRPr="00946802" w:rsidRDefault="00440B30" w:rsidP="00576AF6">
      <w:pPr>
        <w:pStyle w:val="TRONumberText"/>
        <w:numPr>
          <w:ilvl w:val="0"/>
          <w:numId w:val="25"/>
        </w:numPr>
      </w:pPr>
      <w:r>
        <w:t>In the ‘stamp duty panel’ click on ‘Add new assessment’.</w:t>
      </w:r>
    </w:p>
    <w:p w:rsidR="00576AF6" w:rsidRPr="00946802" w:rsidRDefault="00576AF6" w:rsidP="00576AF6">
      <w:pPr>
        <w:pStyle w:val="TRONumberText"/>
        <w:numPr>
          <w:ilvl w:val="0"/>
          <w:numId w:val="25"/>
        </w:numPr>
      </w:pPr>
      <w:r w:rsidRPr="00946802">
        <w:t xml:space="preserve">Using the information available in the contract of sale, </w:t>
      </w:r>
      <w:r w:rsidR="00440B30">
        <w:t xml:space="preserve">and concession form if applicable, </w:t>
      </w:r>
      <w:r w:rsidRPr="00946802">
        <w:t>enter all relevant details into the screen (noting that those marked with a</w:t>
      </w:r>
      <w:r w:rsidR="00440B30">
        <w:t>n</w:t>
      </w:r>
      <w:r w:rsidRPr="00946802">
        <w:t xml:space="preserve"> asterisk are mandatory fields).</w:t>
      </w:r>
    </w:p>
    <w:p w:rsidR="00576AF6" w:rsidRDefault="00576AF6" w:rsidP="00576AF6">
      <w:pPr>
        <w:pStyle w:val="TRONumberText"/>
        <w:numPr>
          <w:ilvl w:val="0"/>
          <w:numId w:val="25"/>
        </w:numPr>
      </w:pPr>
      <w:r w:rsidRPr="00946802">
        <w:t xml:space="preserve">Tick to accept the terms of service, </w:t>
      </w:r>
      <w:proofErr w:type="gramStart"/>
      <w:r w:rsidRPr="00946802">
        <w:t>then</w:t>
      </w:r>
      <w:proofErr w:type="gramEnd"/>
      <w:r w:rsidRPr="00946802">
        <w:t xml:space="preserve"> click ‘Next’.</w:t>
      </w:r>
    </w:p>
    <w:p w:rsidR="00405C84" w:rsidRPr="00946802" w:rsidRDefault="00405C84" w:rsidP="00576AF6">
      <w:pPr>
        <w:pStyle w:val="TRONumberText"/>
        <w:numPr>
          <w:ilvl w:val="0"/>
          <w:numId w:val="25"/>
        </w:numPr>
      </w:pPr>
      <w:r>
        <w:t>Click on ‘Add Party’.</w:t>
      </w:r>
    </w:p>
    <w:p w:rsidR="00405C84" w:rsidRDefault="00405C84" w:rsidP="00576AF6">
      <w:pPr>
        <w:pStyle w:val="TRONumberText"/>
        <w:numPr>
          <w:ilvl w:val="0"/>
          <w:numId w:val="25"/>
        </w:numPr>
      </w:pPr>
      <w:r>
        <w:t xml:space="preserve">In the ‘relationship’ field, </w:t>
      </w:r>
      <w:r w:rsidR="00576AF6" w:rsidRPr="00946802">
        <w:t xml:space="preserve">select </w:t>
      </w:r>
      <w:r>
        <w:t>Buyer or Seller.</w:t>
      </w:r>
    </w:p>
    <w:p w:rsidR="00576AF6" w:rsidRPr="00946802" w:rsidRDefault="00405C84" w:rsidP="00576AF6">
      <w:pPr>
        <w:pStyle w:val="TRONumberText"/>
        <w:numPr>
          <w:ilvl w:val="0"/>
          <w:numId w:val="25"/>
        </w:numPr>
      </w:pPr>
      <w:r>
        <w:t>In the ‘type’ field, select the party type</w:t>
      </w:r>
      <w:r w:rsidR="00576AF6" w:rsidRPr="00946802">
        <w:t>.</w:t>
      </w:r>
    </w:p>
    <w:p w:rsidR="00576AF6" w:rsidRPr="00946802" w:rsidRDefault="00576AF6" w:rsidP="00576AF6">
      <w:pPr>
        <w:pStyle w:val="TRONumberText"/>
        <w:numPr>
          <w:ilvl w:val="0"/>
          <w:numId w:val="25"/>
        </w:numPr>
      </w:pPr>
      <w:r w:rsidRPr="00946802">
        <w:t>Enter the relevant details, noting that fields marked with a</w:t>
      </w:r>
      <w:r w:rsidR="00405C84">
        <w:t>n</w:t>
      </w:r>
      <w:r w:rsidRPr="00946802">
        <w:t xml:space="preserve"> asterisk are mandatory</w:t>
      </w:r>
      <w:r w:rsidR="00405C84">
        <w:t xml:space="preserve"> (noting that Date of Birth is only mandatory for buyers claiming the FHOD</w:t>
      </w:r>
      <w:r w:rsidRPr="00946802">
        <w:t>, then click ‘</w:t>
      </w:r>
      <w:r w:rsidR="00405C84">
        <w:t>Save</w:t>
      </w:r>
      <w:r w:rsidRPr="00946802">
        <w:t xml:space="preserve">’. </w:t>
      </w:r>
    </w:p>
    <w:p w:rsidR="00576AF6" w:rsidRPr="00946802" w:rsidRDefault="00405C84" w:rsidP="00576AF6">
      <w:pPr>
        <w:pStyle w:val="TRONumberText"/>
        <w:numPr>
          <w:ilvl w:val="0"/>
          <w:numId w:val="25"/>
        </w:numPr>
      </w:pPr>
      <w:r>
        <w:t>R</w:t>
      </w:r>
      <w:r w:rsidR="00576AF6" w:rsidRPr="00946802">
        <w:t>epeat th</w:t>
      </w:r>
      <w:r>
        <w:t>is</w:t>
      </w:r>
      <w:r w:rsidR="00576AF6" w:rsidRPr="00946802">
        <w:t xml:space="preserve"> process</w:t>
      </w:r>
      <w:r>
        <w:t xml:space="preserve"> until all buyers and sellers have been added</w:t>
      </w:r>
      <w:r w:rsidR="00576AF6" w:rsidRPr="00946802">
        <w:t>.</w:t>
      </w:r>
    </w:p>
    <w:p w:rsidR="00405C84" w:rsidRDefault="00576AF6" w:rsidP="00576AF6">
      <w:pPr>
        <w:pStyle w:val="TRONumberText"/>
        <w:numPr>
          <w:ilvl w:val="0"/>
          <w:numId w:val="25"/>
        </w:numPr>
      </w:pPr>
      <w:r w:rsidRPr="00946802">
        <w:t xml:space="preserve">Once all </w:t>
      </w:r>
      <w:r w:rsidR="00405C84">
        <w:t>parties</w:t>
      </w:r>
      <w:r w:rsidRPr="00946802">
        <w:t xml:space="preserve"> have been entered, you can eithe</w:t>
      </w:r>
      <w:r w:rsidR="00405C84">
        <w:t>r</w:t>
      </w:r>
    </w:p>
    <w:p w:rsidR="00405C84" w:rsidRDefault="00576AF6" w:rsidP="007B6651">
      <w:pPr>
        <w:pStyle w:val="TRONumberText"/>
        <w:numPr>
          <w:ilvl w:val="1"/>
          <w:numId w:val="25"/>
        </w:numPr>
      </w:pPr>
      <w:r w:rsidRPr="00946802">
        <w:t>click ‘</w:t>
      </w:r>
      <w:r w:rsidR="00405C84">
        <w:t>Next</w:t>
      </w:r>
      <w:r w:rsidRPr="00946802">
        <w:t>’ to view the stamp</w:t>
      </w:r>
      <w:r w:rsidR="00405C84">
        <w:t>;</w:t>
      </w:r>
    </w:p>
    <w:p w:rsidR="00405C84" w:rsidRDefault="00405C84" w:rsidP="007B6651">
      <w:pPr>
        <w:pStyle w:val="TRONumberText"/>
        <w:numPr>
          <w:ilvl w:val="1"/>
          <w:numId w:val="25"/>
        </w:numPr>
      </w:pPr>
      <w:r>
        <w:t>click ‘assessment’ or ‘manage parties’ in the navigation bar</w:t>
      </w:r>
      <w:r w:rsidR="00576AF6" w:rsidRPr="00946802">
        <w:t xml:space="preserve"> </w:t>
      </w:r>
      <w:r>
        <w:t>to make changes; or</w:t>
      </w:r>
    </w:p>
    <w:p w:rsidR="00576AF6" w:rsidRPr="00946802" w:rsidRDefault="00405C84" w:rsidP="007B6651">
      <w:pPr>
        <w:pStyle w:val="TRONumberText"/>
        <w:numPr>
          <w:ilvl w:val="1"/>
          <w:numId w:val="25"/>
        </w:numPr>
      </w:pPr>
      <w:proofErr w:type="gramStart"/>
      <w:r>
        <w:lastRenderedPageBreak/>
        <w:t>click</w:t>
      </w:r>
      <w:proofErr w:type="gramEnd"/>
      <w:r>
        <w:t xml:space="preserve"> on 'stamp duty’ or the ‘home’ button in the top right hand corner to return to the ‘stamp duty panel’ or ‘client index panel’ respectively. </w:t>
      </w:r>
    </w:p>
    <w:p w:rsidR="00576AF6" w:rsidRPr="00946802" w:rsidRDefault="00576AF6" w:rsidP="00576AF6">
      <w:pPr>
        <w:pStyle w:val="TROBodytext"/>
        <w:pBdr>
          <w:top w:val="single" w:sz="4" w:space="4" w:color="F2F2F2" w:themeColor="background1" w:themeShade="F2"/>
          <w:left w:val="single" w:sz="4" w:space="4" w:color="F2F2F2" w:themeColor="background1" w:themeShade="F2"/>
          <w:bottom w:val="single" w:sz="4" w:space="4" w:color="F2F2F2" w:themeColor="background1" w:themeShade="F2"/>
          <w:right w:val="single" w:sz="4" w:space="4" w:color="F2F2F2" w:themeColor="background1" w:themeShade="F2"/>
        </w:pBdr>
        <w:shd w:val="clear" w:color="auto" w:fill="F2F2F2" w:themeFill="background1" w:themeFillShade="F2"/>
      </w:pPr>
      <w:r w:rsidRPr="00946802">
        <w:rPr>
          <w:b/>
        </w:rPr>
        <w:t>Note</w:t>
      </w:r>
      <w:r>
        <w:rPr>
          <w:b/>
        </w:rPr>
        <w:t>s</w:t>
      </w:r>
      <w:r w:rsidRPr="00946802">
        <w:rPr>
          <w:b/>
        </w:rPr>
        <w:t xml:space="preserve">: </w:t>
      </w:r>
      <w:r w:rsidRPr="00980311">
        <w:t xml:space="preserve">The transaction will now be contained in </w:t>
      </w:r>
      <w:r w:rsidRPr="00946802">
        <w:rPr>
          <w:i/>
        </w:rPr>
        <w:t>CBR Online</w:t>
      </w:r>
      <w:r w:rsidRPr="00980311">
        <w:t xml:space="preserve"> as a ‘Pending’ transaction. Once settlement has occurred, you must go back in to </w:t>
      </w:r>
      <w:r w:rsidRPr="00946802">
        <w:rPr>
          <w:i/>
        </w:rPr>
        <w:t xml:space="preserve">CBR Online </w:t>
      </w:r>
      <w:r w:rsidRPr="00946802">
        <w:t>to complete the transaction (refer to section 10 of this guide).</w:t>
      </w:r>
    </w:p>
    <w:p w:rsidR="00576AF6" w:rsidRPr="00946802" w:rsidRDefault="00576AF6" w:rsidP="00576AF6">
      <w:pPr>
        <w:pStyle w:val="TROBodytext"/>
        <w:pBdr>
          <w:top w:val="single" w:sz="4" w:space="4" w:color="F2F2F2" w:themeColor="background1" w:themeShade="F2"/>
          <w:left w:val="single" w:sz="4" w:space="4" w:color="F2F2F2" w:themeColor="background1" w:themeShade="F2"/>
          <w:bottom w:val="single" w:sz="4" w:space="4" w:color="F2F2F2" w:themeColor="background1" w:themeShade="F2"/>
          <w:right w:val="single" w:sz="4" w:space="4" w:color="F2F2F2" w:themeColor="background1" w:themeShade="F2"/>
        </w:pBdr>
        <w:shd w:val="clear" w:color="auto" w:fill="F2F2F2" w:themeFill="background1" w:themeFillShade="F2"/>
      </w:pPr>
      <w:r w:rsidRPr="00980311">
        <w:t xml:space="preserve">If you are assessing an </w:t>
      </w:r>
      <w:r w:rsidRPr="00980311">
        <w:rPr>
          <w:i/>
          <w:iCs/>
        </w:rPr>
        <w:t xml:space="preserve">instrument </w:t>
      </w:r>
      <w:r w:rsidRPr="00980311">
        <w:t xml:space="preserve">on the basis it was a conditional agreement you must retain supporting documentation evidencing when it became unconditional. This information may be requested as part of </w:t>
      </w:r>
      <w:r w:rsidRPr="00980311">
        <w:rPr>
          <w:i/>
          <w:iCs/>
        </w:rPr>
        <w:t xml:space="preserve">TRO’s </w:t>
      </w:r>
      <w:r w:rsidRPr="00946802">
        <w:t>compliance program (refer to section 3 of this guide).</w:t>
      </w:r>
    </w:p>
    <w:p w:rsidR="00576AF6" w:rsidRPr="00946802" w:rsidRDefault="00576AF6" w:rsidP="00576AF6">
      <w:pPr>
        <w:pStyle w:val="TROHeading3"/>
      </w:pPr>
      <w:r w:rsidRPr="00946802">
        <w:t>8.4 Conveyance – ‘Buy out’ of CEO (Housing) share</w:t>
      </w:r>
    </w:p>
    <w:p w:rsidR="00576AF6" w:rsidRPr="00946802" w:rsidRDefault="00576AF6" w:rsidP="00576AF6">
      <w:pPr>
        <w:pStyle w:val="TROBodytext"/>
      </w:pPr>
      <w:r w:rsidRPr="00980311">
        <w:t xml:space="preserve">Where a person owns an interest in property in shares with </w:t>
      </w:r>
      <w:r w:rsidRPr="00980311">
        <w:rPr>
          <w:i/>
          <w:iCs/>
        </w:rPr>
        <w:t xml:space="preserve">CEO (Housing) </w:t>
      </w:r>
      <w:r w:rsidRPr="00980311">
        <w:t xml:space="preserve">under the HOMESTART NT Shared Equity scheme (previously Home North), and subsequently acquires the interest held by </w:t>
      </w:r>
      <w:r w:rsidRPr="00980311">
        <w:rPr>
          <w:i/>
          <w:iCs/>
        </w:rPr>
        <w:t>CEO (Housing)</w:t>
      </w:r>
      <w:r w:rsidRPr="00980311">
        <w:t xml:space="preserve">, the transaction under which the second share is acquired can be assessed through </w:t>
      </w:r>
      <w:r w:rsidRPr="00980311">
        <w:rPr>
          <w:i/>
          <w:iCs/>
        </w:rPr>
        <w:t xml:space="preserve">CBR Online </w:t>
      </w:r>
      <w:r w:rsidRPr="00946802">
        <w:t>under the following conditions:</w:t>
      </w:r>
    </w:p>
    <w:p w:rsidR="00576AF6" w:rsidRPr="00946802" w:rsidRDefault="00576AF6" w:rsidP="00576AF6">
      <w:pPr>
        <w:pStyle w:val="TROBulletText"/>
      </w:pPr>
      <w:r w:rsidRPr="00946802">
        <w:t xml:space="preserve">the person acquiring the interest from </w:t>
      </w:r>
      <w:r w:rsidRPr="00980311">
        <w:rPr>
          <w:i/>
          <w:iCs/>
        </w:rPr>
        <w:t xml:space="preserve">CEO (Housing) </w:t>
      </w:r>
      <w:r w:rsidRPr="00946802">
        <w:t>is one and the same as already noted on the title; and</w:t>
      </w:r>
    </w:p>
    <w:p w:rsidR="00576AF6" w:rsidRPr="00B97C96" w:rsidRDefault="00576AF6" w:rsidP="00576AF6">
      <w:pPr>
        <w:pStyle w:val="TROBulletText"/>
      </w:pPr>
      <w:r w:rsidRPr="00B97C96">
        <w:t>no other person gains an interest in the property under the same transaction; and</w:t>
      </w:r>
    </w:p>
    <w:p w:rsidR="00576AF6" w:rsidRPr="00B97C96" w:rsidRDefault="00576AF6" w:rsidP="00576AF6">
      <w:pPr>
        <w:pStyle w:val="TROBulletText"/>
      </w:pPr>
      <w:proofErr w:type="gramStart"/>
      <w:r w:rsidRPr="00B97C96">
        <w:t>the</w:t>
      </w:r>
      <w:proofErr w:type="gramEnd"/>
      <w:r w:rsidRPr="00B97C96">
        <w:t xml:space="preserve"> assessable value is equal to that noted in the letter from HOMESTART NT.</w:t>
      </w:r>
    </w:p>
    <w:p w:rsidR="00576AF6" w:rsidRPr="00946802" w:rsidRDefault="00576AF6" w:rsidP="00576AF6">
      <w:pPr>
        <w:pStyle w:val="TROBodytext"/>
      </w:pPr>
      <w:r w:rsidRPr="00980311">
        <w:t xml:space="preserve">Where these conditions are met the </w:t>
      </w:r>
      <w:r w:rsidRPr="00980311">
        <w:rPr>
          <w:i/>
          <w:iCs/>
        </w:rPr>
        <w:t xml:space="preserve">instrument </w:t>
      </w:r>
      <w:r w:rsidRPr="00946802">
        <w:t>of transfer can be assessed following the steps under section 8.3 of this guide.</w:t>
      </w:r>
    </w:p>
    <w:p w:rsidR="00576AF6" w:rsidRPr="00946802" w:rsidRDefault="00576AF6" w:rsidP="00576AF6">
      <w:pPr>
        <w:autoSpaceDE w:val="0"/>
        <w:autoSpaceDN w:val="0"/>
        <w:adjustRightInd w:val="0"/>
        <w:spacing w:before="120"/>
        <w:rPr>
          <w:rFonts w:ascii="MyriadPro-Regular" w:hAnsi="MyriadPro-Regular" w:cs="MyriadPro-Regular"/>
          <w:sz w:val="21"/>
          <w:szCs w:val="21"/>
        </w:rPr>
      </w:pPr>
    </w:p>
    <w:p w:rsidR="00576AF6" w:rsidRPr="00946802" w:rsidRDefault="00576AF6" w:rsidP="00576AF6">
      <w:pPr>
        <w:pStyle w:val="TROHeading3"/>
      </w:pPr>
    </w:p>
    <w:p w:rsidR="00576AF6" w:rsidRPr="00946802" w:rsidRDefault="00576AF6" w:rsidP="00576AF6">
      <w:pPr>
        <w:pStyle w:val="TROHeading3"/>
      </w:pPr>
    </w:p>
    <w:p w:rsidR="00576AF6" w:rsidRPr="00946802" w:rsidRDefault="00576AF6" w:rsidP="00576AF6">
      <w:pPr>
        <w:pStyle w:val="TROBodytext"/>
      </w:pPr>
      <w:r w:rsidRPr="00946802">
        <w:br w:type="page"/>
      </w:r>
    </w:p>
    <w:p w:rsidR="00576AF6" w:rsidRPr="00946802" w:rsidRDefault="00576AF6" w:rsidP="00576AF6">
      <w:pPr>
        <w:pStyle w:val="TROHeading2"/>
      </w:pPr>
      <w:bookmarkStart w:id="11" w:name="_Toc427748467"/>
      <w:r w:rsidRPr="00946802">
        <w:lastRenderedPageBreak/>
        <w:t>9. Stamping of instruments</w:t>
      </w:r>
      <w:bookmarkEnd w:id="11"/>
    </w:p>
    <w:p w:rsidR="00576AF6" w:rsidRPr="00946802" w:rsidRDefault="00576AF6" w:rsidP="00576AF6">
      <w:pPr>
        <w:pStyle w:val="TROBodytext"/>
      </w:pPr>
      <w:r w:rsidRPr="00980311">
        <w:t xml:space="preserve">Each </w:t>
      </w:r>
      <w:r w:rsidRPr="00980311">
        <w:rPr>
          <w:i/>
          <w:iCs/>
        </w:rPr>
        <w:t xml:space="preserve">instrument </w:t>
      </w:r>
      <w:r w:rsidRPr="00980311">
        <w:t xml:space="preserve">entered into </w:t>
      </w:r>
      <w:r w:rsidRPr="00980311">
        <w:rPr>
          <w:i/>
          <w:iCs/>
        </w:rPr>
        <w:t xml:space="preserve">CBR </w:t>
      </w:r>
      <w:r>
        <w:rPr>
          <w:i/>
          <w:iCs/>
        </w:rPr>
        <w:t xml:space="preserve">Online </w:t>
      </w:r>
      <w:r w:rsidRPr="00980311">
        <w:t xml:space="preserve">must be stamped with the rubber stamp provided for this purpose. The stamp must be placed in the top right hand corner of the </w:t>
      </w:r>
      <w:r w:rsidRPr="00980311">
        <w:rPr>
          <w:i/>
          <w:iCs/>
        </w:rPr>
        <w:t xml:space="preserve">instrument </w:t>
      </w:r>
      <w:r w:rsidRPr="00980311">
        <w:t xml:space="preserve">and be completed and signed by the </w:t>
      </w:r>
      <w:r w:rsidRPr="00980311">
        <w:rPr>
          <w:i/>
          <w:iCs/>
        </w:rPr>
        <w:t>approved person</w:t>
      </w:r>
      <w:r w:rsidRPr="00946802">
        <w:t>.</w:t>
      </w:r>
    </w:p>
    <w:p w:rsidR="00576AF6" w:rsidRPr="00946802" w:rsidRDefault="00E07184" w:rsidP="00576AF6">
      <w:pPr>
        <w:pStyle w:val="TROBodytext"/>
      </w:pPr>
      <w:proofErr w:type="gramStart"/>
      <w:r>
        <w:t>An e</w:t>
      </w:r>
      <w:r w:rsidR="00576AF6" w:rsidRPr="00946802">
        <w:t>xample of the endorsement</w:t>
      </w:r>
      <w:r>
        <w:t xml:space="preserve"> is</w:t>
      </w:r>
      <w:r w:rsidR="00576AF6" w:rsidRPr="00946802">
        <w:t xml:space="preserve"> shown below and are</w:t>
      </w:r>
      <w:proofErr w:type="gramEnd"/>
      <w:r w:rsidR="00576AF6" w:rsidRPr="00946802">
        <w:t xml:space="preserve"> also viewable through the ‘Preview’ function when entering an </w:t>
      </w:r>
      <w:r w:rsidR="00576AF6" w:rsidRPr="00980311">
        <w:rPr>
          <w:i/>
          <w:iCs/>
        </w:rPr>
        <w:t xml:space="preserve">instrument </w:t>
      </w:r>
      <w:r w:rsidR="00576AF6" w:rsidRPr="00980311">
        <w:t xml:space="preserve">on </w:t>
      </w:r>
      <w:r w:rsidR="00576AF6" w:rsidRPr="00980311">
        <w:rPr>
          <w:i/>
          <w:iCs/>
        </w:rPr>
        <w:t>CBR Online</w:t>
      </w:r>
      <w:r w:rsidR="00576AF6" w:rsidRPr="00946802">
        <w:t>.</w:t>
      </w:r>
    </w:p>
    <w:p w:rsidR="00576AF6" w:rsidRPr="00946802" w:rsidRDefault="00576AF6" w:rsidP="00576AF6">
      <w:pPr>
        <w:pStyle w:val="TROHeading3"/>
      </w:pPr>
      <w:r w:rsidRPr="00946802">
        <w:t>9.1 Original instrument</w:t>
      </w:r>
    </w:p>
    <w:p w:rsidR="00576AF6" w:rsidRPr="007B08FC" w:rsidRDefault="00576AF6" w:rsidP="00576AF6">
      <w:pPr>
        <w:pStyle w:val="TROBodytext"/>
        <w:rPr>
          <w:spacing w:val="-20"/>
        </w:rPr>
      </w:pPr>
      <w:r w:rsidRPr="007B08FC">
        <w:rPr>
          <w:spacing w:val="-20"/>
        </w:rPr>
        <w:t xml:space="preserve">The </w:t>
      </w:r>
      <w:r w:rsidRPr="007B08FC">
        <w:rPr>
          <w:i/>
          <w:iCs/>
          <w:spacing w:val="-20"/>
        </w:rPr>
        <w:t xml:space="preserve">original instrument </w:t>
      </w:r>
      <w:r w:rsidRPr="007B08FC">
        <w:rPr>
          <w:spacing w:val="-20"/>
        </w:rPr>
        <w:t xml:space="preserve">bears the original duty, for example, the contract of sale or transfer that is the only </w:t>
      </w:r>
      <w:r w:rsidRPr="007B08FC">
        <w:rPr>
          <w:i/>
          <w:iCs/>
          <w:spacing w:val="-20"/>
        </w:rPr>
        <w:t xml:space="preserve">instrument </w:t>
      </w:r>
      <w:r w:rsidRPr="007B08FC">
        <w:rPr>
          <w:spacing w:val="-20"/>
        </w:rPr>
        <w:t xml:space="preserve">which evidences the </w:t>
      </w:r>
      <w:r w:rsidRPr="007B08FC">
        <w:rPr>
          <w:i/>
          <w:iCs/>
          <w:spacing w:val="-20"/>
        </w:rPr>
        <w:t>conveyance</w:t>
      </w:r>
      <w:r w:rsidR="00E07184" w:rsidRPr="007B08FC">
        <w:rPr>
          <w:iCs/>
          <w:spacing w:val="-20"/>
        </w:rPr>
        <w:t>.</w:t>
      </w:r>
      <w:r w:rsidRPr="007B08FC">
        <w:rPr>
          <w:spacing w:val="-20"/>
        </w:rPr>
        <w:t xml:space="preserve"> (See example 9.5 where a </w:t>
      </w:r>
      <w:r w:rsidR="00405C84" w:rsidRPr="007B08FC">
        <w:rPr>
          <w:spacing w:val="-20"/>
        </w:rPr>
        <w:t xml:space="preserve">FHOD, </w:t>
      </w:r>
      <w:r w:rsidRPr="007B08FC">
        <w:rPr>
          <w:spacing w:val="-20"/>
        </w:rPr>
        <w:t>SPCC or PPRR is granted).</w:t>
      </w:r>
    </w:p>
    <w:p w:rsidR="00576AF6" w:rsidRPr="00946802" w:rsidRDefault="00576AF6" w:rsidP="00576AF6">
      <w:pPr>
        <w:pStyle w:val="TROHeading3"/>
      </w:pPr>
      <w:r w:rsidRPr="00946802">
        <w:t>9.2 Copy</w:t>
      </w:r>
    </w:p>
    <w:p w:rsidR="00576AF6" w:rsidRPr="00946802" w:rsidRDefault="00576AF6" w:rsidP="00576AF6">
      <w:pPr>
        <w:pStyle w:val="TROBodytext"/>
      </w:pPr>
      <w:r w:rsidRPr="00980311">
        <w:t xml:space="preserve">A copy is an </w:t>
      </w:r>
      <w:r w:rsidRPr="00980311">
        <w:rPr>
          <w:i/>
          <w:iCs/>
        </w:rPr>
        <w:t xml:space="preserve">executed </w:t>
      </w:r>
      <w:r w:rsidRPr="00980311">
        <w:t xml:space="preserve">copy of an </w:t>
      </w:r>
      <w:r w:rsidRPr="00980311">
        <w:rPr>
          <w:i/>
          <w:iCs/>
        </w:rPr>
        <w:t xml:space="preserve">original instrument </w:t>
      </w:r>
      <w:r w:rsidRPr="00946802">
        <w:t>that has been stamped. Each copy must bear endorsements that link it to the original.</w:t>
      </w:r>
    </w:p>
    <w:p w:rsidR="00576AF6" w:rsidRPr="00946802" w:rsidRDefault="00576AF6" w:rsidP="00576AF6">
      <w:pPr>
        <w:pStyle w:val="TROBodytext"/>
      </w:pPr>
      <w:r w:rsidRPr="00946802">
        <w:t xml:space="preserve">The duty paid box records the stamp duty figure for the copy ($5.00) which is suffixed by the letter ‘C’ and also records the stamp duty paid on the </w:t>
      </w:r>
      <w:r w:rsidRPr="00980311">
        <w:rPr>
          <w:i/>
          <w:iCs/>
        </w:rPr>
        <w:t xml:space="preserve">original instrument </w:t>
      </w:r>
      <w:r w:rsidRPr="00946802">
        <w:t>which is suffixed by the letters ‘O/S’.</w:t>
      </w:r>
    </w:p>
    <w:p w:rsidR="00576AF6" w:rsidRPr="00946802" w:rsidRDefault="00576AF6" w:rsidP="00576AF6">
      <w:pPr>
        <w:pStyle w:val="TROHeading3"/>
      </w:pPr>
      <w:r w:rsidRPr="00946802">
        <w:t>9.3 Transfer in conformity with a contract of sale</w:t>
      </w:r>
    </w:p>
    <w:p w:rsidR="00576AF6" w:rsidRPr="00946802" w:rsidRDefault="00576AF6" w:rsidP="00576AF6">
      <w:pPr>
        <w:pStyle w:val="TROBodytext"/>
      </w:pPr>
      <w:r w:rsidRPr="00980311">
        <w:t xml:space="preserve">Transfers stamped in conformity with a contract of sale must bear endorsements that link it to the original stamped contract of sale. The duty paid box records the transfer stamp duty figure ($5.00) which is suffixed by the letter ‘T’ and also records the stamp duty paid on the </w:t>
      </w:r>
      <w:r w:rsidRPr="00980311">
        <w:rPr>
          <w:i/>
          <w:iCs/>
        </w:rPr>
        <w:t xml:space="preserve">original instrument </w:t>
      </w:r>
      <w:r w:rsidRPr="00946802">
        <w:t>which is suffixed by the letters ‘O/S’.</w:t>
      </w:r>
    </w:p>
    <w:p w:rsidR="00576AF6" w:rsidRPr="00946802" w:rsidRDefault="00576AF6" w:rsidP="00576AF6">
      <w:pPr>
        <w:pStyle w:val="TROHeading3"/>
      </w:pPr>
      <w:r w:rsidRPr="00946802">
        <w:t>9.4 Contract with a nominee or trustee</w:t>
      </w:r>
    </w:p>
    <w:p w:rsidR="00576AF6" w:rsidRPr="00946802" w:rsidRDefault="00576AF6" w:rsidP="00576AF6">
      <w:pPr>
        <w:pStyle w:val="TROBodytext"/>
      </w:pPr>
      <w:r w:rsidRPr="00980311">
        <w:t xml:space="preserve">If a contract of sale contains a </w:t>
      </w:r>
      <w:r w:rsidRPr="00980311">
        <w:rPr>
          <w:i/>
          <w:iCs/>
        </w:rPr>
        <w:t xml:space="preserve">nominee </w:t>
      </w:r>
      <w:r w:rsidRPr="00980311">
        <w:t xml:space="preserve">or trustee, and the </w:t>
      </w:r>
      <w:r w:rsidRPr="00980311">
        <w:rPr>
          <w:i/>
          <w:iCs/>
        </w:rPr>
        <w:t xml:space="preserve">nominee </w:t>
      </w:r>
      <w:r w:rsidRPr="00980311">
        <w:t xml:space="preserve">or trustee of the trust is named in the agreement, the letters ‘N’ for </w:t>
      </w:r>
      <w:r w:rsidRPr="00980311">
        <w:rPr>
          <w:i/>
          <w:iCs/>
        </w:rPr>
        <w:t xml:space="preserve">nominee </w:t>
      </w:r>
      <w:r w:rsidRPr="00946802">
        <w:t>or ‘TR’ for trustee should be placed in the duty paid box.</w:t>
      </w:r>
    </w:p>
    <w:p w:rsidR="00576AF6" w:rsidRPr="00946802" w:rsidRDefault="00576AF6" w:rsidP="00576AF6">
      <w:pPr>
        <w:pStyle w:val="TROBodytext"/>
      </w:pPr>
      <w:r w:rsidRPr="00946802">
        <w:t xml:space="preserve">If a </w:t>
      </w:r>
      <w:r w:rsidRPr="00980311">
        <w:rPr>
          <w:i/>
          <w:iCs/>
        </w:rPr>
        <w:t xml:space="preserve">nominee </w:t>
      </w:r>
      <w:r w:rsidRPr="00980311">
        <w:t xml:space="preserve">or the trust for which the trustee is acting is not named in the agreement, you do not have authority to stamp the </w:t>
      </w:r>
      <w:r w:rsidRPr="00980311">
        <w:rPr>
          <w:i/>
          <w:iCs/>
        </w:rPr>
        <w:t>instrument</w:t>
      </w:r>
      <w:r w:rsidRPr="00980311">
        <w:t xml:space="preserve">. It must be lodged with </w:t>
      </w:r>
      <w:r w:rsidRPr="00980311">
        <w:rPr>
          <w:i/>
          <w:iCs/>
        </w:rPr>
        <w:t xml:space="preserve">TRO </w:t>
      </w:r>
      <w:r w:rsidRPr="00946802">
        <w:t>for assessment.</w:t>
      </w:r>
    </w:p>
    <w:p w:rsidR="00576AF6" w:rsidRPr="00946802" w:rsidRDefault="00576AF6" w:rsidP="00576AF6">
      <w:pPr>
        <w:pStyle w:val="TROHeading3"/>
      </w:pPr>
      <w:r w:rsidRPr="00946802">
        <w:t>9.5 Concession, Rebate and Exemption</w:t>
      </w:r>
    </w:p>
    <w:p w:rsidR="00576AF6" w:rsidRPr="00946802" w:rsidRDefault="00576AF6" w:rsidP="00576AF6">
      <w:pPr>
        <w:pStyle w:val="TROBodytext"/>
      </w:pPr>
      <w:r w:rsidRPr="00980311">
        <w:t xml:space="preserve">In addition to the duty payable, the </w:t>
      </w:r>
      <w:r w:rsidRPr="00980311">
        <w:rPr>
          <w:i/>
          <w:iCs/>
        </w:rPr>
        <w:t xml:space="preserve">instrument </w:t>
      </w:r>
      <w:r w:rsidRPr="00946802">
        <w:t>is to be endorsed with the amount of the SPCC</w:t>
      </w:r>
      <w:r w:rsidR="00405C84">
        <w:t xml:space="preserve">, </w:t>
      </w:r>
      <w:r w:rsidRPr="00946802">
        <w:t>PPRR</w:t>
      </w:r>
      <w:r w:rsidR="00405C84">
        <w:t xml:space="preserve"> or FHOD</w:t>
      </w:r>
      <w:r w:rsidRPr="00946802">
        <w:t>. The amount of the concession</w:t>
      </w:r>
      <w:r w:rsidR="00405C84">
        <w:t xml:space="preserve">, </w:t>
      </w:r>
      <w:r w:rsidRPr="00946802">
        <w:t xml:space="preserve"> rebate</w:t>
      </w:r>
      <w:r w:rsidR="00405C84">
        <w:t xml:space="preserve"> or discount</w:t>
      </w:r>
      <w:r w:rsidRPr="00946802">
        <w:t xml:space="preserve"> must appear in the concession/exemption box and be suffixed by the letters ‘S.89A’ for the SPCC, ‘S.90’ for the PPRR, </w:t>
      </w:r>
      <w:r w:rsidR="00405C84">
        <w:t xml:space="preserve">or </w:t>
      </w:r>
      <w:r w:rsidR="00E07184">
        <w:t>‘</w:t>
      </w:r>
      <w:r w:rsidR="00405C84">
        <w:t>S.89AA</w:t>
      </w:r>
      <w:r w:rsidR="00E07184">
        <w:t>’</w:t>
      </w:r>
      <w:r w:rsidR="00405C84">
        <w:t xml:space="preserve"> for the FHOD, </w:t>
      </w:r>
      <w:r w:rsidRPr="00946802">
        <w:t xml:space="preserve">and the amount of duty paid appears in the duty paid box. </w:t>
      </w:r>
    </w:p>
    <w:p w:rsidR="00576AF6" w:rsidRPr="00946802" w:rsidRDefault="00576AF6" w:rsidP="00576AF6">
      <w:pPr>
        <w:pStyle w:val="TROHeading3"/>
      </w:pPr>
      <w:r w:rsidRPr="00946802">
        <w:t>Example 1</w:t>
      </w:r>
    </w:p>
    <w:tbl>
      <w:tblPr>
        <w:tblStyle w:val="TableGrid"/>
        <w:tblpPr w:leftFromText="180" w:rightFromText="180" w:vertAnchor="text" w:tblpY="1"/>
        <w:tblOverlap w:val="never"/>
        <w:tblW w:w="0" w:type="auto"/>
        <w:tblLayout w:type="fixed"/>
        <w:tblLook w:val="04A0" w:firstRow="1" w:lastRow="0" w:firstColumn="1" w:lastColumn="0" w:noHBand="0" w:noVBand="1"/>
        <w:tblDescription w:val="Example 1"/>
      </w:tblPr>
      <w:tblGrid>
        <w:gridCol w:w="2376"/>
        <w:gridCol w:w="2268"/>
        <w:gridCol w:w="1134"/>
      </w:tblGrid>
      <w:tr w:rsidR="00576AF6" w:rsidRPr="00946802" w:rsidTr="00440B30">
        <w:trPr>
          <w:tblHeader/>
        </w:trPr>
        <w:tc>
          <w:tcPr>
            <w:tcW w:w="5778" w:type="dxa"/>
            <w:gridSpan w:val="3"/>
          </w:tcPr>
          <w:p w:rsidR="00576AF6" w:rsidRPr="001372C8" w:rsidRDefault="00576AF6" w:rsidP="00440B30">
            <w:pPr>
              <w:autoSpaceDE w:val="0"/>
              <w:autoSpaceDN w:val="0"/>
              <w:adjustRightInd w:val="0"/>
              <w:spacing w:before="120" w:after="120"/>
              <w:jc w:val="center"/>
              <w:rPr>
                <w:szCs w:val="24"/>
              </w:rPr>
            </w:pPr>
            <w:r w:rsidRPr="001372C8">
              <w:rPr>
                <w:szCs w:val="24"/>
              </w:rPr>
              <w:t>NORTHERN TERRITORY STAMP DUTY</w:t>
            </w:r>
          </w:p>
          <w:p w:rsidR="00576AF6" w:rsidRPr="001372C8" w:rsidRDefault="00576AF6" w:rsidP="00440B30">
            <w:pPr>
              <w:autoSpaceDE w:val="0"/>
              <w:autoSpaceDN w:val="0"/>
              <w:adjustRightInd w:val="0"/>
              <w:spacing w:before="120" w:after="120"/>
              <w:jc w:val="center"/>
              <w:rPr>
                <w:szCs w:val="24"/>
              </w:rPr>
            </w:pPr>
            <w:r w:rsidRPr="001372C8">
              <w:rPr>
                <w:szCs w:val="24"/>
              </w:rPr>
              <w:t>Special tax return arrangements</w:t>
            </w:r>
          </w:p>
        </w:tc>
      </w:tr>
      <w:tr w:rsidR="00576AF6" w:rsidRPr="00946802" w:rsidTr="00440B30">
        <w:tc>
          <w:tcPr>
            <w:tcW w:w="2376" w:type="dxa"/>
          </w:tcPr>
          <w:p w:rsidR="00576AF6" w:rsidRPr="001372C8" w:rsidRDefault="00576AF6" w:rsidP="00440B30">
            <w:pPr>
              <w:autoSpaceDE w:val="0"/>
              <w:autoSpaceDN w:val="0"/>
              <w:adjustRightInd w:val="0"/>
              <w:spacing w:before="120" w:after="120"/>
              <w:rPr>
                <w:sz w:val="22"/>
                <w:szCs w:val="22"/>
              </w:rPr>
            </w:pPr>
            <w:proofErr w:type="spellStart"/>
            <w:r w:rsidRPr="001372C8">
              <w:rPr>
                <w:b/>
                <w:sz w:val="22"/>
                <w:szCs w:val="22"/>
              </w:rPr>
              <w:t>Reg.No</w:t>
            </w:r>
            <w:proofErr w:type="spellEnd"/>
            <w:r w:rsidRPr="001372C8">
              <w:rPr>
                <w:b/>
                <w:sz w:val="22"/>
                <w:szCs w:val="22"/>
              </w:rPr>
              <w:t xml:space="preserve">. </w:t>
            </w:r>
            <w:r w:rsidRPr="001372C8">
              <w:rPr>
                <w:sz w:val="22"/>
                <w:szCs w:val="22"/>
              </w:rPr>
              <w:t>123456</w:t>
            </w:r>
          </w:p>
          <w:p w:rsidR="00576AF6" w:rsidRPr="001372C8" w:rsidRDefault="00576AF6" w:rsidP="00440B30">
            <w:pPr>
              <w:autoSpaceDE w:val="0"/>
              <w:autoSpaceDN w:val="0"/>
              <w:adjustRightInd w:val="0"/>
              <w:spacing w:before="120" w:after="120"/>
              <w:rPr>
                <w:sz w:val="22"/>
                <w:szCs w:val="22"/>
              </w:rPr>
            </w:pPr>
            <w:proofErr w:type="spellStart"/>
            <w:r w:rsidRPr="001372C8">
              <w:rPr>
                <w:b/>
                <w:sz w:val="22"/>
                <w:szCs w:val="22"/>
              </w:rPr>
              <w:t>Assess.No</w:t>
            </w:r>
            <w:proofErr w:type="spellEnd"/>
            <w:r w:rsidRPr="001372C8">
              <w:rPr>
                <w:b/>
                <w:sz w:val="22"/>
                <w:szCs w:val="22"/>
              </w:rPr>
              <w:t>.</w:t>
            </w:r>
            <w:r w:rsidRPr="001372C8">
              <w:rPr>
                <w:sz w:val="22"/>
                <w:szCs w:val="22"/>
              </w:rPr>
              <w:t xml:space="preserve"> 111</w:t>
            </w:r>
          </w:p>
        </w:tc>
        <w:tc>
          <w:tcPr>
            <w:tcW w:w="3402" w:type="dxa"/>
            <w:gridSpan w:val="2"/>
          </w:tcPr>
          <w:p w:rsidR="00576AF6" w:rsidRPr="001372C8" w:rsidRDefault="00576AF6" w:rsidP="00440B30">
            <w:pPr>
              <w:autoSpaceDE w:val="0"/>
              <w:autoSpaceDN w:val="0"/>
              <w:adjustRightInd w:val="0"/>
              <w:spacing w:before="120" w:after="120"/>
              <w:rPr>
                <w:sz w:val="22"/>
                <w:szCs w:val="22"/>
              </w:rPr>
            </w:pPr>
            <w:r w:rsidRPr="001372C8">
              <w:rPr>
                <w:sz w:val="22"/>
                <w:szCs w:val="22"/>
              </w:rPr>
              <w:t>10/05/2014</w:t>
            </w:r>
          </w:p>
          <w:p w:rsidR="00576AF6" w:rsidRPr="001372C8" w:rsidRDefault="00576AF6" w:rsidP="00440B30">
            <w:pPr>
              <w:autoSpaceDE w:val="0"/>
              <w:autoSpaceDN w:val="0"/>
              <w:adjustRightInd w:val="0"/>
              <w:spacing w:before="120" w:after="120"/>
              <w:rPr>
                <w:b/>
                <w:sz w:val="22"/>
                <w:szCs w:val="22"/>
              </w:rPr>
            </w:pPr>
            <w:r w:rsidRPr="001372C8">
              <w:rPr>
                <w:b/>
                <w:sz w:val="22"/>
                <w:szCs w:val="22"/>
              </w:rPr>
              <w:t>Date Stamped</w:t>
            </w:r>
          </w:p>
        </w:tc>
      </w:tr>
      <w:tr w:rsidR="00576AF6" w:rsidRPr="00946802" w:rsidTr="00440B30">
        <w:tc>
          <w:tcPr>
            <w:tcW w:w="2376" w:type="dxa"/>
          </w:tcPr>
          <w:p w:rsidR="00576AF6" w:rsidRPr="001372C8" w:rsidRDefault="00576AF6" w:rsidP="00440B30">
            <w:pPr>
              <w:autoSpaceDE w:val="0"/>
              <w:autoSpaceDN w:val="0"/>
              <w:adjustRightInd w:val="0"/>
              <w:spacing w:before="120" w:after="120"/>
              <w:rPr>
                <w:b/>
                <w:sz w:val="22"/>
                <w:szCs w:val="22"/>
              </w:rPr>
            </w:pPr>
            <w:r w:rsidRPr="001372C8">
              <w:rPr>
                <w:b/>
                <w:sz w:val="22"/>
                <w:szCs w:val="22"/>
              </w:rPr>
              <w:t>Consideration/rent</w:t>
            </w:r>
          </w:p>
        </w:tc>
        <w:tc>
          <w:tcPr>
            <w:tcW w:w="3402" w:type="dxa"/>
            <w:gridSpan w:val="2"/>
          </w:tcPr>
          <w:p w:rsidR="00576AF6" w:rsidRPr="001372C8" w:rsidRDefault="00576AF6" w:rsidP="00440B30">
            <w:pPr>
              <w:autoSpaceDE w:val="0"/>
              <w:autoSpaceDN w:val="0"/>
              <w:adjustRightInd w:val="0"/>
              <w:spacing w:before="120" w:after="120"/>
              <w:rPr>
                <w:b/>
                <w:sz w:val="22"/>
                <w:szCs w:val="22"/>
              </w:rPr>
            </w:pPr>
            <w:r w:rsidRPr="001372C8">
              <w:rPr>
                <w:b/>
                <w:sz w:val="22"/>
                <w:szCs w:val="22"/>
              </w:rPr>
              <w:t>Concession/exemption</w:t>
            </w:r>
          </w:p>
        </w:tc>
      </w:tr>
      <w:tr w:rsidR="00576AF6" w:rsidRPr="00946802" w:rsidTr="00440B30">
        <w:tc>
          <w:tcPr>
            <w:tcW w:w="2376" w:type="dxa"/>
          </w:tcPr>
          <w:p w:rsidR="00576AF6" w:rsidRPr="001372C8" w:rsidRDefault="00576AF6" w:rsidP="00440B30">
            <w:pPr>
              <w:autoSpaceDE w:val="0"/>
              <w:autoSpaceDN w:val="0"/>
              <w:adjustRightInd w:val="0"/>
              <w:spacing w:before="120" w:after="120"/>
              <w:rPr>
                <w:sz w:val="22"/>
                <w:szCs w:val="22"/>
              </w:rPr>
            </w:pPr>
            <w:r w:rsidRPr="001372C8">
              <w:rPr>
                <w:sz w:val="22"/>
                <w:szCs w:val="22"/>
              </w:rPr>
              <w:t>$600 000.00</w:t>
            </w:r>
          </w:p>
        </w:tc>
        <w:tc>
          <w:tcPr>
            <w:tcW w:w="2268" w:type="dxa"/>
          </w:tcPr>
          <w:p w:rsidR="00576AF6" w:rsidRPr="001372C8" w:rsidRDefault="00576AF6" w:rsidP="00440B30">
            <w:pPr>
              <w:autoSpaceDE w:val="0"/>
              <w:autoSpaceDN w:val="0"/>
              <w:adjustRightInd w:val="0"/>
              <w:spacing w:before="120" w:after="120"/>
              <w:rPr>
                <w:sz w:val="22"/>
                <w:szCs w:val="22"/>
              </w:rPr>
            </w:pPr>
            <w:r w:rsidRPr="001372C8">
              <w:rPr>
                <w:sz w:val="22"/>
                <w:szCs w:val="22"/>
              </w:rPr>
              <w:t>$7 000.00</w:t>
            </w:r>
          </w:p>
        </w:tc>
        <w:tc>
          <w:tcPr>
            <w:tcW w:w="1134" w:type="dxa"/>
          </w:tcPr>
          <w:p w:rsidR="00576AF6" w:rsidRPr="001372C8" w:rsidRDefault="00576AF6" w:rsidP="00440B30">
            <w:pPr>
              <w:autoSpaceDE w:val="0"/>
              <w:autoSpaceDN w:val="0"/>
              <w:adjustRightInd w:val="0"/>
              <w:spacing w:before="120" w:after="120"/>
              <w:rPr>
                <w:sz w:val="22"/>
                <w:szCs w:val="22"/>
              </w:rPr>
            </w:pPr>
            <w:r w:rsidRPr="001372C8">
              <w:rPr>
                <w:sz w:val="22"/>
                <w:szCs w:val="22"/>
              </w:rPr>
              <w:t>S.90</w:t>
            </w:r>
          </w:p>
        </w:tc>
      </w:tr>
      <w:tr w:rsidR="00576AF6" w:rsidRPr="00946802" w:rsidTr="00440B30">
        <w:tc>
          <w:tcPr>
            <w:tcW w:w="2376" w:type="dxa"/>
          </w:tcPr>
          <w:p w:rsidR="00576AF6" w:rsidRPr="001372C8" w:rsidRDefault="00576AF6" w:rsidP="00440B30">
            <w:pPr>
              <w:autoSpaceDE w:val="0"/>
              <w:autoSpaceDN w:val="0"/>
              <w:adjustRightInd w:val="0"/>
              <w:spacing w:before="120" w:after="120"/>
              <w:rPr>
                <w:sz w:val="22"/>
                <w:szCs w:val="22"/>
              </w:rPr>
            </w:pPr>
          </w:p>
          <w:p w:rsidR="00576AF6" w:rsidRPr="001372C8" w:rsidRDefault="00576AF6" w:rsidP="00440B30">
            <w:pPr>
              <w:autoSpaceDE w:val="0"/>
              <w:autoSpaceDN w:val="0"/>
              <w:adjustRightInd w:val="0"/>
              <w:spacing w:before="120" w:after="120"/>
              <w:rPr>
                <w:sz w:val="22"/>
                <w:szCs w:val="22"/>
              </w:rPr>
            </w:pPr>
          </w:p>
          <w:p w:rsidR="00576AF6" w:rsidRPr="001372C8" w:rsidRDefault="00576AF6" w:rsidP="00440B30">
            <w:pPr>
              <w:autoSpaceDE w:val="0"/>
              <w:autoSpaceDN w:val="0"/>
              <w:adjustRightInd w:val="0"/>
              <w:spacing w:before="120" w:after="120"/>
              <w:rPr>
                <w:b/>
                <w:sz w:val="22"/>
                <w:szCs w:val="22"/>
              </w:rPr>
            </w:pPr>
            <w:r w:rsidRPr="001372C8">
              <w:rPr>
                <w:b/>
                <w:sz w:val="22"/>
                <w:szCs w:val="22"/>
              </w:rPr>
              <w:t>Signature</w:t>
            </w:r>
          </w:p>
        </w:tc>
        <w:tc>
          <w:tcPr>
            <w:tcW w:w="2268" w:type="dxa"/>
          </w:tcPr>
          <w:p w:rsidR="00576AF6" w:rsidRPr="001372C8" w:rsidRDefault="00576AF6" w:rsidP="00440B30">
            <w:pPr>
              <w:autoSpaceDE w:val="0"/>
              <w:autoSpaceDN w:val="0"/>
              <w:adjustRightInd w:val="0"/>
              <w:spacing w:before="120" w:after="120"/>
              <w:rPr>
                <w:sz w:val="22"/>
                <w:szCs w:val="22"/>
              </w:rPr>
            </w:pPr>
            <w:r w:rsidRPr="001372C8">
              <w:rPr>
                <w:sz w:val="22"/>
                <w:szCs w:val="22"/>
              </w:rPr>
              <w:t>$5.00</w:t>
            </w:r>
          </w:p>
          <w:p w:rsidR="00576AF6" w:rsidRPr="001372C8" w:rsidRDefault="00576AF6" w:rsidP="00440B30">
            <w:pPr>
              <w:autoSpaceDE w:val="0"/>
              <w:autoSpaceDN w:val="0"/>
              <w:adjustRightInd w:val="0"/>
              <w:spacing w:before="120" w:after="120"/>
              <w:rPr>
                <w:sz w:val="22"/>
                <w:szCs w:val="22"/>
              </w:rPr>
            </w:pPr>
            <w:r w:rsidRPr="001372C8">
              <w:rPr>
                <w:sz w:val="22"/>
                <w:szCs w:val="22"/>
              </w:rPr>
              <w:t>$22 700.00</w:t>
            </w:r>
          </w:p>
          <w:p w:rsidR="00576AF6" w:rsidRPr="001372C8" w:rsidRDefault="00576AF6" w:rsidP="00440B30">
            <w:pPr>
              <w:autoSpaceDE w:val="0"/>
              <w:autoSpaceDN w:val="0"/>
              <w:adjustRightInd w:val="0"/>
              <w:spacing w:before="120" w:after="120"/>
              <w:rPr>
                <w:b/>
                <w:sz w:val="22"/>
                <w:szCs w:val="22"/>
              </w:rPr>
            </w:pPr>
            <w:r w:rsidRPr="001372C8">
              <w:rPr>
                <w:b/>
                <w:sz w:val="22"/>
                <w:szCs w:val="22"/>
              </w:rPr>
              <w:t>Duty paid</w:t>
            </w:r>
          </w:p>
        </w:tc>
        <w:tc>
          <w:tcPr>
            <w:tcW w:w="1134" w:type="dxa"/>
          </w:tcPr>
          <w:p w:rsidR="00576AF6" w:rsidRPr="001372C8" w:rsidRDefault="00576AF6" w:rsidP="00440B30">
            <w:pPr>
              <w:autoSpaceDE w:val="0"/>
              <w:autoSpaceDN w:val="0"/>
              <w:adjustRightInd w:val="0"/>
              <w:spacing w:before="120" w:after="120"/>
              <w:rPr>
                <w:sz w:val="22"/>
                <w:szCs w:val="22"/>
              </w:rPr>
            </w:pPr>
            <w:r w:rsidRPr="001372C8">
              <w:rPr>
                <w:sz w:val="22"/>
                <w:szCs w:val="22"/>
              </w:rPr>
              <w:t>T</w:t>
            </w:r>
          </w:p>
          <w:p w:rsidR="00576AF6" w:rsidRPr="001372C8" w:rsidRDefault="00576AF6" w:rsidP="00440B30">
            <w:pPr>
              <w:autoSpaceDE w:val="0"/>
              <w:autoSpaceDN w:val="0"/>
              <w:adjustRightInd w:val="0"/>
              <w:spacing w:before="120" w:after="120"/>
              <w:rPr>
                <w:sz w:val="22"/>
                <w:szCs w:val="22"/>
              </w:rPr>
            </w:pPr>
            <w:r w:rsidRPr="001372C8">
              <w:rPr>
                <w:sz w:val="22"/>
                <w:szCs w:val="22"/>
              </w:rPr>
              <w:t>O/S</w:t>
            </w:r>
          </w:p>
        </w:tc>
      </w:tr>
    </w:tbl>
    <w:p w:rsidR="00576AF6" w:rsidRPr="00946802" w:rsidRDefault="00576AF6" w:rsidP="00576AF6">
      <w:pPr>
        <w:autoSpaceDE w:val="0"/>
        <w:autoSpaceDN w:val="0"/>
        <w:adjustRightInd w:val="0"/>
        <w:rPr>
          <w:rFonts w:ascii="MyriadPro-Regular" w:hAnsi="MyriadPro-Regular" w:cs="MyriadPro-Regular"/>
          <w:sz w:val="32"/>
          <w:szCs w:val="32"/>
        </w:rPr>
      </w:pPr>
    </w:p>
    <w:p w:rsidR="00576AF6" w:rsidRPr="00946802" w:rsidRDefault="00576AF6" w:rsidP="00576AF6">
      <w:pPr>
        <w:autoSpaceDE w:val="0"/>
        <w:autoSpaceDN w:val="0"/>
        <w:adjustRightInd w:val="0"/>
        <w:rPr>
          <w:rFonts w:ascii="MyriadPro-Regular" w:hAnsi="MyriadPro-Regular" w:cs="MyriadPro-Regular"/>
          <w:sz w:val="32"/>
          <w:szCs w:val="32"/>
        </w:rPr>
      </w:pPr>
    </w:p>
    <w:p w:rsidR="00576AF6" w:rsidRPr="00946802" w:rsidRDefault="00576AF6" w:rsidP="00576AF6">
      <w:pPr>
        <w:rPr>
          <w:rFonts w:ascii="MyriadPro-Regular" w:hAnsi="MyriadPro-Regular" w:cs="MyriadPro-Regular"/>
          <w:sz w:val="22"/>
          <w:szCs w:val="22"/>
        </w:rPr>
      </w:pPr>
    </w:p>
    <w:p w:rsidR="00576AF6" w:rsidRPr="00946802" w:rsidRDefault="00576AF6" w:rsidP="00576AF6">
      <w:pPr>
        <w:rPr>
          <w:rFonts w:ascii="MyriadPro-Regular" w:hAnsi="MyriadPro-Regular" w:cs="MyriadPro-Regular"/>
          <w:sz w:val="22"/>
          <w:szCs w:val="22"/>
        </w:rPr>
      </w:pPr>
    </w:p>
    <w:p w:rsidR="00576AF6" w:rsidRPr="00946802" w:rsidRDefault="00576AF6" w:rsidP="00576AF6">
      <w:pPr>
        <w:rPr>
          <w:rFonts w:ascii="MyriadPro-Regular" w:hAnsi="MyriadPro-Regular" w:cs="MyriadPro-Regular"/>
          <w:sz w:val="22"/>
          <w:szCs w:val="22"/>
        </w:rPr>
      </w:pPr>
    </w:p>
    <w:p w:rsidR="00576AF6" w:rsidRPr="00946802" w:rsidRDefault="00576AF6" w:rsidP="00576AF6">
      <w:pPr>
        <w:rPr>
          <w:rFonts w:ascii="MyriadPro-Regular" w:hAnsi="MyriadPro-Regular" w:cs="MyriadPro-Regular"/>
          <w:sz w:val="22"/>
          <w:szCs w:val="22"/>
        </w:rPr>
      </w:pPr>
    </w:p>
    <w:p w:rsidR="00576AF6" w:rsidRPr="00946802" w:rsidRDefault="00576AF6" w:rsidP="00576AF6">
      <w:pPr>
        <w:rPr>
          <w:rFonts w:ascii="MyriadPro-Regular" w:hAnsi="MyriadPro-Regular" w:cs="MyriadPro-Regular"/>
          <w:b/>
          <w:sz w:val="22"/>
          <w:szCs w:val="22"/>
        </w:rPr>
      </w:pPr>
    </w:p>
    <w:p w:rsidR="00576AF6" w:rsidRPr="00946802" w:rsidRDefault="00576AF6" w:rsidP="00576AF6">
      <w:pPr>
        <w:rPr>
          <w:rFonts w:ascii="MyriadPro-Regular" w:hAnsi="MyriadPro-Regular" w:cs="MyriadPro-Regular"/>
          <w:b/>
          <w:sz w:val="22"/>
          <w:szCs w:val="22"/>
        </w:rPr>
      </w:pPr>
    </w:p>
    <w:p w:rsidR="00576AF6" w:rsidRPr="001372C8" w:rsidRDefault="00576AF6" w:rsidP="00576AF6">
      <w:pPr>
        <w:spacing w:before="200" w:after="120"/>
        <w:rPr>
          <w:sz w:val="22"/>
          <w:szCs w:val="22"/>
        </w:rPr>
      </w:pPr>
      <w:r w:rsidRPr="001372C8">
        <w:rPr>
          <w:b/>
          <w:sz w:val="22"/>
          <w:szCs w:val="22"/>
        </w:rPr>
        <w:t xml:space="preserve">S.90 – </w:t>
      </w:r>
      <w:r w:rsidRPr="001372C8">
        <w:rPr>
          <w:sz w:val="22"/>
          <w:szCs w:val="22"/>
        </w:rPr>
        <w:t>Indicates PPRR</w:t>
      </w:r>
    </w:p>
    <w:p w:rsidR="00576AF6" w:rsidRPr="001372C8" w:rsidRDefault="00576AF6" w:rsidP="00576AF6">
      <w:pPr>
        <w:spacing w:before="200" w:after="120"/>
        <w:rPr>
          <w:sz w:val="22"/>
          <w:szCs w:val="22"/>
        </w:rPr>
      </w:pPr>
      <w:r w:rsidRPr="001372C8">
        <w:rPr>
          <w:sz w:val="22"/>
          <w:szCs w:val="22"/>
        </w:rPr>
        <w:t>T = Transfer</w:t>
      </w:r>
    </w:p>
    <w:p w:rsidR="00576AF6" w:rsidRPr="001372C8" w:rsidRDefault="00576AF6" w:rsidP="00576AF6">
      <w:pPr>
        <w:spacing w:before="120" w:after="120"/>
        <w:rPr>
          <w:sz w:val="22"/>
          <w:szCs w:val="22"/>
        </w:rPr>
      </w:pPr>
      <w:r w:rsidRPr="001372C8">
        <w:rPr>
          <w:sz w:val="22"/>
          <w:szCs w:val="22"/>
        </w:rPr>
        <w:t>O/S = Original Stamped</w:t>
      </w:r>
    </w:p>
    <w:p w:rsidR="00576AF6" w:rsidRPr="00946802" w:rsidRDefault="00576AF6" w:rsidP="00576AF6">
      <w:pPr>
        <w:spacing w:before="120" w:after="120"/>
        <w:rPr>
          <w:rFonts w:ascii="MyriadPro-Regular" w:hAnsi="MyriadPro-Regular" w:cs="MyriadPro-Regular"/>
          <w:sz w:val="22"/>
          <w:szCs w:val="22"/>
        </w:rPr>
      </w:pPr>
    </w:p>
    <w:p w:rsidR="00576AF6" w:rsidRPr="00946802" w:rsidRDefault="00576AF6" w:rsidP="00576AF6">
      <w:pPr>
        <w:pStyle w:val="TROHeading2"/>
      </w:pPr>
      <w:bookmarkStart w:id="12" w:name="_Toc427748468"/>
      <w:r w:rsidRPr="00946802">
        <w:lastRenderedPageBreak/>
        <w:t>10. Completion in CBR Online</w:t>
      </w:r>
      <w:bookmarkEnd w:id="12"/>
    </w:p>
    <w:p w:rsidR="00576AF6" w:rsidRPr="00946802" w:rsidRDefault="00576AF6" w:rsidP="00576AF6">
      <w:pPr>
        <w:pStyle w:val="TROBodytext"/>
      </w:pPr>
      <w:r w:rsidRPr="00980311">
        <w:t xml:space="preserve">Once the transaction has been recorded in </w:t>
      </w:r>
      <w:r w:rsidRPr="00946802">
        <w:rPr>
          <w:i/>
        </w:rPr>
        <w:t xml:space="preserve">CBR </w:t>
      </w:r>
      <w:r w:rsidRPr="00B97C96">
        <w:rPr>
          <w:i/>
        </w:rPr>
        <w:t>Online</w:t>
      </w:r>
      <w:r w:rsidRPr="00980311">
        <w:t xml:space="preserve">, it will be listed as a ‘Pending’ transaction. Once settlement has occurred, you must go back in to </w:t>
      </w:r>
      <w:r w:rsidRPr="00946802">
        <w:rPr>
          <w:i/>
        </w:rPr>
        <w:t>CBR Online</w:t>
      </w:r>
      <w:r w:rsidRPr="00980311">
        <w:t xml:space="preserve"> to complete the transaction. The instructions below will provide you with guidance on how to complete the transaction in </w:t>
      </w:r>
      <w:r w:rsidRPr="00946802">
        <w:rPr>
          <w:i/>
        </w:rPr>
        <w:t>CBR Online.</w:t>
      </w:r>
    </w:p>
    <w:p w:rsidR="00576AF6" w:rsidRPr="00946802" w:rsidRDefault="00576AF6" w:rsidP="00576AF6">
      <w:pPr>
        <w:pStyle w:val="TROBodytext"/>
      </w:pPr>
      <w:r w:rsidRPr="00946802">
        <w:t xml:space="preserve">Search for the transaction to be completed in </w:t>
      </w:r>
      <w:r w:rsidRPr="00946802">
        <w:rPr>
          <w:i/>
        </w:rPr>
        <w:t>CBR Online</w:t>
      </w:r>
      <w:r w:rsidRPr="00946802">
        <w:t xml:space="preserve"> (Refer to section 11.1 of this guide on how to search for a transaction)</w:t>
      </w:r>
      <w:r>
        <w:t>.</w:t>
      </w:r>
    </w:p>
    <w:p w:rsidR="00576AF6" w:rsidRPr="00946802" w:rsidRDefault="00576AF6" w:rsidP="00576AF6">
      <w:pPr>
        <w:pStyle w:val="TRONumberText"/>
        <w:numPr>
          <w:ilvl w:val="0"/>
          <w:numId w:val="27"/>
        </w:numPr>
      </w:pPr>
      <w:r w:rsidRPr="00946802">
        <w:t>Click the ‘Complete’ icon for the relevant transaction</w:t>
      </w:r>
      <w:r>
        <w:t>.</w:t>
      </w:r>
    </w:p>
    <w:p w:rsidR="00576AF6" w:rsidRPr="00946802" w:rsidRDefault="00576AF6" w:rsidP="00576AF6">
      <w:pPr>
        <w:pStyle w:val="TRONumberText"/>
        <w:numPr>
          <w:ilvl w:val="0"/>
          <w:numId w:val="27"/>
        </w:numPr>
      </w:pPr>
      <w:r w:rsidRPr="00946802">
        <w:t>A dialogue box will appear asking you ‘Are you sure you want to complete this item?’, if you want to complete the transaction, click ‘Complete’.</w:t>
      </w:r>
    </w:p>
    <w:p w:rsidR="00576AF6" w:rsidRPr="00946802" w:rsidRDefault="00576AF6" w:rsidP="00576AF6">
      <w:pPr>
        <w:pStyle w:val="TRONumberText"/>
        <w:numPr>
          <w:ilvl w:val="0"/>
          <w:numId w:val="27"/>
        </w:numPr>
      </w:pPr>
      <w:r w:rsidRPr="00946802">
        <w:t>Once you click ‘Complete’, another dialogue box should appear stating ‘</w:t>
      </w:r>
      <w:r w:rsidR="00405C84">
        <w:t xml:space="preserve">This item was completed </w:t>
      </w:r>
      <w:r w:rsidRPr="00946802">
        <w:t>successful</w:t>
      </w:r>
      <w:r w:rsidR="002B42B6">
        <w:t>ly</w:t>
      </w:r>
      <w:r w:rsidRPr="00946802">
        <w:t>’. Click ‘</w:t>
      </w:r>
      <w:r w:rsidR="002B42B6">
        <w:t>close</w:t>
      </w:r>
      <w:r w:rsidRPr="00946802">
        <w:t>’.</w:t>
      </w:r>
    </w:p>
    <w:p w:rsidR="00576AF6" w:rsidRPr="00946802" w:rsidRDefault="00576AF6" w:rsidP="00576AF6">
      <w:pPr>
        <w:pStyle w:val="TRONumberText"/>
        <w:numPr>
          <w:ilvl w:val="0"/>
          <w:numId w:val="27"/>
        </w:numPr>
      </w:pPr>
      <w:r w:rsidRPr="00946802">
        <w:t xml:space="preserve">You will be taken to the </w:t>
      </w:r>
      <w:r w:rsidR="002B42B6">
        <w:t>’stamp duty index panel’ where</w:t>
      </w:r>
      <w:r w:rsidRPr="00946802">
        <w:t xml:space="preserve"> you will note that the Status of the transaction has changed from ‘Pending’ to ‘Completed’.</w:t>
      </w:r>
    </w:p>
    <w:p w:rsidR="00576AF6" w:rsidRPr="00946802" w:rsidRDefault="00576AF6" w:rsidP="00576AF6">
      <w:pPr>
        <w:pStyle w:val="TROBodytext"/>
      </w:pPr>
      <w:r w:rsidRPr="00946802">
        <w:t>Once the transaction has been completed, it will form part of the monthly return statement for that month.</w:t>
      </w:r>
    </w:p>
    <w:p w:rsidR="00576AF6" w:rsidRPr="00946802" w:rsidRDefault="00576AF6" w:rsidP="00576AF6">
      <w:pPr>
        <w:pStyle w:val="TROBodytext"/>
      </w:pPr>
      <w:r w:rsidRPr="00946802">
        <w:rPr>
          <w:b/>
        </w:rPr>
        <w:t>Note:</w:t>
      </w:r>
      <w:r w:rsidRPr="00980311">
        <w:t xml:space="preserve"> At the time of completion, you </w:t>
      </w:r>
      <w:r w:rsidRPr="00946802">
        <w:rPr>
          <w:b/>
        </w:rPr>
        <w:t>must</w:t>
      </w:r>
      <w:r w:rsidRPr="00946802">
        <w:t xml:space="preserve"> be in possession of the stamp duty funds.</w:t>
      </w:r>
    </w:p>
    <w:p w:rsidR="00576AF6" w:rsidRPr="00946802" w:rsidRDefault="00576AF6" w:rsidP="00576AF6">
      <w:pPr>
        <w:pStyle w:val="TROHeading2"/>
      </w:pPr>
      <w:bookmarkStart w:id="13" w:name="_Toc427748469"/>
      <w:r w:rsidRPr="00B97C96">
        <w:t>11. Searching and editing</w:t>
      </w:r>
      <w:bookmarkEnd w:id="13"/>
    </w:p>
    <w:p w:rsidR="00576AF6" w:rsidRPr="00946802" w:rsidRDefault="00576AF6" w:rsidP="00576AF6">
      <w:pPr>
        <w:pStyle w:val="TROHeading3"/>
      </w:pPr>
      <w:r w:rsidRPr="00946802">
        <w:t>11.1 Searching for existing transactions</w:t>
      </w:r>
    </w:p>
    <w:p w:rsidR="00576AF6" w:rsidRPr="00946802" w:rsidRDefault="00576AF6" w:rsidP="00576AF6">
      <w:pPr>
        <w:pStyle w:val="TROBodytext"/>
      </w:pPr>
      <w:r w:rsidRPr="00980311">
        <w:t xml:space="preserve">Most fields in </w:t>
      </w:r>
      <w:r w:rsidRPr="00980311">
        <w:rPr>
          <w:i/>
          <w:iCs/>
        </w:rPr>
        <w:t xml:space="preserve">CBR </w:t>
      </w:r>
      <w:r w:rsidRPr="00B97C96">
        <w:rPr>
          <w:rFonts w:ascii="Arial-ItalicMT" w:hAnsi="Arial-ItalicMT" w:cs="Arial-ItalicMT"/>
          <w:i/>
          <w:iCs/>
        </w:rPr>
        <w:t>Online</w:t>
      </w:r>
      <w:r w:rsidRPr="00980311">
        <w:rPr>
          <w:i/>
          <w:iCs/>
        </w:rPr>
        <w:t xml:space="preserve"> </w:t>
      </w:r>
      <w:r w:rsidRPr="00946802">
        <w:t>can be edited to correct data input errors if detected after entering by searching for and updating the relevant record. The instructions below will provide guidance on each of these functions.</w:t>
      </w:r>
    </w:p>
    <w:p w:rsidR="00576AF6" w:rsidRPr="00946802" w:rsidRDefault="00576AF6" w:rsidP="00576AF6">
      <w:pPr>
        <w:pStyle w:val="TRONumberText"/>
        <w:numPr>
          <w:ilvl w:val="0"/>
          <w:numId w:val="21"/>
        </w:numPr>
        <w:ind w:left="284" w:hanging="284"/>
      </w:pPr>
      <w:r w:rsidRPr="00946802">
        <w:t xml:space="preserve">Log in to </w:t>
      </w:r>
      <w:r w:rsidRPr="00B97C96">
        <w:rPr>
          <w:i/>
        </w:rPr>
        <w:t>CBR Online</w:t>
      </w:r>
      <w:r w:rsidRPr="00946802">
        <w:t>.</w:t>
      </w:r>
    </w:p>
    <w:p w:rsidR="00576AF6" w:rsidRPr="00946802" w:rsidRDefault="002B42B6" w:rsidP="00576AF6">
      <w:pPr>
        <w:pStyle w:val="TRONumberText"/>
        <w:numPr>
          <w:ilvl w:val="0"/>
          <w:numId w:val="21"/>
        </w:numPr>
        <w:ind w:left="284" w:hanging="284"/>
      </w:pPr>
      <w:r>
        <w:t>From the ‘client index panel’, click ‘CBR’</w:t>
      </w:r>
      <w:r w:rsidR="00576AF6" w:rsidRPr="00946802">
        <w:t>.</w:t>
      </w:r>
    </w:p>
    <w:p w:rsidR="00576AF6" w:rsidRPr="00946802" w:rsidRDefault="00576AF6" w:rsidP="00576AF6">
      <w:pPr>
        <w:pStyle w:val="TRONumberText"/>
        <w:numPr>
          <w:ilvl w:val="0"/>
          <w:numId w:val="21"/>
        </w:numPr>
        <w:ind w:left="284" w:hanging="284"/>
      </w:pPr>
      <w:r w:rsidRPr="00946802">
        <w:t xml:space="preserve">The </w:t>
      </w:r>
      <w:r w:rsidR="002B24E1">
        <w:t>’stamp duty index panel’</w:t>
      </w:r>
      <w:r w:rsidRPr="00946802">
        <w:t xml:space="preserve"> appears which show</w:t>
      </w:r>
      <w:r w:rsidR="002B24E1">
        <w:t>s</w:t>
      </w:r>
      <w:r w:rsidRPr="00946802">
        <w:t xml:space="preserve"> </w:t>
      </w:r>
      <w:r w:rsidRPr="00980311">
        <w:rPr>
          <w:u w:val="single"/>
        </w:rPr>
        <w:t>all</w:t>
      </w:r>
      <w:r w:rsidRPr="00946802">
        <w:t xml:space="preserve"> transactions entered by the </w:t>
      </w:r>
      <w:r w:rsidRPr="00980311">
        <w:rPr>
          <w:i/>
        </w:rPr>
        <w:t>approved person</w:t>
      </w:r>
      <w:r w:rsidRPr="00946802">
        <w:t xml:space="preserve">. </w:t>
      </w:r>
      <w:r w:rsidR="002B24E1">
        <w:t>Y</w:t>
      </w:r>
      <w:r w:rsidRPr="00946802">
        <w:t>ou can use this Search bar to search the fields present on the screen to locate the assessment you require</w:t>
      </w:r>
      <w:r w:rsidR="002B24E1">
        <w:t xml:space="preserve"> (such as reference, assessment number or purchaser)</w:t>
      </w:r>
      <w:r w:rsidRPr="00946802">
        <w:t>.</w:t>
      </w:r>
    </w:p>
    <w:p w:rsidR="00576AF6" w:rsidRPr="00946802" w:rsidRDefault="00576AF6" w:rsidP="00576AF6">
      <w:pPr>
        <w:pStyle w:val="TROHeading3"/>
      </w:pPr>
      <w:r w:rsidRPr="00946802">
        <w:t>11.2 Editing records</w:t>
      </w:r>
    </w:p>
    <w:p w:rsidR="00576AF6" w:rsidRPr="00946802" w:rsidRDefault="00576AF6" w:rsidP="00576AF6">
      <w:pPr>
        <w:pStyle w:val="TROBodytext"/>
      </w:pPr>
      <w:r w:rsidRPr="00946802">
        <w:rPr>
          <w:rFonts w:ascii="Arial-BoldMT" w:hAnsi="Arial-BoldMT" w:cs="Arial-BoldMT"/>
          <w:b/>
          <w:bCs/>
        </w:rPr>
        <w:t>Note</w:t>
      </w:r>
      <w:r w:rsidRPr="00980311">
        <w:t xml:space="preserve">: You cannot update any records in </w:t>
      </w:r>
      <w:r w:rsidRPr="00980311">
        <w:rPr>
          <w:i/>
          <w:iCs/>
        </w:rPr>
        <w:t xml:space="preserve">CBR </w:t>
      </w:r>
      <w:r w:rsidRPr="00B97C96">
        <w:rPr>
          <w:rFonts w:ascii="Arial-ItalicMT" w:hAnsi="Arial-ItalicMT" w:cs="Arial-ItalicMT"/>
          <w:i/>
          <w:iCs/>
        </w:rPr>
        <w:t>Online</w:t>
      </w:r>
      <w:r w:rsidRPr="00980311">
        <w:rPr>
          <w:i/>
          <w:iCs/>
        </w:rPr>
        <w:t xml:space="preserve"> </w:t>
      </w:r>
      <w:r w:rsidRPr="00980311">
        <w:t xml:space="preserve">where the transaction has already been completed. Any changes to these records must be submitted in writing to </w:t>
      </w:r>
      <w:r w:rsidRPr="00980311">
        <w:rPr>
          <w:i/>
          <w:iCs/>
        </w:rPr>
        <w:t>TRO</w:t>
      </w:r>
      <w:r w:rsidRPr="00946802">
        <w:t>.</w:t>
      </w:r>
    </w:p>
    <w:p w:rsidR="00576AF6" w:rsidRPr="00946802" w:rsidRDefault="00576AF6" w:rsidP="00576AF6">
      <w:pPr>
        <w:pStyle w:val="TROBodytext"/>
      </w:pPr>
      <w:r w:rsidRPr="00946802">
        <w:t xml:space="preserve">You cannot update the </w:t>
      </w:r>
      <w:r w:rsidR="002B24E1">
        <w:t>’e</w:t>
      </w:r>
      <w:r w:rsidRPr="00946802">
        <w:t xml:space="preserve">xecution </w:t>
      </w:r>
      <w:r w:rsidR="002B24E1">
        <w:t>d</w:t>
      </w:r>
      <w:r w:rsidRPr="00946802">
        <w:t>ate</w:t>
      </w:r>
      <w:r w:rsidR="002B24E1">
        <w:t>’</w:t>
      </w:r>
      <w:r w:rsidRPr="00946802">
        <w:t xml:space="preserve"> </w:t>
      </w:r>
      <w:r w:rsidR="002B24E1">
        <w:t>or</w:t>
      </w:r>
      <w:r w:rsidRPr="00946802">
        <w:t xml:space="preserve"> </w:t>
      </w:r>
      <w:r w:rsidR="002B24E1">
        <w:t>‘u</w:t>
      </w:r>
      <w:r w:rsidRPr="00946802">
        <w:t xml:space="preserve">nconditional </w:t>
      </w:r>
      <w:r w:rsidR="002B24E1">
        <w:t>d</w:t>
      </w:r>
      <w:r w:rsidRPr="00946802">
        <w:t>ate</w:t>
      </w:r>
      <w:r w:rsidR="002B24E1">
        <w:t>’</w:t>
      </w:r>
      <w:r w:rsidRPr="00946802">
        <w:t xml:space="preserve"> field</w:t>
      </w:r>
      <w:r w:rsidR="002B24E1">
        <w:t>s once a transaction has been fully entered</w:t>
      </w:r>
      <w:r w:rsidRPr="00946802">
        <w:t>.</w:t>
      </w:r>
    </w:p>
    <w:p w:rsidR="00576AF6" w:rsidRPr="00946802" w:rsidRDefault="00576AF6" w:rsidP="00576AF6">
      <w:pPr>
        <w:pStyle w:val="TRONumberText"/>
        <w:numPr>
          <w:ilvl w:val="0"/>
          <w:numId w:val="22"/>
        </w:numPr>
      </w:pPr>
      <w:r w:rsidRPr="00946802">
        <w:t>Search for the assessment you wish to edit (see 1</w:t>
      </w:r>
      <w:r w:rsidR="002B24E1">
        <w:t>1</w:t>
      </w:r>
      <w:r w:rsidRPr="00946802">
        <w:t>.1 above).</w:t>
      </w:r>
    </w:p>
    <w:p w:rsidR="00576AF6" w:rsidRPr="00946802" w:rsidRDefault="00576AF6" w:rsidP="00576AF6">
      <w:pPr>
        <w:pStyle w:val="TRONumberText"/>
        <w:numPr>
          <w:ilvl w:val="0"/>
          <w:numId w:val="22"/>
        </w:numPr>
      </w:pPr>
      <w:r w:rsidRPr="00946802">
        <w:t xml:space="preserve">Click on the </w:t>
      </w:r>
      <w:r w:rsidR="002B24E1">
        <w:t>transaction number</w:t>
      </w:r>
      <w:r w:rsidRPr="00946802">
        <w:t xml:space="preserve"> that you require and you will be taken to the relevant </w:t>
      </w:r>
      <w:r w:rsidR="00E07184">
        <w:t>transaction</w:t>
      </w:r>
      <w:r w:rsidR="00E07184" w:rsidRPr="00946802">
        <w:t xml:space="preserve"> </w:t>
      </w:r>
      <w:r w:rsidRPr="00946802">
        <w:t>screen.</w:t>
      </w:r>
    </w:p>
    <w:p w:rsidR="00576AF6" w:rsidRPr="00946802" w:rsidRDefault="00576AF6" w:rsidP="00576AF6">
      <w:pPr>
        <w:pStyle w:val="TRONumberText"/>
        <w:numPr>
          <w:ilvl w:val="0"/>
          <w:numId w:val="22"/>
        </w:numPr>
      </w:pPr>
      <w:r w:rsidRPr="00946802">
        <w:t>Make changes to the fields you wish to edit.</w:t>
      </w:r>
    </w:p>
    <w:p w:rsidR="00576AF6" w:rsidRPr="00946802" w:rsidRDefault="00576AF6" w:rsidP="00576AF6">
      <w:pPr>
        <w:pStyle w:val="TRONumberText"/>
        <w:numPr>
          <w:ilvl w:val="0"/>
          <w:numId w:val="22"/>
        </w:numPr>
      </w:pPr>
      <w:r w:rsidRPr="00946802">
        <w:t>Click ‘</w:t>
      </w:r>
      <w:r w:rsidR="002B24E1">
        <w:t>save and exit</w:t>
      </w:r>
      <w:r w:rsidR="002B24E1" w:rsidRPr="00946802">
        <w:t>’</w:t>
      </w:r>
      <w:r w:rsidR="002B24E1">
        <w:t xml:space="preserve"> at the bottom of the screen</w:t>
      </w:r>
      <w:r>
        <w:t>.</w:t>
      </w:r>
    </w:p>
    <w:p w:rsidR="00576AF6" w:rsidRPr="00946802" w:rsidRDefault="00576AF6" w:rsidP="00576AF6">
      <w:pPr>
        <w:pStyle w:val="TRONumberText"/>
        <w:numPr>
          <w:ilvl w:val="0"/>
          <w:numId w:val="22"/>
        </w:numPr>
      </w:pPr>
      <w:r w:rsidRPr="00946802">
        <w:t>The assessment has now been updated</w:t>
      </w:r>
      <w:r>
        <w:t>.</w:t>
      </w:r>
    </w:p>
    <w:p w:rsidR="00576AF6" w:rsidRPr="00946802" w:rsidRDefault="00576AF6" w:rsidP="00576AF6">
      <w:pPr>
        <w:autoSpaceDE w:val="0"/>
        <w:autoSpaceDN w:val="0"/>
        <w:adjustRightInd w:val="0"/>
        <w:spacing w:before="120"/>
        <w:rPr>
          <w:rFonts w:ascii="MyriadPro-Regular" w:hAnsi="MyriadPro-Regular" w:cs="MyriadPro-Regular"/>
          <w:sz w:val="21"/>
          <w:szCs w:val="21"/>
        </w:rPr>
      </w:pPr>
    </w:p>
    <w:p w:rsidR="00576AF6" w:rsidRPr="00946802" w:rsidRDefault="00576AF6" w:rsidP="00576AF6">
      <w:pPr>
        <w:pStyle w:val="TROHeading2"/>
      </w:pPr>
      <w:bookmarkStart w:id="14" w:name="_Toc427748470"/>
      <w:r w:rsidRPr="00946802">
        <w:lastRenderedPageBreak/>
        <w:t>12. Collection of duty</w:t>
      </w:r>
      <w:bookmarkEnd w:id="14"/>
    </w:p>
    <w:p w:rsidR="003E794C" w:rsidRPr="007B6651" w:rsidRDefault="003E794C" w:rsidP="003E794C">
      <w:pPr>
        <w:ind w:left="42"/>
        <w:rPr>
          <w:rFonts w:cs="Times"/>
          <w:color w:val="000000"/>
          <w:sz w:val="22"/>
          <w:szCs w:val="22"/>
          <w:lang w:val="en-GB"/>
        </w:rPr>
      </w:pPr>
      <w:r w:rsidRPr="007B6651">
        <w:rPr>
          <w:rFonts w:cs="Times"/>
          <w:i/>
          <w:color w:val="000000"/>
          <w:sz w:val="22"/>
          <w:szCs w:val="22"/>
          <w:lang w:val="en-GB"/>
        </w:rPr>
        <w:t>A</w:t>
      </w:r>
      <w:r w:rsidR="00576AF6" w:rsidRPr="007B6651">
        <w:rPr>
          <w:rFonts w:cs="Times"/>
          <w:i/>
          <w:color w:val="000000"/>
          <w:sz w:val="22"/>
          <w:szCs w:val="22"/>
          <w:lang w:val="en-GB"/>
        </w:rPr>
        <w:t>pproved person</w:t>
      </w:r>
      <w:r w:rsidRPr="007B6651">
        <w:rPr>
          <w:rFonts w:cs="Times"/>
          <w:i/>
          <w:color w:val="000000"/>
          <w:sz w:val="22"/>
          <w:szCs w:val="22"/>
          <w:lang w:val="en-GB"/>
        </w:rPr>
        <w:t>s</w:t>
      </w:r>
      <w:r w:rsidR="00576AF6" w:rsidRPr="007B6651">
        <w:rPr>
          <w:rFonts w:cs="Times"/>
          <w:color w:val="000000"/>
          <w:sz w:val="22"/>
          <w:szCs w:val="22"/>
          <w:lang w:val="en-GB"/>
        </w:rPr>
        <w:t xml:space="preserve"> </w:t>
      </w:r>
      <w:r w:rsidRPr="007B6651">
        <w:rPr>
          <w:rFonts w:cs="Times"/>
          <w:color w:val="000000"/>
          <w:sz w:val="22"/>
          <w:szCs w:val="22"/>
          <w:lang w:val="en-GB"/>
        </w:rPr>
        <w:t xml:space="preserve">are able to enter details of the </w:t>
      </w:r>
      <w:r w:rsidRPr="007B6651">
        <w:rPr>
          <w:rFonts w:cs="Times"/>
          <w:i/>
          <w:color w:val="000000"/>
          <w:sz w:val="22"/>
          <w:szCs w:val="22"/>
          <w:lang w:val="en-GB"/>
        </w:rPr>
        <w:t>conveyance</w:t>
      </w:r>
      <w:r w:rsidRPr="007B6651">
        <w:rPr>
          <w:rFonts w:cs="Times"/>
          <w:color w:val="000000"/>
          <w:sz w:val="22"/>
          <w:szCs w:val="22"/>
          <w:lang w:val="en-GB"/>
        </w:rPr>
        <w:t xml:space="preserve"> in </w:t>
      </w:r>
      <w:r w:rsidRPr="00227296">
        <w:rPr>
          <w:rFonts w:cs="Times"/>
          <w:i/>
          <w:color w:val="000000"/>
          <w:sz w:val="22"/>
          <w:szCs w:val="22"/>
          <w:lang w:val="en-GB"/>
        </w:rPr>
        <w:t>CBR Online</w:t>
      </w:r>
      <w:r w:rsidRPr="007B6651">
        <w:rPr>
          <w:rFonts w:cs="Times"/>
          <w:color w:val="000000"/>
          <w:sz w:val="22"/>
          <w:szCs w:val="22"/>
          <w:lang w:val="en-GB"/>
        </w:rPr>
        <w:t xml:space="preserve">, stamp the </w:t>
      </w:r>
      <w:r w:rsidRPr="007B6651">
        <w:rPr>
          <w:rFonts w:cs="Times"/>
          <w:i/>
          <w:color w:val="000000"/>
          <w:sz w:val="22"/>
          <w:szCs w:val="22"/>
          <w:lang w:val="en-GB"/>
        </w:rPr>
        <w:t>instrument</w:t>
      </w:r>
      <w:r w:rsidRPr="007B6651">
        <w:rPr>
          <w:rFonts w:cs="Times"/>
          <w:color w:val="000000"/>
          <w:sz w:val="22"/>
          <w:szCs w:val="22"/>
          <w:lang w:val="en-GB"/>
        </w:rPr>
        <w:t xml:space="preserve"> (leaving the details blank), attend settlement and, on payment of the duty, enter the details into the stamp to allow settlement to proceed. </w:t>
      </w:r>
    </w:p>
    <w:p w:rsidR="00576AF6" w:rsidRDefault="003E794C" w:rsidP="002C51D7">
      <w:pPr>
        <w:pStyle w:val="TROBodytext"/>
        <w:spacing w:before="120"/>
      </w:pPr>
      <w:r w:rsidRPr="007B6651">
        <w:t xml:space="preserve">Once settlement has occurred, the </w:t>
      </w:r>
      <w:r w:rsidR="002C51D7">
        <w:t>approved person</w:t>
      </w:r>
      <w:r w:rsidRPr="007B6651">
        <w:t xml:space="preserve"> must update CBR Online to ‘complete’</w:t>
      </w:r>
      <w:r w:rsidRPr="003E794C">
        <w:t xml:space="preserve"> the transaction which will trigger its inclusion in the monthly return for that period</w:t>
      </w:r>
      <w:r>
        <w:t xml:space="preserve"> </w:t>
      </w:r>
      <w:r w:rsidR="00576AF6" w:rsidRPr="00980311">
        <w:t xml:space="preserve">and deposit </w:t>
      </w:r>
      <w:r>
        <w:t>the stamp duty funds into their trust account pending payment to the TRO</w:t>
      </w:r>
      <w:r w:rsidR="00576AF6" w:rsidRPr="00946802">
        <w:t>.</w:t>
      </w:r>
    </w:p>
    <w:p w:rsidR="003E794C" w:rsidRPr="00946802" w:rsidRDefault="003E794C" w:rsidP="003E794C">
      <w:pPr>
        <w:pStyle w:val="TROBodytext"/>
      </w:pPr>
      <w:r>
        <w:t xml:space="preserve">Under no circumstances should stamp duty funds be deposited into </w:t>
      </w:r>
      <w:r w:rsidR="00734328">
        <w:t xml:space="preserve">a </w:t>
      </w:r>
      <w:r>
        <w:t>general business account</w:t>
      </w:r>
      <w:r w:rsidR="00734328">
        <w:t xml:space="preserve">, </w:t>
      </w:r>
      <w:r>
        <w:t xml:space="preserve"> personal account </w:t>
      </w:r>
      <w:r w:rsidR="00734328">
        <w:t xml:space="preserve">or any other account other than the trust account maintained by the </w:t>
      </w:r>
      <w:r w:rsidR="00734328" w:rsidRPr="00734328">
        <w:rPr>
          <w:i/>
        </w:rPr>
        <w:t>approved person</w:t>
      </w:r>
      <w:r w:rsidR="00734328">
        <w:t xml:space="preserve"> for the purpose of managing the clients funds</w:t>
      </w:r>
      <w:r>
        <w:t>.</w:t>
      </w:r>
    </w:p>
    <w:p w:rsidR="00576AF6" w:rsidRPr="00946802" w:rsidRDefault="00576AF6" w:rsidP="00576AF6">
      <w:pPr>
        <w:pStyle w:val="TROBodytext"/>
      </w:pPr>
      <w:r w:rsidRPr="00946802">
        <w:t xml:space="preserve">A </w:t>
      </w:r>
      <w:r w:rsidR="003E794C" w:rsidRPr="007B6651">
        <w:rPr>
          <w:iCs/>
        </w:rPr>
        <w:t>stamp</w:t>
      </w:r>
      <w:r w:rsidR="003E794C">
        <w:t xml:space="preserve"> </w:t>
      </w:r>
      <w:r w:rsidRPr="00980311">
        <w:t xml:space="preserve">must not be </w:t>
      </w:r>
      <w:r w:rsidR="003E794C">
        <w:t>completed</w:t>
      </w:r>
      <w:r w:rsidR="003E794C" w:rsidRPr="00980311">
        <w:t xml:space="preserve"> </w:t>
      </w:r>
      <w:r w:rsidRPr="00980311">
        <w:t>if the duty has not been collected</w:t>
      </w:r>
      <w:r w:rsidR="003E794C">
        <w:t>, however</w:t>
      </w:r>
      <w:r w:rsidRPr="00980311">
        <w:t xml:space="preserve"> </w:t>
      </w:r>
      <w:r w:rsidR="003E794C">
        <w:t>a</w:t>
      </w:r>
      <w:r w:rsidRPr="00980311">
        <w:t xml:space="preserve">n </w:t>
      </w:r>
      <w:r w:rsidRPr="00980311">
        <w:rPr>
          <w:i/>
          <w:iCs/>
        </w:rPr>
        <w:t xml:space="preserve">instrument </w:t>
      </w:r>
      <w:r w:rsidRPr="00946802">
        <w:t>may be stamped even though settlement has not occurred.</w:t>
      </w:r>
    </w:p>
    <w:p w:rsidR="00576AF6" w:rsidRPr="00946802" w:rsidRDefault="00576AF6" w:rsidP="00576AF6">
      <w:pPr>
        <w:pStyle w:val="TROHeading2"/>
      </w:pPr>
      <w:bookmarkStart w:id="15" w:name="_Toc427748471"/>
      <w:r w:rsidRPr="00946802">
        <w:t>13. Monthly return statement</w:t>
      </w:r>
      <w:bookmarkEnd w:id="15"/>
    </w:p>
    <w:p w:rsidR="00576AF6" w:rsidRPr="00946802" w:rsidRDefault="00576AF6">
      <w:pPr>
        <w:pStyle w:val="TROBodytext"/>
      </w:pPr>
      <w:r w:rsidRPr="00980311">
        <w:t xml:space="preserve">A monthly return statement will be sent by TRO on the fifth </w:t>
      </w:r>
      <w:r w:rsidRPr="00946802">
        <w:t xml:space="preserve">day after the end of the month to </w:t>
      </w:r>
      <w:r w:rsidR="003E794C">
        <w:t xml:space="preserve">the </w:t>
      </w:r>
      <w:r w:rsidR="003E794C" w:rsidRPr="007B6651">
        <w:rPr>
          <w:i/>
        </w:rPr>
        <w:t xml:space="preserve">approved </w:t>
      </w:r>
      <w:r w:rsidR="002C51D7">
        <w:rPr>
          <w:i/>
        </w:rPr>
        <w:t>persons</w:t>
      </w:r>
      <w:r w:rsidR="003E794C">
        <w:t xml:space="preserve"> </w:t>
      </w:r>
      <w:r w:rsidRPr="00946802">
        <w:t>nominated email account outlining the total amount of duty payable in respect of all transactions completed that month.</w:t>
      </w:r>
      <w:r w:rsidR="00F315C3">
        <w:t xml:space="preserve"> Where changes are made to the report after issue, </w:t>
      </w:r>
      <w:r w:rsidRPr="00980311">
        <w:t xml:space="preserve">the </w:t>
      </w:r>
      <w:r w:rsidRPr="00946802">
        <w:rPr>
          <w:i/>
        </w:rPr>
        <w:t>approved persons</w:t>
      </w:r>
      <w:r w:rsidRPr="00946802">
        <w:t xml:space="preserve"> will need to access the updated monthly return statement through </w:t>
      </w:r>
      <w:r w:rsidRPr="00B97C96">
        <w:rPr>
          <w:i/>
        </w:rPr>
        <w:t>CBR Online</w:t>
      </w:r>
      <w:r w:rsidR="00F315C3">
        <w:rPr>
          <w:i/>
        </w:rPr>
        <w:t xml:space="preserve"> </w:t>
      </w:r>
      <w:r w:rsidR="00F315C3">
        <w:t>following the instructions below</w:t>
      </w:r>
      <w:r w:rsidRPr="00946802">
        <w:t>.</w:t>
      </w:r>
    </w:p>
    <w:p w:rsidR="00576AF6" w:rsidRPr="00946802" w:rsidRDefault="00576AF6" w:rsidP="00576AF6">
      <w:pPr>
        <w:pStyle w:val="TRONumberText"/>
        <w:numPr>
          <w:ilvl w:val="0"/>
          <w:numId w:val="28"/>
        </w:numPr>
      </w:pPr>
      <w:r w:rsidRPr="00946802">
        <w:t>Log</w:t>
      </w:r>
      <w:r>
        <w:t xml:space="preserve"> </w:t>
      </w:r>
      <w:r w:rsidRPr="00946802">
        <w:t xml:space="preserve">in to </w:t>
      </w:r>
      <w:r w:rsidRPr="00B97C96">
        <w:rPr>
          <w:i/>
        </w:rPr>
        <w:t>CBR Online</w:t>
      </w:r>
      <w:r>
        <w:t>.</w:t>
      </w:r>
    </w:p>
    <w:p w:rsidR="003E794C" w:rsidRDefault="003E794C" w:rsidP="00576AF6">
      <w:pPr>
        <w:pStyle w:val="TRONumberText"/>
        <w:numPr>
          <w:ilvl w:val="0"/>
          <w:numId w:val="28"/>
        </w:numPr>
      </w:pPr>
      <w:r>
        <w:t>Click on the ‘Return’ button from the ‘client index panel’.</w:t>
      </w:r>
    </w:p>
    <w:p w:rsidR="00437724" w:rsidRDefault="00437724" w:rsidP="00576AF6">
      <w:pPr>
        <w:pStyle w:val="TRONumberText"/>
        <w:numPr>
          <w:ilvl w:val="0"/>
          <w:numId w:val="28"/>
        </w:numPr>
      </w:pPr>
      <w:r>
        <w:t>The ‘CBR returns index’ will appear listing a separate entry for each return period.</w:t>
      </w:r>
    </w:p>
    <w:p w:rsidR="00437724" w:rsidRDefault="00437724" w:rsidP="00576AF6">
      <w:pPr>
        <w:pStyle w:val="TRONumberText"/>
        <w:numPr>
          <w:ilvl w:val="0"/>
          <w:numId w:val="28"/>
        </w:numPr>
      </w:pPr>
      <w:r>
        <w:t>Click the ‘print’ button on the right hand side of the return period you wish to view.</w:t>
      </w:r>
    </w:p>
    <w:p w:rsidR="00437724" w:rsidRDefault="00437724" w:rsidP="00576AF6">
      <w:pPr>
        <w:pStyle w:val="TRONumberText"/>
        <w:numPr>
          <w:ilvl w:val="0"/>
          <w:numId w:val="28"/>
        </w:numPr>
      </w:pPr>
      <w:r>
        <w:t>Click the ‘print’ functionality in your browser.</w:t>
      </w:r>
    </w:p>
    <w:p w:rsidR="00576AF6" w:rsidRPr="00946802" w:rsidRDefault="00576AF6" w:rsidP="00576AF6">
      <w:pPr>
        <w:pStyle w:val="TROHeading2"/>
      </w:pPr>
      <w:bookmarkStart w:id="16" w:name="_Toc427748472"/>
      <w:r w:rsidRPr="00946802">
        <w:t>14. Monthly payment</w:t>
      </w:r>
      <w:bookmarkEnd w:id="16"/>
    </w:p>
    <w:p w:rsidR="00576AF6" w:rsidRPr="00946802" w:rsidRDefault="00576AF6" w:rsidP="00576AF6">
      <w:pPr>
        <w:pStyle w:val="TROBodytext"/>
      </w:pPr>
      <w:r w:rsidRPr="00980311">
        <w:t xml:space="preserve">An </w:t>
      </w:r>
      <w:r w:rsidRPr="00980311">
        <w:rPr>
          <w:i/>
          <w:iCs/>
        </w:rPr>
        <w:t xml:space="preserve">approved person </w:t>
      </w:r>
      <w:r w:rsidRPr="00980311">
        <w:t xml:space="preserve">must, within a period of 15 days after the end of the month to which the monthly return statement relates, pay the relevant duty to </w:t>
      </w:r>
      <w:r w:rsidRPr="00980311">
        <w:rPr>
          <w:i/>
          <w:iCs/>
        </w:rPr>
        <w:t>TRO</w:t>
      </w:r>
      <w:r w:rsidRPr="00946802">
        <w:t>.</w:t>
      </w:r>
    </w:p>
    <w:p w:rsidR="00576AF6" w:rsidRPr="00946802" w:rsidRDefault="00576AF6" w:rsidP="00576AF6">
      <w:pPr>
        <w:pStyle w:val="TROBodytext"/>
      </w:pPr>
      <w:r w:rsidRPr="00946802">
        <w:t>Payment can be made by:</w:t>
      </w:r>
    </w:p>
    <w:p w:rsidR="002C51D7" w:rsidRPr="00B97C96" w:rsidRDefault="002C51D7" w:rsidP="002C51D7">
      <w:pPr>
        <w:pStyle w:val="TROBulletText"/>
      </w:pPr>
      <w:proofErr w:type="gramStart"/>
      <w:r w:rsidRPr="00980311">
        <w:t>electronic</w:t>
      </w:r>
      <w:proofErr w:type="gramEnd"/>
      <w:r w:rsidRPr="00980311">
        <w:t xml:space="preserve"> funds transfer (EFT). To pay by EFT, simply identify the payment with your personal identification number (PIN), which is made up of your registration number, the code ‘</w:t>
      </w:r>
      <w:r w:rsidRPr="00F315C3">
        <w:rPr>
          <w:i/>
          <w:iCs/>
        </w:rPr>
        <w:t>CBR</w:t>
      </w:r>
      <w:r w:rsidRPr="00980311">
        <w:t>’ and the month to which the payment relates</w:t>
      </w:r>
      <w:r>
        <w:t>. E</w:t>
      </w:r>
      <w:r w:rsidRPr="00980311">
        <w:t>.g. if your registration number is</w:t>
      </w:r>
      <w:r>
        <w:t xml:space="preserve"> 123456 and the payment is for May</w:t>
      </w:r>
      <w:r w:rsidRPr="00980311">
        <w:t xml:space="preserve"> 201</w:t>
      </w:r>
      <w:r>
        <w:t>6</w:t>
      </w:r>
      <w:r w:rsidRPr="00980311">
        <w:t>, your PIN would be 123456</w:t>
      </w:r>
      <w:r w:rsidRPr="00F315C3">
        <w:rPr>
          <w:i/>
          <w:iCs/>
        </w:rPr>
        <w:t>CBR</w:t>
      </w:r>
      <w:r>
        <w:t xml:space="preserve">0516. For June 2016, your PIN </w:t>
      </w:r>
      <w:r w:rsidRPr="00980311">
        <w:t>would be 123456</w:t>
      </w:r>
      <w:r w:rsidRPr="00F315C3">
        <w:rPr>
          <w:i/>
          <w:iCs/>
        </w:rPr>
        <w:t>CBR</w:t>
      </w:r>
      <w:r>
        <w:rPr>
          <w:i/>
          <w:iCs/>
        </w:rPr>
        <w:t>0616</w:t>
      </w:r>
      <w:r w:rsidRPr="00946802">
        <w:t>.</w:t>
      </w:r>
    </w:p>
    <w:p w:rsidR="002C51D7" w:rsidRPr="00946802" w:rsidRDefault="002C51D7" w:rsidP="002C51D7">
      <w:pPr>
        <w:pStyle w:val="TROBulletText"/>
        <w:numPr>
          <w:ilvl w:val="0"/>
          <w:numId w:val="0"/>
        </w:numPr>
        <w:ind w:left="284" w:hanging="284"/>
      </w:pPr>
      <w:r w:rsidRPr="00946802">
        <w:t>Using the PIN, transmit the payment to:</w:t>
      </w:r>
    </w:p>
    <w:p w:rsidR="002C51D7" w:rsidRPr="00946802" w:rsidRDefault="002C51D7" w:rsidP="002C51D7">
      <w:pPr>
        <w:pStyle w:val="TROBodytext"/>
        <w:ind w:left="284"/>
      </w:pPr>
      <w:r w:rsidRPr="00946802">
        <w:rPr>
          <w:rFonts w:ascii="Arial-BoldMT" w:hAnsi="Arial-BoldMT" w:cs="Arial-BoldMT"/>
          <w:b/>
          <w:bCs/>
        </w:rPr>
        <w:t xml:space="preserve">Bank </w:t>
      </w:r>
      <w:r w:rsidRPr="00946802">
        <w:t>National Australia Bank</w:t>
      </w:r>
    </w:p>
    <w:p w:rsidR="002C51D7" w:rsidRPr="00946802" w:rsidRDefault="002C51D7" w:rsidP="002C51D7">
      <w:pPr>
        <w:pStyle w:val="TROBodytext"/>
        <w:ind w:left="284"/>
      </w:pPr>
      <w:r w:rsidRPr="00946802">
        <w:rPr>
          <w:rFonts w:ascii="Arial-BoldMT" w:hAnsi="Arial-BoldMT" w:cs="Arial-BoldMT"/>
          <w:b/>
          <w:bCs/>
        </w:rPr>
        <w:t xml:space="preserve">BSB </w:t>
      </w:r>
      <w:r w:rsidRPr="00946802">
        <w:t>085-933</w:t>
      </w:r>
    </w:p>
    <w:p w:rsidR="002C51D7" w:rsidRPr="00946802" w:rsidRDefault="002C51D7" w:rsidP="002C51D7">
      <w:pPr>
        <w:pStyle w:val="TROBodytext"/>
        <w:ind w:left="284"/>
      </w:pPr>
      <w:r w:rsidRPr="00946802">
        <w:rPr>
          <w:rFonts w:ascii="Arial-BoldMT" w:hAnsi="Arial-BoldMT" w:cs="Arial-BoldMT"/>
          <w:b/>
          <w:bCs/>
        </w:rPr>
        <w:t xml:space="preserve">Account No. </w:t>
      </w:r>
      <w:r w:rsidRPr="00946802">
        <w:t>187 960 174</w:t>
      </w:r>
    </w:p>
    <w:p w:rsidR="002C51D7" w:rsidRDefault="002C51D7" w:rsidP="002C51D7">
      <w:pPr>
        <w:pStyle w:val="TROBulletText"/>
        <w:numPr>
          <w:ilvl w:val="0"/>
          <w:numId w:val="0"/>
        </w:numPr>
        <w:ind w:left="284"/>
      </w:pPr>
      <w:r w:rsidRPr="00946802">
        <w:rPr>
          <w:rFonts w:ascii="Arial-BoldMT" w:hAnsi="Arial-BoldMT" w:cs="Arial-BoldMT"/>
          <w:b/>
          <w:bCs/>
        </w:rPr>
        <w:t xml:space="preserve">Account title </w:t>
      </w:r>
      <w:r w:rsidRPr="00946802">
        <w:t>Territory Revenue Office</w:t>
      </w:r>
    </w:p>
    <w:p w:rsidR="00576AF6" w:rsidRPr="00946802" w:rsidRDefault="00576AF6" w:rsidP="00576AF6">
      <w:pPr>
        <w:pStyle w:val="TROBulletText"/>
      </w:pPr>
      <w:r w:rsidRPr="00980311">
        <w:t xml:space="preserve">a cheque drawn on a trust account of the </w:t>
      </w:r>
      <w:r w:rsidRPr="00BD238C">
        <w:rPr>
          <w:i/>
        </w:rPr>
        <w:t>approved person</w:t>
      </w:r>
      <w:r w:rsidRPr="00946802">
        <w:t>;</w:t>
      </w:r>
    </w:p>
    <w:p w:rsidR="00576AF6" w:rsidRDefault="00576AF6" w:rsidP="00576AF6">
      <w:pPr>
        <w:pStyle w:val="TROBulletText"/>
      </w:pPr>
      <w:r w:rsidRPr="00B97C96">
        <w:t>a bank cheque or similar cheque of a recognised building society or credit union; or</w:t>
      </w:r>
    </w:p>
    <w:p w:rsidR="00576AF6" w:rsidRPr="00946802" w:rsidRDefault="00576AF6" w:rsidP="00576AF6">
      <w:pPr>
        <w:pStyle w:val="TROHeading2"/>
      </w:pPr>
      <w:bookmarkStart w:id="17" w:name="_Toc427748474"/>
      <w:r w:rsidRPr="00946802">
        <w:lastRenderedPageBreak/>
        <w:t>1</w:t>
      </w:r>
      <w:r w:rsidR="00790A69">
        <w:t>5</w:t>
      </w:r>
      <w:r w:rsidRPr="00946802">
        <w:t>. Underpayments</w:t>
      </w:r>
      <w:bookmarkEnd w:id="17"/>
    </w:p>
    <w:p w:rsidR="00576AF6" w:rsidRPr="00946802" w:rsidRDefault="00576AF6" w:rsidP="00576AF6">
      <w:pPr>
        <w:pStyle w:val="TROBodytext"/>
      </w:pPr>
      <w:r w:rsidRPr="00980311">
        <w:t xml:space="preserve">The liability to pay duty in relation to a </w:t>
      </w:r>
      <w:r w:rsidRPr="00980311">
        <w:rPr>
          <w:i/>
          <w:iCs/>
        </w:rPr>
        <w:t xml:space="preserve">conveyance </w:t>
      </w:r>
      <w:r w:rsidRPr="00980311">
        <w:t xml:space="preserve">remains with the </w:t>
      </w:r>
      <w:proofErr w:type="spellStart"/>
      <w:r w:rsidRPr="00980311">
        <w:rPr>
          <w:i/>
          <w:iCs/>
        </w:rPr>
        <w:t>conveyee</w:t>
      </w:r>
      <w:proofErr w:type="spellEnd"/>
      <w:r w:rsidRPr="00980311">
        <w:rPr>
          <w:i/>
          <w:iCs/>
        </w:rPr>
        <w:t xml:space="preserve"> </w:t>
      </w:r>
      <w:r w:rsidRPr="00980311">
        <w:t xml:space="preserve">under the </w:t>
      </w:r>
      <w:r w:rsidRPr="00980311">
        <w:rPr>
          <w:i/>
          <w:iCs/>
        </w:rPr>
        <w:t>SDA</w:t>
      </w:r>
      <w:r w:rsidRPr="00980311">
        <w:t xml:space="preserve">. In addition, if a </w:t>
      </w:r>
      <w:proofErr w:type="spellStart"/>
      <w:r w:rsidRPr="00980311">
        <w:rPr>
          <w:i/>
          <w:iCs/>
        </w:rPr>
        <w:t>conveyee</w:t>
      </w:r>
      <w:proofErr w:type="spellEnd"/>
      <w:r w:rsidRPr="00980311">
        <w:rPr>
          <w:i/>
          <w:iCs/>
        </w:rPr>
        <w:t xml:space="preserve"> </w:t>
      </w:r>
      <w:r w:rsidRPr="00980311">
        <w:t xml:space="preserve">incorrectly or fraudulently claims a concession or rebate, this will be recovered from the </w:t>
      </w:r>
      <w:proofErr w:type="spellStart"/>
      <w:r w:rsidRPr="00980311">
        <w:rPr>
          <w:i/>
          <w:iCs/>
        </w:rPr>
        <w:t>conveyee</w:t>
      </w:r>
      <w:proofErr w:type="spellEnd"/>
      <w:r w:rsidRPr="00946802">
        <w:t>.</w:t>
      </w:r>
    </w:p>
    <w:p w:rsidR="000B7AEF" w:rsidRDefault="00576AF6" w:rsidP="00576AF6">
      <w:pPr>
        <w:pStyle w:val="TROBodytext"/>
      </w:pPr>
      <w:r w:rsidRPr="00946802">
        <w:t xml:space="preserve">However, where duty is </w:t>
      </w:r>
      <w:r w:rsidR="000B7AEF">
        <w:t xml:space="preserve">paid by the </w:t>
      </w:r>
      <w:proofErr w:type="spellStart"/>
      <w:r w:rsidR="000B7AEF" w:rsidRPr="007B6651">
        <w:rPr>
          <w:i/>
        </w:rPr>
        <w:t>conveyee</w:t>
      </w:r>
      <w:proofErr w:type="spellEnd"/>
      <w:r w:rsidR="000B7AEF">
        <w:t xml:space="preserve"> to the </w:t>
      </w:r>
      <w:r w:rsidR="000B7AEF" w:rsidRPr="002C51D7">
        <w:rPr>
          <w:i/>
        </w:rPr>
        <w:t>approved person</w:t>
      </w:r>
      <w:r w:rsidR="000B7AEF">
        <w:t xml:space="preserve">, but the </w:t>
      </w:r>
      <w:r w:rsidR="000B7AEF" w:rsidRPr="007B6651">
        <w:rPr>
          <w:i/>
        </w:rPr>
        <w:t>approved person</w:t>
      </w:r>
      <w:r w:rsidR="000B7AEF">
        <w:t xml:space="preserve"> fails to make that payment to the TRO, in part of in whole, by the due date for payment</w:t>
      </w:r>
      <w:r w:rsidRPr="00980311">
        <w:t xml:space="preserve">, </w:t>
      </w:r>
      <w:r w:rsidR="000B7AEF">
        <w:t xml:space="preserve">TRO will pursue the underpaid or unpaid amount from the </w:t>
      </w:r>
      <w:r w:rsidR="000B7AEF" w:rsidRPr="007B6651">
        <w:rPr>
          <w:i/>
        </w:rPr>
        <w:t>approved person</w:t>
      </w:r>
      <w:r w:rsidR="002C51D7">
        <w:t xml:space="preserve"> through civil recovery action</w:t>
      </w:r>
      <w:r w:rsidR="000B7AEF">
        <w:t>.</w:t>
      </w:r>
      <w:r w:rsidRPr="00980311">
        <w:t xml:space="preserve"> </w:t>
      </w:r>
    </w:p>
    <w:p w:rsidR="00576AF6" w:rsidRPr="00946802" w:rsidRDefault="00576AF6" w:rsidP="00576AF6">
      <w:pPr>
        <w:pStyle w:val="TROHeading2"/>
      </w:pPr>
      <w:bookmarkStart w:id="18" w:name="_Toc427748475"/>
      <w:r w:rsidRPr="00946802">
        <w:t>1</w:t>
      </w:r>
      <w:r w:rsidR="00790A69">
        <w:t>6</w:t>
      </w:r>
      <w:r w:rsidRPr="00946802">
        <w:t>. Overpayments</w:t>
      </w:r>
      <w:bookmarkEnd w:id="18"/>
    </w:p>
    <w:p w:rsidR="00576AF6" w:rsidRPr="00946802" w:rsidRDefault="00576AF6" w:rsidP="00576AF6">
      <w:pPr>
        <w:pStyle w:val="TROBodytext"/>
      </w:pPr>
      <w:r w:rsidRPr="00980311">
        <w:t xml:space="preserve">No deductions are to be made from duty totals on returns of </w:t>
      </w:r>
      <w:r w:rsidRPr="00980311">
        <w:rPr>
          <w:i/>
          <w:iCs/>
        </w:rPr>
        <w:t>approved persons</w:t>
      </w:r>
      <w:r w:rsidRPr="00980311">
        <w:t xml:space="preserve">. Any claims for duty overpaid must be made by application in writing to the </w:t>
      </w:r>
      <w:r w:rsidRPr="00980311">
        <w:rPr>
          <w:i/>
          <w:iCs/>
        </w:rPr>
        <w:t>Commissioner</w:t>
      </w:r>
      <w:r w:rsidRPr="00946802">
        <w:t>.</w:t>
      </w:r>
    </w:p>
    <w:p w:rsidR="00576AF6" w:rsidRPr="00946802" w:rsidRDefault="00576AF6" w:rsidP="00576AF6">
      <w:pPr>
        <w:pStyle w:val="TROHeading2"/>
      </w:pPr>
      <w:bookmarkStart w:id="19" w:name="_Toc427748476"/>
      <w:r w:rsidRPr="00946802">
        <w:t>1</w:t>
      </w:r>
      <w:r w:rsidR="00790A69">
        <w:t>7</w:t>
      </w:r>
      <w:r w:rsidRPr="00946802">
        <w:t>. Refunds</w:t>
      </w:r>
      <w:bookmarkEnd w:id="19"/>
    </w:p>
    <w:p w:rsidR="00576AF6" w:rsidRDefault="00576AF6" w:rsidP="00576AF6">
      <w:pPr>
        <w:pStyle w:val="TROBodytext"/>
      </w:pPr>
      <w:r w:rsidRPr="00980311">
        <w:t xml:space="preserve">If a transaction is processed in </w:t>
      </w:r>
      <w:r w:rsidRPr="00980311">
        <w:rPr>
          <w:i/>
          <w:iCs/>
        </w:rPr>
        <w:t>CBR</w:t>
      </w:r>
      <w:r>
        <w:rPr>
          <w:i/>
          <w:iCs/>
        </w:rPr>
        <w:t xml:space="preserve"> Online</w:t>
      </w:r>
      <w:r w:rsidRPr="00980311">
        <w:rPr>
          <w:i/>
          <w:iCs/>
        </w:rPr>
        <w:t xml:space="preserve"> </w:t>
      </w:r>
      <w:r w:rsidRPr="00980311">
        <w:t>but does not proceed</w:t>
      </w:r>
      <w:r w:rsidR="000B7AEF">
        <w:t>,</w:t>
      </w:r>
      <w:r w:rsidRPr="00980311">
        <w:t xml:space="preserve"> an application for refund may be submitted to </w:t>
      </w:r>
      <w:r w:rsidRPr="00980311">
        <w:rPr>
          <w:i/>
          <w:iCs/>
        </w:rPr>
        <w:t>TRO</w:t>
      </w:r>
      <w:r w:rsidRPr="00980311">
        <w:t xml:space="preserve">. Original stamped </w:t>
      </w:r>
      <w:r w:rsidRPr="00980311">
        <w:rPr>
          <w:i/>
          <w:iCs/>
        </w:rPr>
        <w:t xml:space="preserve">instruments </w:t>
      </w:r>
      <w:r w:rsidRPr="00980311">
        <w:t xml:space="preserve">(including all duplicates and transfers) must be lodged with </w:t>
      </w:r>
      <w:r w:rsidRPr="00980311">
        <w:rPr>
          <w:i/>
          <w:iCs/>
        </w:rPr>
        <w:t xml:space="preserve">TRO </w:t>
      </w:r>
      <w:r w:rsidRPr="00980311">
        <w:t xml:space="preserve">and be accompanied by the relevant form (F-SD-014: </w:t>
      </w:r>
      <w:r w:rsidRPr="00980311">
        <w:rPr>
          <w:i/>
          <w:iCs/>
        </w:rPr>
        <w:t>Refund or remission of stamp duty on cancelled conveyance</w:t>
      </w:r>
      <w:r w:rsidRPr="00946802">
        <w:t>) along with any evidence necessary to support the claim.</w:t>
      </w:r>
    </w:p>
    <w:p w:rsidR="000B7AEF" w:rsidRPr="00946802" w:rsidRDefault="000B7AEF" w:rsidP="00576AF6">
      <w:pPr>
        <w:pStyle w:val="TROBodytext"/>
      </w:pPr>
      <w:r>
        <w:t xml:space="preserve">Similarly, if a transaction is processed in </w:t>
      </w:r>
      <w:r w:rsidRPr="00227296">
        <w:rPr>
          <w:i/>
        </w:rPr>
        <w:t>CBR Online</w:t>
      </w:r>
      <w:r>
        <w:t xml:space="preserve"> and the </w:t>
      </w:r>
      <w:proofErr w:type="spellStart"/>
      <w:r w:rsidRPr="002C51D7">
        <w:rPr>
          <w:i/>
        </w:rPr>
        <w:t>conveyee</w:t>
      </w:r>
      <w:proofErr w:type="spellEnd"/>
      <w:r>
        <w:t xml:space="preserve"> subsequently becomes entitled to a concession, rebate or discount on the duty paid, the </w:t>
      </w:r>
      <w:proofErr w:type="spellStart"/>
      <w:r w:rsidRPr="002C51D7">
        <w:rPr>
          <w:i/>
        </w:rPr>
        <w:t>conveyee</w:t>
      </w:r>
      <w:proofErr w:type="spellEnd"/>
      <w:r>
        <w:t xml:space="preserve"> must lodge their home incentive application with TRO alon</w:t>
      </w:r>
      <w:r w:rsidR="00DF7C74">
        <w:t xml:space="preserve">g with all supporting information. If TRO is satisfied that the </w:t>
      </w:r>
      <w:proofErr w:type="spellStart"/>
      <w:r w:rsidR="00DF7C74" w:rsidRPr="002C51D7">
        <w:rPr>
          <w:i/>
        </w:rPr>
        <w:t>conveyee</w:t>
      </w:r>
      <w:proofErr w:type="spellEnd"/>
      <w:r w:rsidR="00DF7C74">
        <w:t xml:space="preserve"> is eligible, a refund of duty equal the amount of the concession, rebate or discount will be made.</w:t>
      </w:r>
    </w:p>
    <w:p w:rsidR="00576AF6" w:rsidRPr="00946802" w:rsidRDefault="00576AF6" w:rsidP="007B6651">
      <w:pPr>
        <w:pStyle w:val="TROHeading2"/>
        <w:ind w:left="0" w:firstLine="0"/>
      </w:pPr>
      <w:bookmarkStart w:id="20" w:name="_Toc427748477"/>
      <w:r w:rsidRPr="00946802">
        <w:t>1</w:t>
      </w:r>
      <w:r w:rsidR="00790A69">
        <w:t>8</w:t>
      </w:r>
      <w:r w:rsidRPr="00946802">
        <w:t>. Penalties</w:t>
      </w:r>
      <w:bookmarkEnd w:id="20"/>
    </w:p>
    <w:p w:rsidR="00734328" w:rsidRPr="00946802" w:rsidRDefault="00734328" w:rsidP="00734328">
      <w:pPr>
        <w:pStyle w:val="TROBodytext"/>
      </w:pPr>
      <w:r>
        <w:t xml:space="preserve">Failure to deposit funds into the </w:t>
      </w:r>
      <w:r w:rsidRPr="00CA3919">
        <w:rPr>
          <w:i/>
        </w:rPr>
        <w:t>approved persons</w:t>
      </w:r>
      <w:r>
        <w:t xml:space="preserve"> trust account, and acquit those funds to </w:t>
      </w:r>
      <w:r w:rsidRPr="00CA3919">
        <w:rPr>
          <w:i/>
        </w:rPr>
        <w:t>TRO</w:t>
      </w:r>
      <w:r>
        <w:t xml:space="preserve"> by the due date for payment of the return, constitutes an offense under section 52 of the </w:t>
      </w:r>
      <w:r w:rsidRPr="00CA3919">
        <w:rPr>
          <w:i/>
        </w:rPr>
        <w:t>Taxation Administration Act</w:t>
      </w:r>
      <w:r>
        <w:t xml:space="preserve"> and may result in prosecution action. </w:t>
      </w:r>
    </w:p>
    <w:p w:rsidR="00734328" w:rsidRDefault="00734328" w:rsidP="00734328">
      <w:pPr>
        <w:pStyle w:val="TROBulletText"/>
        <w:numPr>
          <w:ilvl w:val="0"/>
          <w:numId w:val="0"/>
        </w:numPr>
      </w:pPr>
      <w:r w:rsidRPr="00946802">
        <w:t xml:space="preserve">The </w:t>
      </w:r>
      <w:r w:rsidRPr="00980311">
        <w:rPr>
          <w:i/>
          <w:iCs/>
        </w:rPr>
        <w:t xml:space="preserve">Commissioner </w:t>
      </w:r>
      <w:r w:rsidRPr="00980311">
        <w:t xml:space="preserve">may </w:t>
      </w:r>
      <w:r>
        <w:t xml:space="preserve">also </w:t>
      </w:r>
      <w:r w:rsidRPr="00980311">
        <w:t xml:space="preserve">revoke the authority of an </w:t>
      </w:r>
      <w:r w:rsidRPr="00980311">
        <w:rPr>
          <w:i/>
          <w:iCs/>
        </w:rPr>
        <w:t xml:space="preserve">approved person </w:t>
      </w:r>
      <w:r w:rsidRPr="00980311">
        <w:t xml:space="preserve">to stamp </w:t>
      </w:r>
      <w:r w:rsidRPr="00980311">
        <w:rPr>
          <w:i/>
          <w:iCs/>
        </w:rPr>
        <w:t xml:space="preserve">instruments </w:t>
      </w:r>
      <w:r w:rsidRPr="00946802">
        <w:t>by return if the terms of the approval have been breached on a continual or significant basis.</w:t>
      </w:r>
    </w:p>
    <w:p w:rsidR="00DF4D52" w:rsidRDefault="00734328" w:rsidP="00734328">
      <w:pPr>
        <w:pStyle w:val="TROBulletText"/>
        <w:numPr>
          <w:ilvl w:val="0"/>
          <w:numId w:val="0"/>
        </w:numPr>
      </w:pPr>
      <w:r>
        <w:t>In the case of a minor, isolated incident, an opportunity will generally be provided to the approved period to rectify the breach and put systems or processes in place to ensure it doesn’t recur</w:t>
      </w:r>
      <w:r w:rsidR="00DF4D52">
        <w:t xml:space="preserve">. </w:t>
      </w:r>
    </w:p>
    <w:p w:rsidR="00790A69" w:rsidRDefault="00790A69" w:rsidP="00576AF6">
      <w:pPr>
        <w:pStyle w:val="TROHeading2"/>
      </w:pPr>
      <w:bookmarkStart w:id="21" w:name="_Toc427748478"/>
      <w:r>
        <w:t>19. Security</w:t>
      </w:r>
    </w:p>
    <w:p w:rsidR="00576AF6" w:rsidRPr="00B33AA1" w:rsidRDefault="00790A69" w:rsidP="00B33AA1">
      <w:pPr>
        <w:pStyle w:val="TROHeading2"/>
        <w:spacing w:before="0" w:after="120" w:line="300" w:lineRule="atLeast"/>
        <w:rPr>
          <w:sz w:val="22"/>
          <w:szCs w:val="22"/>
        </w:rPr>
      </w:pPr>
      <w:r w:rsidRPr="00B33AA1">
        <w:rPr>
          <w:sz w:val="22"/>
          <w:szCs w:val="22"/>
        </w:rPr>
        <w:t>19.1</w:t>
      </w:r>
      <w:r w:rsidR="00576AF6" w:rsidRPr="00B33AA1">
        <w:rPr>
          <w:sz w:val="22"/>
          <w:szCs w:val="22"/>
        </w:rPr>
        <w:t xml:space="preserve"> </w:t>
      </w:r>
      <w:r w:rsidR="00DF4D52" w:rsidRPr="00B33AA1">
        <w:rPr>
          <w:sz w:val="22"/>
          <w:szCs w:val="22"/>
        </w:rPr>
        <w:t>Creating a new user</w:t>
      </w:r>
      <w:bookmarkEnd w:id="21"/>
    </w:p>
    <w:p w:rsidR="00576AF6" w:rsidRDefault="00DF4D52" w:rsidP="00576AF6">
      <w:pPr>
        <w:pStyle w:val="TROBodytext"/>
      </w:pPr>
      <w:r>
        <w:t>Users of CBR can arrange for others in their organisation to gain access by following the steps below.</w:t>
      </w:r>
    </w:p>
    <w:p w:rsidR="00DF4D52" w:rsidRPr="00946802" w:rsidRDefault="00DF4D52" w:rsidP="007B6651">
      <w:pPr>
        <w:pStyle w:val="TRONumberText"/>
        <w:numPr>
          <w:ilvl w:val="0"/>
          <w:numId w:val="29"/>
        </w:numPr>
      </w:pPr>
      <w:r w:rsidRPr="00946802">
        <w:t>Log</w:t>
      </w:r>
      <w:r>
        <w:t xml:space="preserve"> </w:t>
      </w:r>
      <w:r w:rsidRPr="00946802">
        <w:t xml:space="preserve">in to </w:t>
      </w:r>
      <w:r w:rsidRPr="00DF4D52">
        <w:rPr>
          <w:i/>
        </w:rPr>
        <w:t>CBR Online</w:t>
      </w:r>
      <w:r>
        <w:t>.</w:t>
      </w:r>
    </w:p>
    <w:p w:rsidR="00DF4D52" w:rsidRDefault="00DF4D52" w:rsidP="00DF4D52">
      <w:pPr>
        <w:pStyle w:val="TRONumberText"/>
        <w:numPr>
          <w:ilvl w:val="0"/>
          <w:numId w:val="28"/>
        </w:numPr>
      </w:pPr>
      <w:r>
        <w:t>Click on the ‘</w:t>
      </w:r>
      <w:r w:rsidR="00CC34A5">
        <w:t>Users</w:t>
      </w:r>
      <w:r>
        <w:t>’ button from the ‘</w:t>
      </w:r>
      <w:r w:rsidR="00CC34A5">
        <w:t>C</w:t>
      </w:r>
      <w:r>
        <w:t xml:space="preserve">lient </w:t>
      </w:r>
      <w:r w:rsidR="00CC34A5">
        <w:t>I</w:t>
      </w:r>
      <w:r>
        <w:t xml:space="preserve">ndex </w:t>
      </w:r>
      <w:r w:rsidR="00CC34A5">
        <w:t>P</w:t>
      </w:r>
      <w:r>
        <w:t>anel’.</w:t>
      </w:r>
    </w:p>
    <w:p w:rsidR="00CC34A5" w:rsidRDefault="009D5589" w:rsidP="00DF4D52">
      <w:pPr>
        <w:pStyle w:val="TRONumberText"/>
        <w:numPr>
          <w:ilvl w:val="0"/>
          <w:numId w:val="28"/>
        </w:numPr>
      </w:pPr>
      <w:r>
        <w:t>Click on the ‘Add User’ button from the ‘Manage Users’ screen.</w:t>
      </w:r>
    </w:p>
    <w:p w:rsidR="009D5589" w:rsidRDefault="009D5589" w:rsidP="00DF4D52">
      <w:pPr>
        <w:pStyle w:val="TRONumberText"/>
        <w:numPr>
          <w:ilvl w:val="0"/>
          <w:numId w:val="28"/>
        </w:numPr>
      </w:pPr>
      <w:r>
        <w:t>Complete the fields in the ‘Add User’ screen and click on Save.</w:t>
      </w:r>
    </w:p>
    <w:p w:rsidR="009D5589" w:rsidRDefault="009D5589" w:rsidP="00DF4D52">
      <w:pPr>
        <w:pStyle w:val="TRONumberText"/>
        <w:numPr>
          <w:ilvl w:val="0"/>
          <w:numId w:val="28"/>
        </w:numPr>
      </w:pPr>
      <w:r>
        <w:t xml:space="preserve">An email will be sent to the new user asking them to validate their email address and set their password. </w:t>
      </w:r>
    </w:p>
    <w:p w:rsidR="0096216F" w:rsidRDefault="0096216F" w:rsidP="00DF4D52">
      <w:pPr>
        <w:pStyle w:val="TRONumberText"/>
        <w:numPr>
          <w:ilvl w:val="0"/>
          <w:numId w:val="28"/>
        </w:numPr>
      </w:pPr>
      <w:r>
        <w:t xml:space="preserve">Once done, the user will be able to access </w:t>
      </w:r>
      <w:r w:rsidRPr="007B6651">
        <w:rPr>
          <w:i/>
        </w:rPr>
        <w:t>CBR Online</w:t>
      </w:r>
      <w:r>
        <w:t>.</w:t>
      </w:r>
    </w:p>
    <w:p w:rsidR="00F315C3" w:rsidRDefault="00F315C3" w:rsidP="00576AF6">
      <w:pPr>
        <w:pStyle w:val="TROHeading2"/>
      </w:pPr>
      <w:bookmarkStart w:id="22" w:name="_Toc427748479"/>
    </w:p>
    <w:p w:rsidR="008B1EB3" w:rsidRPr="00B33AA1" w:rsidRDefault="00790A69" w:rsidP="00576AF6">
      <w:pPr>
        <w:pStyle w:val="TROHeading2"/>
        <w:rPr>
          <w:sz w:val="22"/>
          <w:szCs w:val="22"/>
        </w:rPr>
      </w:pPr>
      <w:r w:rsidRPr="00B33AA1">
        <w:rPr>
          <w:sz w:val="22"/>
          <w:szCs w:val="22"/>
        </w:rPr>
        <w:t>19.2</w:t>
      </w:r>
      <w:r w:rsidR="00576AF6" w:rsidRPr="00B33AA1">
        <w:rPr>
          <w:sz w:val="22"/>
          <w:szCs w:val="22"/>
        </w:rPr>
        <w:t xml:space="preserve">. </w:t>
      </w:r>
      <w:r w:rsidR="008B1EB3" w:rsidRPr="00B33AA1">
        <w:rPr>
          <w:sz w:val="22"/>
          <w:szCs w:val="22"/>
        </w:rPr>
        <w:t>Changing a password</w:t>
      </w:r>
    </w:p>
    <w:p w:rsidR="008B1EB3" w:rsidRPr="00946802" w:rsidRDefault="008B1EB3" w:rsidP="007B6651">
      <w:pPr>
        <w:pStyle w:val="TRONumberText"/>
        <w:numPr>
          <w:ilvl w:val="0"/>
          <w:numId w:val="30"/>
        </w:numPr>
      </w:pPr>
      <w:r w:rsidRPr="00946802">
        <w:t>Log</w:t>
      </w:r>
      <w:r>
        <w:t xml:space="preserve"> </w:t>
      </w:r>
      <w:r w:rsidRPr="00946802">
        <w:t xml:space="preserve">in to </w:t>
      </w:r>
      <w:r w:rsidRPr="008B1EB3">
        <w:rPr>
          <w:i/>
        </w:rPr>
        <w:t>CBR Online</w:t>
      </w:r>
      <w:r>
        <w:t>.</w:t>
      </w:r>
    </w:p>
    <w:p w:rsidR="0096216F" w:rsidRDefault="008B1EB3" w:rsidP="008B1EB3">
      <w:pPr>
        <w:pStyle w:val="TRONumberText"/>
        <w:numPr>
          <w:ilvl w:val="0"/>
          <w:numId w:val="28"/>
        </w:numPr>
      </w:pPr>
      <w:r>
        <w:t xml:space="preserve">Click on </w:t>
      </w:r>
      <w:r w:rsidR="0096216F">
        <w:t>your email address in the top right hand corner of the screen.</w:t>
      </w:r>
    </w:p>
    <w:p w:rsidR="0096216F" w:rsidRDefault="0096216F" w:rsidP="008B1EB3">
      <w:pPr>
        <w:pStyle w:val="TRONumberText"/>
        <w:numPr>
          <w:ilvl w:val="0"/>
          <w:numId w:val="28"/>
        </w:numPr>
      </w:pPr>
      <w:r>
        <w:t>Select ‘Change Password’ from the drop down menu.</w:t>
      </w:r>
    </w:p>
    <w:p w:rsidR="008B1EB3" w:rsidRDefault="0096216F" w:rsidP="008B1EB3">
      <w:pPr>
        <w:pStyle w:val="TRONumberText"/>
        <w:numPr>
          <w:ilvl w:val="0"/>
          <w:numId w:val="28"/>
        </w:numPr>
      </w:pPr>
      <w:r>
        <w:t xml:space="preserve">You will be asked to enter your current password, a new password </w:t>
      </w:r>
      <w:r w:rsidR="00521D2E">
        <w:t xml:space="preserve">and </w:t>
      </w:r>
      <w:r w:rsidR="00FA2EC5">
        <w:t xml:space="preserve">confirmation of your new password. </w:t>
      </w:r>
    </w:p>
    <w:p w:rsidR="00FA2EC5" w:rsidRDefault="00FA2EC5" w:rsidP="008B1EB3">
      <w:pPr>
        <w:pStyle w:val="TRONumberText"/>
        <w:numPr>
          <w:ilvl w:val="0"/>
          <w:numId w:val="28"/>
        </w:numPr>
      </w:pPr>
      <w:r>
        <w:t xml:space="preserve">Click on ‘Update’ to finalise the change. </w:t>
      </w:r>
    </w:p>
    <w:p w:rsidR="008B1EB3" w:rsidRDefault="00FA2EC5" w:rsidP="008B1EB3">
      <w:pPr>
        <w:pStyle w:val="TRONumberText"/>
        <w:numPr>
          <w:ilvl w:val="0"/>
          <w:numId w:val="28"/>
        </w:numPr>
      </w:pPr>
      <w:r>
        <w:t xml:space="preserve">Your password has now been updated. </w:t>
      </w:r>
    </w:p>
    <w:p w:rsidR="00576AF6" w:rsidRPr="00946802" w:rsidRDefault="00790A69" w:rsidP="00576AF6">
      <w:pPr>
        <w:pStyle w:val="TROHeading2"/>
      </w:pPr>
      <w:r>
        <w:t xml:space="preserve">20. </w:t>
      </w:r>
      <w:r w:rsidR="00576AF6" w:rsidRPr="00946802">
        <w:t>Undertaking by Commissioner</w:t>
      </w:r>
      <w:bookmarkEnd w:id="22"/>
    </w:p>
    <w:p w:rsidR="00576AF6" w:rsidRPr="00946802" w:rsidRDefault="00576AF6" w:rsidP="00576AF6">
      <w:pPr>
        <w:pStyle w:val="TROBodytext"/>
      </w:pPr>
      <w:r w:rsidRPr="00980311">
        <w:t xml:space="preserve">The </w:t>
      </w:r>
      <w:r w:rsidRPr="00980311">
        <w:rPr>
          <w:i/>
          <w:iCs/>
        </w:rPr>
        <w:t xml:space="preserve">SDA </w:t>
      </w:r>
      <w:r w:rsidRPr="00980311">
        <w:t xml:space="preserve">provides that any </w:t>
      </w:r>
      <w:r w:rsidRPr="00980311">
        <w:rPr>
          <w:i/>
          <w:iCs/>
        </w:rPr>
        <w:t xml:space="preserve">instrument </w:t>
      </w:r>
      <w:r w:rsidRPr="00980311">
        <w:t xml:space="preserve">completed during the month must be included in the return for that month. The </w:t>
      </w:r>
      <w:r w:rsidRPr="00980311">
        <w:rPr>
          <w:i/>
          <w:iCs/>
        </w:rPr>
        <w:t xml:space="preserve">SDA </w:t>
      </w:r>
      <w:r w:rsidRPr="00980311">
        <w:t xml:space="preserve">also provides that any </w:t>
      </w:r>
      <w:r w:rsidRPr="00980311">
        <w:rPr>
          <w:i/>
          <w:iCs/>
        </w:rPr>
        <w:t xml:space="preserve">approved person </w:t>
      </w:r>
      <w:r w:rsidRPr="00980311">
        <w:t xml:space="preserve">who fails to comply with this provision commits an offence </w:t>
      </w:r>
      <w:r w:rsidR="002C51D7">
        <w:t>under</w:t>
      </w:r>
      <w:r w:rsidRPr="00980311">
        <w:t xml:space="preserve"> the </w:t>
      </w:r>
      <w:r w:rsidRPr="00980311">
        <w:rPr>
          <w:i/>
          <w:iCs/>
        </w:rPr>
        <w:t>SDA</w:t>
      </w:r>
      <w:r w:rsidRPr="00946802">
        <w:t>.</w:t>
      </w:r>
    </w:p>
    <w:p w:rsidR="00576AF6" w:rsidRPr="00946802" w:rsidRDefault="00576AF6" w:rsidP="00576AF6">
      <w:pPr>
        <w:pStyle w:val="TROBodytext"/>
      </w:pPr>
      <w:r w:rsidRPr="00946802">
        <w:t xml:space="preserve">The </w:t>
      </w:r>
      <w:r w:rsidRPr="00980311">
        <w:rPr>
          <w:i/>
          <w:iCs/>
        </w:rPr>
        <w:t xml:space="preserve">Commissioner </w:t>
      </w:r>
      <w:r w:rsidRPr="00980311">
        <w:t xml:space="preserve">undertakes not to initiate any action for the offence if the </w:t>
      </w:r>
      <w:r w:rsidRPr="00980311">
        <w:rPr>
          <w:i/>
          <w:iCs/>
        </w:rPr>
        <w:t xml:space="preserve">approved instruments </w:t>
      </w:r>
      <w:r w:rsidRPr="00980311">
        <w:t xml:space="preserve">have been included in the </w:t>
      </w:r>
      <w:r w:rsidRPr="00980311">
        <w:rPr>
          <w:i/>
          <w:iCs/>
        </w:rPr>
        <w:t xml:space="preserve">CBR </w:t>
      </w:r>
      <w:r w:rsidRPr="00946802">
        <w:t>return in accordance with section 13 of this Guide.</w:t>
      </w:r>
    </w:p>
    <w:p w:rsidR="00576AF6" w:rsidRPr="00946802" w:rsidRDefault="00576AF6" w:rsidP="00576AF6">
      <w:pPr>
        <w:pStyle w:val="TROHeading2"/>
      </w:pPr>
      <w:bookmarkStart w:id="23" w:name="_Toc427748480"/>
      <w:r w:rsidRPr="00946802">
        <w:t>2</w:t>
      </w:r>
      <w:r w:rsidR="00790A69">
        <w:t>1</w:t>
      </w:r>
      <w:r w:rsidRPr="00946802">
        <w:t>. Contact details</w:t>
      </w:r>
      <w:bookmarkEnd w:id="23"/>
    </w:p>
    <w:p w:rsidR="00576AF6" w:rsidRPr="00946802" w:rsidRDefault="00576AF6" w:rsidP="00576AF6">
      <w:pPr>
        <w:pStyle w:val="TROBodytext"/>
      </w:pPr>
      <w:r w:rsidRPr="00980311">
        <w:t xml:space="preserve">For assistance with </w:t>
      </w:r>
      <w:r w:rsidRPr="00980311">
        <w:rPr>
          <w:i/>
          <w:iCs/>
        </w:rPr>
        <w:t xml:space="preserve">CBR </w:t>
      </w:r>
      <w:r>
        <w:rPr>
          <w:i/>
          <w:iCs/>
        </w:rPr>
        <w:t xml:space="preserve">Online </w:t>
      </w:r>
      <w:r w:rsidRPr="00980311">
        <w:t xml:space="preserve">please contact the </w:t>
      </w:r>
      <w:r w:rsidRPr="00980311">
        <w:rPr>
          <w:i/>
          <w:iCs/>
        </w:rPr>
        <w:t xml:space="preserve">CBR </w:t>
      </w:r>
      <w:r w:rsidRPr="00946802">
        <w:t xml:space="preserve">helpdesk </w:t>
      </w:r>
      <w:r>
        <w:t xml:space="preserve">via email to </w:t>
      </w:r>
      <w:hyperlink r:id="rId15" w:history="1">
        <w:r w:rsidRPr="00252438">
          <w:rPr>
            <w:rStyle w:val="Hyperlink"/>
          </w:rPr>
          <w:t>ntrevenue@nt.gov.au</w:t>
        </w:r>
      </w:hyperlink>
      <w:r>
        <w:t xml:space="preserve"> or by phone </w:t>
      </w:r>
      <w:r w:rsidRPr="00946802">
        <w:t>on 1300 305 353.</w:t>
      </w:r>
    </w:p>
    <w:p w:rsidR="00576AF6" w:rsidRPr="00946802" w:rsidRDefault="00576AF6" w:rsidP="00576AF6">
      <w:pPr>
        <w:pStyle w:val="TROBodytext"/>
      </w:pPr>
      <w:r w:rsidRPr="00946802">
        <w:t xml:space="preserve">Forms and publications mentioned in this guide can be downloaded from TRO’s website at </w:t>
      </w:r>
      <w:hyperlink r:id="rId16" w:history="1">
        <w:r w:rsidRPr="00946802">
          <w:rPr>
            <w:color w:val="0000FF"/>
            <w:u w:val="single"/>
          </w:rPr>
          <w:t>www.revenue.nt.gov.au</w:t>
        </w:r>
      </w:hyperlink>
      <w:r w:rsidRPr="00946802">
        <w:t>.</w:t>
      </w:r>
    </w:p>
    <w:p w:rsidR="00576AF6" w:rsidRPr="00946802" w:rsidRDefault="00576AF6" w:rsidP="00576AF6">
      <w:pPr>
        <w:pStyle w:val="TROBodytext"/>
      </w:pPr>
      <w:r w:rsidRPr="00946802">
        <w:t>Office hours:</w:t>
      </w:r>
    </w:p>
    <w:p w:rsidR="00576AF6" w:rsidRPr="00946802" w:rsidRDefault="00576AF6" w:rsidP="00576AF6">
      <w:pPr>
        <w:pStyle w:val="TROBulletText"/>
      </w:pPr>
      <w:r w:rsidRPr="00946802">
        <w:t>payments: 9.00 am to 4.00 pm, Monday to Friday</w:t>
      </w:r>
    </w:p>
    <w:p w:rsidR="00576AF6" w:rsidRPr="00946802" w:rsidRDefault="00576AF6" w:rsidP="00576AF6">
      <w:pPr>
        <w:pStyle w:val="TROBulletText"/>
      </w:pPr>
      <w:r w:rsidRPr="00946802">
        <w:t>enquiries: 8.00 am to 4.30 pm, Monday to Friday</w:t>
      </w:r>
    </w:p>
    <w:p w:rsidR="00576AF6" w:rsidRDefault="00576AF6" w:rsidP="00576AF6">
      <w:pPr>
        <w:pStyle w:val="TROBodytext"/>
      </w:pPr>
      <w:r w:rsidRPr="00946802">
        <w:rPr>
          <w:rFonts w:ascii="Arial-BoldMT" w:hAnsi="Arial-BoldMT" w:cs="Arial-BoldMT"/>
          <w:b/>
          <w:bCs/>
        </w:rPr>
        <w:t>Note</w:t>
      </w:r>
      <w:r w:rsidRPr="00980311">
        <w:t xml:space="preserve">: </w:t>
      </w:r>
      <w:r w:rsidRPr="00980311">
        <w:rPr>
          <w:i/>
          <w:iCs/>
        </w:rPr>
        <w:t xml:space="preserve">TRO </w:t>
      </w:r>
      <w:r w:rsidRPr="00946802">
        <w:t>closes at 2.00 pm on the last Tuesday of each month for staff training.</w:t>
      </w:r>
    </w:p>
    <w:p w:rsidR="002C51D7" w:rsidRDefault="002C51D7" w:rsidP="00576AF6">
      <w:pPr>
        <w:pStyle w:val="TROBodytext"/>
      </w:pPr>
      <w:r>
        <w:t>Office location:</w:t>
      </w:r>
      <w:r w:rsidR="00BD5E1C">
        <w:tab/>
      </w:r>
      <w:r w:rsidR="00BD5E1C">
        <w:tab/>
        <w:t>Postal address:</w:t>
      </w:r>
    </w:p>
    <w:p w:rsidR="002C51D7" w:rsidRDefault="00BD5E1C" w:rsidP="00576AF6">
      <w:pPr>
        <w:pStyle w:val="TROBodytext"/>
      </w:pPr>
      <w:r>
        <w:t xml:space="preserve">Level 14, </w:t>
      </w:r>
      <w:r w:rsidR="002C51D7">
        <w:t>Charles Darwin Centre</w:t>
      </w:r>
      <w:r>
        <w:tab/>
        <w:t>GPO Box 154</w:t>
      </w:r>
    </w:p>
    <w:p w:rsidR="002C51D7" w:rsidRDefault="002C51D7" w:rsidP="00576AF6">
      <w:pPr>
        <w:pStyle w:val="TROBodytext"/>
      </w:pPr>
      <w:r>
        <w:t>19 The Mall</w:t>
      </w:r>
      <w:r w:rsidR="00BD5E1C">
        <w:t>, Darwin</w:t>
      </w:r>
      <w:r w:rsidR="00BD5E1C">
        <w:tab/>
      </w:r>
      <w:proofErr w:type="spellStart"/>
      <w:r w:rsidR="00BD5E1C">
        <w:t>Darwin</w:t>
      </w:r>
      <w:proofErr w:type="spellEnd"/>
      <w:r w:rsidR="00BD5E1C">
        <w:t xml:space="preserve"> NT 0801</w:t>
      </w:r>
    </w:p>
    <w:p w:rsidR="00BD5E1C" w:rsidRPr="00946802" w:rsidRDefault="00BD5E1C" w:rsidP="00576AF6">
      <w:pPr>
        <w:pStyle w:val="TROBodytext"/>
        <w:rPr>
          <w:rFonts w:ascii="Times New Roman" w:hAnsi="Times New Roman" w:cs="Times New Roman"/>
          <w:szCs w:val="24"/>
        </w:rPr>
      </w:pPr>
    </w:p>
    <w:p w:rsidR="00440B30" w:rsidRDefault="00440B30"/>
    <w:sectPr w:rsidR="00440B30" w:rsidSect="00440B30">
      <w:footerReference w:type="default" r:id="rId17"/>
      <w:headerReference w:type="first" r:id="rId18"/>
      <w:footerReference w:type="first" r:id="rId19"/>
      <w:type w:val="continuous"/>
      <w:pgSz w:w="11906" w:h="16838" w:code="9"/>
      <w:pgMar w:top="824" w:right="851" w:bottom="567" w:left="851" w:header="39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FCF" w:rsidRDefault="00862FCF" w:rsidP="00576AF6">
      <w:r>
        <w:separator/>
      </w:r>
    </w:p>
  </w:endnote>
  <w:endnote w:type="continuationSeparator" w:id="0">
    <w:p w:rsidR="00862FCF" w:rsidRDefault="00862FCF" w:rsidP="0057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roman"/>
    <w:notTrueType/>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F6" w:rsidRPr="00D26E66" w:rsidRDefault="005B68F6" w:rsidP="00440B30">
    <w:pPr>
      <w:tabs>
        <w:tab w:val="left" w:pos="7938"/>
        <w:tab w:val="right" w:pos="10204"/>
      </w:tabs>
      <w:rPr>
        <w:sz w:val="18"/>
        <w:szCs w:val="18"/>
        <w:lang w:val="en-US"/>
      </w:rPr>
    </w:pPr>
    <w:r>
      <w:rPr>
        <w:sz w:val="18"/>
        <w:szCs w:val="18"/>
        <w:lang w:val="en-US"/>
      </w:rPr>
      <w:t>Updated August 2015</w:t>
    </w:r>
    <w:r>
      <w:rPr>
        <w:sz w:val="18"/>
        <w:szCs w:val="18"/>
        <w:lang w:val="en-US"/>
      </w:rPr>
      <w:tab/>
      <w:t>I-GEN-003</w:t>
    </w:r>
    <w:r>
      <w:rPr>
        <w:sz w:val="18"/>
        <w:szCs w:val="18"/>
        <w:lang w:val="en-US"/>
      </w:rPr>
      <w:tab/>
    </w:r>
    <w:r w:rsidRPr="00D37D1D">
      <w:rPr>
        <w:sz w:val="18"/>
        <w:szCs w:val="18"/>
        <w:lang w:val="en-US"/>
      </w:rPr>
      <w:t xml:space="preserve">Page </w:t>
    </w:r>
    <w:r w:rsidRPr="00D37D1D">
      <w:rPr>
        <w:sz w:val="18"/>
        <w:szCs w:val="18"/>
        <w:lang w:val="en-US"/>
      </w:rPr>
      <w:fldChar w:fldCharType="begin"/>
    </w:r>
    <w:r w:rsidRPr="00D37D1D">
      <w:rPr>
        <w:sz w:val="18"/>
        <w:szCs w:val="18"/>
        <w:lang w:val="en-US"/>
      </w:rPr>
      <w:instrText xml:space="preserve"> PAGE  \* Arabic  \* MERGEFORMAT </w:instrText>
    </w:r>
    <w:r w:rsidRPr="00D37D1D">
      <w:rPr>
        <w:sz w:val="18"/>
        <w:szCs w:val="18"/>
        <w:lang w:val="en-US"/>
      </w:rPr>
      <w:fldChar w:fldCharType="separate"/>
    </w:r>
    <w:r>
      <w:rPr>
        <w:noProof/>
        <w:sz w:val="18"/>
        <w:szCs w:val="18"/>
        <w:lang w:val="en-US"/>
      </w:rPr>
      <w:t>2</w:t>
    </w:r>
    <w:r w:rsidRPr="00D37D1D">
      <w:rPr>
        <w:sz w:val="18"/>
        <w:szCs w:val="18"/>
        <w:lang w:val="en-US"/>
      </w:rPr>
      <w:fldChar w:fldCharType="end"/>
    </w:r>
    <w:r w:rsidRPr="00D37D1D">
      <w:rPr>
        <w:sz w:val="18"/>
        <w:szCs w:val="18"/>
        <w:lang w:val="en-US"/>
      </w:rPr>
      <w:t xml:space="preserve"> of </w:t>
    </w:r>
    <w:r w:rsidRPr="00D37D1D">
      <w:rPr>
        <w:sz w:val="18"/>
        <w:szCs w:val="18"/>
        <w:lang w:val="en-US"/>
      </w:rPr>
      <w:fldChar w:fldCharType="begin"/>
    </w:r>
    <w:r w:rsidRPr="00D37D1D">
      <w:rPr>
        <w:sz w:val="18"/>
        <w:szCs w:val="18"/>
        <w:lang w:val="en-US"/>
      </w:rPr>
      <w:instrText xml:space="preserve"> NUMPAGES  \* Arabic  \* MERGEFORMAT </w:instrText>
    </w:r>
    <w:r w:rsidRPr="00D37D1D">
      <w:rPr>
        <w:sz w:val="18"/>
        <w:szCs w:val="18"/>
        <w:lang w:val="en-US"/>
      </w:rPr>
      <w:fldChar w:fldCharType="separate"/>
    </w:r>
    <w:r>
      <w:rPr>
        <w:noProof/>
        <w:sz w:val="18"/>
        <w:szCs w:val="18"/>
        <w:lang w:val="en-US"/>
      </w:rPr>
      <w:t>19</w:t>
    </w:r>
    <w:r w:rsidRPr="00D37D1D">
      <w:rPr>
        <w:sz w:val="18"/>
        <w:szCs w:val="18"/>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F6" w:rsidRDefault="005B68F6" w:rsidP="00440B30">
    <w:pPr>
      <w:tabs>
        <w:tab w:val="right" w:pos="10206"/>
      </w:tabs>
      <w:rPr>
        <w:sz w:val="18"/>
        <w:szCs w:val="18"/>
        <w:lang w:val="en-US"/>
      </w:rPr>
    </w:pPr>
    <w:r w:rsidRPr="00FD781F">
      <w:rPr>
        <w:bCs/>
        <w:lang w:val="en-US"/>
      </w:rPr>
      <w:t>Territory Revenue Office</w:t>
    </w:r>
    <w:r>
      <w:rPr>
        <w:b/>
        <w:bCs/>
        <w:spacing w:val="90"/>
        <w:sz w:val="30"/>
        <w:szCs w:val="30"/>
        <w:lang w:val="en-US"/>
      </w:rPr>
      <w:br/>
    </w:r>
    <w:r>
      <w:rPr>
        <w:sz w:val="18"/>
        <w:szCs w:val="18"/>
        <w:lang w:val="en-US"/>
      </w:rPr>
      <w:t>GPO Box 154 Darwin NT 0801</w:t>
    </w:r>
    <w:r>
      <w:rPr>
        <w:sz w:val="18"/>
        <w:szCs w:val="18"/>
        <w:lang w:val="en-US"/>
      </w:rPr>
      <w:t> </w:t>
    </w:r>
    <w:r>
      <w:rPr>
        <w:sz w:val="18"/>
        <w:szCs w:val="18"/>
        <w:lang w:val="en-US"/>
      </w:rPr>
      <w:tab/>
      <w:t>Updated May 2016</w:t>
    </w:r>
  </w:p>
  <w:p w:rsidR="005B68F6" w:rsidRPr="00601C0D" w:rsidRDefault="005B68F6" w:rsidP="00440B30">
    <w:pPr>
      <w:tabs>
        <w:tab w:val="right" w:pos="10204"/>
      </w:tabs>
      <w:rPr>
        <w:sz w:val="18"/>
        <w:szCs w:val="18"/>
        <w:lang w:val="en-US"/>
      </w:rPr>
    </w:pPr>
    <w:proofErr w:type="spellStart"/>
    <w:proofErr w:type="gramStart"/>
    <w:r>
      <w:rPr>
        <w:sz w:val="18"/>
        <w:szCs w:val="18"/>
        <w:lang w:val="en-US"/>
      </w:rPr>
      <w:t>ph</w:t>
    </w:r>
    <w:proofErr w:type="spellEnd"/>
    <w:proofErr w:type="gramEnd"/>
    <w:r>
      <w:rPr>
        <w:sz w:val="18"/>
        <w:szCs w:val="18"/>
        <w:lang w:val="en-US"/>
      </w:rPr>
      <w:t xml:space="preserve">: 1300 305 353  email: </w:t>
    </w:r>
    <w:hyperlink r:id="rId1" w:history="1">
      <w:r w:rsidRPr="00DB0740">
        <w:rPr>
          <w:sz w:val="18"/>
          <w:szCs w:val="18"/>
          <w:lang w:val="en-US"/>
        </w:rPr>
        <w:t>ntrevenue@nt.gov.au</w:t>
      </w:r>
    </w:hyperlink>
    <w:r>
      <w:rPr>
        <w:sz w:val="18"/>
        <w:szCs w:val="18"/>
        <w:lang w:val="en-US"/>
      </w:rPr>
      <w:t xml:space="preserve">  www.revenue.nt.gov.au</w:t>
    </w:r>
    <w:r>
      <w:rPr>
        <w:sz w:val="18"/>
        <w:szCs w:val="18"/>
        <w:lang w:val="en-US"/>
      </w:rPr>
      <w:tab/>
      <w:t>I-GEN-003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F6" w:rsidRPr="00D26E66" w:rsidRDefault="005B68F6" w:rsidP="00440B30">
    <w:pPr>
      <w:tabs>
        <w:tab w:val="left" w:pos="7938"/>
        <w:tab w:val="right" w:pos="10204"/>
      </w:tabs>
      <w:rPr>
        <w:sz w:val="18"/>
        <w:szCs w:val="18"/>
        <w:lang w:val="en-US"/>
      </w:rPr>
    </w:pPr>
    <w:r>
      <w:rPr>
        <w:sz w:val="18"/>
        <w:szCs w:val="18"/>
        <w:lang w:val="en-US"/>
      </w:rPr>
      <w:t>Updated May 2016</w:t>
    </w:r>
    <w:r>
      <w:rPr>
        <w:sz w:val="18"/>
        <w:szCs w:val="18"/>
        <w:lang w:val="en-US"/>
      </w:rPr>
      <w:tab/>
      <w:t>I-GEN-003</w:t>
    </w:r>
    <w:r>
      <w:rPr>
        <w:sz w:val="18"/>
        <w:szCs w:val="18"/>
        <w:lang w:val="en-US"/>
      </w:rPr>
      <w:tab/>
    </w:r>
    <w:r w:rsidRPr="00D37D1D">
      <w:rPr>
        <w:sz w:val="18"/>
        <w:szCs w:val="18"/>
        <w:lang w:val="en-US"/>
      </w:rPr>
      <w:t xml:space="preserve">Page </w:t>
    </w:r>
    <w:r w:rsidRPr="00D37D1D">
      <w:rPr>
        <w:sz w:val="18"/>
        <w:szCs w:val="18"/>
        <w:lang w:val="en-US"/>
      </w:rPr>
      <w:fldChar w:fldCharType="begin"/>
    </w:r>
    <w:r w:rsidRPr="00D37D1D">
      <w:rPr>
        <w:sz w:val="18"/>
        <w:szCs w:val="18"/>
        <w:lang w:val="en-US"/>
      </w:rPr>
      <w:instrText xml:space="preserve"> PAGE  \* Arabic  \* MERGEFORMAT </w:instrText>
    </w:r>
    <w:r w:rsidRPr="00D37D1D">
      <w:rPr>
        <w:sz w:val="18"/>
        <w:szCs w:val="18"/>
        <w:lang w:val="en-US"/>
      </w:rPr>
      <w:fldChar w:fldCharType="separate"/>
    </w:r>
    <w:r w:rsidR="000A0CBF">
      <w:rPr>
        <w:noProof/>
        <w:sz w:val="18"/>
        <w:szCs w:val="18"/>
        <w:lang w:val="en-US"/>
      </w:rPr>
      <w:t>3</w:t>
    </w:r>
    <w:r w:rsidRPr="00D37D1D">
      <w:rPr>
        <w:sz w:val="18"/>
        <w:szCs w:val="18"/>
        <w:lang w:val="en-US"/>
      </w:rPr>
      <w:fldChar w:fldCharType="end"/>
    </w:r>
    <w:r w:rsidRPr="00D37D1D">
      <w:rPr>
        <w:sz w:val="18"/>
        <w:szCs w:val="18"/>
        <w:lang w:val="en-US"/>
      </w:rPr>
      <w:t xml:space="preserve"> of </w:t>
    </w:r>
    <w:r w:rsidRPr="00D37D1D">
      <w:rPr>
        <w:sz w:val="18"/>
        <w:szCs w:val="18"/>
        <w:lang w:val="en-US"/>
      </w:rPr>
      <w:fldChar w:fldCharType="begin"/>
    </w:r>
    <w:r w:rsidRPr="00D37D1D">
      <w:rPr>
        <w:sz w:val="18"/>
        <w:szCs w:val="18"/>
        <w:lang w:val="en-US"/>
      </w:rPr>
      <w:instrText xml:space="preserve"> NUMPAGES  \* Arabic  \* MERGEFORMAT </w:instrText>
    </w:r>
    <w:r w:rsidRPr="00D37D1D">
      <w:rPr>
        <w:sz w:val="18"/>
        <w:szCs w:val="18"/>
        <w:lang w:val="en-US"/>
      </w:rPr>
      <w:fldChar w:fldCharType="separate"/>
    </w:r>
    <w:r w:rsidR="000A0CBF">
      <w:rPr>
        <w:noProof/>
        <w:sz w:val="18"/>
        <w:szCs w:val="18"/>
        <w:lang w:val="en-US"/>
      </w:rPr>
      <w:t>17</w:t>
    </w:r>
    <w:r w:rsidRPr="00D37D1D">
      <w:rPr>
        <w:sz w:val="18"/>
        <w:szCs w:val="18"/>
        <w:lang w:val="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F6" w:rsidRPr="00812EA8" w:rsidRDefault="005B68F6" w:rsidP="00440B30">
    <w:pPr>
      <w:tabs>
        <w:tab w:val="left" w:pos="7938"/>
        <w:tab w:val="right" w:pos="10204"/>
      </w:tabs>
      <w:rPr>
        <w:sz w:val="18"/>
        <w:szCs w:val="18"/>
        <w:lang w:val="en-US"/>
      </w:rPr>
    </w:pPr>
    <w:r>
      <w:rPr>
        <w:sz w:val="18"/>
        <w:szCs w:val="18"/>
        <w:lang w:val="en-US"/>
      </w:rPr>
      <w:t>Updated Month Year</w:t>
    </w:r>
    <w:r>
      <w:rPr>
        <w:sz w:val="18"/>
        <w:szCs w:val="18"/>
        <w:lang w:val="en-US"/>
      </w:rPr>
      <w:tab/>
      <w:t>F-XX-00X</w:t>
    </w:r>
    <w:r>
      <w:rPr>
        <w:sz w:val="18"/>
        <w:szCs w:val="18"/>
        <w:lang w:val="en-US"/>
      </w:rPr>
      <w:tab/>
    </w:r>
    <w:r w:rsidRPr="00D37D1D">
      <w:rPr>
        <w:sz w:val="18"/>
        <w:szCs w:val="18"/>
        <w:lang w:val="en-US"/>
      </w:rPr>
      <w:t xml:space="preserve">Page </w:t>
    </w:r>
    <w:r w:rsidRPr="00D37D1D">
      <w:rPr>
        <w:sz w:val="18"/>
        <w:szCs w:val="18"/>
        <w:lang w:val="en-US"/>
      </w:rPr>
      <w:fldChar w:fldCharType="begin"/>
    </w:r>
    <w:r w:rsidRPr="00D37D1D">
      <w:rPr>
        <w:sz w:val="18"/>
        <w:szCs w:val="18"/>
        <w:lang w:val="en-US"/>
      </w:rPr>
      <w:instrText xml:space="preserve"> PAGE  \* Arabic  \* MERGEFORMAT </w:instrText>
    </w:r>
    <w:r w:rsidRPr="00D37D1D">
      <w:rPr>
        <w:sz w:val="18"/>
        <w:szCs w:val="18"/>
        <w:lang w:val="en-US"/>
      </w:rPr>
      <w:fldChar w:fldCharType="separate"/>
    </w:r>
    <w:r>
      <w:rPr>
        <w:noProof/>
        <w:sz w:val="18"/>
        <w:szCs w:val="18"/>
        <w:lang w:val="en-US"/>
      </w:rPr>
      <w:t>32</w:t>
    </w:r>
    <w:r w:rsidRPr="00D37D1D">
      <w:rPr>
        <w:sz w:val="18"/>
        <w:szCs w:val="18"/>
        <w:lang w:val="en-US"/>
      </w:rPr>
      <w:fldChar w:fldCharType="end"/>
    </w:r>
    <w:r w:rsidRPr="00D37D1D">
      <w:rPr>
        <w:sz w:val="18"/>
        <w:szCs w:val="18"/>
        <w:lang w:val="en-US"/>
      </w:rPr>
      <w:t xml:space="preserve"> of </w:t>
    </w:r>
    <w:r w:rsidRPr="00D37D1D">
      <w:rPr>
        <w:sz w:val="18"/>
        <w:szCs w:val="18"/>
        <w:lang w:val="en-US"/>
      </w:rPr>
      <w:fldChar w:fldCharType="begin"/>
    </w:r>
    <w:r w:rsidRPr="00D37D1D">
      <w:rPr>
        <w:sz w:val="18"/>
        <w:szCs w:val="18"/>
        <w:lang w:val="en-US"/>
      </w:rPr>
      <w:instrText xml:space="preserve"> NUMPAGES  \* Arabic  \* MERGEFORMAT </w:instrText>
    </w:r>
    <w:r w:rsidRPr="00D37D1D">
      <w:rPr>
        <w:sz w:val="18"/>
        <w:szCs w:val="18"/>
        <w:lang w:val="en-US"/>
      </w:rPr>
      <w:fldChar w:fldCharType="separate"/>
    </w:r>
    <w:r>
      <w:rPr>
        <w:noProof/>
        <w:sz w:val="18"/>
        <w:szCs w:val="18"/>
        <w:lang w:val="en-US"/>
      </w:rPr>
      <w:t>19</w:t>
    </w:r>
    <w:r w:rsidRPr="00D37D1D">
      <w:rPr>
        <w:sz w:val="18"/>
        <w:szCs w:val="18"/>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FCF" w:rsidRDefault="00862FCF" w:rsidP="00576AF6">
      <w:r>
        <w:separator/>
      </w:r>
    </w:p>
  </w:footnote>
  <w:footnote w:type="continuationSeparator" w:id="0">
    <w:p w:rsidR="00862FCF" w:rsidRDefault="00862FCF" w:rsidP="00576AF6">
      <w:r>
        <w:continuationSeparator/>
      </w:r>
    </w:p>
  </w:footnote>
  <w:footnote w:id="1">
    <w:p w:rsidR="005B68F6" w:rsidRPr="00322B66" w:rsidRDefault="005B68F6" w:rsidP="00576AF6">
      <w:pPr>
        <w:autoSpaceDE w:val="0"/>
        <w:autoSpaceDN w:val="0"/>
        <w:adjustRightInd w:val="0"/>
        <w:rPr>
          <w:sz w:val="16"/>
          <w:szCs w:val="16"/>
        </w:rPr>
      </w:pPr>
      <w:r>
        <w:rPr>
          <w:rStyle w:val="FootnoteReference"/>
        </w:rPr>
        <w:footnoteRef/>
      </w:r>
      <w:r>
        <w:t xml:space="preserve"> </w:t>
      </w:r>
      <w:r w:rsidRPr="00322B66">
        <w:rPr>
          <w:sz w:val="16"/>
          <w:szCs w:val="16"/>
        </w:rPr>
        <w:t xml:space="preserve">Care has been taken to ensure that the information contained in this guide is accurate however readers are advised to check the </w:t>
      </w:r>
      <w:r w:rsidRPr="00322B66">
        <w:rPr>
          <w:i/>
          <w:sz w:val="16"/>
          <w:szCs w:val="16"/>
        </w:rPr>
        <w:t>Stamp Duty Act</w:t>
      </w:r>
      <w:r w:rsidRPr="00322B66">
        <w:rPr>
          <w:sz w:val="16"/>
          <w:szCs w:val="16"/>
        </w:rPr>
        <w:t xml:space="preserve"> and </w:t>
      </w:r>
      <w:r w:rsidRPr="00322B66">
        <w:rPr>
          <w:i/>
          <w:sz w:val="16"/>
          <w:szCs w:val="16"/>
        </w:rPr>
        <w:t>Taxation Administration Act</w:t>
      </w:r>
      <w:r w:rsidRPr="00322B66">
        <w:rPr>
          <w:sz w:val="16"/>
          <w:szCs w:val="16"/>
        </w:rPr>
        <w:t>, both of which can be found under the heading ‘Legislation’ on TRO’s website at www.revenue.nt.gov.au</w:t>
      </w:r>
    </w:p>
    <w:p w:rsidR="005B68F6" w:rsidRDefault="005B68F6" w:rsidP="00576AF6">
      <w:pPr>
        <w:pStyle w:val="TROBody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F6" w:rsidRPr="00D37D1D" w:rsidRDefault="005B68F6" w:rsidP="00440B30">
    <w:pPr>
      <w:pStyle w:val="Header"/>
      <w:jc w:val="right"/>
      <w:rPr>
        <w:rStyle w:val="Heading2Char"/>
        <w:b w:val="0"/>
      </w:rPr>
    </w:pPr>
    <w:r>
      <w:rPr>
        <w:rStyle w:val="Heading2Char"/>
        <w:b w:val="0"/>
      </w:rPr>
      <w:t>CBR User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F6" w:rsidRDefault="005B68F6">
    <w:pPr>
      <w:pStyle w:val="Header"/>
    </w:pPr>
    <w:r>
      <w:rPr>
        <w:b/>
        <w:noProof/>
      </w:rPr>
      <w:drawing>
        <wp:anchor distT="0" distB="0" distL="114300" distR="114300" simplePos="0" relativeHeight="251659264" behindDoc="1" locked="0" layoutInCell="0" allowOverlap="1" wp14:anchorId="0C80A99D" wp14:editId="3EF79E16">
          <wp:simplePos x="0" y="0"/>
          <wp:positionH relativeFrom="page">
            <wp:posOffset>186690</wp:posOffset>
          </wp:positionH>
          <wp:positionV relativeFrom="page">
            <wp:posOffset>154940</wp:posOffset>
          </wp:positionV>
          <wp:extent cx="7188200" cy="895350"/>
          <wp:effectExtent l="0" t="0" r="0" b="0"/>
          <wp:wrapNone/>
          <wp:docPr id="8" name="Picture 8"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0" cy="895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8F6" w:rsidRDefault="005B68F6" w:rsidP="00440B30">
    <w:pPr>
      <w:pStyle w:val="Header"/>
      <w:jc w:val="right"/>
    </w:pPr>
    <w:r>
      <w:rPr>
        <w:rStyle w:val="Heading2Char"/>
        <w:b w:val="0"/>
      </w:rPr>
      <w:t>Form 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87957"/>
    <w:multiLevelType w:val="hybridMultilevel"/>
    <w:tmpl w:val="C86687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8F1AEB"/>
    <w:multiLevelType w:val="hybridMultilevel"/>
    <w:tmpl w:val="B3622460"/>
    <w:lvl w:ilvl="0" w:tplc="0C09000F">
      <w:start w:val="1"/>
      <w:numFmt w:val="decimal"/>
      <w:lvlText w:val="%1."/>
      <w:lvlJc w:val="left"/>
      <w:pPr>
        <w:ind w:left="3660" w:hanging="360"/>
      </w:pPr>
    </w:lvl>
    <w:lvl w:ilvl="1" w:tplc="0C090019" w:tentative="1">
      <w:start w:val="1"/>
      <w:numFmt w:val="lowerLetter"/>
      <w:lvlText w:val="%2."/>
      <w:lvlJc w:val="left"/>
      <w:pPr>
        <w:ind w:left="4380" w:hanging="360"/>
      </w:pPr>
    </w:lvl>
    <w:lvl w:ilvl="2" w:tplc="0C09001B" w:tentative="1">
      <w:start w:val="1"/>
      <w:numFmt w:val="lowerRoman"/>
      <w:lvlText w:val="%3."/>
      <w:lvlJc w:val="right"/>
      <w:pPr>
        <w:ind w:left="5100" w:hanging="180"/>
      </w:pPr>
    </w:lvl>
    <w:lvl w:ilvl="3" w:tplc="0C09000F" w:tentative="1">
      <w:start w:val="1"/>
      <w:numFmt w:val="decimal"/>
      <w:lvlText w:val="%4."/>
      <w:lvlJc w:val="left"/>
      <w:pPr>
        <w:ind w:left="5820" w:hanging="360"/>
      </w:pPr>
    </w:lvl>
    <w:lvl w:ilvl="4" w:tplc="0C090019" w:tentative="1">
      <w:start w:val="1"/>
      <w:numFmt w:val="lowerLetter"/>
      <w:lvlText w:val="%5."/>
      <w:lvlJc w:val="left"/>
      <w:pPr>
        <w:ind w:left="6540" w:hanging="360"/>
      </w:pPr>
    </w:lvl>
    <w:lvl w:ilvl="5" w:tplc="0C09001B" w:tentative="1">
      <w:start w:val="1"/>
      <w:numFmt w:val="lowerRoman"/>
      <w:lvlText w:val="%6."/>
      <w:lvlJc w:val="right"/>
      <w:pPr>
        <w:ind w:left="7260" w:hanging="180"/>
      </w:pPr>
    </w:lvl>
    <w:lvl w:ilvl="6" w:tplc="0C09000F" w:tentative="1">
      <w:start w:val="1"/>
      <w:numFmt w:val="decimal"/>
      <w:lvlText w:val="%7."/>
      <w:lvlJc w:val="left"/>
      <w:pPr>
        <w:ind w:left="7980" w:hanging="360"/>
      </w:pPr>
    </w:lvl>
    <w:lvl w:ilvl="7" w:tplc="0C090019" w:tentative="1">
      <w:start w:val="1"/>
      <w:numFmt w:val="lowerLetter"/>
      <w:lvlText w:val="%8."/>
      <w:lvlJc w:val="left"/>
      <w:pPr>
        <w:ind w:left="8700" w:hanging="360"/>
      </w:pPr>
    </w:lvl>
    <w:lvl w:ilvl="8" w:tplc="0C09001B" w:tentative="1">
      <w:start w:val="1"/>
      <w:numFmt w:val="lowerRoman"/>
      <w:lvlText w:val="%9."/>
      <w:lvlJc w:val="right"/>
      <w:pPr>
        <w:ind w:left="9420" w:hanging="180"/>
      </w:pPr>
    </w:lvl>
  </w:abstractNum>
  <w:abstractNum w:abstractNumId="2">
    <w:nsid w:val="16AD2A4A"/>
    <w:multiLevelType w:val="hybridMultilevel"/>
    <w:tmpl w:val="6A8A8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251531"/>
    <w:multiLevelType w:val="hybridMultilevel"/>
    <w:tmpl w:val="51EE82AC"/>
    <w:lvl w:ilvl="0" w:tplc="7FC67074">
      <w:numFmt w:val="bullet"/>
      <w:pStyle w:val="TRODashedText"/>
      <w:lvlText w:val="−"/>
      <w:lvlJc w:val="left"/>
      <w:pPr>
        <w:ind w:left="720" w:hanging="720"/>
      </w:pPr>
      <w:rPr>
        <w:rFonts w:ascii="Arial" w:hAnsi="Arial" w:hint="default"/>
        <w:b w:val="0"/>
        <w:i w:val="0"/>
        <w:w w:val="149"/>
        <w:sz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19145A69"/>
    <w:multiLevelType w:val="hybridMultilevel"/>
    <w:tmpl w:val="542CAE58"/>
    <w:lvl w:ilvl="0" w:tplc="4ED0E7E0">
      <w:start w:val="1"/>
      <w:numFmt w:val="decimal"/>
      <w:pStyle w:val="TRONumberText"/>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1B0E1F28"/>
    <w:multiLevelType w:val="hybridMultilevel"/>
    <w:tmpl w:val="8B605E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19C1124"/>
    <w:multiLevelType w:val="hybridMultilevel"/>
    <w:tmpl w:val="3EFC9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01A0C99"/>
    <w:multiLevelType w:val="multilevel"/>
    <w:tmpl w:val="0C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357A5418"/>
    <w:multiLevelType w:val="hybridMultilevel"/>
    <w:tmpl w:val="3BF6C8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BBC4AC1"/>
    <w:multiLevelType w:val="hybridMultilevel"/>
    <w:tmpl w:val="D7B86E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25C073F"/>
    <w:multiLevelType w:val="hybridMultilevel"/>
    <w:tmpl w:val="43F43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6364E74"/>
    <w:multiLevelType w:val="hybridMultilevel"/>
    <w:tmpl w:val="639CD6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AAA0FC3"/>
    <w:multiLevelType w:val="hybridMultilevel"/>
    <w:tmpl w:val="DC5440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91F3D0F"/>
    <w:multiLevelType w:val="hybridMultilevel"/>
    <w:tmpl w:val="F66A0B60"/>
    <w:lvl w:ilvl="0" w:tplc="0C090001">
      <w:start w:val="1"/>
      <w:numFmt w:val="bullet"/>
      <w:lvlText w:val=""/>
      <w:lvlJc w:val="left"/>
      <w:pPr>
        <w:ind w:left="720" w:hanging="360"/>
      </w:pPr>
      <w:rPr>
        <w:rFonts w:ascii="Symbol" w:hAnsi="Symbol" w:hint="default"/>
      </w:rPr>
    </w:lvl>
    <w:lvl w:ilvl="1" w:tplc="E72C0056">
      <w:numFmt w:val="bullet"/>
      <w:lvlText w:val=""/>
      <w:lvlJc w:val="left"/>
      <w:pPr>
        <w:ind w:left="1440" w:hanging="360"/>
      </w:pPr>
      <w:rPr>
        <w:rFonts w:ascii="Wingdings" w:eastAsia="Times New Roman" w:hAnsi="Wingdings" w:cs="MyriadPro-Regular"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B8379AC"/>
    <w:multiLevelType w:val="hybridMultilevel"/>
    <w:tmpl w:val="0F86E08C"/>
    <w:lvl w:ilvl="0" w:tplc="E9028790">
      <w:start w:val="6"/>
      <w:numFmt w:val="bullet"/>
      <w:pStyle w:val="TROBulletText"/>
      <w:lvlText w:val="•"/>
      <w:lvlJc w:val="left"/>
      <w:pPr>
        <w:ind w:left="2208" w:hanging="1848"/>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2F22D7C"/>
    <w:multiLevelType w:val="hybridMultilevel"/>
    <w:tmpl w:val="86B67A76"/>
    <w:lvl w:ilvl="0" w:tplc="0C090001">
      <w:start w:val="1"/>
      <w:numFmt w:val="bullet"/>
      <w:lvlText w:val=""/>
      <w:lvlJc w:val="left"/>
      <w:pPr>
        <w:ind w:left="720" w:hanging="360"/>
      </w:pPr>
      <w:rPr>
        <w:rFonts w:ascii="Symbol" w:hAnsi="Symbol" w:hint="default"/>
      </w:rPr>
    </w:lvl>
    <w:lvl w:ilvl="1" w:tplc="729E9FD2">
      <w:numFmt w:val="bullet"/>
      <w:lvlText w:val=""/>
      <w:lvlJc w:val="left"/>
      <w:pPr>
        <w:ind w:left="1440" w:hanging="360"/>
      </w:pPr>
      <w:rPr>
        <w:rFonts w:ascii="Wingdings" w:eastAsia="Times New Roman" w:hAnsi="Wingdings" w:cs="MyriadPro-Regular"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7590F26"/>
    <w:multiLevelType w:val="hybridMultilevel"/>
    <w:tmpl w:val="3BF6C8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E0C0FC8"/>
    <w:multiLevelType w:val="hybridMultilevel"/>
    <w:tmpl w:val="179062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1C1401D"/>
    <w:multiLevelType w:val="hybridMultilevel"/>
    <w:tmpl w:val="BF1638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3"/>
  </w:num>
  <w:num w:numId="4">
    <w:abstractNumId w:val="4"/>
  </w:num>
  <w:num w:numId="5">
    <w:abstractNumId w:val="18"/>
  </w:num>
  <w:num w:numId="6">
    <w:abstractNumId w:val="13"/>
  </w:num>
  <w:num w:numId="7">
    <w:abstractNumId w:val="15"/>
  </w:num>
  <w:num w:numId="8">
    <w:abstractNumId w:val="0"/>
  </w:num>
  <w:num w:numId="9">
    <w:abstractNumId w:val="12"/>
  </w:num>
  <w:num w:numId="10">
    <w:abstractNumId w:val="16"/>
  </w:num>
  <w:num w:numId="11">
    <w:abstractNumId w:val="8"/>
  </w:num>
  <w:num w:numId="12">
    <w:abstractNumId w:val="6"/>
  </w:num>
  <w:num w:numId="13">
    <w:abstractNumId w:val="11"/>
  </w:num>
  <w:num w:numId="14">
    <w:abstractNumId w:val="5"/>
  </w:num>
  <w:num w:numId="15">
    <w:abstractNumId w:val="9"/>
  </w:num>
  <w:num w:numId="16">
    <w:abstractNumId w:val="10"/>
  </w:num>
  <w:num w:numId="17">
    <w:abstractNumId w:val="2"/>
  </w:num>
  <w:num w:numId="18">
    <w:abstractNumId w:val="17"/>
  </w:num>
  <w:num w:numId="19">
    <w:abstractNumId w:val="1"/>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6"/>
  <w:proofState w:spelling="clean" w:grammar="clean"/>
  <w:documentProtection w:edit="readOnly" w:enforcement="1" w:cryptProviderType="rsaFull" w:cryptAlgorithmClass="hash" w:cryptAlgorithmType="typeAny" w:cryptAlgorithmSid="4" w:cryptSpinCount="100000" w:hash="FYlHFL7awTQg3o+jBZZSH+LvWHo=" w:salt="SGWaZcYTg7ulx5fcifqjh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AF6"/>
    <w:rsid w:val="00021179"/>
    <w:rsid w:val="000A0CBF"/>
    <w:rsid w:val="000B7AEF"/>
    <w:rsid w:val="001435AD"/>
    <w:rsid w:val="001900D2"/>
    <w:rsid w:val="00227296"/>
    <w:rsid w:val="00287C0D"/>
    <w:rsid w:val="002B24E1"/>
    <w:rsid w:val="002B42B6"/>
    <w:rsid w:val="002C51D7"/>
    <w:rsid w:val="002F3A52"/>
    <w:rsid w:val="0033392F"/>
    <w:rsid w:val="003E794C"/>
    <w:rsid w:val="0040477E"/>
    <w:rsid w:val="00405C84"/>
    <w:rsid w:val="00437724"/>
    <w:rsid w:val="00440B30"/>
    <w:rsid w:val="00521D2E"/>
    <w:rsid w:val="00576AF6"/>
    <w:rsid w:val="005B68F6"/>
    <w:rsid w:val="00734328"/>
    <w:rsid w:val="00756B5F"/>
    <w:rsid w:val="00790A69"/>
    <w:rsid w:val="007B08FC"/>
    <w:rsid w:val="007B6651"/>
    <w:rsid w:val="00811ED8"/>
    <w:rsid w:val="00862FCF"/>
    <w:rsid w:val="008B1EB3"/>
    <w:rsid w:val="009000F8"/>
    <w:rsid w:val="0096216F"/>
    <w:rsid w:val="009D5589"/>
    <w:rsid w:val="00A37E52"/>
    <w:rsid w:val="00AA50AC"/>
    <w:rsid w:val="00B33695"/>
    <w:rsid w:val="00B33AA1"/>
    <w:rsid w:val="00BD5E1C"/>
    <w:rsid w:val="00CB606E"/>
    <w:rsid w:val="00CC34A5"/>
    <w:rsid w:val="00D10854"/>
    <w:rsid w:val="00D9716A"/>
    <w:rsid w:val="00DF4D52"/>
    <w:rsid w:val="00DF7C74"/>
    <w:rsid w:val="00E07184"/>
    <w:rsid w:val="00ED56E7"/>
    <w:rsid w:val="00EF71BA"/>
    <w:rsid w:val="00F315C3"/>
    <w:rsid w:val="00F9670D"/>
    <w:rsid w:val="00FA2E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AF6"/>
    <w:pPr>
      <w:spacing w:after="0" w:line="240" w:lineRule="auto"/>
    </w:pPr>
    <w:rPr>
      <w:rFonts w:ascii="Arial" w:eastAsia="Times New Roman" w:hAnsi="Arial" w:cs="Arial"/>
      <w:sz w:val="24"/>
      <w:szCs w:val="20"/>
      <w:lang w:eastAsia="en-AU"/>
    </w:rPr>
  </w:style>
  <w:style w:type="paragraph" w:styleId="Heading1">
    <w:name w:val="heading 1"/>
    <w:basedOn w:val="Normal"/>
    <w:next w:val="Normal"/>
    <w:link w:val="Heading1Char"/>
    <w:qFormat/>
    <w:rsid w:val="00576AF6"/>
    <w:pPr>
      <w:numPr>
        <w:numId w:val="2"/>
      </w:num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576AF6"/>
    <w:pPr>
      <w:numPr>
        <w:ilvl w:val="1"/>
      </w:numPr>
      <w:outlineLvl w:val="1"/>
    </w:pPr>
    <w:rPr>
      <w:b/>
    </w:rPr>
  </w:style>
  <w:style w:type="paragraph" w:styleId="Heading3">
    <w:name w:val="heading 3"/>
    <w:basedOn w:val="Normal"/>
    <w:next w:val="Normal"/>
    <w:link w:val="Heading3Char"/>
    <w:semiHidden/>
    <w:unhideWhenUsed/>
    <w:qFormat/>
    <w:rsid w:val="00576AF6"/>
    <w:pPr>
      <w:keepNext/>
      <w:keepLines/>
      <w:spacing w:before="200"/>
      <w:outlineLvl w:val="2"/>
    </w:pPr>
    <w:rPr>
      <w:rFonts w:ascii="Cambria" w:hAnsi="Cambria" w:cs="Times New Roman"/>
      <w:b/>
      <w:bCs/>
      <w:color w:val="4F81B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6AF6"/>
    <w:rPr>
      <w:rFonts w:ascii="Arial" w:eastAsia="Times New Roman" w:hAnsi="Arial" w:cs="Arial"/>
      <w:sz w:val="18"/>
      <w:szCs w:val="18"/>
      <w:lang w:eastAsia="en-AU"/>
    </w:rPr>
  </w:style>
  <w:style w:type="character" w:customStyle="1" w:styleId="Heading2Char">
    <w:name w:val="Heading 2 Char"/>
    <w:basedOn w:val="DefaultParagraphFont"/>
    <w:link w:val="Heading2"/>
    <w:rsid w:val="00576AF6"/>
    <w:rPr>
      <w:rFonts w:ascii="Arial" w:eastAsia="Times New Roman" w:hAnsi="Arial" w:cs="Arial"/>
      <w:b/>
      <w:sz w:val="18"/>
      <w:szCs w:val="18"/>
      <w:lang w:eastAsia="en-AU"/>
    </w:rPr>
  </w:style>
  <w:style w:type="character" w:customStyle="1" w:styleId="Heading3Char">
    <w:name w:val="Heading 3 Char"/>
    <w:basedOn w:val="DefaultParagraphFont"/>
    <w:link w:val="Heading3"/>
    <w:semiHidden/>
    <w:rsid w:val="00576AF6"/>
    <w:rPr>
      <w:rFonts w:ascii="Cambria" w:eastAsia="Times New Roman" w:hAnsi="Cambria" w:cs="Times New Roman"/>
      <w:b/>
      <w:bCs/>
      <w:color w:val="4F81BD"/>
      <w:sz w:val="24"/>
      <w:szCs w:val="24"/>
      <w:lang w:eastAsia="en-AU"/>
    </w:rPr>
  </w:style>
  <w:style w:type="paragraph" w:styleId="Footer">
    <w:name w:val="footer"/>
    <w:basedOn w:val="Normal"/>
    <w:link w:val="FooterChar"/>
    <w:rsid w:val="00576AF6"/>
    <w:pPr>
      <w:tabs>
        <w:tab w:val="center" w:pos="4513"/>
        <w:tab w:val="right" w:pos="9026"/>
      </w:tabs>
    </w:pPr>
  </w:style>
  <w:style w:type="character" w:customStyle="1" w:styleId="FooterChar">
    <w:name w:val="Footer Char"/>
    <w:basedOn w:val="DefaultParagraphFont"/>
    <w:link w:val="Footer"/>
    <w:rsid w:val="00576AF6"/>
    <w:rPr>
      <w:rFonts w:ascii="Arial" w:eastAsia="Times New Roman" w:hAnsi="Arial" w:cs="Arial"/>
      <w:sz w:val="24"/>
      <w:szCs w:val="20"/>
      <w:lang w:eastAsia="en-AU"/>
    </w:rPr>
  </w:style>
  <w:style w:type="paragraph" w:styleId="BalloonText">
    <w:name w:val="Balloon Text"/>
    <w:basedOn w:val="Normal"/>
    <w:link w:val="BalloonTextChar"/>
    <w:rsid w:val="00576AF6"/>
    <w:rPr>
      <w:rFonts w:ascii="Tahoma" w:hAnsi="Tahoma" w:cs="Tahoma"/>
      <w:sz w:val="16"/>
      <w:szCs w:val="16"/>
    </w:rPr>
  </w:style>
  <w:style w:type="character" w:customStyle="1" w:styleId="BalloonTextChar">
    <w:name w:val="Balloon Text Char"/>
    <w:basedOn w:val="DefaultParagraphFont"/>
    <w:link w:val="BalloonText"/>
    <w:rsid w:val="00576AF6"/>
    <w:rPr>
      <w:rFonts w:ascii="Tahoma" w:eastAsia="Times New Roman" w:hAnsi="Tahoma" w:cs="Tahoma"/>
      <w:sz w:val="16"/>
      <w:szCs w:val="16"/>
      <w:lang w:eastAsia="en-AU"/>
    </w:rPr>
  </w:style>
  <w:style w:type="paragraph" w:customStyle="1" w:styleId="TRONumberText">
    <w:name w:val="TRO Number Text"/>
    <w:basedOn w:val="TROBodytext"/>
    <w:qFormat/>
    <w:rsid w:val="00576AF6"/>
    <w:pPr>
      <w:numPr>
        <w:numId w:val="4"/>
      </w:numPr>
      <w:tabs>
        <w:tab w:val="clear" w:pos="1843"/>
        <w:tab w:val="clear" w:pos="6548"/>
      </w:tabs>
      <w:ind w:left="284" w:hanging="284"/>
    </w:pPr>
  </w:style>
  <w:style w:type="paragraph" w:customStyle="1" w:styleId="TROBodytext">
    <w:name w:val="TRO Body text"/>
    <w:uiPriority w:val="99"/>
    <w:rsid w:val="00576AF6"/>
    <w:pPr>
      <w:tabs>
        <w:tab w:val="left" w:pos="1843"/>
        <w:tab w:val="left" w:pos="6548"/>
      </w:tabs>
      <w:suppressAutoHyphens/>
      <w:autoSpaceDE w:val="0"/>
      <w:autoSpaceDN w:val="0"/>
      <w:adjustRightInd w:val="0"/>
      <w:spacing w:after="120" w:line="300" w:lineRule="atLeast"/>
      <w:textAlignment w:val="center"/>
    </w:pPr>
    <w:rPr>
      <w:rFonts w:ascii="Arial" w:eastAsia="Times New Roman" w:hAnsi="Arial" w:cs="Times"/>
      <w:color w:val="000000"/>
      <w:lang w:val="en-GB" w:eastAsia="en-AU"/>
    </w:rPr>
  </w:style>
  <w:style w:type="character" w:styleId="PageNumber">
    <w:name w:val="page number"/>
    <w:basedOn w:val="DefaultParagraphFont"/>
    <w:rsid w:val="00576AF6"/>
  </w:style>
  <w:style w:type="paragraph" w:styleId="Header">
    <w:name w:val="header"/>
    <w:basedOn w:val="Normal"/>
    <w:link w:val="HeaderChar"/>
    <w:rsid w:val="00576AF6"/>
    <w:pPr>
      <w:tabs>
        <w:tab w:val="center" w:pos="4513"/>
        <w:tab w:val="right" w:pos="9026"/>
      </w:tabs>
    </w:pPr>
  </w:style>
  <w:style w:type="character" w:customStyle="1" w:styleId="HeaderChar">
    <w:name w:val="Header Char"/>
    <w:basedOn w:val="DefaultParagraphFont"/>
    <w:link w:val="Header"/>
    <w:rsid w:val="00576AF6"/>
    <w:rPr>
      <w:rFonts w:ascii="Arial" w:eastAsia="Times New Roman" w:hAnsi="Arial" w:cs="Arial"/>
      <w:sz w:val="24"/>
      <w:szCs w:val="20"/>
      <w:lang w:eastAsia="en-AU"/>
    </w:rPr>
  </w:style>
  <w:style w:type="paragraph" w:customStyle="1" w:styleId="Default">
    <w:name w:val="Default"/>
    <w:rsid w:val="00576AF6"/>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TROHeading2">
    <w:name w:val="TRO Heading 2"/>
    <w:basedOn w:val="Normal"/>
    <w:uiPriority w:val="99"/>
    <w:rsid w:val="00576AF6"/>
    <w:pPr>
      <w:keepNext/>
      <w:tabs>
        <w:tab w:val="left" w:pos="426"/>
        <w:tab w:val="left" w:pos="1418"/>
      </w:tabs>
      <w:suppressAutoHyphens/>
      <w:autoSpaceDE w:val="0"/>
      <w:autoSpaceDN w:val="0"/>
      <w:adjustRightInd w:val="0"/>
      <w:spacing w:before="360" w:after="60" w:line="400" w:lineRule="atLeast"/>
      <w:ind w:left="397" w:hanging="397"/>
      <w:textAlignment w:val="center"/>
    </w:pPr>
    <w:rPr>
      <w:b/>
      <w:bCs/>
      <w:color w:val="000000"/>
      <w:sz w:val="26"/>
      <w:szCs w:val="26"/>
      <w:lang w:val="en-GB"/>
    </w:rPr>
  </w:style>
  <w:style w:type="paragraph" w:customStyle="1" w:styleId="TROHeading1">
    <w:name w:val="TRO Heading 1"/>
    <w:basedOn w:val="Normal"/>
    <w:qFormat/>
    <w:rsid w:val="00576AF6"/>
    <w:pPr>
      <w:autoSpaceDE w:val="0"/>
      <w:autoSpaceDN w:val="0"/>
      <w:adjustRightInd w:val="0"/>
      <w:spacing w:after="120" w:line="240" w:lineRule="atLeast"/>
      <w:textAlignment w:val="center"/>
    </w:pPr>
    <w:rPr>
      <w:b/>
      <w:bCs/>
      <w:color w:val="000000"/>
      <w:sz w:val="32"/>
      <w:szCs w:val="32"/>
      <w:lang w:val="en-GB"/>
    </w:rPr>
  </w:style>
  <w:style w:type="paragraph" w:customStyle="1" w:styleId="TROCaptionText">
    <w:name w:val="TRO Caption Text"/>
    <w:basedOn w:val="TROBodytext"/>
    <w:qFormat/>
    <w:rsid w:val="00576AF6"/>
    <w:pPr>
      <w:spacing w:after="60" w:line="240" w:lineRule="atLeast"/>
    </w:pPr>
    <w:rPr>
      <w:sz w:val="18"/>
      <w:szCs w:val="18"/>
    </w:rPr>
  </w:style>
  <w:style w:type="table" w:styleId="TableGrid">
    <w:name w:val="Table Grid"/>
    <w:basedOn w:val="TableNormal"/>
    <w:rsid w:val="00576AF6"/>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OTableText">
    <w:name w:val="TRO Table Text"/>
    <w:basedOn w:val="TROBodytext"/>
    <w:qFormat/>
    <w:rsid w:val="00576AF6"/>
    <w:pPr>
      <w:tabs>
        <w:tab w:val="clear" w:pos="1843"/>
        <w:tab w:val="clear" w:pos="6548"/>
      </w:tabs>
      <w:spacing w:before="60" w:after="60"/>
    </w:pPr>
  </w:style>
  <w:style w:type="paragraph" w:customStyle="1" w:styleId="TROPrivacyStatement">
    <w:name w:val="TRO Privacy Statement"/>
    <w:basedOn w:val="Normal"/>
    <w:uiPriority w:val="99"/>
    <w:rsid w:val="00576AF6"/>
    <w:pPr>
      <w:suppressAutoHyphens/>
      <w:autoSpaceDE w:val="0"/>
      <w:autoSpaceDN w:val="0"/>
      <w:adjustRightInd w:val="0"/>
      <w:spacing w:line="280" w:lineRule="atLeast"/>
      <w:ind w:left="170"/>
      <w:textAlignment w:val="center"/>
    </w:pPr>
    <w:rPr>
      <w:rFonts w:ascii="Myriad Pro" w:hAnsi="Myriad Pro" w:cs="Myriad Pro"/>
      <w:caps/>
      <w:color w:val="005A9B"/>
      <w:sz w:val="20"/>
      <w:lang w:val="en-GB"/>
    </w:rPr>
  </w:style>
  <w:style w:type="paragraph" w:customStyle="1" w:styleId="TROBulletText">
    <w:name w:val="TRO Bullet Text"/>
    <w:basedOn w:val="TROBodytext"/>
    <w:qFormat/>
    <w:rsid w:val="00576AF6"/>
    <w:pPr>
      <w:numPr>
        <w:numId w:val="1"/>
      </w:numPr>
      <w:tabs>
        <w:tab w:val="clear" w:pos="1843"/>
        <w:tab w:val="clear" w:pos="6548"/>
      </w:tabs>
      <w:ind w:left="284" w:hanging="284"/>
    </w:pPr>
  </w:style>
  <w:style w:type="paragraph" w:customStyle="1" w:styleId="TROTableBullet">
    <w:name w:val="TRO Table Bullet"/>
    <w:basedOn w:val="TROBulletText"/>
    <w:qFormat/>
    <w:rsid w:val="00576AF6"/>
    <w:pPr>
      <w:spacing w:before="68"/>
    </w:pPr>
  </w:style>
  <w:style w:type="paragraph" w:customStyle="1" w:styleId="TROHeading3">
    <w:name w:val="TRO Heading 3"/>
    <w:basedOn w:val="TROHeading2"/>
    <w:qFormat/>
    <w:rsid w:val="00576AF6"/>
    <w:pPr>
      <w:spacing w:before="60" w:after="0"/>
    </w:pPr>
    <w:rPr>
      <w:sz w:val="22"/>
      <w:szCs w:val="22"/>
    </w:rPr>
  </w:style>
  <w:style w:type="paragraph" w:customStyle="1" w:styleId="TRODashedText">
    <w:name w:val="TRO Dashed Text"/>
    <w:basedOn w:val="Normal"/>
    <w:qFormat/>
    <w:rsid w:val="00576AF6"/>
    <w:pPr>
      <w:numPr>
        <w:numId w:val="3"/>
      </w:numPr>
      <w:tabs>
        <w:tab w:val="left" w:pos="1843"/>
        <w:tab w:val="left" w:pos="6548"/>
      </w:tabs>
      <w:suppressAutoHyphens/>
      <w:autoSpaceDE w:val="0"/>
      <w:autoSpaceDN w:val="0"/>
      <w:adjustRightInd w:val="0"/>
      <w:spacing w:after="120" w:line="300" w:lineRule="atLeast"/>
      <w:ind w:left="738" w:hanging="454"/>
      <w:textAlignment w:val="center"/>
    </w:pPr>
    <w:rPr>
      <w:rFonts w:cs="Times"/>
      <w:color w:val="000000"/>
      <w:sz w:val="22"/>
      <w:szCs w:val="22"/>
      <w:lang w:val="en-GB"/>
    </w:rPr>
  </w:style>
  <w:style w:type="paragraph" w:customStyle="1" w:styleId="Heading31">
    <w:name w:val="Heading 31"/>
    <w:basedOn w:val="Normal"/>
    <w:next w:val="Normal"/>
    <w:semiHidden/>
    <w:unhideWhenUsed/>
    <w:qFormat/>
    <w:rsid w:val="00576AF6"/>
    <w:pPr>
      <w:keepNext/>
      <w:keepLines/>
      <w:spacing w:before="200"/>
      <w:outlineLvl w:val="2"/>
    </w:pPr>
    <w:rPr>
      <w:rFonts w:ascii="Cambria" w:hAnsi="Cambria" w:cs="Times New Roman"/>
      <w:b/>
      <w:bCs/>
      <w:color w:val="4F81BD"/>
      <w:szCs w:val="24"/>
    </w:rPr>
  </w:style>
  <w:style w:type="numbering" w:customStyle="1" w:styleId="NoList1">
    <w:name w:val="No List1"/>
    <w:next w:val="NoList"/>
    <w:uiPriority w:val="99"/>
    <w:semiHidden/>
    <w:unhideWhenUsed/>
    <w:rsid w:val="00576AF6"/>
  </w:style>
  <w:style w:type="character" w:customStyle="1" w:styleId="Hyperlink1">
    <w:name w:val="Hyperlink1"/>
    <w:basedOn w:val="DefaultParagraphFont"/>
    <w:uiPriority w:val="99"/>
    <w:rsid w:val="00576AF6"/>
    <w:rPr>
      <w:color w:val="0000FF"/>
      <w:u w:val="single"/>
    </w:rPr>
  </w:style>
  <w:style w:type="paragraph" w:styleId="ListParagraph">
    <w:name w:val="List Paragraph"/>
    <w:basedOn w:val="Normal"/>
    <w:uiPriority w:val="34"/>
    <w:qFormat/>
    <w:rsid w:val="00576AF6"/>
    <w:pPr>
      <w:ind w:left="720"/>
      <w:contextualSpacing/>
    </w:pPr>
    <w:rPr>
      <w:rFonts w:ascii="Times New Roman" w:hAnsi="Times New Roman" w:cs="Times New Roman"/>
      <w:szCs w:val="24"/>
    </w:rPr>
  </w:style>
  <w:style w:type="character" w:styleId="CommentReference">
    <w:name w:val="annotation reference"/>
    <w:basedOn w:val="DefaultParagraphFont"/>
    <w:rsid w:val="00576AF6"/>
    <w:rPr>
      <w:sz w:val="16"/>
      <w:szCs w:val="16"/>
    </w:rPr>
  </w:style>
  <w:style w:type="paragraph" w:styleId="CommentText">
    <w:name w:val="annotation text"/>
    <w:basedOn w:val="Normal"/>
    <w:link w:val="CommentTextChar"/>
    <w:rsid w:val="00576AF6"/>
    <w:rPr>
      <w:rFonts w:ascii="Times New Roman" w:hAnsi="Times New Roman" w:cs="Times New Roman"/>
      <w:sz w:val="20"/>
    </w:rPr>
  </w:style>
  <w:style w:type="character" w:customStyle="1" w:styleId="CommentTextChar">
    <w:name w:val="Comment Text Char"/>
    <w:basedOn w:val="DefaultParagraphFont"/>
    <w:link w:val="CommentText"/>
    <w:rsid w:val="00576AF6"/>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rsid w:val="00576AF6"/>
    <w:rPr>
      <w:b/>
      <w:bCs/>
    </w:rPr>
  </w:style>
  <w:style w:type="character" w:customStyle="1" w:styleId="CommentSubjectChar">
    <w:name w:val="Comment Subject Char"/>
    <w:basedOn w:val="CommentTextChar"/>
    <w:link w:val="CommentSubject"/>
    <w:rsid w:val="00576AF6"/>
    <w:rPr>
      <w:rFonts w:ascii="Times New Roman" w:eastAsia="Times New Roman" w:hAnsi="Times New Roman" w:cs="Times New Roman"/>
      <w:b/>
      <w:bCs/>
      <w:sz w:val="20"/>
      <w:szCs w:val="20"/>
      <w:lang w:eastAsia="en-AU"/>
    </w:rPr>
  </w:style>
  <w:style w:type="character" w:styleId="Strong">
    <w:name w:val="Strong"/>
    <w:aliases w:val="Small Heading"/>
    <w:qFormat/>
    <w:rsid w:val="00576AF6"/>
    <w:rPr>
      <w:rFonts w:ascii="MyriadPro-Regular" w:hAnsi="MyriadPro-Regular" w:cs="MyriadPro-Regular"/>
      <w:sz w:val="32"/>
      <w:szCs w:val="32"/>
    </w:rPr>
  </w:style>
  <w:style w:type="paragraph" w:styleId="TOC1">
    <w:name w:val="toc 1"/>
    <w:next w:val="Normal"/>
    <w:autoRedefine/>
    <w:uiPriority w:val="39"/>
    <w:rsid w:val="00576AF6"/>
    <w:pPr>
      <w:spacing w:after="100" w:line="240" w:lineRule="auto"/>
    </w:pPr>
    <w:rPr>
      <w:rFonts w:ascii="Arial" w:eastAsia="Times New Roman" w:hAnsi="Arial" w:cs="Times New Roman"/>
      <w:szCs w:val="24"/>
      <w:lang w:eastAsia="en-AU"/>
    </w:rPr>
  </w:style>
  <w:style w:type="character" w:styleId="Hyperlink">
    <w:name w:val="Hyperlink"/>
    <w:basedOn w:val="DefaultParagraphFont"/>
    <w:uiPriority w:val="99"/>
    <w:rsid w:val="00576AF6"/>
    <w:rPr>
      <w:color w:val="0000FF" w:themeColor="hyperlink"/>
      <w:u w:val="single"/>
    </w:rPr>
  </w:style>
  <w:style w:type="character" w:customStyle="1" w:styleId="Heading3Char1">
    <w:name w:val="Heading 3 Char1"/>
    <w:basedOn w:val="DefaultParagraphFont"/>
    <w:semiHidden/>
    <w:rsid w:val="00576AF6"/>
    <w:rPr>
      <w:rFonts w:asciiTheme="majorHAnsi" w:eastAsiaTheme="majorEastAsia" w:hAnsiTheme="majorHAnsi" w:cstheme="majorBidi"/>
      <w:b/>
      <w:bCs/>
      <w:color w:val="4F81BD" w:themeColor="accent1"/>
      <w:sz w:val="24"/>
    </w:rPr>
  </w:style>
  <w:style w:type="paragraph" w:styleId="Revision">
    <w:name w:val="Revision"/>
    <w:hidden/>
    <w:uiPriority w:val="99"/>
    <w:semiHidden/>
    <w:rsid w:val="00576AF6"/>
    <w:pPr>
      <w:spacing w:after="0" w:line="240" w:lineRule="auto"/>
    </w:pPr>
    <w:rPr>
      <w:rFonts w:ascii="Arial" w:eastAsia="Times New Roman" w:hAnsi="Arial" w:cs="Arial"/>
      <w:sz w:val="24"/>
      <w:szCs w:val="20"/>
      <w:lang w:eastAsia="en-AU"/>
    </w:rPr>
  </w:style>
  <w:style w:type="paragraph" w:styleId="FootnoteText">
    <w:name w:val="footnote text"/>
    <w:basedOn w:val="Normal"/>
    <w:link w:val="FootnoteTextChar"/>
    <w:rsid w:val="00576AF6"/>
    <w:rPr>
      <w:sz w:val="20"/>
    </w:rPr>
  </w:style>
  <w:style w:type="character" w:customStyle="1" w:styleId="FootnoteTextChar">
    <w:name w:val="Footnote Text Char"/>
    <w:basedOn w:val="DefaultParagraphFont"/>
    <w:link w:val="FootnoteText"/>
    <w:rsid w:val="00576AF6"/>
    <w:rPr>
      <w:rFonts w:ascii="Arial" w:eastAsia="Times New Roman" w:hAnsi="Arial" w:cs="Arial"/>
      <w:sz w:val="20"/>
      <w:szCs w:val="20"/>
      <w:lang w:eastAsia="en-AU"/>
    </w:rPr>
  </w:style>
  <w:style w:type="character" w:styleId="FootnoteReference">
    <w:name w:val="footnote reference"/>
    <w:basedOn w:val="DefaultParagraphFont"/>
    <w:rsid w:val="00576AF6"/>
    <w:rPr>
      <w:vertAlign w:val="superscript"/>
    </w:rPr>
  </w:style>
  <w:style w:type="character" w:styleId="FollowedHyperlink">
    <w:name w:val="FollowedHyperlink"/>
    <w:basedOn w:val="DefaultParagraphFont"/>
    <w:rsid w:val="00576AF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AF6"/>
    <w:pPr>
      <w:spacing w:after="0" w:line="240" w:lineRule="auto"/>
    </w:pPr>
    <w:rPr>
      <w:rFonts w:ascii="Arial" w:eastAsia="Times New Roman" w:hAnsi="Arial" w:cs="Arial"/>
      <w:sz w:val="24"/>
      <w:szCs w:val="20"/>
      <w:lang w:eastAsia="en-AU"/>
    </w:rPr>
  </w:style>
  <w:style w:type="paragraph" w:styleId="Heading1">
    <w:name w:val="heading 1"/>
    <w:basedOn w:val="Normal"/>
    <w:next w:val="Normal"/>
    <w:link w:val="Heading1Char"/>
    <w:qFormat/>
    <w:rsid w:val="00576AF6"/>
    <w:pPr>
      <w:numPr>
        <w:numId w:val="2"/>
      </w:num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576AF6"/>
    <w:pPr>
      <w:numPr>
        <w:ilvl w:val="1"/>
      </w:numPr>
      <w:outlineLvl w:val="1"/>
    </w:pPr>
    <w:rPr>
      <w:b/>
    </w:rPr>
  </w:style>
  <w:style w:type="paragraph" w:styleId="Heading3">
    <w:name w:val="heading 3"/>
    <w:basedOn w:val="Normal"/>
    <w:next w:val="Normal"/>
    <w:link w:val="Heading3Char"/>
    <w:semiHidden/>
    <w:unhideWhenUsed/>
    <w:qFormat/>
    <w:rsid w:val="00576AF6"/>
    <w:pPr>
      <w:keepNext/>
      <w:keepLines/>
      <w:spacing w:before="200"/>
      <w:outlineLvl w:val="2"/>
    </w:pPr>
    <w:rPr>
      <w:rFonts w:ascii="Cambria" w:hAnsi="Cambria" w:cs="Times New Roman"/>
      <w:b/>
      <w:bCs/>
      <w:color w:val="4F81B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6AF6"/>
    <w:rPr>
      <w:rFonts w:ascii="Arial" w:eastAsia="Times New Roman" w:hAnsi="Arial" w:cs="Arial"/>
      <w:sz w:val="18"/>
      <w:szCs w:val="18"/>
      <w:lang w:eastAsia="en-AU"/>
    </w:rPr>
  </w:style>
  <w:style w:type="character" w:customStyle="1" w:styleId="Heading2Char">
    <w:name w:val="Heading 2 Char"/>
    <w:basedOn w:val="DefaultParagraphFont"/>
    <w:link w:val="Heading2"/>
    <w:rsid w:val="00576AF6"/>
    <w:rPr>
      <w:rFonts w:ascii="Arial" w:eastAsia="Times New Roman" w:hAnsi="Arial" w:cs="Arial"/>
      <w:b/>
      <w:sz w:val="18"/>
      <w:szCs w:val="18"/>
      <w:lang w:eastAsia="en-AU"/>
    </w:rPr>
  </w:style>
  <w:style w:type="character" w:customStyle="1" w:styleId="Heading3Char">
    <w:name w:val="Heading 3 Char"/>
    <w:basedOn w:val="DefaultParagraphFont"/>
    <w:link w:val="Heading3"/>
    <w:semiHidden/>
    <w:rsid w:val="00576AF6"/>
    <w:rPr>
      <w:rFonts w:ascii="Cambria" w:eastAsia="Times New Roman" w:hAnsi="Cambria" w:cs="Times New Roman"/>
      <w:b/>
      <w:bCs/>
      <w:color w:val="4F81BD"/>
      <w:sz w:val="24"/>
      <w:szCs w:val="24"/>
      <w:lang w:eastAsia="en-AU"/>
    </w:rPr>
  </w:style>
  <w:style w:type="paragraph" w:styleId="Footer">
    <w:name w:val="footer"/>
    <w:basedOn w:val="Normal"/>
    <w:link w:val="FooterChar"/>
    <w:rsid w:val="00576AF6"/>
    <w:pPr>
      <w:tabs>
        <w:tab w:val="center" w:pos="4513"/>
        <w:tab w:val="right" w:pos="9026"/>
      </w:tabs>
    </w:pPr>
  </w:style>
  <w:style w:type="character" w:customStyle="1" w:styleId="FooterChar">
    <w:name w:val="Footer Char"/>
    <w:basedOn w:val="DefaultParagraphFont"/>
    <w:link w:val="Footer"/>
    <w:rsid w:val="00576AF6"/>
    <w:rPr>
      <w:rFonts w:ascii="Arial" w:eastAsia="Times New Roman" w:hAnsi="Arial" w:cs="Arial"/>
      <w:sz w:val="24"/>
      <w:szCs w:val="20"/>
      <w:lang w:eastAsia="en-AU"/>
    </w:rPr>
  </w:style>
  <w:style w:type="paragraph" w:styleId="BalloonText">
    <w:name w:val="Balloon Text"/>
    <w:basedOn w:val="Normal"/>
    <w:link w:val="BalloonTextChar"/>
    <w:rsid w:val="00576AF6"/>
    <w:rPr>
      <w:rFonts w:ascii="Tahoma" w:hAnsi="Tahoma" w:cs="Tahoma"/>
      <w:sz w:val="16"/>
      <w:szCs w:val="16"/>
    </w:rPr>
  </w:style>
  <w:style w:type="character" w:customStyle="1" w:styleId="BalloonTextChar">
    <w:name w:val="Balloon Text Char"/>
    <w:basedOn w:val="DefaultParagraphFont"/>
    <w:link w:val="BalloonText"/>
    <w:rsid w:val="00576AF6"/>
    <w:rPr>
      <w:rFonts w:ascii="Tahoma" w:eastAsia="Times New Roman" w:hAnsi="Tahoma" w:cs="Tahoma"/>
      <w:sz w:val="16"/>
      <w:szCs w:val="16"/>
      <w:lang w:eastAsia="en-AU"/>
    </w:rPr>
  </w:style>
  <w:style w:type="paragraph" w:customStyle="1" w:styleId="TRONumberText">
    <w:name w:val="TRO Number Text"/>
    <w:basedOn w:val="TROBodytext"/>
    <w:qFormat/>
    <w:rsid w:val="00576AF6"/>
    <w:pPr>
      <w:numPr>
        <w:numId w:val="4"/>
      </w:numPr>
      <w:tabs>
        <w:tab w:val="clear" w:pos="1843"/>
        <w:tab w:val="clear" w:pos="6548"/>
      </w:tabs>
      <w:ind w:left="284" w:hanging="284"/>
    </w:pPr>
  </w:style>
  <w:style w:type="paragraph" w:customStyle="1" w:styleId="TROBodytext">
    <w:name w:val="TRO Body text"/>
    <w:uiPriority w:val="99"/>
    <w:rsid w:val="00576AF6"/>
    <w:pPr>
      <w:tabs>
        <w:tab w:val="left" w:pos="1843"/>
        <w:tab w:val="left" w:pos="6548"/>
      </w:tabs>
      <w:suppressAutoHyphens/>
      <w:autoSpaceDE w:val="0"/>
      <w:autoSpaceDN w:val="0"/>
      <w:adjustRightInd w:val="0"/>
      <w:spacing w:after="120" w:line="300" w:lineRule="atLeast"/>
      <w:textAlignment w:val="center"/>
    </w:pPr>
    <w:rPr>
      <w:rFonts w:ascii="Arial" w:eastAsia="Times New Roman" w:hAnsi="Arial" w:cs="Times"/>
      <w:color w:val="000000"/>
      <w:lang w:val="en-GB" w:eastAsia="en-AU"/>
    </w:rPr>
  </w:style>
  <w:style w:type="character" w:styleId="PageNumber">
    <w:name w:val="page number"/>
    <w:basedOn w:val="DefaultParagraphFont"/>
    <w:rsid w:val="00576AF6"/>
  </w:style>
  <w:style w:type="paragraph" w:styleId="Header">
    <w:name w:val="header"/>
    <w:basedOn w:val="Normal"/>
    <w:link w:val="HeaderChar"/>
    <w:rsid w:val="00576AF6"/>
    <w:pPr>
      <w:tabs>
        <w:tab w:val="center" w:pos="4513"/>
        <w:tab w:val="right" w:pos="9026"/>
      </w:tabs>
    </w:pPr>
  </w:style>
  <w:style w:type="character" w:customStyle="1" w:styleId="HeaderChar">
    <w:name w:val="Header Char"/>
    <w:basedOn w:val="DefaultParagraphFont"/>
    <w:link w:val="Header"/>
    <w:rsid w:val="00576AF6"/>
    <w:rPr>
      <w:rFonts w:ascii="Arial" w:eastAsia="Times New Roman" w:hAnsi="Arial" w:cs="Arial"/>
      <w:sz w:val="24"/>
      <w:szCs w:val="20"/>
      <w:lang w:eastAsia="en-AU"/>
    </w:rPr>
  </w:style>
  <w:style w:type="paragraph" w:customStyle="1" w:styleId="Default">
    <w:name w:val="Default"/>
    <w:rsid w:val="00576AF6"/>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TROHeading2">
    <w:name w:val="TRO Heading 2"/>
    <w:basedOn w:val="Normal"/>
    <w:uiPriority w:val="99"/>
    <w:rsid w:val="00576AF6"/>
    <w:pPr>
      <w:keepNext/>
      <w:tabs>
        <w:tab w:val="left" w:pos="426"/>
        <w:tab w:val="left" w:pos="1418"/>
      </w:tabs>
      <w:suppressAutoHyphens/>
      <w:autoSpaceDE w:val="0"/>
      <w:autoSpaceDN w:val="0"/>
      <w:adjustRightInd w:val="0"/>
      <w:spacing w:before="360" w:after="60" w:line="400" w:lineRule="atLeast"/>
      <w:ind w:left="397" w:hanging="397"/>
      <w:textAlignment w:val="center"/>
    </w:pPr>
    <w:rPr>
      <w:b/>
      <w:bCs/>
      <w:color w:val="000000"/>
      <w:sz w:val="26"/>
      <w:szCs w:val="26"/>
      <w:lang w:val="en-GB"/>
    </w:rPr>
  </w:style>
  <w:style w:type="paragraph" w:customStyle="1" w:styleId="TROHeading1">
    <w:name w:val="TRO Heading 1"/>
    <w:basedOn w:val="Normal"/>
    <w:qFormat/>
    <w:rsid w:val="00576AF6"/>
    <w:pPr>
      <w:autoSpaceDE w:val="0"/>
      <w:autoSpaceDN w:val="0"/>
      <w:adjustRightInd w:val="0"/>
      <w:spacing w:after="120" w:line="240" w:lineRule="atLeast"/>
      <w:textAlignment w:val="center"/>
    </w:pPr>
    <w:rPr>
      <w:b/>
      <w:bCs/>
      <w:color w:val="000000"/>
      <w:sz w:val="32"/>
      <w:szCs w:val="32"/>
      <w:lang w:val="en-GB"/>
    </w:rPr>
  </w:style>
  <w:style w:type="paragraph" w:customStyle="1" w:styleId="TROCaptionText">
    <w:name w:val="TRO Caption Text"/>
    <w:basedOn w:val="TROBodytext"/>
    <w:qFormat/>
    <w:rsid w:val="00576AF6"/>
    <w:pPr>
      <w:spacing w:after="60" w:line="240" w:lineRule="atLeast"/>
    </w:pPr>
    <w:rPr>
      <w:sz w:val="18"/>
      <w:szCs w:val="18"/>
    </w:rPr>
  </w:style>
  <w:style w:type="table" w:styleId="TableGrid">
    <w:name w:val="Table Grid"/>
    <w:basedOn w:val="TableNormal"/>
    <w:rsid w:val="00576AF6"/>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OTableText">
    <w:name w:val="TRO Table Text"/>
    <w:basedOn w:val="TROBodytext"/>
    <w:qFormat/>
    <w:rsid w:val="00576AF6"/>
    <w:pPr>
      <w:tabs>
        <w:tab w:val="clear" w:pos="1843"/>
        <w:tab w:val="clear" w:pos="6548"/>
      </w:tabs>
      <w:spacing w:before="60" w:after="60"/>
    </w:pPr>
  </w:style>
  <w:style w:type="paragraph" w:customStyle="1" w:styleId="TROPrivacyStatement">
    <w:name w:val="TRO Privacy Statement"/>
    <w:basedOn w:val="Normal"/>
    <w:uiPriority w:val="99"/>
    <w:rsid w:val="00576AF6"/>
    <w:pPr>
      <w:suppressAutoHyphens/>
      <w:autoSpaceDE w:val="0"/>
      <w:autoSpaceDN w:val="0"/>
      <w:adjustRightInd w:val="0"/>
      <w:spacing w:line="280" w:lineRule="atLeast"/>
      <w:ind w:left="170"/>
      <w:textAlignment w:val="center"/>
    </w:pPr>
    <w:rPr>
      <w:rFonts w:ascii="Myriad Pro" w:hAnsi="Myriad Pro" w:cs="Myriad Pro"/>
      <w:caps/>
      <w:color w:val="005A9B"/>
      <w:sz w:val="20"/>
      <w:lang w:val="en-GB"/>
    </w:rPr>
  </w:style>
  <w:style w:type="paragraph" w:customStyle="1" w:styleId="TROBulletText">
    <w:name w:val="TRO Bullet Text"/>
    <w:basedOn w:val="TROBodytext"/>
    <w:qFormat/>
    <w:rsid w:val="00576AF6"/>
    <w:pPr>
      <w:numPr>
        <w:numId w:val="1"/>
      </w:numPr>
      <w:tabs>
        <w:tab w:val="clear" w:pos="1843"/>
        <w:tab w:val="clear" w:pos="6548"/>
      </w:tabs>
      <w:ind w:left="284" w:hanging="284"/>
    </w:pPr>
  </w:style>
  <w:style w:type="paragraph" w:customStyle="1" w:styleId="TROTableBullet">
    <w:name w:val="TRO Table Bullet"/>
    <w:basedOn w:val="TROBulletText"/>
    <w:qFormat/>
    <w:rsid w:val="00576AF6"/>
    <w:pPr>
      <w:spacing w:before="68"/>
    </w:pPr>
  </w:style>
  <w:style w:type="paragraph" w:customStyle="1" w:styleId="TROHeading3">
    <w:name w:val="TRO Heading 3"/>
    <w:basedOn w:val="TROHeading2"/>
    <w:qFormat/>
    <w:rsid w:val="00576AF6"/>
    <w:pPr>
      <w:spacing w:before="60" w:after="0"/>
    </w:pPr>
    <w:rPr>
      <w:sz w:val="22"/>
      <w:szCs w:val="22"/>
    </w:rPr>
  </w:style>
  <w:style w:type="paragraph" w:customStyle="1" w:styleId="TRODashedText">
    <w:name w:val="TRO Dashed Text"/>
    <w:basedOn w:val="Normal"/>
    <w:qFormat/>
    <w:rsid w:val="00576AF6"/>
    <w:pPr>
      <w:numPr>
        <w:numId w:val="3"/>
      </w:numPr>
      <w:tabs>
        <w:tab w:val="left" w:pos="1843"/>
        <w:tab w:val="left" w:pos="6548"/>
      </w:tabs>
      <w:suppressAutoHyphens/>
      <w:autoSpaceDE w:val="0"/>
      <w:autoSpaceDN w:val="0"/>
      <w:adjustRightInd w:val="0"/>
      <w:spacing w:after="120" w:line="300" w:lineRule="atLeast"/>
      <w:ind w:left="738" w:hanging="454"/>
      <w:textAlignment w:val="center"/>
    </w:pPr>
    <w:rPr>
      <w:rFonts w:cs="Times"/>
      <w:color w:val="000000"/>
      <w:sz w:val="22"/>
      <w:szCs w:val="22"/>
      <w:lang w:val="en-GB"/>
    </w:rPr>
  </w:style>
  <w:style w:type="paragraph" w:customStyle="1" w:styleId="Heading31">
    <w:name w:val="Heading 31"/>
    <w:basedOn w:val="Normal"/>
    <w:next w:val="Normal"/>
    <w:semiHidden/>
    <w:unhideWhenUsed/>
    <w:qFormat/>
    <w:rsid w:val="00576AF6"/>
    <w:pPr>
      <w:keepNext/>
      <w:keepLines/>
      <w:spacing w:before="200"/>
      <w:outlineLvl w:val="2"/>
    </w:pPr>
    <w:rPr>
      <w:rFonts w:ascii="Cambria" w:hAnsi="Cambria" w:cs="Times New Roman"/>
      <w:b/>
      <w:bCs/>
      <w:color w:val="4F81BD"/>
      <w:szCs w:val="24"/>
    </w:rPr>
  </w:style>
  <w:style w:type="numbering" w:customStyle="1" w:styleId="NoList1">
    <w:name w:val="No List1"/>
    <w:next w:val="NoList"/>
    <w:uiPriority w:val="99"/>
    <w:semiHidden/>
    <w:unhideWhenUsed/>
    <w:rsid w:val="00576AF6"/>
  </w:style>
  <w:style w:type="character" w:customStyle="1" w:styleId="Hyperlink1">
    <w:name w:val="Hyperlink1"/>
    <w:basedOn w:val="DefaultParagraphFont"/>
    <w:uiPriority w:val="99"/>
    <w:rsid w:val="00576AF6"/>
    <w:rPr>
      <w:color w:val="0000FF"/>
      <w:u w:val="single"/>
    </w:rPr>
  </w:style>
  <w:style w:type="paragraph" w:styleId="ListParagraph">
    <w:name w:val="List Paragraph"/>
    <w:basedOn w:val="Normal"/>
    <w:uiPriority w:val="34"/>
    <w:qFormat/>
    <w:rsid w:val="00576AF6"/>
    <w:pPr>
      <w:ind w:left="720"/>
      <w:contextualSpacing/>
    </w:pPr>
    <w:rPr>
      <w:rFonts w:ascii="Times New Roman" w:hAnsi="Times New Roman" w:cs="Times New Roman"/>
      <w:szCs w:val="24"/>
    </w:rPr>
  </w:style>
  <w:style w:type="character" w:styleId="CommentReference">
    <w:name w:val="annotation reference"/>
    <w:basedOn w:val="DefaultParagraphFont"/>
    <w:rsid w:val="00576AF6"/>
    <w:rPr>
      <w:sz w:val="16"/>
      <w:szCs w:val="16"/>
    </w:rPr>
  </w:style>
  <w:style w:type="paragraph" w:styleId="CommentText">
    <w:name w:val="annotation text"/>
    <w:basedOn w:val="Normal"/>
    <w:link w:val="CommentTextChar"/>
    <w:rsid w:val="00576AF6"/>
    <w:rPr>
      <w:rFonts w:ascii="Times New Roman" w:hAnsi="Times New Roman" w:cs="Times New Roman"/>
      <w:sz w:val="20"/>
    </w:rPr>
  </w:style>
  <w:style w:type="character" w:customStyle="1" w:styleId="CommentTextChar">
    <w:name w:val="Comment Text Char"/>
    <w:basedOn w:val="DefaultParagraphFont"/>
    <w:link w:val="CommentText"/>
    <w:rsid w:val="00576AF6"/>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rsid w:val="00576AF6"/>
    <w:rPr>
      <w:b/>
      <w:bCs/>
    </w:rPr>
  </w:style>
  <w:style w:type="character" w:customStyle="1" w:styleId="CommentSubjectChar">
    <w:name w:val="Comment Subject Char"/>
    <w:basedOn w:val="CommentTextChar"/>
    <w:link w:val="CommentSubject"/>
    <w:rsid w:val="00576AF6"/>
    <w:rPr>
      <w:rFonts w:ascii="Times New Roman" w:eastAsia="Times New Roman" w:hAnsi="Times New Roman" w:cs="Times New Roman"/>
      <w:b/>
      <w:bCs/>
      <w:sz w:val="20"/>
      <w:szCs w:val="20"/>
      <w:lang w:eastAsia="en-AU"/>
    </w:rPr>
  </w:style>
  <w:style w:type="character" w:styleId="Strong">
    <w:name w:val="Strong"/>
    <w:aliases w:val="Small Heading"/>
    <w:qFormat/>
    <w:rsid w:val="00576AF6"/>
    <w:rPr>
      <w:rFonts w:ascii="MyriadPro-Regular" w:hAnsi="MyriadPro-Regular" w:cs="MyriadPro-Regular"/>
      <w:sz w:val="32"/>
      <w:szCs w:val="32"/>
    </w:rPr>
  </w:style>
  <w:style w:type="paragraph" w:styleId="TOC1">
    <w:name w:val="toc 1"/>
    <w:next w:val="Normal"/>
    <w:autoRedefine/>
    <w:uiPriority w:val="39"/>
    <w:rsid w:val="00576AF6"/>
    <w:pPr>
      <w:spacing w:after="100" w:line="240" w:lineRule="auto"/>
    </w:pPr>
    <w:rPr>
      <w:rFonts w:ascii="Arial" w:eastAsia="Times New Roman" w:hAnsi="Arial" w:cs="Times New Roman"/>
      <w:szCs w:val="24"/>
      <w:lang w:eastAsia="en-AU"/>
    </w:rPr>
  </w:style>
  <w:style w:type="character" w:styleId="Hyperlink">
    <w:name w:val="Hyperlink"/>
    <w:basedOn w:val="DefaultParagraphFont"/>
    <w:uiPriority w:val="99"/>
    <w:rsid w:val="00576AF6"/>
    <w:rPr>
      <w:color w:val="0000FF" w:themeColor="hyperlink"/>
      <w:u w:val="single"/>
    </w:rPr>
  </w:style>
  <w:style w:type="character" w:customStyle="1" w:styleId="Heading3Char1">
    <w:name w:val="Heading 3 Char1"/>
    <w:basedOn w:val="DefaultParagraphFont"/>
    <w:semiHidden/>
    <w:rsid w:val="00576AF6"/>
    <w:rPr>
      <w:rFonts w:asciiTheme="majorHAnsi" w:eastAsiaTheme="majorEastAsia" w:hAnsiTheme="majorHAnsi" w:cstheme="majorBidi"/>
      <w:b/>
      <w:bCs/>
      <w:color w:val="4F81BD" w:themeColor="accent1"/>
      <w:sz w:val="24"/>
    </w:rPr>
  </w:style>
  <w:style w:type="paragraph" w:styleId="Revision">
    <w:name w:val="Revision"/>
    <w:hidden/>
    <w:uiPriority w:val="99"/>
    <w:semiHidden/>
    <w:rsid w:val="00576AF6"/>
    <w:pPr>
      <w:spacing w:after="0" w:line="240" w:lineRule="auto"/>
    </w:pPr>
    <w:rPr>
      <w:rFonts w:ascii="Arial" w:eastAsia="Times New Roman" w:hAnsi="Arial" w:cs="Arial"/>
      <w:sz w:val="24"/>
      <w:szCs w:val="20"/>
      <w:lang w:eastAsia="en-AU"/>
    </w:rPr>
  </w:style>
  <w:style w:type="paragraph" w:styleId="FootnoteText">
    <w:name w:val="footnote text"/>
    <w:basedOn w:val="Normal"/>
    <w:link w:val="FootnoteTextChar"/>
    <w:rsid w:val="00576AF6"/>
    <w:rPr>
      <w:sz w:val="20"/>
    </w:rPr>
  </w:style>
  <w:style w:type="character" w:customStyle="1" w:styleId="FootnoteTextChar">
    <w:name w:val="Footnote Text Char"/>
    <w:basedOn w:val="DefaultParagraphFont"/>
    <w:link w:val="FootnoteText"/>
    <w:rsid w:val="00576AF6"/>
    <w:rPr>
      <w:rFonts w:ascii="Arial" w:eastAsia="Times New Roman" w:hAnsi="Arial" w:cs="Arial"/>
      <w:sz w:val="20"/>
      <w:szCs w:val="20"/>
      <w:lang w:eastAsia="en-AU"/>
    </w:rPr>
  </w:style>
  <w:style w:type="character" w:styleId="FootnoteReference">
    <w:name w:val="footnote reference"/>
    <w:basedOn w:val="DefaultParagraphFont"/>
    <w:rsid w:val="00576AF6"/>
    <w:rPr>
      <w:vertAlign w:val="superscript"/>
    </w:rPr>
  </w:style>
  <w:style w:type="character" w:styleId="FollowedHyperlink">
    <w:name w:val="FollowedHyperlink"/>
    <w:basedOn w:val="DefaultParagraphFont"/>
    <w:rsid w:val="00576A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venue.nt.gov.a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revenue.nt.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mailto:ntrevenue@nt.gov.au" TargetMode="Externa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conveyancebyreturn.nt.gov.au" TargetMode="External"/><Relationship Id="rId22"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hyperlink" Target="mailto:ntrevenue@nt.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General (G)</Tax_x0020_Type>
    <Publication_x0020_Title xmlns="378e824e-6e02-4c0d-8321-dd86fba681ee">Conveyance by Return (CBR) User Guide</Publication_x0020_Title>
    <Details xmlns="378e824e-6e02-4c0d-8321-dd86fba681ee" xsi:nil="true"/>
    <Identifier xmlns="378e824e-6e02-4c0d-8321-dd86fba681ee">I-GEN-003</Identifier>
    <Publication_x0020_Type xmlns="378e824e-6e02-4c0d-8321-dd86fba681ee">Information (I)</Publication_x0020_Type>
    <Sub_x0020_Sub_x0020_Category xmlns="378e824e-6e02-4c0d-8321-dd86fba681ee" xsi:nil="true"/>
    <Release_x0020_Date xmlns="378e824e-6e02-4c0d-8321-dd86fba681ee">2016-06-05T14:30:00+00:00</Release_x0020_Date>
    <Sub_x0020_Category xmlns="378e824e-6e02-4c0d-8321-dd86fba681ee">27</Sub_x0020_Category>
    <Notify xmlns="378e824e-6e02-4c0d-8321-dd86fba681ee">false</Notify>
  </documentManagement>
</p:properties>
</file>

<file path=customXml/itemProps1.xml><?xml version="1.0" encoding="utf-8"?>
<ds:datastoreItem xmlns:ds="http://schemas.openxmlformats.org/officeDocument/2006/customXml" ds:itemID="{CF4103BB-5D57-4FB4-B4FF-0A39DE788A09}"/>
</file>

<file path=customXml/itemProps2.xml><?xml version="1.0" encoding="utf-8"?>
<ds:datastoreItem xmlns:ds="http://schemas.openxmlformats.org/officeDocument/2006/customXml" ds:itemID="{EAF0EECC-CE06-474A-BBA7-73F211A3848E}"/>
</file>

<file path=customXml/itemProps3.xml><?xml version="1.0" encoding="utf-8"?>
<ds:datastoreItem xmlns:ds="http://schemas.openxmlformats.org/officeDocument/2006/customXml" ds:itemID="{DF266695-39DE-4CAB-BA04-E99B53F02F7B}"/>
</file>

<file path=customXml/itemProps4.xml><?xml version="1.0" encoding="utf-8"?>
<ds:datastoreItem xmlns:ds="http://schemas.openxmlformats.org/officeDocument/2006/customXml" ds:itemID="{F0954755-5DDB-4422-9432-F1B9CECA5559}"/>
</file>

<file path=docProps/app.xml><?xml version="1.0" encoding="utf-8"?>
<Properties xmlns="http://schemas.openxmlformats.org/officeDocument/2006/extended-properties" xmlns:vt="http://schemas.openxmlformats.org/officeDocument/2006/docPropsVTypes">
  <Template>Normal</Template>
  <TotalTime>13</TotalTime>
  <Pages>17</Pages>
  <Words>5610</Words>
  <Characters>31977</Characters>
  <Application>Microsoft Office Word</Application>
  <DocSecurity>8</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37512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Conveyance by Return (CBR) User Guide</dc:title>
  <dc:creator>Jayne Balding</dc:creator>
  <cp:lastModifiedBy>Barbara Beamsley</cp:lastModifiedBy>
  <cp:revision>6</cp:revision>
  <cp:lastPrinted>2016-05-26T00:58:00Z</cp:lastPrinted>
  <dcterms:created xsi:type="dcterms:W3CDTF">2016-06-06T00:04:00Z</dcterms:created>
  <dcterms:modified xsi:type="dcterms:W3CDTF">2016-06-06T00:17:00Z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