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04F9F8DE95DD4AC7BFDBBE843992524D"/>
        </w:placeholder>
        <w:dataBinding w:prefixMappings="xmlns:ns0='http://purl.org/dc/elements/1.1/' xmlns:ns1='http://schemas.openxmlformats.org/package/2006/metadata/core-properties' " w:xpath="/ns1:coreProperties[1]/ns0:title[1]" w:storeItemID="{6C3C8BC8-F283-45AE-878A-BAB7291924A1}"/>
        <w:text w:multiLine="1"/>
      </w:sdtPr>
      <w:sdtContent>
        <w:p w14:paraId="7186BD15" w14:textId="485D9234" w:rsidR="00886C9D" w:rsidRPr="00886C9D" w:rsidRDefault="00534A0D" w:rsidP="00886C9D">
          <w:pPr>
            <w:pStyle w:val="Title"/>
          </w:pPr>
          <w:r>
            <w:t>Guidance document: Accounting for grants and subsidies expenses</w:t>
          </w:r>
        </w:p>
      </w:sdtContent>
    </w:sdt>
    <w:p w14:paraId="106A03AF" w14:textId="77777777" w:rsidR="00A746CB" w:rsidRPr="00ED3B50" w:rsidRDefault="00A746CB" w:rsidP="00ED3B50">
      <w:pPr>
        <w:pStyle w:val="Subtitle0"/>
        <w:spacing w:before="1080"/>
        <w:rPr>
          <w:sz w:val="96"/>
          <w:szCs w:val="96"/>
        </w:rPr>
      </w:pPr>
    </w:p>
    <w:p w14:paraId="71635B29" w14:textId="77777777" w:rsidR="007761D8" w:rsidRDefault="007761D8" w:rsidP="00885590"/>
    <w:p w14:paraId="0BAD22A4" w14:textId="73E1EB78" w:rsidR="00C62CE4" w:rsidRPr="00C62CE4" w:rsidRDefault="00A746CB" w:rsidP="00C62CE4">
      <w:pPr>
        <w:pStyle w:val="NTGCoverPageDate"/>
        <w:rPr>
          <w:rFonts w:ascii="Lato" w:hAnsi="Lato"/>
          <w:sz w:val="22"/>
        </w:rPr>
      </w:pPr>
      <w:r>
        <w:rPr>
          <w:rFonts w:ascii="Lato" w:hAnsi="Lato"/>
          <w:sz w:val="22"/>
        </w:rPr>
        <w:t xml:space="preserve">August </w:t>
      </w:r>
      <w:r w:rsidR="00225710">
        <w:rPr>
          <w:rFonts w:ascii="Lato" w:hAnsi="Lato"/>
          <w:sz w:val="22"/>
        </w:rPr>
        <w:t>2025</w:t>
      </w:r>
    </w:p>
    <w:p w14:paraId="0C16B30A" w14:textId="5D74D5A2" w:rsidR="00C62CE4" w:rsidRPr="00C62CE4" w:rsidRDefault="00C62CE4" w:rsidP="00C62CE4">
      <w:pPr>
        <w:pStyle w:val="NTGCoverPageDate"/>
        <w:spacing w:before="0"/>
        <w:rPr>
          <w:rFonts w:ascii="Lato" w:hAnsi="Lato"/>
          <w:sz w:val="22"/>
        </w:rPr>
      </w:pPr>
      <w:r w:rsidRPr="00C62CE4">
        <w:rPr>
          <w:rFonts w:ascii="Lato" w:hAnsi="Lato"/>
          <w:sz w:val="22"/>
        </w:rPr>
        <w:t xml:space="preserve">Version </w:t>
      </w:r>
      <w:r w:rsidR="00534A0D">
        <w:rPr>
          <w:rFonts w:ascii="Lato" w:hAnsi="Lato"/>
          <w:sz w:val="22"/>
        </w:rPr>
        <w:t>2</w:t>
      </w:r>
      <w:r w:rsidRPr="00C62CE4">
        <w:rPr>
          <w:rFonts w:ascii="Lato" w:hAnsi="Lato"/>
          <w:sz w:val="22"/>
        </w:rPr>
        <w:t>.0</w:t>
      </w:r>
    </w:p>
    <w:p w14:paraId="5DDF48B8" w14:textId="77777777" w:rsidR="00C62CE4" w:rsidRPr="00DD64C2" w:rsidRDefault="00C62CE4" w:rsidP="00885590">
      <w:pPr>
        <w:sectPr w:rsidR="00C62CE4" w:rsidRPr="00DD64C2" w:rsidSect="00564D23">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Description w:val="Document and author details"/>
      </w:tblPr>
      <w:tblGrid>
        <w:gridCol w:w="2410"/>
        <w:gridCol w:w="7938"/>
      </w:tblGrid>
      <w:tr w:rsidR="003223FE" w14:paraId="492455B0"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9F59CA0" w14:textId="77777777" w:rsidR="003223FE" w:rsidRPr="0054507C" w:rsidRDefault="003223FE" w:rsidP="006145BB">
            <w:pPr>
              <w:rPr>
                <w:b/>
              </w:rPr>
            </w:pPr>
            <w:r w:rsidRPr="0054507C">
              <w:rPr>
                <w:b/>
              </w:rPr>
              <w:lastRenderedPageBreak/>
              <w:t>Document title</w:t>
            </w:r>
          </w:p>
        </w:tc>
        <w:tc>
          <w:tcPr>
            <w:tcW w:w="7938" w:type="dxa"/>
          </w:tcPr>
          <w:p w14:paraId="3E86818A" w14:textId="6257988D" w:rsidR="003223FE" w:rsidRPr="006145BB" w:rsidRDefault="00000000"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AE65F6C604D9466EB1C2AF56AFC25806"/>
                </w:placeholder>
                <w:dataBinding w:prefixMappings="xmlns:ns0='http://purl.org/dc/elements/1.1/' xmlns:ns1='http://schemas.openxmlformats.org/package/2006/metadata/core-properties' " w:xpath="/ns1:coreProperties[1]/ns0:title[1]" w:storeItemID="{6C3C8BC8-F283-45AE-878A-BAB7291924A1}"/>
                <w:text w:multiLine="1"/>
              </w:sdtPr>
              <w:sdtContent>
                <w:r w:rsidR="00534A0D">
                  <w:t>Guidance document: Accounting for grants and subsidies expenses</w:t>
                </w:r>
              </w:sdtContent>
            </w:sdt>
          </w:p>
        </w:tc>
      </w:tr>
      <w:tr w:rsidR="003223FE" w14:paraId="76F4FAAF"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1F81084" w14:textId="77777777" w:rsidR="003223FE" w:rsidRPr="0054507C" w:rsidRDefault="003223FE" w:rsidP="006145BB">
            <w:pPr>
              <w:rPr>
                <w:b/>
              </w:rPr>
            </w:pPr>
            <w:r w:rsidRPr="0054507C">
              <w:rPr>
                <w:b/>
              </w:rPr>
              <w:t>Contact details</w:t>
            </w:r>
          </w:p>
        </w:tc>
        <w:tc>
          <w:tcPr>
            <w:tcW w:w="7938" w:type="dxa"/>
          </w:tcPr>
          <w:p w14:paraId="749E47AE" w14:textId="77777777" w:rsidR="00945368" w:rsidRDefault="00945368" w:rsidP="00945368">
            <w:pPr>
              <w:cnfStyle w:val="000000010000" w:firstRow="0" w:lastRow="0" w:firstColumn="0" w:lastColumn="0" w:oddVBand="0" w:evenVBand="0" w:oddHBand="0" w:evenHBand="1" w:firstRowFirstColumn="0" w:firstRowLastColumn="0" w:lastRowFirstColumn="0" w:lastRowLastColumn="0"/>
              <w:rPr>
                <w:bCs/>
              </w:rPr>
            </w:pPr>
            <w:r>
              <w:rPr>
                <w:bCs/>
              </w:rPr>
              <w:t>Financial Management Group</w:t>
            </w:r>
          </w:p>
          <w:p w14:paraId="7730D319" w14:textId="77777777" w:rsidR="00945368" w:rsidRDefault="00945368" w:rsidP="00945368">
            <w:pPr>
              <w:cnfStyle w:val="000000010000" w:firstRow="0" w:lastRow="0" w:firstColumn="0" w:lastColumn="0" w:oddVBand="0" w:evenVBand="0" w:oddHBand="0" w:evenHBand="1" w:firstRowFirstColumn="0" w:firstRowLastColumn="0" w:lastRowFirstColumn="0" w:lastRowLastColumn="0"/>
              <w:rPr>
                <w:bCs/>
              </w:rPr>
            </w:pPr>
            <w:r>
              <w:rPr>
                <w:bCs/>
              </w:rPr>
              <w:t>Department of Treasury and Finance</w:t>
            </w:r>
          </w:p>
          <w:p w14:paraId="271F4DB6" w14:textId="77777777" w:rsidR="003223FE" w:rsidRPr="006145BB" w:rsidRDefault="00945368" w:rsidP="00945368">
            <w:pPr>
              <w:cnfStyle w:val="000000010000" w:firstRow="0" w:lastRow="0" w:firstColumn="0" w:lastColumn="0" w:oddVBand="0" w:evenVBand="0" w:oddHBand="0" w:evenHBand="1" w:firstRowFirstColumn="0" w:firstRowLastColumn="0" w:lastRowFirstColumn="0" w:lastRowLastColumn="0"/>
            </w:pPr>
            <w:hyperlink r:id="rId12" w:history="1">
              <w:r w:rsidRPr="00FF447B">
                <w:rPr>
                  <w:rStyle w:val="Hyperlink"/>
                  <w:bCs/>
                </w:rPr>
                <w:t>dtf.financialpolicy@nt.gov.au</w:t>
              </w:r>
            </w:hyperlink>
          </w:p>
        </w:tc>
      </w:tr>
      <w:tr w:rsidR="00945368" w14:paraId="5351346C" w14:textId="77777777" w:rsidTr="00BF090B">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F41F4ED" w14:textId="77777777" w:rsidR="00945368" w:rsidRPr="0054507C" w:rsidRDefault="00945368" w:rsidP="00C62CE4">
            <w:pPr>
              <w:rPr>
                <w:b/>
              </w:rPr>
            </w:pPr>
            <w:r w:rsidRPr="0054507C">
              <w:rPr>
                <w:b/>
              </w:rPr>
              <w:t>Date</w:t>
            </w:r>
            <w:r w:rsidR="00C62CE4">
              <w:rPr>
                <w:b/>
              </w:rPr>
              <w:t xml:space="preserve"> and version</w:t>
            </w:r>
          </w:p>
        </w:tc>
        <w:tc>
          <w:tcPr>
            <w:tcW w:w="7938" w:type="dxa"/>
            <w:vAlign w:val="top"/>
          </w:tcPr>
          <w:p w14:paraId="105DEA90" w14:textId="23A8B3DB" w:rsidR="00C62CE4" w:rsidRDefault="00A746CB" w:rsidP="00C62CE4">
            <w:pPr>
              <w:cnfStyle w:val="000000000000" w:firstRow="0" w:lastRow="0" w:firstColumn="0" w:lastColumn="0" w:oddVBand="0" w:evenVBand="0" w:oddHBand="0" w:evenHBand="0" w:firstRowFirstColumn="0" w:firstRowLastColumn="0" w:lastRowFirstColumn="0" w:lastRowLastColumn="0"/>
              <w:rPr>
                <w:bCs/>
              </w:rPr>
            </w:pPr>
            <w:r>
              <w:rPr>
                <w:bCs/>
              </w:rPr>
              <w:t xml:space="preserve">August </w:t>
            </w:r>
            <w:r w:rsidR="00225710">
              <w:rPr>
                <w:bCs/>
              </w:rPr>
              <w:t>2025</w:t>
            </w:r>
          </w:p>
          <w:p w14:paraId="7DFC4E35" w14:textId="6060A604" w:rsidR="00945368" w:rsidRPr="00875E08" w:rsidRDefault="00C62CE4" w:rsidP="00C62CE4">
            <w:pPr>
              <w:cnfStyle w:val="000000000000" w:firstRow="0" w:lastRow="0" w:firstColumn="0" w:lastColumn="0" w:oddVBand="0" w:evenVBand="0" w:oddHBand="0" w:evenHBand="0" w:firstRowFirstColumn="0" w:firstRowLastColumn="0" w:lastRowFirstColumn="0" w:lastRowLastColumn="0"/>
              <w:rPr>
                <w:bCs/>
              </w:rPr>
            </w:pPr>
            <w:r>
              <w:rPr>
                <w:bCs/>
              </w:rPr>
              <w:t xml:space="preserve">Version </w:t>
            </w:r>
            <w:r w:rsidR="00225710">
              <w:rPr>
                <w:bCs/>
              </w:rPr>
              <w:t>2</w:t>
            </w:r>
            <w:r>
              <w:rPr>
                <w:bCs/>
              </w:rPr>
              <w:t>.0</w:t>
            </w:r>
          </w:p>
        </w:tc>
      </w:tr>
      <w:tr w:rsidR="00C62CE4" w14:paraId="6A4658C5" w14:textId="77777777" w:rsidTr="00BF090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D550619" w14:textId="77777777" w:rsidR="00C62CE4" w:rsidRPr="0054507C" w:rsidRDefault="00C62CE4" w:rsidP="00C62CE4">
            <w:pPr>
              <w:rPr>
                <w:b/>
              </w:rPr>
            </w:pPr>
            <w:r w:rsidRPr="0054507C">
              <w:rPr>
                <w:b/>
              </w:rPr>
              <w:t>Approved by</w:t>
            </w:r>
          </w:p>
        </w:tc>
        <w:tc>
          <w:tcPr>
            <w:tcW w:w="7938" w:type="dxa"/>
          </w:tcPr>
          <w:p w14:paraId="71D7D860" w14:textId="00469F36" w:rsidR="00C62CE4" w:rsidRPr="00875E08" w:rsidRDefault="000B4499" w:rsidP="00C62CE4">
            <w:pPr>
              <w:cnfStyle w:val="000000010000" w:firstRow="0" w:lastRow="0" w:firstColumn="0" w:lastColumn="0" w:oddVBand="0" w:evenVBand="0" w:oddHBand="0" w:evenHBand="1" w:firstRowFirstColumn="0" w:firstRowLastColumn="0" w:lastRowFirstColumn="0" w:lastRowLastColumn="0"/>
              <w:rPr>
                <w:bCs/>
              </w:rPr>
            </w:pPr>
            <w:r>
              <w:rPr>
                <w:bCs/>
              </w:rPr>
              <w:t>Tiziana Hucent</w:t>
            </w:r>
          </w:p>
          <w:p w14:paraId="0094DF47" w14:textId="5A4500BC" w:rsidR="00C62CE4" w:rsidRPr="00875E08" w:rsidRDefault="00225710" w:rsidP="00C62CE4">
            <w:pPr>
              <w:cnfStyle w:val="000000010000" w:firstRow="0" w:lastRow="0" w:firstColumn="0" w:lastColumn="0" w:oddVBand="0" w:evenVBand="0" w:oddHBand="0" w:evenHBand="1" w:firstRowFirstColumn="0" w:firstRowLastColumn="0" w:lastRowFirstColumn="0" w:lastRowLastColumn="0"/>
            </w:pPr>
            <w:r>
              <w:rPr>
                <w:bCs/>
              </w:rPr>
              <w:t>Executive Director Finance</w:t>
            </w:r>
          </w:p>
        </w:tc>
      </w:tr>
      <w:tr w:rsidR="00C62CE4" w14:paraId="42B36F1B" w14:textId="77777777" w:rsidTr="00BF090B">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7C85D54" w14:textId="77777777" w:rsidR="00C62CE4" w:rsidRPr="0054507C" w:rsidRDefault="00C62CE4" w:rsidP="00C62CE4">
            <w:pPr>
              <w:rPr>
                <w:b/>
              </w:rPr>
            </w:pPr>
            <w:r>
              <w:rPr>
                <w:b/>
              </w:rPr>
              <w:t>Date approved</w:t>
            </w:r>
          </w:p>
        </w:tc>
        <w:tc>
          <w:tcPr>
            <w:tcW w:w="7938" w:type="dxa"/>
            <w:vAlign w:val="top"/>
          </w:tcPr>
          <w:p w14:paraId="4CB123B3" w14:textId="1A08AE04" w:rsidR="00C62CE4" w:rsidRDefault="00A746CB" w:rsidP="00A746CB">
            <w:pPr>
              <w:cnfStyle w:val="000000000000" w:firstRow="0" w:lastRow="0" w:firstColumn="0" w:lastColumn="0" w:oddVBand="0" w:evenVBand="0" w:oddHBand="0" w:evenHBand="0" w:firstRowFirstColumn="0" w:firstRowLastColumn="0" w:lastRowFirstColumn="0" w:lastRowLastColumn="0"/>
            </w:pPr>
            <w:r>
              <w:rPr>
                <w:bCs/>
              </w:rPr>
              <w:t>August 2025</w:t>
            </w:r>
          </w:p>
        </w:tc>
      </w:tr>
      <w:tr w:rsidR="00C62CE4" w14:paraId="70649D6C" w14:textId="77777777" w:rsidTr="00BF090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8BA39EB" w14:textId="77777777" w:rsidR="00C62CE4" w:rsidRPr="0054507C" w:rsidRDefault="00C62CE4" w:rsidP="00C62CE4">
            <w:pPr>
              <w:rPr>
                <w:b/>
              </w:rPr>
            </w:pPr>
            <w:r w:rsidRPr="0054507C">
              <w:rPr>
                <w:b/>
              </w:rPr>
              <w:t>Document review</w:t>
            </w:r>
          </w:p>
        </w:tc>
        <w:tc>
          <w:tcPr>
            <w:tcW w:w="7938" w:type="dxa"/>
            <w:vAlign w:val="top"/>
          </w:tcPr>
          <w:p w14:paraId="1B4CE7C8" w14:textId="77777777" w:rsidR="00C62CE4" w:rsidRPr="009C4B3E" w:rsidRDefault="00C62CE4" w:rsidP="00C62CE4">
            <w:pPr>
              <w:cnfStyle w:val="000000010000" w:firstRow="0" w:lastRow="0" w:firstColumn="0" w:lastColumn="0" w:oddVBand="0" w:evenVBand="0" w:oddHBand="0" w:evenHBand="1" w:firstRowFirstColumn="0" w:firstRowLastColumn="0" w:lastRowFirstColumn="0" w:lastRowLastColumn="0"/>
              <w:rPr>
                <w:bCs/>
                <w:highlight w:val="yellow"/>
              </w:rPr>
            </w:pPr>
            <w:r>
              <w:t>Every three years</w:t>
            </w:r>
          </w:p>
        </w:tc>
      </w:tr>
    </w:tbl>
    <w:p w14:paraId="5EF83A29" w14:textId="77777777" w:rsidR="003223FE" w:rsidRDefault="003223FE" w:rsidP="00702D61"/>
    <w:tbl>
      <w:tblPr>
        <w:tblStyle w:val="NTGtable1"/>
        <w:tblW w:w="10343" w:type="dxa"/>
        <w:tblLayout w:type="fixed"/>
        <w:tblLook w:val="0120" w:firstRow="1" w:lastRow="0" w:firstColumn="0" w:lastColumn="1" w:noHBand="0" w:noVBand="0"/>
        <w:tblDescription w:val="Document version history"/>
      </w:tblPr>
      <w:tblGrid>
        <w:gridCol w:w="1129"/>
        <w:gridCol w:w="2268"/>
        <w:gridCol w:w="2552"/>
        <w:gridCol w:w="4394"/>
      </w:tblGrid>
      <w:tr w:rsidR="003223FE" w:rsidRPr="00E87DE1" w14:paraId="49B8FA0F"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73DC0F88" w14:textId="77777777" w:rsidR="003223FE" w:rsidRPr="00E87DE1" w:rsidRDefault="003223FE" w:rsidP="007B59D3">
            <w:r w:rsidRPr="00E87DE1">
              <w:rPr>
                <w:w w:val="105"/>
              </w:rPr>
              <w:t>Version</w:t>
            </w:r>
          </w:p>
        </w:tc>
        <w:tc>
          <w:tcPr>
            <w:tcW w:w="2268" w:type="dxa"/>
          </w:tcPr>
          <w:p w14:paraId="5C4CD009" w14:textId="77777777" w:rsidR="003223FE" w:rsidRPr="00E87DE1" w:rsidRDefault="003223FE" w:rsidP="007B59D3">
            <w:r w:rsidRPr="00E87DE1">
              <w:rPr>
                <w:w w:val="105"/>
              </w:rPr>
              <w:t>Date</w:t>
            </w:r>
          </w:p>
        </w:tc>
        <w:tc>
          <w:tcPr>
            <w:tcW w:w="2552" w:type="dxa"/>
          </w:tcPr>
          <w:p w14:paraId="09D5DE63" w14:textId="77777777" w:rsidR="003223FE" w:rsidRPr="00E87DE1" w:rsidRDefault="003223FE" w:rsidP="007B59D3">
            <w:r w:rsidRPr="00E87DE1">
              <w:rPr>
                <w:w w:val="105"/>
              </w:rPr>
              <w:t>Author</w:t>
            </w:r>
          </w:p>
        </w:tc>
        <w:tc>
          <w:tcPr>
            <w:tcW w:w="4394" w:type="dxa"/>
          </w:tcPr>
          <w:p w14:paraId="6CC12BC4" w14:textId="77777777" w:rsidR="003223FE" w:rsidRPr="00E87DE1" w:rsidRDefault="003223FE" w:rsidP="007B59D3">
            <w:r w:rsidRPr="00E87DE1">
              <w:t>Changes made</w:t>
            </w:r>
          </w:p>
        </w:tc>
      </w:tr>
      <w:tr w:rsidR="00945368" w:rsidRPr="00E87DE1" w14:paraId="6A998A14" w14:textId="77777777" w:rsidTr="00BF090B">
        <w:trPr>
          <w:trHeight w:val="431"/>
        </w:trPr>
        <w:tc>
          <w:tcPr>
            <w:tcW w:w="1129" w:type="dxa"/>
            <w:vAlign w:val="top"/>
          </w:tcPr>
          <w:p w14:paraId="585DF507" w14:textId="77777777" w:rsidR="00945368" w:rsidRPr="006D3B70" w:rsidRDefault="00945368" w:rsidP="00945368">
            <w:r>
              <w:t>1.0</w:t>
            </w:r>
          </w:p>
        </w:tc>
        <w:tc>
          <w:tcPr>
            <w:tcW w:w="2268" w:type="dxa"/>
            <w:vAlign w:val="top"/>
          </w:tcPr>
          <w:p w14:paraId="278DF6BE" w14:textId="63CEAEAA" w:rsidR="00945368" w:rsidRPr="006D3B70" w:rsidRDefault="0096212C" w:rsidP="00FD45A9">
            <w:r w:rsidRPr="00DC50FD">
              <w:t>August </w:t>
            </w:r>
            <w:r w:rsidR="00FD45A9" w:rsidRPr="00DC50FD">
              <w:t>2021</w:t>
            </w:r>
          </w:p>
        </w:tc>
        <w:tc>
          <w:tcPr>
            <w:tcW w:w="2552" w:type="dxa"/>
            <w:vAlign w:val="top"/>
          </w:tcPr>
          <w:p w14:paraId="0C3FB1C4" w14:textId="77777777" w:rsidR="00945368" w:rsidRPr="006D3B70" w:rsidRDefault="00945368" w:rsidP="00945368">
            <w:r>
              <w:t>DTF Financial Policy</w:t>
            </w:r>
          </w:p>
        </w:tc>
        <w:tc>
          <w:tcPr>
            <w:tcW w:w="4394" w:type="dxa"/>
            <w:vAlign w:val="top"/>
          </w:tcPr>
          <w:p w14:paraId="02935E69" w14:textId="77777777" w:rsidR="00945368" w:rsidRPr="006D3B70" w:rsidRDefault="00945368" w:rsidP="00945368">
            <w:r w:rsidRPr="006D3B70">
              <w:t>Initial version</w:t>
            </w:r>
          </w:p>
        </w:tc>
      </w:tr>
      <w:tr w:rsidR="003223FE" w:rsidRPr="00E87DE1" w14:paraId="4F7E2BDC"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1F531A5B" w14:textId="490FD126" w:rsidR="003223FE" w:rsidRPr="006145BB" w:rsidRDefault="00225710" w:rsidP="006145BB">
            <w:r>
              <w:t>2.0</w:t>
            </w:r>
          </w:p>
        </w:tc>
        <w:tc>
          <w:tcPr>
            <w:tcW w:w="2268" w:type="dxa"/>
            <w:tcBorders>
              <w:bottom w:val="nil"/>
            </w:tcBorders>
          </w:tcPr>
          <w:p w14:paraId="5226CD8E" w14:textId="19BF77DA" w:rsidR="003223FE" w:rsidRPr="006145BB" w:rsidRDefault="00534A0D" w:rsidP="006145BB">
            <w:r>
              <w:t xml:space="preserve">July </w:t>
            </w:r>
            <w:r w:rsidR="00225710">
              <w:t>2025</w:t>
            </w:r>
          </w:p>
        </w:tc>
        <w:tc>
          <w:tcPr>
            <w:tcW w:w="2552" w:type="dxa"/>
            <w:tcBorders>
              <w:bottom w:val="nil"/>
            </w:tcBorders>
          </w:tcPr>
          <w:p w14:paraId="35A898C7" w14:textId="5E01ACA1" w:rsidR="003223FE" w:rsidRPr="006145BB" w:rsidRDefault="00225710" w:rsidP="006145BB">
            <w:r>
              <w:t>DTF Financial Policy</w:t>
            </w:r>
          </w:p>
        </w:tc>
        <w:tc>
          <w:tcPr>
            <w:tcW w:w="4394" w:type="dxa"/>
            <w:tcBorders>
              <w:bottom w:val="nil"/>
            </w:tcBorders>
          </w:tcPr>
          <w:p w14:paraId="1FF9DC1E" w14:textId="7E7A3ADE" w:rsidR="003223FE" w:rsidRPr="006145BB" w:rsidRDefault="00225710" w:rsidP="006145BB">
            <w:r>
              <w:t>Update to align with the new TD – grants and subsidies expenses</w:t>
            </w:r>
          </w:p>
        </w:tc>
      </w:tr>
      <w:tr w:rsidR="003223FE" w:rsidRPr="00E87DE1" w14:paraId="00939F0B" w14:textId="77777777" w:rsidTr="00A71E1C">
        <w:trPr>
          <w:trHeight w:val="431"/>
        </w:trPr>
        <w:tc>
          <w:tcPr>
            <w:tcW w:w="1129" w:type="dxa"/>
            <w:tcBorders>
              <w:bottom w:val="single" w:sz="4" w:space="0" w:color="1F1F5F" w:themeColor="text1"/>
            </w:tcBorders>
          </w:tcPr>
          <w:p w14:paraId="36658345" w14:textId="77777777" w:rsidR="003223FE" w:rsidRPr="006145BB" w:rsidRDefault="003223FE" w:rsidP="006145BB"/>
        </w:tc>
        <w:tc>
          <w:tcPr>
            <w:tcW w:w="2268" w:type="dxa"/>
            <w:tcBorders>
              <w:bottom w:val="single" w:sz="4" w:space="0" w:color="1F1F5F" w:themeColor="text1"/>
            </w:tcBorders>
          </w:tcPr>
          <w:p w14:paraId="6F69BA91" w14:textId="77777777" w:rsidR="003223FE" w:rsidRPr="006145BB" w:rsidRDefault="003223FE" w:rsidP="006145BB"/>
        </w:tc>
        <w:tc>
          <w:tcPr>
            <w:tcW w:w="2552" w:type="dxa"/>
            <w:tcBorders>
              <w:bottom w:val="single" w:sz="4" w:space="0" w:color="1F1F5F" w:themeColor="text1"/>
            </w:tcBorders>
          </w:tcPr>
          <w:p w14:paraId="462737F9" w14:textId="77777777" w:rsidR="003223FE" w:rsidRPr="006145BB" w:rsidRDefault="003223FE" w:rsidP="006145BB"/>
        </w:tc>
        <w:tc>
          <w:tcPr>
            <w:tcW w:w="4394" w:type="dxa"/>
            <w:tcBorders>
              <w:bottom w:val="single" w:sz="4" w:space="0" w:color="1F1F5F" w:themeColor="text1"/>
            </w:tcBorders>
          </w:tcPr>
          <w:p w14:paraId="699B297D" w14:textId="77777777" w:rsidR="003223FE" w:rsidRPr="006145BB" w:rsidRDefault="003223FE" w:rsidP="006145BB"/>
        </w:tc>
      </w:tr>
    </w:tbl>
    <w:p w14:paraId="3A491B6C" w14:textId="77777777" w:rsidR="003223FE" w:rsidRDefault="003223FE" w:rsidP="00702D61"/>
    <w:tbl>
      <w:tblPr>
        <w:tblStyle w:val="NTGtable1"/>
        <w:tblW w:w="10343" w:type="dxa"/>
        <w:tblLayout w:type="fixed"/>
        <w:tblLook w:val="0120" w:firstRow="1" w:lastRow="0" w:firstColumn="0" w:lastColumn="1" w:noHBand="0" w:noVBand="0"/>
        <w:tblDescription w:val="Common acronyms used in this document."/>
      </w:tblPr>
      <w:tblGrid>
        <w:gridCol w:w="1980"/>
        <w:gridCol w:w="8363"/>
      </w:tblGrid>
      <w:tr w:rsidR="003223FE" w:rsidRPr="00E87DE1" w14:paraId="0F1FBB57"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21ADE171" w14:textId="77777777" w:rsidR="003223FE" w:rsidRPr="00E87DE1" w:rsidRDefault="003223FE" w:rsidP="007B59D3">
            <w:r w:rsidRPr="00E87DE1">
              <w:rPr>
                <w:w w:val="105"/>
              </w:rPr>
              <w:t>Acronyms</w:t>
            </w:r>
          </w:p>
        </w:tc>
        <w:tc>
          <w:tcPr>
            <w:tcW w:w="8363" w:type="dxa"/>
          </w:tcPr>
          <w:p w14:paraId="26AE7DE0"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C62CE4" w:rsidRPr="00E87DE1" w14:paraId="35F4555B" w14:textId="77777777" w:rsidTr="00BF090B">
        <w:trPr>
          <w:trHeight w:val="431"/>
        </w:trPr>
        <w:tc>
          <w:tcPr>
            <w:tcW w:w="1980" w:type="dxa"/>
            <w:tcBorders>
              <w:bottom w:val="nil"/>
            </w:tcBorders>
            <w:vAlign w:val="top"/>
          </w:tcPr>
          <w:p w14:paraId="4F62BE96" w14:textId="7AB026C9" w:rsidR="00C62CE4" w:rsidRPr="006D3B70" w:rsidRDefault="002461B3" w:rsidP="00C62CE4">
            <w:r>
              <w:t>AASB</w:t>
            </w:r>
          </w:p>
        </w:tc>
        <w:tc>
          <w:tcPr>
            <w:tcW w:w="8363" w:type="dxa"/>
            <w:tcBorders>
              <w:bottom w:val="nil"/>
            </w:tcBorders>
            <w:vAlign w:val="top"/>
          </w:tcPr>
          <w:p w14:paraId="1A36735C" w14:textId="1AFBAC41" w:rsidR="00C62CE4" w:rsidRPr="006D3B70" w:rsidRDefault="002461B3" w:rsidP="00C62CE4">
            <w:r>
              <w:t>Australian Accounting Standards Board</w:t>
            </w:r>
          </w:p>
        </w:tc>
      </w:tr>
      <w:tr w:rsidR="002461B3" w:rsidRPr="00E87DE1" w14:paraId="3E88A3BA" w14:textId="77777777" w:rsidTr="00BF090B">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vAlign w:val="top"/>
          </w:tcPr>
          <w:p w14:paraId="2C373049" w14:textId="33DA7E54" w:rsidR="002461B3" w:rsidRDefault="002461B3" w:rsidP="002461B3">
            <w:r>
              <w:t>CSO</w:t>
            </w:r>
          </w:p>
        </w:tc>
        <w:tc>
          <w:tcPr>
            <w:tcW w:w="8363" w:type="dxa"/>
            <w:tcBorders>
              <w:bottom w:val="nil"/>
            </w:tcBorders>
            <w:vAlign w:val="top"/>
          </w:tcPr>
          <w:p w14:paraId="5C442D3F" w14:textId="602D2B90" w:rsidR="002461B3" w:rsidRDefault="002461B3" w:rsidP="002461B3">
            <w:r>
              <w:t>Community service obligation</w:t>
            </w:r>
          </w:p>
        </w:tc>
      </w:tr>
      <w:tr w:rsidR="002461B3" w:rsidRPr="00E87DE1" w14:paraId="5D7965AC" w14:textId="77777777" w:rsidTr="00BF090B">
        <w:trPr>
          <w:trHeight w:val="431"/>
        </w:trPr>
        <w:tc>
          <w:tcPr>
            <w:tcW w:w="1980" w:type="dxa"/>
            <w:tcBorders>
              <w:bottom w:val="nil"/>
            </w:tcBorders>
            <w:vAlign w:val="top"/>
          </w:tcPr>
          <w:p w14:paraId="1819DB8C" w14:textId="7C00A4CA" w:rsidR="002461B3" w:rsidRDefault="002461B3" w:rsidP="002461B3">
            <w:r>
              <w:t>DTF</w:t>
            </w:r>
          </w:p>
        </w:tc>
        <w:tc>
          <w:tcPr>
            <w:tcW w:w="8363" w:type="dxa"/>
            <w:tcBorders>
              <w:bottom w:val="nil"/>
            </w:tcBorders>
            <w:vAlign w:val="top"/>
          </w:tcPr>
          <w:p w14:paraId="330838D7" w14:textId="3FBEE0C7" w:rsidR="002461B3" w:rsidRDefault="002461B3" w:rsidP="002461B3">
            <w:r>
              <w:t xml:space="preserve">Department of Treasury and Finance </w:t>
            </w:r>
          </w:p>
        </w:tc>
      </w:tr>
      <w:tr w:rsidR="002461B3" w:rsidRPr="00E87DE1" w14:paraId="78053E7C" w14:textId="77777777" w:rsidTr="00BF090B">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797B6217" w14:textId="77777777" w:rsidR="002461B3" w:rsidRDefault="002461B3" w:rsidP="002461B3">
            <w:r>
              <w:t>FMA</w:t>
            </w:r>
          </w:p>
        </w:tc>
        <w:tc>
          <w:tcPr>
            <w:tcW w:w="8363" w:type="dxa"/>
            <w:vAlign w:val="top"/>
          </w:tcPr>
          <w:p w14:paraId="0D6F0AFD" w14:textId="77777777" w:rsidR="002461B3" w:rsidRPr="00B62EE3" w:rsidRDefault="002461B3" w:rsidP="002461B3">
            <w:pPr>
              <w:rPr>
                <w:i/>
                <w:iCs/>
              </w:rPr>
            </w:pPr>
            <w:r w:rsidRPr="00B62EE3">
              <w:rPr>
                <w:i/>
                <w:iCs/>
              </w:rPr>
              <w:t>Financial Management Act 1995</w:t>
            </w:r>
          </w:p>
        </w:tc>
      </w:tr>
      <w:tr w:rsidR="002461B3" w:rsidRPr="00E87DE1" w14:paraId="02D7CDEC" w14:textId="77777777" w:rsidTr="00BF090B">
        <w:trPr>
          <w:trHeight w:val="431"/>
        </w:trPr>
        <w:tc>
          <w:tcPr>
            <w:tcW w:w="1980" w:type="dxa"/>
            <w:vAlign w:val="top"/>
          </w:tcPr>
          <w:p w14:paraId="7C3B0C2F" w14:textId="6BCD8B8C" w:rsidR="002461B3" w:rsidRPr="006D3B70" w:rsidRDefault="002461B3" w:rsidP="002461B3">
            <w:r>
              <w:t>GAS</w:t>
            </w:r>
          </w:p>
        </w:tc>
        <w:tc>
          <w:tcPr>
            <w:tcW w:w="8363" w:type="dxa"/>
            <w:vAlign w:val="top"/>
          </w:tcPr>
          <w:p w14:paraId="004F7212" w14:textId="476F660E" w:rsidR="002461B3" w:rsidRPr="006D3B70" w:rsidRDefault="002461B3" w:rsidP="002461B3">
            <w:r>
              <w:t>Government Accounting System</w:t>
            </w:r>
          </w:p>
        </w:tc>
      </w:tr>
      <w:tr w:rsidR="002461B3" w:rsidRPr="00E87DE1" w14:paraId="48021A31" w14:textId="77777777" w:rsidTr="00BF090B">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2C037EC0" w14:textId="17AB0C04" w:rsidR="002461B3" w:rsidRPr="00DD6DEB" w:rsidRDefault="002461B3" w:rsidP="002461B3">
            <w:r>
              <w:t>GST</w:t>
            </w:r>
          </w:p>
        </w:tc>
        <w:tc>
          <w:tcPr>
            <w:tcW w:w="8363" w:type="dxa"/>
            <w:vAlign w:val="top"/>
          </w:tcPr>
          <w:p w14:paraId="1D224D74" w14:textId="17F8C2A2" w:rsidR="002461B3" w:rsidRPr="00A23858" w:rsidRDefault="002461B3" w:rsidP="002461B3">
            <w:r>
              <w:t>Goods and services tax</w:t>
            </w:r>
          </w:p>
        </w:tc>
      </w:tr>
      <w:tr w:rsidR="002461B3" w:rsidRPr="00E87DE1" w14:paraId="225EB768" w14:textId="77777777" w:rsidTr="00BF090B">
        <w:trPr>
          <w:trHeight w:val="431"/>
        </w:trPr>
        <w:tc>
          <w:tcPr>
            <w:tcW w:w="1980" w:type="dxa"/>
            <w:vAlign w:val="top"/>
          </w:tcPr>
          <w:p w14:paraId="090CC602" w14:textId="3D4F77C6" w:rsidR="002461B3" w:rsidRDefault="002461B3" w:rsidP="002461B3">
            <w:r>
              <w:t>NT</w:t>
            </w:r>
          </w:p>
        </w:tc>
        <w:tc>
          <w:tcPr>
            <w:tcW w:w="8363" w:type="dxa"/>
            <w:vAlign w:val="top"/>
          </w:tcPr>
          <w:p w14:paraId="4A14FDF0" w14:textId="2CB2C63D" w:rsidR="002461B3" w:rsidRDefault="002461B3" w:rsidP="002461B3">
            <w:r>
              <w:t>Northern Territory</w:t>
            </w:r>
          </w:p>
        </w:tc>
      </w:tr>
      <w:tr w:rsidR="002461B3" w:rsidRPr="00E87DE1" w14:paraId="4773AD0D" w14:textId="77777777" w:rsidTr="00BF090B">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3DFFD96E" w14:textId="616BEDCC" w:rsidR="002461B3" w:rsidRDefault="002461B3" w:rsidP="002461B3">
            <w:r>
              <w:t>TD</w:t>
            </w:r>
          </w:p>
        </w:tc>
        <w:tc>
          <w:tcPr>
            <w:tcW w:w="8363" w:type="dxa"/>
            <w:vAlign w:val="top"/>
          </w:tcPr>
          <w:p w14:paraId="1B452A47" w14:textId="048E8A92" w:rsidR="002461B3" w:rsidRDefault="002461B3" w:rsidP="002461B3">
            <w:r>
              <w:t>Treasurer’s Direction</w:t>
            </w:r>
          </w:p>
        </w:tc>
      </w:tr>
    </w:tbl>
    <w:p w14:paraId="1080539D" w14:textId="77777777" w:rsidR="00F91388" w:rsidRDefault="00702D61" w:rsidP="00702D61">
      <w:r>
        <w:br w:type="page"/>
      </w:r>
    </w:p>
    <w:p w14:paraId="13B3B118" w14:textId="53EB9A03" w:rsidR="00702D61" w:rsidRDefault="00702D61" w:rsidP="00702D61"/>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F9D9512" w14:textId="77777777" w:rsidR="00964B22" w:rsidRPr="00422874" w:rsidRDefault="00964B22" w:rsidP="00074573">
          <w:pPr>
            <w:pStyle w:val="TOCHeading"/>
            <w:tabs>
              <w:tab w:val="left" w:pos="9444"/>
            </w:tabs>
            <w:rPr>
              <w:lang w:eastAsia="ja-JP"/>
            </w:rPr>
          </w:pPr>
          <w:r w:rsidRPr="00422874">
            <w:t>Contents</w:t>
          </w:r>
        </w:p>
        <w:p w14:paraId="3FA9096C" w14:textId="30B219A4" w:rsidR="00D379B5"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04068742" w:history="1">
            <w:r w:rsidR="00D379B5" w:rsidRPr="00D439DE">
              <w:rPr>
                <w:rStyle w:val="Hyperlink"/>
                <w:noProof/>
              </w:rPr>
              <w:t>1. Purpose</w:t>
            </w:r>
            <w:r w:rsidR="00D379B5">
              <w:rPr>
                <w:noProof/>
                <w:webHidden/>
              </w:rPr>
              <w:tab/>
            </w:r>
            <w:r w:rsidR="00D379B5">
              <w:rPr>
                <w:noProof/>
                <w:webHidden/>
              </w:rPr>
              <w:fldChar w:fldCharType="begin"/>
            </w:r>
            <w:r w:rsidR="00D379B5">
              <w:rPr>
                <w:noProof/>
                <w:webHidden/>
              </w:rPr>
              <w:instrText xml:space="preserve"> PAGEREF _Toc204068742 \h </w:instrText>
            </w:r>
            <w:r w:rsidR="00D379B5">
              <w:rPr>
                <w:noProof/>
                <w:webHidden/>
              </w:rPr>
            </w:r>
            <w:r w:rsidR="00D379B5">
              <w:rPr>
                <w:noProof/>
                <w:webHidden/>
              </w:rPr>
              <w:fldChar w:fldCharType="separate"/>
            </w:r>
            <w:r w:rsidR="00D379B5">
              <w:rPr>
                <w:noProof/>
                <w:webHidden/>
              </w:rPr>
              <w:t>4</w:t>
            </w:r>
            <w:r w:rsidR="00D379B5">
              <w:rPr>
                <w:noProof/>
                <w:webHidden/>
              </w:rPr>
              <w:fldChar w:fldCharType="end"/>
            </w:r>
          </w:hyperlink>
        </w:p>
        <w:p w14:paraId="52DB380B" w14:textId="35BDD5F3" w:rsidR="00D379B5" w:rsidRDefault="00D379B5">
          <w:pPr>
            <w:pStyle w:val="TOC1"/>
            <w:rPr>
              <w:rFonts w:asciiTheme="minorHAnsi" w:eastAsiaTheme="minorEastAsia" w:hAnsiTheme="minorHAnsi" w:cstheme="minorBidi"/>
              <w:b w:val="0"/>
              <w:noProof/>
              <w:kern w:val="2"/>
              <w:sz w:val="24"/>
              <w:szCs w:val="24"/>
              <w:lang w:eastAsia="en-AU"/>
              <w14:ligatures w14:val="standardContextual"/>
            </w:rPr>
          </w:pPr>
          <w:hyperlink w:anchor="_Toc204068743" w:history="1">
            <w:r w:rsidRPr="00D439DE">
              <w:rPr>
                <w:rStyle w:val="Hyperlink"/>
                <w:noProof/>
              </w:rPr>
              <w:t>2. Accounting for grants and subsidies</w:t>
            </w:r>
            <w:r>
              <w:rPr>
                <w:noProof/>
                <w:webHidden/>
              </w:rPr>
              <w:tab/>
            </w:r>
            <w:r>
              <w:rPr>
                <w:noProof/>
                <w:webHidden/>
              </w:rPr>
              <w:fldChar w:fldCharType="begin"/>
            </w:r>
            <w:r>
              <w:rPr>
                <w:noProof/>
                <w:webHidden/>
              </w:rPr>
              <w:instrText xml:space="preserve"> PAGEREF _Toc204068743 \h </w:instrText>
            </w:r>
            <w:r>
              <w:rPr>
                <w:noProof/>
                <w:webHidden/>
              </w:rPr>
            </w:r>
            <w:r>
              <w:rPr>
                <w:noProof/>
                <w:webHidden/>
              </w:rPr>
              <w:fldChar w:fldCharType="separate"/>
            </w:r>
            <w:r>
              <w:rPr>
                <w:noProof/>
                <w:webHidden/>
              </w:rPr>
              <w:t>4</w:t>
            </w:r>
            <w:r>
              <w:rPr>
                <w:noProof/>
                <w:webHidden/>
              </w:rPr>
              <w:fldChar w:fldCharType="end"/>
            </w:r>
          </w:hyperlink>
        </w:p>
        <w:p w14:paraId="3F01E699" w14:textId="262CAEB2" w:rsidR="00D379B5" w:rsidRDefault="00D379B5">
          <w:pPr>
            <w:pStyle w:val="TOC2"/>
            <w:rPr>
              <w:rFonts w:asciiTheme="minorHAnsi" w:eastAsiaTheme="minorEastAsia" w:hAnsiTheme="minorHAnsi" w:cstheme="minorBidi"/>
              <w:noProof/>
              <w:kern w:val="2"/>
              <w:sz w:val="24"/>
              <w:szCs w:val="24"/>
              <w:lang w:eastAsia="en-AU"/>
              <w14:ligatures w14:val="standardContextual"/>
            </w:rPr>
          </w:pPr>
          <w:hyperlink w:anchor="_Toc204068744" w:history="1">
            <w:r w:rsidRPr="00D439DE">
              <w:rPr>
                <w:rStyle w:val="Hyperlink"/>
                <w:noProof/>
              </w:rPr>
              <w:t>2.1. Recognition of grants and subsidies</w:t>
            </w:r>
            <w:r>
              <w:rPr>
                <w:noProof/>
                <w:webHidden/>
              </w:rPr>
              <w:tab/>
            </w:r>
            <w:r>
              <w:rPr>
                <w:noProof/>
                <w:webHidden/>
              </w:rPr>
              <w:fldChar w:fldCharType="begin"/>
            </w:r>
            <w:r>
              <w:rPr>
                <w:noProof/>
                <w:webHidden/>
              </w:rPr>
              <w:instrText xml:space="preserve"> PAGEREF _Toc204068744 \h </w:instrText>
            </w:r>
            <w:r>
              <w:rPr>
                <w:noProof/>
                <w:webHidden/>
              </w:rPr>
            </w:r>
            <w:r>
              <w:rPr>
                <w:noProof/>
                <w:webHidden/>
              </w:rPr>
              <w:fldChar w:fldCharType="separate"/>
            </w:r>
            <w:r>
              <w:rPr>
                <w:noProof/>
                <w:webHidden/>
              </w:rPr>
              <w:t>4</w:t>
            </w:r>
            <w:r>
              <w:rPr>
                <w:noProof/>
                <w:webHidden/>
              </w:rPr>
              <w:fldChar w:fldCharType="end"/>
            </w:r>
          </w:hyperlink>
        </w:p>
        <w:p w14:paraId="46F844F0" w14:textId="59F86270" w:rsidR="00D379B5" w:rsidRDefault="00D379B5">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4068745" w:history="1">
            <w:r w:rsidRPr="00D439DE">
              <w:rPr>
                <w:rStyle w:val="Hyperlink"/>
                <w:noProof/>
              </w:rPr>
              <w:t>2.1.1. Examples</w:t>
            </w:r>
            <w:r>
              <w:rPr>
                <w:noProof/>
                <w:webHidden/>
              </w:rPr>
              <w:tab/>
            </w:r>
            <w:r>
              <w:rPr>
                <w:noProof/>
                <w:webHidden/>
              </w:rPr>
              <w:fldChar w:fldCharType="begin"/>
            </w:r>
            <w:r>
              <w:rPr>
                <w:noProof/>
                <w:webHidden/>
              </w:rPr>
              <w:instrText xml:space="preserve"> PAGEREF _Toc204068745 \h </w:instrText>
            </w:r>
            <w:r>
              <w:rPr>
                <w:noProof/>
                <w:webHidden/>
              </w:rPr>
            </w:r>
            <w:r>
              <w:rPr>
                <w:noProof/>
                <w:webHidden/>
              </w:rPr>
              <w:fldChar w:fldCharType="separate"/>
            </w:r>
            <w:r>
              <w:rPr>
                <w:noProof/>
                <w:webHidden/>
              </w:rPr>
              <w:t>5</w:t>
            </w:r>
            <w:r>
              <w:rPr>
                <w:noProof/>
                <w:webHidden/>
              </w:rPr>
              <w:fldChar w:fldCharType="end"/>
            </w:r>
          </w:hyperlink>
        </w:p>
        <w:p w14:paraId="3D797E5C" w14:textId="26295D3D" w:rsidR="00D379B5" w:rsidRDefault="00D379B5">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4068746" w:history="1">
            <w:r w:rsidRPr="00D439DE">
              <w:rPr>
                <w:rStyle w:val="Hyperlink"/>
                <w:noProof/>
              </w:rPr>
              <w:t>2.1.1.1. Present obligation has arisen and is settled in current reporting period</w:t>
            </w:r>
            <w:r>
              <w:rPr>
                <w:noProof/>
                <w:webHidden/>
              </w:rPr>
              <w:tab/>
            </w:r>
            <w:r>
              <w:rPr>
                <w:noProof/>
                <w:webHidden/>
              </w:rPr>
              <w:fldChar w:fldCharType="begin"/>
            </w:r>
            <w:r>
              <w:rPr>
                <w:noProof/>
                <w:webHidden/>
              </w:rPr>
              <w:instrText xml:space="preserve"> PAGEREF _Toc204068746 \h </w:instrText>
            </w:r>
            <w:r>
              <w:rPr>
                <w:noProof/>
                <w:webHidden/>
              </w:rPr>
            </w:r>
            <w:r>
              <w:rPr>
                <w:noProof/>
                <w:webHidden/>
              </w:rPr>
              <w:fldChar w:fldCharType="separate"/>
            </w:r>
            <w:r>
              <w:rPr>
                <w:noProof/>
                <w:webHidden/>
              </w:rPr>
              <w:t>5</w:t>
            </w:r>
            <w:r>
              <w:rPr>
                <w:noProof/>
                <w:webHidden/>
              </w:rPr>
              <w:fldChar w:fldCharType="end"/>
            </w:r>
          </w:hyperlink>
        </w:p>
        <w:p w14:paraId="78F15AB9" w14:textId="077A3B9F" w:rsidR="00D379B5" w:rsidRDefault="00D379B5">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4068747" w:history="1">
            <w:r w:rsidRPr="00D439DE">
              <w:rPr>
                <w:rStyle w:val="Hyperlink"/>
                <w:noProof/>
              </w:rPr>
              <w:t>2.1.1.2. Present obligation has arisen and is settled in future reporting period</w:t>
            </w:r>
            <w:r>
              <w:rPr>
                <w:noProof/>
                <w:webHidden/>
              </w:rPr>
              <w:tab/>
            </w:r>
            <w:r>
              <w:rPr>
                <w:noProof/>
                <w:webHidden/>
              </w:rPr>
              <w:fldChar w:fldCharType="begin"/>
            </w:r>
            <w:r>
              <w:rPr>
                <w:noProof/>
                <w:webHidden/>
              </w:rPr>
              <w:instrText xml:space="preserve"> PAGEREF _Toc204068747 \h </w:instrText>
            </w:r>
            <w:r>
              <w:rPr>
                <w:noProof/>
                <w:webHidden/>
              </w:rPr>
            </w:r>
            <w:r>
              <w:rPr>
                <w:noProof/>
                <w:webHidden/>
              </w:rPr>
              <w:fldChar w:fldCharType="separate"/>
            </w:r>
            <w:r>
              <w:rPr>
                <w:noProof/>
                <w:webHidden/>
              </w:rPr>
              <w:t>5</w:t>
            </w:r>
            <w:r>
              <w:rPr>
                <w:noProof/>
                <w:webHidden/>
              </w:rPr>
              <w:fldChar w:fldCharType="end"/>
            </w:r>
          </w:hyperlink>
        </w:p>
        <w:p w14:paraId="5E325A19" w14:textId="28548D8E" w:rsidR="00D379B5" w:rsidRDefault="00D379B5">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4068748" w:history="1">
            <w:r w:rsidRPr="00D439DE">
              <w:rPr>
                <w:rStyle w:val="Hyperlink"/>
                <w:noProof/>
              </w:rPr>
              <w:t>2.1.1.3. Present obligation has arisen and cannot be reliably measured</w:t>
            </w:r>
            <w:r>
              <w:rPr>
                <w:noProof/>
                <w:webHidden/>
              </w:rPr>
              <w:tab/>
            </w:r>
            <w:r>
              <w:rPr>
                <w:noProof/>
                <w:webHidden/>
              </w:rPr>
              <w:fldChar w:fldCharType="begin"/>
            </w:r>
            <w:r>
              <w:rPr>
                <w:noProof/>
                <w:webHidden/>
              </w:rPr>
              <w:instrText xml:space="preserve"> PAGEREF _Toc204068748 \h </w:instrText>
            </w:r>
            <w:r>
              <w:rPr>
                <w:noProof/>
                <w:webHidden/>
              </w:rPr>
            </w:r>
            <w:r>
              <w:rPr>
                <w:noProof/>
                <w:webHidden/>
              </w:rPr>
              <w:fldChar w:fldCharType="separate"/>
            </w:r>
            <w:r>
              <w:rPr>
                <w:noProof/>
                <w:webHidden/>
              </w:rPr>
              <w:t>6</w:t>
            </w:r>
            <w:r>
              <w:rPr>
                <w:noProof/>
                <w:webHidden/>
              </w:rPr>
              <w:fldChar w:fldCharType="end"/>
            </w:r>
          </w:hyperlink>
        </w:p>
        <w:p w14:paraId="4CB76AB1" w14:textId="12A4F8BE" w:rsidR="00D379B5" w:rsidRDefault="00D379B5">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4068749" w:history="1">
            <w:r w:rsidRPr="00D439DE">
              <w:rPr>
                <w:rStyle w:val="Hyperlink"/>
                <w:noProof/>
              </w:rPr>
              <w:t>2.1.1.4. Payment made before present obligation has arisen</w:t>
            </w:r>
            <w:r>
              <w:rPr>
                <w:noProof/>
                <w:webHidden/>
              </w:rPr>
              <w:tab/>
            </w:r>
            <w:r>
              <w:rPr>
                <w:noProof/>
                <w:webHidden/>
              </w:rPr>
              <w:fldChar w:fldCharType="begin"/>
            </w:r>
            <w:r>
              <w:rPr>
                <w:noProof/>
                <w:webHidden/>
              </w:rPr>
              <w:instrText xml:space="preserve"> PAGEREF _Toc204068749 \h </w:instrText>
            </w:r>
            <w:r>
              <w:rPr>
                <w:noProof/>
                <w:webHidden/>
              </w:rPr>
            </w:r>
            <w:r>
              <w:rPr>
                <w:noProof/>
                <w:webHidden/>
              </w:rPr>
              <w:fldChar w:fldCharType="separate"/>
            </w:r>
            <w:r>
              <w:rPr>
                <w:noProof/>
                <w:webHidden/>
              </w:rPr>
              <w:t>7</w:t>
            </w:r>
            <w:r>
              <w:rPr>
                <w:noProof/>
                <w:webHidden/>
              </w:rPr>
              <w:fldChar w:fldCharType="end"/>
            </w:r>
          </w:hyperlink>
        </w:p>
        <w:p w14:paraId="3384DA93" w14:textId="653198D1" w:rsidR="00D379B5" w:rsidRDefault="00D379B5">
          <w:pPr>
            <w:pStyle w:val="TOC4"/>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4068750" w:history="1">
            <w:r w:rsidRPr="00D439DE">
              <w:rPr>
                <w:rStyle w:val="Hyperlink"/>
                <w:noProof/>
              </w:rPr>
              <w:t>2.1.1.5. Capital grant – non cash</w:t>
            </w:r>
            <w:r>
              <w:rPr>
                <w:noProof/>
                <w:webHidden/>
              </w:rPr>
              <w:tab/>
            </w:r>
            <w:r>
              <w:rPr>
                <w:noProof/>
                <w:webHidden/>
              </w:rPr>
              <w:fldChar w:fldCharType="begin"/>
            </w:r>
            <w:r>
              <w:rPr>
                <w:noProof/>
                <w:webHidden/>
              </w:rPr>
              <w:instrText xml:space="preserve"> PAGEREF _Toc204068750 \h </w:instrText>
            </w:r>
            <w:r>
              <w:rPr>
                <w:noProof/>
                <w:webHidden/>
              </w:rPr>
            </w:r>
            <w:r>
              <w:rPr>
                <w:noProof/>
                <w:webHidden/>
              </w:rPr>
              <w:fldChar w:fldCharType="separate"/>
            </w:r>
            <w:r>
              <w:rPr>
                <w:noProof/>
                <w:webHidden/>
              </w:rPr>
              <w:t>7</w:t>
            </w:r>
            <w:r>
              <w:rPr>
                <w:noProof/>
                <w:webHidden/>
              </w:rPr>
              <w:fldChar w:fldCharType="end"/>
            </w:r>
          </w:hyperlink>
        </w:p>
        <w:p w14:paraId="0AC1FDD1" w14:textId="5CDD81EA" w:rsidR="00D379B5" w:rsidRDefault="00D379B5">
          <w:pPr>
            <w:pStyle w:val="TOC2"/>
            <w:rPr>
              <w:rFonts w:asciiTheme="minorHAnsi" w:eastAsiaTheme="minorEastAsia" w:hAnsiTheme="minorHAnsi" w:cstheme="minorBidi"/>
              <w:noProof/>
              <w:kern w:val="2"/>
              <w:sz w:val="24"/>
              <w:szCs w:val="24"/>
              <w:lang w:eastAsia="en-AU"/>
              <w14:ligatures w14:val="standardContextual"/>
            </w:rPr>
          </w:pPr>
          <w:hyperlink w:anchor="_Toc204068751" w:history="1">
            <w:r w:rsidRPr="00D439DE">
              <w:rPr>
                <w:rStyle w:val="Hyperlink"/>
                <w:noProof/>
              </w:rPr>
              <w:t>2.2. Repayment of grants and subsidies</w:t>
            </w:r>
            <w:r>
              <w:rPr>
                <w:noProof/>
                <w:webHidden/>
              </w:rPr>
              <w:tab/>
            </w:r>
            <w:r>
              <w:rPr>
                <w:noProof/>
                <w:webHidden/>
              </w:rPr>
              <w:fldChar w:fldCharType="begin"/>
            </w:r>
            <w:r>
              <w:rPr>
                <w:noProof/>
                <w:webHidden/>
              </w:rPr>
              <w:instrText xml:space="preserve"> PAGEREF _Toc204068751 \h </w:instrText>
            </w:r>
            <w:r>
              <w:rPr>
                <w:noProof/>
                <w:webHidden/>
              </w:rPr>
            </w:r>
            <w:r>
              <w:rPr>
                <w:noProof/>
                <w:webHidden/>
              </w:rPr>
              <w:fldChar w:fldCharType="separate"/>
            </w:r>
            <w:r>
              <w:rPr>
                <w:noProof/>
                <w:webHidden/>
              </w:rPr>
              <w:t>7</w:t>
            </w:r>
            <w:r>
              <w:rPr>
                <w:noProof/>
                <w:webHidden/>
              </w:rPr>
              <w:fldChar w:fldCharType="end"/>
            </w:r>
          </w:hyperlink>
        </w:p>
        <w:p w14:paraId="73EB87C9" w14:textId="7CA3060D"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2DC51505" w14:textId="77777777" w:rsidR="00964B22" w:rsidRPr="002F2780" w:rsidRDefault="00964B22" w:rsidP="00964B22">
      <w:pPr>
        <w:sectPr w:rsidR="00964B22" w:rsidRPr="002F2780" w:rsidSect="00564D23">
          <w:footerReference w:type="default" r:id="rId13"/>
          <w:headerReference w:type="first" r:id="rId14"/>
          <w:footerReference w:type="first" r:id="rId15"/>
          <w:pgSz w:w="11906" w:h="16838" w:code="9"/>
          <w:pgMar w:top="794" w:right="794" w:bottom="794" w:left="794" w:header="794" w:footer="794" w:gutter="0"/>
          <w:cols w:space="708"/>
          <w:titlePg/>
          <w:docGrid w:linePitch="360"/>
        </w:sectPr>
      </w:pPr>
    </w:p>
    <w:p w14:paraId="7CC422FA" w14:textId="54CDB906" w:rsidR="00945368" w:rsidRPr="00516F1C" w:rsidRDefault="00D379B5" w:rsidP="00945368">
      <w:pPr>
        <w:pStyle w:val="Heading1"/>
        <w:keepLines/>
        <w:pageBreakBefore/>
        <w:ind w:left="432" w:hanging="432"/>
      </w:pPr>
      <w:bookmarkStart w:id="0" w:name="_Toc204068742"/>
      <w:r>
        <w:lastRenderedPageBreak/>
        <w:t>Purpose</w:t>
      </w:r>
      <w:bookmarkEnd w:id="0"/>
    </w:p>
    <w:p w14:paraId="29849622" w14:textId="1B7D56F3" w:rsidR="00B63DB0" w:rsidRPr="00162DFD" w:rsidRDefault="00C75FC6" w:rsidP="005D72C5">
      <w:bookmarkStart w:id="1" w:name="_Toc31719130"/>
      <w:r>
        <w:t>To provide guidance</w:t>
      </w:r>
      <w:r w:rsidR="00D379B5">
        <w:t xml:space="preserve"> on how to account for grants and subsidies in accordance with </w:t>
      </w:r>
      <w:r>
        <w:t>the Treasurer’s Direction (TD) – Grants and subsidies expenses</w:t>
      </w:r>
      <w:r w:rsidR="00D379B5">
        <w:t xml:space="preserve"> and </w:t>
      </w:r>
      <w:r w:rsidR="005F57EE">
        <w:t xml:space="preserve">relevant Australian </w:t>
      </w:r>
      <w:r w:rsidR="00D379B5">
        <w:t xml:space="preserve">accounting standard requirements. </w:t>
      </w:r>
      <w:bookmarkStart w:id="2" w:name="_Toc78963431"/>
      <w:bookmarkStart w:id="3" w:name="_Toc78963432"/>
      <w:bookmarkStart w:id="4" w:name="_Toc40170605"/>
      <w:bookmarkStart w:id="5" w:name="_Toc40182938"/>
      <w:bookmarkStart w:id="6" w:name="_Toc41893804"/>
      <w:bookmarkStart w:id="7" w:name="_Toc40170606"/>
      <w:bookmarkStart w:id="8" w:name="_Toc40182939"/>
      <w:bookmarkStart w:id="9" w:name="_Toc41893805"/>
      <w:bookmarkStart w:id="10" w:name="_Toc40170607"/>
      <w:bookmarkStart w:id="11" w:name="_Toc40182940"/>
      <w:bookmarkStart w:id="12" w:name="_Toc41893806"/>
      <w:bookmarkStart w:id="13" w:name="_Toc78963437"/>
      <w:bookmarkStart w:id="14" w:name="_Toc40170613"/>
      <w:bookmarkStart w:id="15" w:name="_Toc40182947"/>
      <w:bookmarkStart w:id="16" w:name="_Toc41893813"/>
      <w:bookmarkStart w:id="17" w:name="_Toc20293229"/>
      <w:bookmarkStart w:id="18" w:name="_Toc20383495"/>
      <w:bookmarkStart w:id="19" w:name="_Toc20403173"/>
      <w:bookmarkStart w:id="20" w:name="_Toc20403306"/>
      <w:bookmarkStart w:id="21" w:name="_Toc20471408"/>
      <w:bookmarkStart w:id="22" w:name="_Toc20484509"/>
      <w:bookmarkStart w:id="23" w:name="_Toc20484978"/>
      <w:bookmarkStart w:id="24" w:name="_Toc20489974"/>
      <w:bookmarkStart w:id="25" w:name="_Toc20746677"/>
      <w:bookmarkStart w:id="26" w:name="_Toc20748961"/>
      <w:bookmarkStart w:id="27" w:name="_Toc20750472"/>
      <w:bookmarkStart w:id="28" w:name="_Toc32416330"/>
      <w:bookmarkStart w:id="29" w:name="_Toc32416883"/>
      <w:bookmarkStart w:id="30" w:name="_Toc32477518"/>
      <w:bookmarkStart w:id="31" w:name="_Toc32496359"/>
      <w:bookmarkStart w:id="32" w:name="_Toc32944603"/>
      <w:bookmarkStart w:id="33" w:name="_Toc32416331"/>
      <w:bookmarkStart w:id="34" w:name="_Toc32416884"/>
      <w:bookmarkStart w:id="35" w:name="_Toc32477519"/>
      <w:bookmarkStart w:id="36" w:name="_Toc32496360"/>
      <w:bookmarkStart w:id="37" w:name="_Toc32944604"/>
      <w:bookmarkStart w:id="38" w:name="_Toc32416332"/>
      <w:bookmarkStart w:id="39" w:name="_Toc32416885"/>
      <w:bookmarkStart w:id="40" w:name="_Toc32477520"/>
      <w:bookmarkStart w:id="41" w:name="_Toc32496361"/>
      <w:bookmarkStart w:id="42" w:name="_Toc32944605"/>
      <w:bookmarkStart w:id="43" w:name="_Toc32416333"/>
      <w:bookmarkStart w:id="44" w:name="_Toc32416886"/>
      <w:bookmarkStart w:id="45" w:name="_Toc32477521"/>
      <w:bookmarkStart w:id="46" w:name="_Toc32496362"/>
      <w:bookmarkStart w:id="47" w:name="_Toc32944606"/>
      <w:bookmarkStart w:id="48" w:name="_Toc32416334"/>
      <w:bookmarkStart w:id="49" w:name="_Toc32416887"/>
      <w:bookmarkStart w:id="50" w:name="_Toc32477522"/>
      <w:bookmarkStart w:id="51" w:name="_Toc32496363"/>
      <w:bookmarkStart w:id="52" w:name="_Toc32944607"/>
      <w:bookmarkStart w:id="53" w:name="_Toc40170624"/>
      <w:bookmarkStart w:id="54" w:name="_Toc40182958"/>
      <w:bookmarkStart w:id="55" w:name="_Toc41893824"/>
      <w:bookmarkStart w:id="56" w:name="_Toc32416339"/>
      <w:bookmarkStart w:id="57" w:name="_Toc32416893"/>
      <w:bookmarkStart w:id="58" w:name="_Toc32477528"/>
      <w:bookmarkStart w:id="59" w:name="_Toc32496369"/>
      <w:bookmarkStart w:id="60" w:name="_Toc32944613"/>
      <w:bookmarkStart w:id="61" w:name="_Toc330026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CF6B995" w14:textId="6E1CEFE1" w:rsidR="00D96C9F" w:rsidRDefault="00D96C9F" w:rsidP="00D96C9F">
      <w:pPr>
        <w:pStyle w:val="Heading1"/>
        <w:keepLines/>
        <w:ind w:left="432" w:hanging="432"/>
      </w:pPr>
      <w:bookmarkStart w:id="62" w:name="_Toc76737567"/>
      <w:bookmarkStart w:id="63" w:name="_Toc204068743"/>
      <w:bookmarkEnd w:id="62"/>
      <w:r>
        <w:t>Accounting for grants and subsidies</w:t>
      </w:r>
      <w:bookmarkEnd w:id="61"/>
      <w:bookmarkEnd w:id="63"/>
    </w:p>
    <w:p w14:paraId="003A818B" w14:textId="77777777" w:rsidR="00D96C9F" w:rsidRDefault="00D96C9F" w:rsidP="00D96C9F">
      <w:pPr>
        <w:pStyle w:val="Heading2"/>
        <w:keepLines/>
        <w:ind w:left="851" w:hanging="851"/>
      </w:pPr>
      <w:bookmarkStart w:id="64" w:name="_Toc33002604"/>
      <w:bookmarkStart w:id="65" w:name="_Toc204068744"/>
      <w:r>
        <w:t>Recognition of grants and subsidies</w:t>
      </w:r>
      <w:bookmarkEnd w:id="64"/>
      <w:bookmarkEnd w:id="65"/>
    </w:p>
    <w:p w14:paraId="2DB5DD2B" w14:textId="0AB62E2C" w:rsidR="00057FA6" w:rsidRPr="00DC50FD" w:rsidRDefault="00D70AF1" w:rsidP="00DC50FD">
      <w:r w:rsidRPr="00DC50FD">
        <w:t>Grants and subsid</w:t>
      </w:r>
      <w:r w:rsidR="00DE2A08" w:rsidRPr="00DC50FD">
        <w:t>ies</w:t>
      </w:r>
      <w:r w:rsidRPr="00DC50FD">
        <w:t xml:space="preserve"> e</w:t>
      </w:r>
      <w:r w:rsidR="00D96C9F" w:rsidRPr="00DC50FD">
        <w:t xml:space="preserve">xpenses are to be recognised </w:t>
      </w:r>
      <w:r w:rsidR="001D2E79" w:rsidRPr="00DC50FD">
        <w:t>as expense in the reporting period in which they are paid or payable</w:t>
      </w:r>
      <w:r w:rsidR="00057FA6" w:rsidRPr="00DC50FD">
        <w:t>.</w:t>
      </w:r>
    </w:p>
    <w:p w14:paraId="38B18368" w14:textId="560832F1" w:rsidR="00094325" w:rsidRPr="00DC50FD" w:rsidRDefault="00094325" w:rsidP="00D96C9F">
      <w:pPr>
        <w:rPr>
          <w:u w:val="single"/>
        </w:rPr>
      </w:pPr>
      <w:r w:rsidRPr="00DC50FD">
        <w:rPr>
          <w:u w:val="single"/>
        </w:rPr>
        <w:t>Recognition of grant</w:t>
      </w:r>
      <w:r w:rsidR="00DE2A08" w:rsidRPr="00DC50FD">
        <w:rPr>
          <w:u w:val="single"/>
        </w:rPr>
        <w:t>s</w:t>
      </w:r>
      <w:r w:rsidRPr="00DC50FD">
        <w:rPr>
          <w:u w:val="single"/>
        </w:rPr>
        <w:t xml:space="preserve"> and subsid</w:t>
      </w:r>
      <w:r w:rsidR="00DE2A08" w:rsidRPr="00DC50FD">
        <w:rPr>
          <w:u w:val="single"/>
        </w:rPr>
        <w:t>ies</w:t>
      </w:r>
      <w:r w:rsidRPr="00DC50FD">
        <w:rPr>
          <w:u w:val="single"/>
        </w:rPr>
        <w:t xml:space="preserve"> expenses when payable</w:t>
      </w:r>
    </w:p>
    <w:p w14:paraId="0DFE1CFD" w14:textId="07FB5705" w:rsidR="00D96C9F" w:rsidRDefault="002A660B" w:rsidP="00D96C9F">
      <w:r w:rsidRPr="00DC50FD">
        <w:t>Where the terms of g</w:t>
      </w:r>
      <w:r w:rsidR="00D96C9F" w:rsidRPr="00DC50FD">
        <w:t>rant</w:t>
      </w:r>
      <w:r w:rsidR="00DE2A08" w:rsidRPr="00DC50FD">
        <w:t>s</w:t>
      </w:r>
      <w:r w:rsidR="00D96C9F" w:rsidRPr="00DC50FD">
        <w:t xml:space="preserve"> </w:t>
      </w:r>
      <w:r w:rsidRPr="00DC50FD">
        <w:t xml:space="preserve">or </w:t>
      </w:r>
      <w:r w:rsidR="00D96C9F" w:rsidRPr="00DC50FD">
        <w:t>subsid</w:t>
      </w:r>
      <w:r w:rsidR="00DE2A08" w:rsidRPr="00DC50FD">
        <w:t>ies</w:t>
      </w:r>
      <w:r w:rsidR="00D96C9F" w:rsidRPr="00DC50FD">
        <w:t xml:space="preserve"> </w:t>
      </w:r>
      <w:r w:rsidRPr="00DC50FD">
        <w:t>have been satisfied during the reporting period but the full amount relevant to the period has not yet been disbursed, an agency must recognise an expense and a liability (payable) in respect of the present obligation at reporting date.</w:t>
      </w:r>
    </w:p>
    <w:p w14:paraId="09957E5B" w14:textId="66402696" w:rsidR="00653F27" w:rsidRDefault="001D2E79" w:rsidP="00D96C9F">
      <w:r>
        <w:t>The following are e</w:t>
      </w:r>
      <w:r w:rsidR="0010017B">
        <w:t>xamples of when a</w:t>
      </w:r>
      <w:r w:rsidR="00D96C9F">
        <w:t xml:space="preserve"> present obligation to make a grant payment </w:t>
      </w:r>
      <w:r w:rsidR="00653F27">
        <w:t xml:space="preserve">may </w:t>
      </w:r>
      <w:r w:rsidR="00D96C9F">
        <w:t>aris</w:t>
      </w:r>
      <w:r w:rsidR="00653F27">
        <w:t>e:</w:t>
      </w:r>
    </w:p>
    <w:p w14:paraId="4F51C312" w14:textId="46DA61C4" w:rsidR="00653F27" w:rsidRDefault="0010017B" w:rsidP="00556D25">
      <w:pPr>
        <w:pStyle w:val="ListParagraph"/>
        <w:numPr>
          <w:ilvl w:val="0"/>
          <w:numId w:val="15"/>
        </w:numPr>
        <w:ind w:left="364" w:hanging="298"/>
      </w:pPr>
      <w:r>
        <w:t xml:space="preserve">on </w:t>
      </w:r>
      <w:r w:rsidR="00653F27">
        <w:t xml:space="preserve">execution of </w:t>
      </w:r>
      <w:r w:rsidR="000E1B82">
        <w:t xml:space="preserve">the grant </w:t>
      </w:r>
      <w:r w:rsidR="00653F27">
        <w:t>agreement</w:t>
      </w:r>
    </w:p>
    <w:p w14:paraId="447B902B" w14:textId="46153CA2" w:rsidR="001D2E79" w:rsidRDefault="001D2E79" w:rsidP="00556D25">
      <w:pPr>
        <w:pStyle w:val="ListParagraph"/>
        <w:numPr>
          <w:ilvl w:val="0"/>
          <w:numId w:val="15"/>
        </w:numPr>
        <w:ind w:left="364" w:hanging="298"/>
      </w:pPr>
      <w:r>
        <w:t xml:space="preserve">when the recipient achieves milestones </w:t>
      </w:r>
    </w:p>
    <w:p w14:paraId="60926DBC" w14:textId="71AB52A6" w:rsidR="00CE0E23" w:rsidRDefault="001D2E79" w:rsidP="00556D25">
      <w:pPr>
        <w:pStyle w:val="ListParagraph"/>
        <w:numPr>
          <w:ilvl w:val="0"/>
          <w:numId w:val="15"/>
        </w:numPr>
        <w:ind w:left="364" w:hanging="298"/>
      </w:pPr>
      <w:r>
        <w:t>when the recipient meets</w:t>
      </w:r>
      <w:r w:rsidR="00CE0E23">
        <w:t xml:space="preserve"> performance obligations</w:t>
      </w:r>
    </w:p>
    <w:p w14:paraId="36203E25" w14:textId="548EA1AA" w:rsidR="00040048" w:rsidRDefault="0010017B" w:rsidP="00556D25">
      <w:pPr>
        <w:pStyle w:val="ListParagraph"/>
        <w:numPr>
          <w:ilvl w:val="0"/>
          <w:numId w:val="15"/>
        </w:numPr>
        <w:ind w:left="364" w:hanging="298"/>
      </w:pPr>
      <w:r>
        <w:t xml:space="preserve">on </w:t>
      </w:r>
      <w:r w:rsidR="00D96C9F">
        <w:t xml:space="preserve">completion </w:t>
      </w:r>
      <w:r w:rsidR="00CE0E23">
        <w:t xml:space="preserve">or </w:t>
      </w:r>
      <w:r w:rsidR="00D96C9F">
        <w:t>staged completion of a capital project</w:t>
      </w:r>
    </w:p>
    <w:p w14:paraId="30E7B2F7" w14:textId="3FD603FB" w:rsidR="00D96C9F" w:rsidRDefault="00040048" w:rsidP="00556D25">
      <w:pPr>
        <w:pStyle w:val="ListParagraph"/>
        <w:numPr>
          <w:ilvl w:val="0"/>
          <w:numId w:val="15"/>
        </w:numPr>
        <w:ind w:left="364" w:hanging="298"/>
      </w:pPr>
      <w:r>
        <w:t xml:space="preserve">on </w:t>
      </w:r>
      <w:r w:rsidR="000E1B82">
        <w:t xml:space="preserve">specified </w:t>
      </w:r>
      <w:r>
        <w:t>payment dates</w:t>
      </w:r>
      <w:r w:rsidR="00F42A18">
        <w:t>.</w:t>
      </w:r>
    </w:p>
    <w:p w14:paraId="43C981BA" w14:textId="27BC5CB3" w:rsidR="00D96C9F" w:rsidRDefault="00D96C9F" w:rsidP="00D96C9F">
      <w:pPr>
        <w:spacing w:before="240"/>
      </w:pPr>
      <w:r>
        <w:t xml:space="preserve">A present obligation to make a subsidy payment generally arises when an agency determines that a funding </w:t>
      </w:r>
      <w:r w:rsidR="00713AA0">
        <w:t xml:space="preserve">recipient </w:t>
      </w:r>
      <w:r>
        <w:t>has met the eligibility criteria of the subsidy arrangement.</w:t>
      </w:r>
    </w:p>
    <w:p w14:paraId="25AB7117" w14:textId="5C5E1DFA" w:rsidR="004E6313" w:rsidRDefault="004E6313" w:rsidP="00D96C9F">
      <w:pPr>
        <w:spacing w:before="240"/>
      </w:pPr>
      <w:r>
        <w:t xml:space="preserve">An agency should </w:t>
      </w:r>
      <w:r w:rsidR="00053BD9">
        <w:t>ensure</w:t>
      </w:r>
      <w:r>
        <w:t xml:space="preserve"> appropriate monitoring procedures </w:t>
      </w:r>
      <w:r w:rsidR="00053BD9">
        <w:t xml:space="preserve">are </w:t>
      </w:r>
      <w:r>
        <w:t>in place to assist in determining when a present obligation to pay has arisen under a funding agreement.</w:t>
      </w:r>
    </w:p>
    <w:p w14:paraId="21B0E2A7" w14:textId="2DE6E269" w:rsidR="00094325" w:rsidRPr="00A40E57" w:rsidRDefault="00094325" w:rsidP="00137A32">
      <w:pPr>
        <w:pageBreakBefore/>
        <w:rPr>
          <w:u w:val="single"/>
        </w:rPr>
      </w:pPr>
      <w:r w:rsidRPr="00A40E57">
        <w:rPr>
          <w:u w:val="single"/>
        </w:rPr>
        <w:lastRenderedPageBreak/>
        <w:t>Recognition of grant</w:t>
      </w:r>
      <w:r w:rsidR="00DE2A08">
        <w:rPr>
          <w:u w:val="single"/>
        </w:rPr>
        <w:t>s</w:t>
      </w:r>
      <w:r w:rsidRPr="00A40E57">
        <w:rPr>
          <w:u w:val="single"/>
        </w:rPr>
        <w:t xml:space="preserve"> and subsid</w:t>
      </w:r>
      <w:r w:rsidR="00DE2A08">
        <w:rPr>
          <w:u w:val="single"/>
        </w:rPr>
        <w:t>ies</w:t>
      </w:r>
      <w:r w:rsidRPr="00A40E57">
        <w:rPr>
          <w:u w:val="single"/>
        </w:rPr>
        <w:t xml:space="preserve"> expenses when paid</w:t>
      </w:r>
    </w:p>
    <w:p w14:paraId="75FBFD4E" w14:textId="6D4E0E4E" w:rsidR="00CB0907" w:rsidRPr="00DC50FD" w:rsidRDefault="00CC6E44" w:rsidP="00DC50FD">
      <w:r w:rsidRPr="00DC50FD">
        <w:t>Grant</w:t>
      </w:r>
      <w:r w:rsidR="00DE2A08" w:rsidRPr="00DC50FD">
        <w:t>s</w:t>
      </w:r>
      <w:r w:rsidRPr="00DC50FD">
        <w:t xml:space="preserve"> and subsid</w:t>
      </w:r>
      <w:r w:rsidR="00DE2A08" w:rsidRPr="00DC50FD">
        <w:t>ies</w:t>
      </w:r>
      <w:r w:rsidRPr="00DC50FD">
        <w:t xml:space="preserve"> expenses are recorded in the reporting period in which they are paid</w:t>
      </w:r>
      <w:r w:rsidR="00D518A2" w:rsidRPr="00DC50FD">
        <w:t>. This applies even if there is still no present obligation at the time of making the payment</w:t>
      </w:r>
      <w:r w:rsidR="00CB0907" w:rsidRPr="00DC50FD">
        <w:t>.</w:t>
      </w:r>
    </w:p>
    <w:p w14:paraId="36CA2C80" w14:textId="5479A49E" w:rsidR="00F6223E" w:rsidRPr="00DC50FD" w:rsidRDefault="008F0C45" w:rsidP="001B1352">
      <w:r w:rsidRPr="00DC50FD">
        <w:t>Generally, when grants and subsidies are paid</w:t>
      </w:r>
      <w:r w:rsidR="00A43160" w:rsidRPr="00DC50FD">
        <w:t>,</w:t>
      </w:r>
      <w:r w:rsidRPr="00DC50FD">
        <w:t xml:space="preserve"> </w:t>
      </w:r>
      <w:r w:rsidR="00CC6E44" w:rsidRPr="00DC50FD">
        <w:t xml:space="preserve">the </w:t>
      </w:r>
      <w:r w:rsidR="00F6223E" w:rsidRPr="00DC50FD">
        <w:t>agency does not have the ability to co</w:t>
      </w:r>
      <w:r w:rsidR="002F16FF" w:rsidRPr="00DC50FD">
        <w:t xml:space="preserve">ntrol the economic resource and the </w:t>
      </w:r>
      <w:r w:rsidR="00BD65F4" w:rsidRPr="00DC50FD">
        <w:t xml:space="preserve">economic benefits </w:t>
      </w:r>
      <w:r w:rsidR="00F6223E" w:rsidRPr="00DC50FD">
        <w:t xml:space="preserve">arising from </w:t>
      </w:r>
      <w:r w:rsidR="00BD65F4" w:rsidRPr="00DC50FD">
        <w:t xml:space="preserve">the payment are provided to other parties and not directly or indirectly to the </w:t>
      </w:r>
      <w:r w:rsidR="00CC6E44" w:rsidRPr="00DC50FD">
        <w:t>agency</w:t>
      </w:r>
      <w:r w:rsidR="00BD65F4" w:rsidRPr="00DC50FD">
        <w:t xml:space="preserve">. </w:t>
      </w:r>
      <w:r w:rsidR="00F6223E" w:rsidRPr="00DC50FD">
        <w:t>Thus, the payment does not meet the</w:t>
      </w:r>
      <w:r w:rsidR="00BD65F4" w:rsidRPr="00DC50FD">
        <w:t xml:space="preserve"> definition</w:t>
      </w:r>
      <w:r w:rsidR="00F6223E" w:rsidRPr="00DC50FD">
        <w:t xml:space="preserve"> and recognition criteria</w:t>
      </w:r>
      <w:r w:rsidR="00BD65F4" w:rsidRPr="00DC50FD">
        <w:t xml:space="preserve"> of an asset.</w:t>
      </w:r>
      <w:r w:rsidR="00CC6E44" w:rsidRPr="00DC50FD">
        <w:t xml:space="preserve"> </w:t>
      </w:r>
    </w:p>
    <w:p w14:paraId="673C470D" w14:textId="4BA9E06D" w:rsidR="00F6223E" w:rsidRPr="00DC50FD" w:rsidRDefault="00F6223E" w:rsidP="001B1352">
      <w:r w:rsidRPr="00DC50FD">
        <w:t xml:space="preserve">For further information on definition and recognition criteria of assets, refer to </w:t>
      </w:r>
      <w:hyperlink r:id="rId16" w:history="1">
        <w:r w:rsidR="00C64919">
          <w:rPr>
            <w:rStyle w:val="Hyperlink"/>
          </w:rPr>
          <w:t>TD – Non financial assets</w:t>
        </w:r>
      </w:hyperlink>
      <w:r w:rsidR="00D96B6F" w:rsidRPr="00DC50FD">
        <w:t>.</w:t>
      </w:r>
    </w:p>
    <w:p w14:paraId="63C7234F" w14:textId="4F1385EC" w:rsidR="00D518A2" w:rsidRPr="007B280D" w:rsidRDefault="00D518A2" w:rsidP="00D518A2">
      <w:pPr>
        <w:spacing w:before="240"/>
      </w:pPr>
      <w:r w:rsidRPr="00DC50FD">
        <w:t xml:space="preserve">It is important to note that grant payments are expected to be made in accordance with the terms of the funding agreement. Where an agency intends to make payment before it is required to do so, an agency should assess the appropriateness of the payment against </w:t>
      </w:r>
      <w:r w:rsidR="00BE68A2" w:rsidRPr="00DC50FD">
        <w:t xml:space="preserve">NT </w:t>
      </w:r>
      <w:r w:rsidRPr="00DC50FD">
        <w:t xml:space="preserve">Government’s payment policies </w:t>
      </w:r>
      <w:r w:rsidR="002A660B" w:rsidRPr="00DC50FD">
        <w:t>and consideration of budget capacity</w:t>
      </w:r>
      <w:r w:rsidRPr="00DC50FD">
        <w:t>.</w:t>
      </w:r>
    </w:p>
    <w:p w14:paraId="3EA08509" w14:textId="1BFCD603" w:rsidR="00D96C9F" w:rsidRDefault="00D96C9F" w:rsidP="00D96C9F">
      <w:pPr>
        <w:pStyle w:val="Heading3"/>
        <w:keepNext/>
        <w:keepLines/>
        <w:ind w:left="851" w:hanging="851"/>
      </w:pPr>
      <w:bookmarkStart w:id="66" w:name="_Toc40170627"/>
      <w:bookmarkStart w:id="67" w:name="_Toc40182961"/>
      <w:bookmarkStart w:id="68" w:name="_Toc41893827"/>
      <w:bookmarkStart w:id="69" w:name="_Toc40170628"/>
      <w:bookmarkStart w:id="70" w:name="_Toc40182962"/>
      <w:bookmarkStart w:id="71" w:name="_Toc41893828"/>
      <w:bookmarkStart w:id="72" w:name="_Toc40170629"/>
      <w:bookmarkStart w:id="73" w:name="_Toc40182963"/>
      <w:bookmarkStart w:id="74" w:name="_Toc41893829"/>
      <w:bookmarkStart w:id="75" w:name="_Toc40170630"/>
      <w:bookmarkStart w:id="76" w:name="_Toc40182964"/>
      <w:bookmarkStart w:id="77" w:name="_Toc41893830"/>
      <w:bookmarkStart w:id="78" w:name="_Toc33002605"/>
      <w:bookmarkStart w:id="79" w:name="_Toc204068745"/>
      <w:bookmarkEnd w:id="66"/>
      <w:bookmarkEnd w:id="67"/>
      <w:bookmarkEnd w:id="68"/>
      <w:bookmarkEnd w:id="69"/>
      <w:bookmarkEnd w:id="70"/>
      <w:bookmarkEnd w:id="71"/>
      <w:bookmarkEnd w:id="72"/>
      <w:bookmarkEnd w:id="73"/>
      <w:bookmarkEnd w:id="74"/>
      <w:bookmarkEnd w:id="75"/>
      <w:bookmarkEnd w:id="76"/>
      <w:bookmarkEnd w:id="77"/>
      <w:r>
        <w:t>Examples</w:t>
      </w:r>
      <w:bookmarkEnd w:id="78"/>
      <w:bookmarkEnd w:id="79"/>
      <w:r>
        <w:t xml:space="preserve"> </w:t>
      </w:r>
    </w:p>
    <w:p w14:paraId="2F1C81A3" w14:textId="5212C9C1" w:rsidR="00D96C9F" w:rsidRDefault="00D96C9F" w:rsidP="00D96C9F">
      <w:pPr>
        <w:pStyle w:val="Heading4"/>
        <w:keepNext/>
        <w:keepLines/>
      </w:pPr>
      <w:bookmarkStart w:id="80" w:name="_Toc33002606"/>
      <w:bookmarkStart w:id="81" w:name="_Toc204068746"/>
      <w:r>
        <w:t>Present obligation has arisen and is settled in current reporting period</w:t>
      </w:r>
      <w:bookmarkEnd w:id="80"/>
      <w:bookmarkEnd w:id="81"/>
    </w:p>
    <w:p w14:paraId="73A61C1C" w14:textId="0DC09D29" w:rsidR="00D96C9F" w:rsidRPr="005740E0" w:rsidRDefault="00D96C9F" w:rsidP="00D96C9F">
      <w:r>
        <w:t xml:space="preserve">Agency A confirms that a funding recipient has met an agreed funding milestone that requires </w:t>
      </w:r>
      <w:r w:rsidR="006A5517">
        <w:t xml:space="preserve">Agency </w:t>
      </w:r>
      <w:r>
        <w:t xml:space="preserve">A to pay $100 000 to the funding recipient. Agency A expects payment to be made before the end of the current reporting period. Agency A recognises a grant expense on payment of the grant. </w:t>
      </w:r>
    </w:p>
    <w:p w14:paraId="46914C77" w14:textId="77777777" w:rsidR="00D96C9F" w:rsidRPr="004C0218" w:rsidRDefault="00D96C9F" w:rsidP="00D96C9F">
      <w:pPr>
        <w:rPr>
          <w:rFonts w:cs="Arial"/>
          <w:color w:val="000000"/>
        </w:rPr>
      </w:pPr>
      <w:r>
        <w:rPr>
          <w:rFonts w:cs="Arial"/>
          <w:color w:val="000000"/>
        </w:rPr>
        <w:t>Journal to recognise grant expense on payment of invoice</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D96C9F" w14:paraId="61065D3D" w14:textId="77777777" w:rsidTr="00BF090B">
        <w:tc>
          <w:tcPr>
            <w:tcW w:w="704" w:type="dxa"/>
            <w:tcBorders>
              <w:top w:val="single" w:sz="4" w:space="0" w:color="auto"/>
            </w:tcBorders>
          </w:tcPr>
          <w:p w14:paraId="4F2F5975" w14:textId="77777777" w:rsidR="00D96C9F" w:rsidRDefault="00D96C9F" w:rsidP="00BF090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6687AA61" w14:textId="3F4B602F" w:rsidR="00D96C9F" w:rsidRDefault="00B84CE5">
            <w:pPr>
              <w:pStyle w:val="ListParagraph"/>
              <w:spacing w:before="60" w:after="60"/>
              <w:rPr>
                <w:rFonts w:cs="Arial"/>
                <w:color w:val="000000"/>
              </w:rPr>
            </w:pPr>
            <w:r>
              <w:rPr>
                <w:rFonts w:cs="Arial"/>
                <w:color w:val="000000"/>
              </w:rPr>
              <w:t>Current grants</w:t>
            </w:r>
            <w:r w:rsidR="00D96C9F">
              <w:rPr>
                <w:rFonts w:cs="Arial"/>
                <w:color w:val="000000"/>
              </w:rPr>
              <w:t xml:space="preserve"> (41</w:t>
            </w:r>
            <w:r w:rsidR="0014371C">
              <w:rPr>
                <w:rFonts w:cs="Arial"/>
                <w:color w:val="000000"/>
              </w:rPr>
              <w:t>1</w:t>
            </w:r>
            <w:r w:rsidR="00D96C9F">
              <w:rPr>
                <w:rFonts w:cs="Arial"/>
                <w:color w:val="000000"/>
              </w:rPr>
              <w:t>000)</w:t>
            </w:r>
          </w:p>
        </w:tc>
        <w:tc>
          <w:tcPr>
            <w:tcW w:w="1418" w:type="dxa"/>
            <w:tcBorders>
              <w:top w:val="single" w:sz="4" w:space="0" w:color="auto"/>
            </w:tcBorders>
          </w:tcPr>
          <w:p w14:paraId="7DA03303" w14:textId="77777777" w:rsidR="00D96C9F" w:rsidRDefault="00D96C9F" w:rsidP="00BF090B">
            <w:pPr>
              <w:pStyle w:val="ListParagraph"/>
              <w:spacing w:before="60" w:after="60"/>
              <w:ind w:left="317" w:hanging="317"/>
              <w:jc w:val="right"/>
              <w:rPr>
                <w:rFonts w:cs="Arial"/>
                <w:color w:val="000000"/>
              </w:rPr>
            </w:pPr>
            <w:r>
              <w:rPr>
                <w:rFonts w:cs="Arial"/>
                <w:color w:val="000000"/>
              </w:rPr>
              <w:t xml:space="preserve">$100 </w:t>
            </w:r>
            <w:r w:rsidRPr="001C4717">
              <w:rPr>
                <w:rFonts w:cs="Arial"/>
                <w:color w:val="000000"/>
              </w:rPr>
              <w:t>000</w:t>
            </w:r>
          </w:p>
        </w:tc>
        <w:tc>
          <w:tcPr>
            <w:tcW w:w="1405" w:type="dxa"/>
            <w:tcBorders>
              <w:top w:val="single" w:sz="4" w:space="0" w:color="auto"/>
            </w:tcBorders>
          </w:tcPr>
          <w:p w14:paraId="05D1E9E3" w14:textId="77777777" w:rsidR="00D96C9F" w:rsidRDefault="00D96C9F" w:rsidP="00BF090B">
            <w:pPr>
              <w:pStyle w:val="ListParagraph"/>
              <w:spacing w:before="60" w:after="60"/>
              <w:jc w:val="right"/>
              <w:rPr>
                <w:rFonts w:cs="Arial"/>
                <w:color w:val="000000"/>
              </w:rPr>
            </w:pPr>
          </w:p>
        </w:tc>
      </w:tr>
      <w:tr w:rsidR="00D96C9F" w14:paraId="5AE807BE" w14:textId="77777777" w:rsidTr="00BF090B">
        <w:tc>
          <w:tcPr>
            <w:tcW w:w="704" w:type="dxa"/>
            <w:tcBorders>
              <w:bottom w:val="single" w:sz="4" w:space="0" w:color="auto"/>
            </w:tcBorders>
          </w:tcPr>
          <w:p w14:paraId="4C33DAB4" w14:textId="77777777" w:rsidR="00D96C9F" w:rsidRDefault="00D96C9F" w:rsidP="00BF090B">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7C5A1AA8" w14:textId="49B5BEB2" w:rsidR="00D96C9F" w:rsidRDefault="00D96C9F" w:rsidP="00BF090B">
            <w:pPr>
              <w:pStyle w:val="ListParagraph"/>
              <w:spacing w:before="60" w:after="60"/>
              <w:rPr>
                <w:rFonts w:cs="Arial"/>
                <w:color w:val="000000"/>
              </w:rPr>
            </w:pPr>
            <w:r>
              <w:rPr>
                <w:rFonts w:cs="Arial"/>
                <w:color w:val="000000"/>
              </w:rPr>
              <w:t>Cash at bank (811</w:t>
            </w:r>
            <w:r w:rsidR="00B84CE5">
              <w:rPr>
                <w:rFonts w:cs="Arial"/>
                <w:color w:val="000000"/>
              </w:rPr>
              <w:t>1</w:t>
            </w:r>
            <w:r>
              <w:rPr>
                <w:rFonts w:cs="Arial"/>
                <w:color w:val="000000"/>
              </w:rPr>
              <w:t>00)</w:t>
            </w:r>
          </w:p>
        </w:tc>
        <w:tc>
          <w:tcPr>
            <w:tcW w:w="1418" w:type="dxa"/>
            <w:tcBorders>
              <w:bottom w:val="single" w:sz="4" w:space="0" w:color="auto"/>
            </w:tcBorders>
          </w:tcPr>
          <w:p w14:paraId="27BD951F" w14:textId="77777777" w:rsidR="00D96C9F" w:rsidRDefault="00D96C9F" w:rsidP="00BF090B">
            <w:pPr>
              <w:pStyle w:val="ListParagraph"/>
              <w:spacing w:before="60" w:after="60"/>
              <w:jc w:val="right"/>
              <w:rPr>
                <w:rFonts w:cs="Arial"/>
                <w:color w:val="000000"/>
              </w:rPr>
            </w:pPr>
          </w:p>
        </w:tc>
        <w:tc>
          <w:tcPr>
            <w:tcW w:w="1405" w:type="dxa"/>
            <w:tcBorders>
              <w:bottom w:val="single" w:sz="4" w:space="0" w:color="auto"/>
            </w:tcBorders>
          </w:tcPr>
          <w:p w14:paraId="2F0E83EE" w14:textId="77777777" w:rsidR="00D96C9F" w:rsidRDefault="00D96C9F" w:rsidP="00BF090B">
            <w:pPr>
              <w:pStyle w:val="ListParagraph"/>
              <w:spacing w:before="60" w:after="60"/>
              <w:jc w:val="right"/>
              <w:rPr>
                <w:rFonts w:cs="Arial"/>
                <w:color w:val="000000"/>
              </w:rPr>
            </w:pPr>
            <w:r w:rsidRPr="001C4717">
              <w:rPr>
                <w:rFonts w:cs="Arial"/>
                <w:color w:val="000000"/>
              </w:rPr>
              <w:t>$</w:t>
            </w:r>
            <w:r>
              <w:rPr>
                <w:rFonts w:cs="Arial"/>
                <w:color w:val="000000"/>
              </w:rPr>
              <w:t>10</w:t>
            </w:r>
            <w:r w:rsidRPr="001C4717">
              <w:rPr>
                <w:rFonts w:cs="Arial"/>
                <w:color w:val="000000"/>
              </w:rPr>
              <w:t>0</w:t>
            </w:r>
            <w:r>
              <w:rPr>
                <w:rFonts w:cs="Arial"/>
                <w:color w:val="000000"/>
              </w:rPr>
              <w:t xml:space="preserve"> </w:t>
            </w:r>
            <w:r w:rsidRPr="001C4717">
              <w:rPr>
                <w:rFonts w:cs="Arial"/>
                <w:color w:val="000000"/>
              </w:rPr>
              <w:t>000</w:t>
            </w:r>
          </w:p>
        </w:tc>
      </w:tr>
    </w:tbl>
    <w:p w14:paraId="127DEC67" w14:textId="77777777" w:rsidR="00D96C9F" w:rsidRDefault="00D96C9F" w:rsidP="00D96C9F">
      <w:pPr>
        <w:pStyle w:val="Heading4"/>
        <w:keepNext/>
        <w:keepLines/>
      </w:pPr>
      <w:bookmarkStart w:id="82" w:name="_Toc32416344"/>
      <w:bookmarkStart w:id="83" w:name="_Toc32416898"/>
      <w:bookmarkStart w:id="84" w:name="_Toc32477533"/>
      <w:bookmarkStart w:id="85" w:name="_Toc32496374"/>
      <w:bookmarkStart w:id="86" w:name="_Toc32944618"/>
      <w:bookmarkStart w:id="87" w:name="_Toc33002607"/>
      <w:bookmarkStart w:id="88" w:name="_Toc204068747"/>
      <w:bookmarkEnd w:id="82"/>
      <w:bookmarkEnd w:id="83"/>
      <w:bookmarkEnd w:id="84"/>
      <w:bookmarkEnd w:id="85"/>
      <w:bookmarkEnd w:id="86"/>
      <w:r>
        <w:t>Present obligation has arisen and is settled in future reporting period</w:t>
      </w:r>
      <w:bookmarkEnd w:id="87"/>
      <w:bookmarkEnd w:id="88"/>
    </w:p>
    <w:p w14:paraId="03E2DFDF" w14:textId="0C202DC8" w:rsidR="00D96C9F" w:rsidRPr="0019377C" w:rsidRDefault="00D96C9F" w:rsidP="00D96C9F">
      <w:pPr>
        <w:rPr>
          <w:b/>
        </w:rPr>
      </w:pPr>
      <w:r w:rsidRPr="0019377C">
        <w:rPr>
          <w:b/>
        </w:rPr>
        <w:t>Scenario 1</w:t>
      </w:r>
    </w:p>
    <w:p w14:paraId="31B3272F" w14:textId="7D1B46F8" w:rsidR="00D96C9F" w:rsidRDefault="00D96C9F" w:rsidP="00D96C9F">
      <w:r>
        <w:t xml:space="preserve">Agency A confirms that a funding recipient has met an agreed funding milestone that requires </w:t>
      </w:r>
      <w:r w:rsidR="006A5517">
        <w:t xml:space="preserve">Agency </w:t>
      </w:r>
      <w:r>
        <w:t xml:space="preserve">A to pay </w:t>
      </w:r>
      <w:r w:rsidR="00FF20CD">
        <w:t xml:space="preserve">a current grant of </w:t>
      </w:r>
      <w:r>
        <w:t xml:space="preserve">$100 000 to the funding recipient. Agency A is unable to process payment before the end of the current reporting period but has determined that a present obligation exists to the funding recipient. Agency A recognises a grant expense and a corresponding grant liability at the end of the reporting period. </w:t>
      </w:r>
    </w:p>
    <w:p w14:paraId="40F30041" w14:textId="77777777" w:rsidR="00D96C9F" w:rsidRPr="004C0218" w:rsidRDefault="00D96C9F" w:rsidP="00D96C9F">
      <w:pPr>
        <w:rPr>
          <w:rFonts w:cs="Arial"/>
          <w:color w:val="000000"/>
        </w:rPr>
      </w:pPr>
      <w:r>
        <w:rPr>
          <w:rFonts w:cs="Arial"/>
          <w:color w:val="000000"/>
        </w:rPr>
        <w:t>Journal to recognise grant expense and grant liability</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D96C9F" w14:paraId="1DA0E932" w14:textId="77777777" w:rsidTr="00BF090B">
        <w:tc>
          <w:tcPr>
            <w:tcW w:w="704" w:type="dxa"/>
            <w:tcBorders>
              <w:top w:val="single" w:sz="4" w:space="0" w:color="auto"/>
            </w:tcBorders>
          </w:tcPr>
          <w:p w14:paraId="455D90B5" w14:textId="77777777" w:rsidR="00D96C9F" w:rsidRDefault="00D96C9F" w:rsidP="00BF090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31855A74" w14:textId="23AE95AD" w:rsidR="00D96C9F" w:rsidRDefault="00B84CE5" w:rsidP="00BF090B">
            <w:pPr>
              <w:pStyle w:val="ListParagraph"/>
              <w:spacing w:before="60" w:after="60"/>
              <w:rPr>
                <w:rFonts w:cs="Arial"/>
                <w:color w:val="000000"/>
              </w:rPr>
            </w:pPr>
            <w:r>
              <w:rPr>
                <w:rFonts w:cs="Arial"/>
                <w:color w:val="000000"/>
              </w:rPr>
              <w:t>Current grants</w:t>
            </w:r>
            <w:r w:rsidR="00D96C9F">
              <w:rPr>
                <w:rFonts w:cs="Arial"/>
                <w:color w:val="000000"/>
              </w:rPr>
              <w:t xml:space="preserve"> (41</w:t>
            </w:r>
            <w:r w:rsidR="00FF20CD">
              <w:rPr>
                <w:rFonts w:cs="Arial"/>
                <w:color w:val="000000"/>
              </w:rPr>
              <w:t>1</w:t>
            </w:r>
            <w:r w:rsidR="00D96C9F">
              <w:rPr>
                <w:rFonts w:cs="Arial"/>
                <w:color w:val="000000"/>
              </w:rPr>
              <w:t>000)</w:t>
            </w:r>
          </w:p>
        </w:tc>
        <w:tc>
          <w:tcPr>
            <w:tcW w:w="1418" w:type="dxa"/>
            <w:tcBorders>
              <w:top w:val="single" w:sz="4" w:space="0" w:color="auto"/>
            </w:tcBorders>
          </w:tcPr>
          <w:p w14:paraId="63EBE0CA" w14:textId="77777777" w:rsidR="00D96C9F" w:rsidRDefault="00D96C9F" w:rsidP="00BF090B">
            <w:pPr>
              <w:pStyle w:val="ListParagraph"/>
              <w:spacing w:before="60" w:after="60"/>
              <w:ind w:left="317" w:hanging="317"/>
              <w:jc w:val="right"/>
              <w:rPr>
                <w:rFonts w:cs="Arial"/>
                <w:color w:val="000000"/>
              </w:rPr>
            </w:pPr>
            <w:r>
              <w:rPr>
                <w:rFonts w:cs="Arial"/>
                <w:color w:val="000000"/>
              </w:rPr>
              <w:t xml:space="preserve">$100 </w:t>
            </w:r>
            <w:r w:rsidRPr="001C4717">
              <w:rPr>
                <w:rFonts w:cs="Arial"/>
                <w:color w:val="000000"/>
              </w:rPr>
              <w:t>000</w:t>
            </w:r>
          </w:p>
        </w:tc>
        <w:tc>
          <w:tcPr>
            <w:tcW w:w="1405" w:type="dxa"/>
            <w:tcBorders>
              <w:top w:val="single" w:sz="4" w:space="0" w:color="auto"/>
            </w:tcBorders>
          </w:tcPr>
          <w:p w14:paraId="6B1B9E9D" w14:textId="77777777" w:rsidR="00D96C9F" w:rsidRDefault="00D96C9F" w:rsidP="00BF090B">
            <w:pPr>
              <w:pStyle w:val="ListParagraph"/>
              <w:spacing w:before="60" w:after="60"/>
              <w:jc w:val="right"/>
              <w:rPr>
                <w:rFonts w:cs="Arial"/>
                <w:color w:val="000000"/>
              </w:rPr>
            </w:pPr>
          </w:p>
        </w:tc>
      </w:tr>
      <w:tr w:rsidR="00D96C9F" w14:paraId="77151CE5" w14:textId="77777777" w:rsidTr="00BF090B">
        <w:tc>
          <w:tcPr>
            <w:tcW w:w="704" w:type="dxa"/>
            <w:tcBorders>
              <w:bottom w:val="single" w:sz="4" w:space="0" w:color="auto"/>
            </w:tcBorders>
          </w:tcPr>
          <w:p w14:paraId="411ED5E4" w14:textId="77777777" w:rsidR="00D96C9F" w:rsidRDefault="00D96C9F" w:rsidP="00BF090B">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5700648B" w14:textId="77777777" w:rsidR="00D96C9F" w:rsidRDefault="00D96C9F" w:rsidP="00BF090B">
            <w:pPr>
              <w:pStyle w:val="ListParagraph"/>
              <w:spacing w:before="60" w:after="60"/>
              <w:rPr>
                <w:rFonts w:cs="Arial"/>
                <w:color w:val="000000"/>
              </w:rPr>
            </w:pPr>
            <w:r>
              <w:rPr>
                <w:rFonts w:cs="Arial"/>
                <w:color w:val="000000"/>
              </w:rPr>
              <w:t>Grant and subsidies payable (912200)</w:t>
            </w:r>
          </w:p>
        </w:tc>
        <w:tc>
          <w:tcPr>
            <w:tcW w:w="1418" w:type="dxa"/>
            <w:tcBorders>
              <w:bottom w:val="single" w:sz="4" w:space="0" w:color="auto"/>
            </w:tcBorders>
          </w:tcPr>
          <w:p w14:paraId="451E04BC" w14:textId="77777777" w:rsidR="00D96C9F" w:rsidRDefault="00D96C9F" w:rsidP="00BF090B">
            <w:pPr>
              <w:pStyle w:val="ListParagraph"/>
              <w:spacing w:before="60" w:after="60"/>
              <w:jc w:val="right"/>
              <w:rPr>
                <w:rFonts w:cs="Arial"/>
                <w:color w:val="000000"/>
              </w:rPr>
            </w:pPr>
          </w:p>
        </w:tc>
        <w:tc>
          <w:tcPr>
            <w:tcW w:w="1405" w:type="dxa"/>
            <w:tcBorders>
              <w:bottom w:val="single" w:sz="4" w:space="0" w:color="auto"/>
            </w:tcBorders>
          </w:tcPr>
          <w:p w14:paraId="2BA86AC7" w14:textId="77777777" w:rsidR="00D96C9F" w:rsidRDefault="00D96C9F" w:rsidP="00BF090B">
            <w:pPr>
              <w:pStyle w:val="ListParagraph"/>
              <w:spacing w:before="60" w:after="60"/>
              <w:jc w:val="right"/>
              <w:rPr>
                <w:rFonts w:cs="Arial"/>
                <w:color w:val="000000"/>
              </w:rPr>
            </w:pPr>
            <w:r w:rsidRPr="001C4717">
              <w:rPr>
                <w:rFonts w:cs="Arial"/>
                <w:color w:val="000000"/>
              </w:rPr>
              <w:t>$</w:t>
            </w:r>
            <w:r>
              <w:rPr>
                <w:rFonts w:cs="Arial"/>
                <w:color w:val="000000"/>
              </w:rPr>
              <w:t>10</w:t>
            </w:r>
            <w:r w:rsidRPr="001C4717">
              <w:rPr>
                <w:rFonts w:cs="Arial"/>
                <w:color w:val="000000"/>
              </w:rPr>
              <w:t>0</w:t>
            </w:r>
            <w:r>
              <w:rPr>
                <w:rFonts w:cs="Arial"/>
                <w:color w:val="000000"/>
              </w:rPr>
              <w:t xml:space="preserve"> </w:t>
            </w:r>
            <w:r w:rsidRPr="001C4717">
              <w:rPr>
                <w:rFonts w:cs="Arial"/>
                <w:color w:val="000000"/>
              </w:rPr>
              <w:t>000</w:t>
            </w:r>
          </w:p>
        </w:tc>
      </w:tr>
    </w:tbl>
    <w:p w14:paraId="00027DC6" w14:textId="77777777" w:rsidR="00D96C9F" w:rsidRDefault="00D96C9F" w:rsidP="00D96C9F">
      <w:pPr>
        <w:spacing w:before="240"/>
      </w:pPr>
      <w:r>
        <w:t>Once the grant payment is made and the present obligation is settled, the agency derecognises the grant liability.</w:t>
      </w:r>
    </w:p>
    <w:p w14:paraId="7A9FBCB7" w14:textId="6FE9A2D7" w:rsidR="00D96C9F" w:rsidRDefault="00D96C9F" w:rsidP="008236A1">
      <w:r>
        <w:t>Journal to derecognise grant liability: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D96C9F" w14:paraId="204C1D57" w14:textId="77777777" w:rsidTr="00BF090B">
        <w:tc>
          <w:tcPr>
            <w:tcW w:w="704" w:type="dxa"/>
            <w:tcBorders>
              <w:top w:val="single" w:sz="4" w:space="0" w:color="auto"/>
            </w:tcBorders>
          </w:tcPr>
          <w:p w14:paraId="5D17A3A1" w14:textId="77777777" w:rsidR="00D96C9F" w:rsidRDefault="00D96C9F" w:rsidP="00BF090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6EED3585" w14:textId="77777777" w:rsidR="00D96C9F" w:rsidRDefault="00D96C9F" w:rsidP="00BF090B">
            <w:pPr>
              <w:pStyle w:val="ListParagraph"/>
              <w:spacing w:before="60" w:after="60"/>
              <w:rPr>
                <w:rFonts w:cs="Arial"/>
                <w:color w:val="000000"/>
              </w:rPr>
            </w:pPr>
            <w:r>
              <w:rPr>
                <w:rFonts w:cs="Arial"/>
                <w:color w:val="000000"/>
              </w:rPr>
              <w:t>Grant and subsidies payable (912200)</w:t>
            </w:r>
          </w:p>
        </w:tc>
        <w:tc>
          <w:tcPr>
            <w:tcW w:w="1418" w:type="dxa"/>
            <w:tcBorders>
              <w:top w:val="single" w:sz="4" w:space="0" w:color="auto"/>
            </w:tcBorders>
          </w:tcPr>
          <w:p w14:paraId="1D2B2DF3" w14:textId="77777777" w:rsidR="00D96C9F" w:rsidRDefault="00D96C9F" w:rsidP="00BF090B">
            <w:pPr>
              <w:pStyle w:val="ListParagraph"/>
              <w:spacing w:before="60" w:after="60"/>
              <w:ind w:left="317" w:hanging="317"/>
              <w:jc w:val="right"/>
              <w:rPr>
                <w:rFonts w:cs="Arial"/>
                <w:color w:val="000000"/>
              </w:rPr>
            </w:pPr>
            <w:r>
              <w:rPr>
                <w:rFonts w:cs="Arial"/>
                <w:color w:val="000000"/>
              </w:rPr>
              <w:t xml:space="preserve">$100 </w:t>
            </w:r>
            <w:r w:rsidRPr="001C4717">
              <w:rPr>
                <w:rFonts w:cs="Arial"/>
                <w:color w:val="000000"/>
              </w:rPr>
              <w:t>000</w:t>
            </w:r>
          </w:p>
        </w:tc>
        <w:tc>
          <w:tcPr>
            <w:tcW w:w="1405" w:type="dxa"/>
            <w:tcBorders>
              <w:top w:val="single" w:sz="4" w:space="0" w:color="auto"/>
            </w:tcBorders>
          </w:tcPr>
          <w:p w14:paraId="1C8E75DB" w14:textId="77777777" w:rsidR="00D96C9F" w:rsidRDefault="00D96C9F" w:rsidP="00BF090B">
            <w:pPr>
              <w:pStyle w:val="ListParagraph"/>
              <w:spacing w:before="60" w:after="60"/>
              <w:jc w:val="right"/>
              <w:rPr>
                <w:rFonts w:cs="Arial"/>
                <w:color w:val="000000"/>
              </w:rPr>
            </w:pPr>
          </w:p>
        </w:tc>
      </w:tr>
      <w:tr w:rsidR="00D96C9F" w14:paraId="6F884F1C" w14:textId="77777777" w:rsidTr="00BF090B">
        <w:tc>
          <w:tcPr>
            <w:tcW w:w="704" w:type="dxa"/>
            <w:tcBorders>
              <w:bottom w:val="single" w:sz="4" w:space="0" w:color="auto"/>
            </w:tcBorders>
          </w:tcPr>
          <w:p w14:paraId="230E50B9" w14:textId="77777777" w:rsidR="00D96C9F" w:rsidRDefault="00D96C9F" w:rsidP="00BF090B">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773B92EF" w14:textId="7BB0E356" w:rsidR="00D96C9F" w:rsidRDefault="00D96C9F" w:rsidP="00BF090B">
            <w:pPr>
              <w:pStyle w:val="ListParagraph"/>
              <w:spacing w:before="60" w:after="60"/>
              <w:rPr>
                <w:rFonts w:cs="Arial"/>
                <w:color w:val="000000"/>
              </w:rPr>
            </w:pPr>
            <w:r>
              <w:rPr>
                <w:rFonts w:cs="Arial"/>
                <w:color w:val="000000"/>
              </w:rPr>
              <w:t>Cash at bank (811</w:t>
            </w:r>
            <w:r w:rsidR="00B84CE5">
              <w:rPr>
                <w:rFonts w:cs="Arial"/>
                <w:color w:val="000000"/>
              </w:rPr>
              <w:t>1</w:t>
            </w:r>
            <w:r>
              <w:rPr>
                <w:rFonts w:cs="Arial"/>
                <w:color w:val="000000"/>
              </w:rPr>
              <w:t>00)</w:t>
            </w:r>
          </w:p>
        </w:tc>
        <w:tc>
          <w:tcPr>
            <w:tcW w:w="1418" w:type="dxa"/>
            <w:tcBorders>
              <w:bottom w:val="single" w:sz="4" w:space="0" w:color="auto"/>
            </w:tcBorders>
          </w:tcPr>
          <w:p w14:paraId="4380D0D6" w14:textId="77777777" w:rsidR="00D96C9F" w:rsidRDefault="00D96C9F" w:rsidP="00BF090B">
            <w:pPr>
              <w:pStyle w:val="ListParagraph"/>
              <w:spacing w:before="60" w:after="60"/>
              <w:jc w:val="right"/>
              <w:rPr>
                <w:rFonts w:cs="Arial"/>
                <w:color w:val="000000"/>
              </w:rPr>
            </w:pPr>
          </w:p>
        </w:tc>
        <w:tc>
          <w:tcPr>
            <w:tcW w:w="1405" w:type="dxa"/>
            <w:tcBorders>
              <w:bottom w:val="single" w:sz="4" w:space="0" w:color="auto"/>
            </w:tcBorders>
          </w:tcPr>
          <w:p w14:paraId="3FD87EE1" w14:textId="77777777" w:rsidR="00D96C9F" w:rsidRDefault="00D96C9F" w:rsidP="00BF090B">
            <w:pPr>
              <w:pStyle w:val="ListParagraph"/>
              <w:spacing w:before="60" w:after="60"/>
              <w:jc w:val="right"/>
              <w:rPr>
                <w:rFonts w:cs="Arial"/>
                <w:color w:val="000000"/>
              </w:rPr>
            </w:pPr>
            <w:r w:rsidRPr="001C4717">
              <w:rPr>
                <w:rFonts w:cs="Arial"/>
                <w:color w:val="000000"/>
              </w:rPr>
              <w:t>$</w:t>
            </w:r>
            <w:r>
              <w:rPr>
                <w:rFonts w:cs="Arial"/>
                <w:color w:val="000000"/>
              </w:rPr>
              <w:t>10</w:t>
            </w:r>
            <w:r w:rsidRPr="001C4717">
              <w:rPr>
                <w:rFonts w:cs="Arial"/>
                <w:color w:val="000000"/>
              </w:rPr>
              <w:t>0</w:t>
            </w:r>
            <w:r>
              <w:rPr>
                <w:rFonts w:cs="Arial"/>
                <w:color w:val="000000"/>
              </w:rPr>
              <w:t xml:space="preserve"> </w:t>
            </w:r>
            <w:r w:rsidRPr="001C4717">
              <w:rPr>
                <w:rFonts w:cs="Arial"/>
                <w:color w:val="000000"/>
              </w:rPr>
              <w:t>000</w:t>
            </w:r>
          </w:p>
        </w:tc>
      </w:tr>
    </w:tbl>
    <w:p w14:paraId="5B4FC90D" w14:textId="0053F7DB" w:rsidR="00D96C9F" w:rsidRPr="0019377C" w:rsidRDefault="00D96C9F" w:rsidP="00D96C9F">
      <w:pPr>
        <w:spacing w:before="240"/>
        <w:rPr>
          <w:b/>
        </w:rPr>
      </w:pPr>
      <w:r w:rsidRPr="0019377C">
        <w:rPr>
          <w:b/>
        </w:rPr>
        <w:lastRenderedPageBreak/>
        <w:t>Scenario</w:t>
      </w:r>
      <w:r>
        <w:rPr>
          <w:b/>
        </w:rPr>
        <w:t xml:space="preserve"> 2</w:t>
      </w:r>
    </w:p>
    <w:p w14:paraId="1EE0D682" w14:textId="2FA43B40" w:rsidR="00D96C9F" w:rsidRDefault="00D96C9F" w:rsidP="00D96C9F">
      <w:pPr>
        <w:spacing w:before="240"/>
        <w:rPr>
          <w:rFonts w:cs="Arial"/>
          <w:color w:val="000000"/>
        </w:rPr>
      </w:pPr>
      <w:r w:rsidRPr="0019377C">
        <w:t xml:space="preserve">Agency A provides </w:t>
      </w:r>
      <w:r>
        <w:t xml:space="preserve">community service obligation (CSO) payments </w:t>
      </w:r>
      <w:r w:rsidRPr="0019377C">
        <w:t xml:space="preserve">to </w:t>
      </w:r>
      <w:r w:rsidR="006A5517">
        <w:t>E</w:t>
      </w:r>
      <w:r w:rsidR="006A5517" w:rsidRPr="0019377C">
        <w:t xml:space="preserve">ntity </w:t>
      </w:r>
      <w:r w:rsidRPr="0019377C">
        <w:t>B to provide discounted services to a community. The amount</w:t>
      </w:r>
      <w:r>
        <w:rPr>
          <w:rFonts w:cs="Arial"/>
          <w:color w:val="000000"/>
        </w:rPr>
        <w:t xml:space="preserve"> of CSO funding ($120 000) is fixed and is agreed upon at the beginning of each financial year. In exchange, </w:t>
      </w:r>
      <w:r w:rsidR="006A5517">
        <w:t>E</w:t>
      </w:r>
      <w:r w:rsidR="006A5517" w:rsidRPr="0019377C">
        <w:t xml:space="preserve">ntity </w:t>
      </w:r>
      <w:r>
        <w:rPr>
          <w:rFonts w:cs="Arial"/>
          <w:color w:val="000000"/>
        </w:rPr>
        <w:t xml:space="preserve">B must make services available at a discounted rate to anyone in the community who meets predefined eligibility criteria. Agency A must make fixed monthly ($10 000) payments to </w:t>
      </w:r>
      <w:r w:rsidR="006A5517">
        <w:t>E</w:t>
      </w:r>
      <w:r w:rsidR="006A5517" w:rsidRPr="0019377C">
        <w:t xml:space="preserve">ntity </w:t>
      </w:r>
      <w:r>
        <w:rPr>
          <w:rFonts w:cs="Arial"/>
          <w:color w:val="000000"/>
        </w:rPr>
        <w:t>B as agreed.</w:t>
      </w:r>
    </w:p>
    <w:p w14:paraId="32920A73" w14:textId="301C78CE" w:rsidR="00D96C9F" w:rsidRDefault="00D96C9F" w:rsidP="00D96C9F">
      <w:pPr>
        <w:rPr>
          <w:rFonts w:cs="Arial"/>
          <w:color w:val="000000"/>
        </w:rPr>
      </w:pPr>
      <w:r>
        <w:rPr>
          <w:rFonts w:cs="Arial"/>
          <w:color w:val="000000"/>
        </w:rPr>
        <w:t xml:space="preserve">Agency A is unable to process a payment before the end of the current reporting period to </w:t>
      </w:r>
      <w:r w:rsidR="006A5517">
        <w:t>E</w:t>
      </w:r>
      <w:r w:rsidR="006A5517" w:rsidRPr="0019377C">
        <w:t xml:space="preserve">ntity </w:t>
      </w:r>
      <w:r>
        <w:rPr>
          <w:rFonts w:cs="Arial"/>
          <w:color w:val="000000"/>
        </w:rPr>
        <w:t xml:space="preserve">B. Given </w:t>
      </w:r>
      <w:r w:rsidR="006A5517">
        <w:t>E</w:t>
      </w:r>
      <w:r w:rsidR="006A5517" w:rsidRPr="0019377C">
        <w:t xml:space="preserve">ntity </w:t>
      </w:r>
      <w:r>
        <w:rPr>
          <w:rFonts w:cs="Arial"/>
          <w:color w:val="000000"/>
        </w:rPr>
        <w:t xml:space="preserve">B has made services available at a discounted price to the community who meet eligibility criteria, </w:t>
      </w:r>
      <w:r w:rsidR="006A5517">
        <w:rPr>
          <w:rFonts w:cs="Arial"/>
          <w:color w:val="000000"/>
        </w:rPr>
        <w:t xml:space="preserve">Agency </w:t>
      </w:r>
      <w:r>
        <w:rPr>
          <w:rFonts w:cs="Arial"/>
          <w:color w:val="000000"/>
        </w:rPr>
        <w:t xml:space="preserve">A recognises a </w:t>
      </w:r>
      <w:r w:rsidR="0014371C">
        <w:rPr>
          <w:rFonts w:cs="Arial"/>
          <w:color w:val="000000"/>
        </w:rPr>
        <w:t>CSO</w:t>
      </w:r>
      <w:r w:rsidR="007B7CE7">
        <w:rPr>
          <w:rFonts w:cs="Arial"/>
          <w:color w:val="000000"/>
        </w:rPr>
        <w:t xml:space="preserve"> </w:t>
      </w:r>
      <w:r>
        <w:rPr>
          <w:rFonts w:cs="Arial"/>
          <w:color w:val="000000"/>
        </w:rPr>
        <w:t>expense and a corresponding liability at the end of the reporting</w:t>
      </w:r>
      <w:r w:rsidR="00713AA0">
        <w:rPr>
          <w:rFonts w:cs="Arial"/>
          <w:color w:val="000000"/>
        </w:rPr>
        <w:t xml:space="preserve"> period</w:t>
      </w:r>
      <w:r>
        <w:rPr>
          <w:rFonts w:cs="Arial"/>
          <w:color w:val="000000"/>
        </w:rPr>
        <w:t xml:space="preserve">. </w:t>
      </w:r>
      <w:r w:rsidR="00A95647">
        <w:rPr>
          <w:rFonts w:cs="Arial"/>
          <w:color w:val="000000"/>
        </w:rPr>
        <w:t xml:space="preserve">Once the </w:t>
      </w:r>
      <w:r w:rsidR="00CF671B">
        <w:rPr>
          <w:rFonts w:cs="Arial"/>
          <w:color w:val="000000"/>
        </w:rPr>
        <w:t xml:space="preserve">CSO </w:t>
      </w:r>
      <w:r w:rsidR="00A95647">
        <w:rPr>
          <w:rFonts w:cs="Arial"/>
          <w:color w:val="000000"/>
        </w:rPr>
        <w:t xml:space="preserve">payment is made and the present obligation </w:t>
      </w:r>
      <w:r w:rsidR="00713AA0">
        <w:rPr>
          <w:rFonts w:cs="Arial"/>
          <w:color w:val="000000"/>
        </w:rPr>
        <w:t xml:space="preserve">is </w:t>
      </w:r>
      <w:r w:rsidR="00A95647">
        <w:rPr>
          <w:rFonts w:cs="Arial"/>
          <w:color w:val="000000"/>
        </w:rPr>
        <w:t>settled, the agency derecognises the liability.</w:t>
      </w:r>
    </w:p>
    <w:p w14:paraId="27A7B3B9" w14:textId="002092FC" w:rsidR="00D96C9F" w:rsidRPr="004C0218" w:rsidRDefault="00D96C9F" w:rsidP="00D96C9F">
      <w:pPr>
        <w:rPr>
          <w:rFonts w:cs="Arial"/>
          <w:color w:val="000000"/>
        </w:rPr>
      </w:pPr>
      <w:r>
        <w:rPr>
          <w:rFonts w:cs="Arial"/>
          <w:color w:val="000000"/>
        </w:rPr>
        <w:t xml:space="preserve">Journal to recognise </w:t>
      </w:r>
      <w:r w:rsidR="000569E5">
        <w:rPr>
          <w:rFonts w:cs="Arial"/>
          <w:color w:val="000000"/>
        </w:rPr>
        <w:t>CSO</w:t>
      </w:r>
      <w:r w:rsidR="00DE4A54">
        <w:rPr>
          <w:rFonts w:cs="Arial"/>
          <w:color w:val="000000"/>
        </w:rPr>
        <w:t xml:space="preserve"> </w:t>
      </w:r>
      <w:r>
        <w:rPr>
          <w:rFonts w:cs="Arial"/>
          <w:color w:val="000000"/>
        </w:rPr>
        <w:t>expense and liability</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D96C9F" w14:paraId="75176324" w14:textId="77777777" w:rsidTr="00BF090B">
        <w:tc>
          <w:tcPr>
            <w:tcW w:w="704" w:type="dxa"/>
            <w:tcBorders>
              <w:top w:val="single" w:sz="4" w:space="0" w:color="auto"/>
            </w:tcBorders>
          </w:tcPr>
          <w:p w14:paraId="67A680CB" w14:textId="77777777" w:rsidR="00D96C9F" w:rsidRDefault="00D96C9F" w:rsidP="00BF090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79A7DB9C" w14:textId="0CEB1A8C" w:rsidR="00D96C9F" w:rsidRDefault="00FF20CD" w:rsidP="00BF090B">
            <w:pPr>
              <w:pStyle w:val="ListParagraph"/>
              <w:spacing w:before="60" w:after="60"/>
              <w:rPr>
                <w:rFonts w:cs="Arial"/>
                <w:color w:val="000000"/>
              </w:rPr>
            </w:pPr>
            <w:r>
              <w:rPr>
                <w:rFonts w:cs="Arial"/>
                <w:color w:val="000000"/>
              </w:rPr>
              <w:t>Community Service Obligations</w:t>
            </w:r>
            <w:r w:rsidR="00D96C9F">
              <w:rPr>
                <w:rFonts w:cs="Arial"/>
                <w:color w:val="000000"/>
              </w:rPr>
              <w:t xml:space="preserve"> (41</w:t>
            </w:r>
            <w:r>
              <w:rPr>
                <w:rFonts w:cs="Arial"/>
                <w:color w:val="000000"/>
              </w:rPr>
              <w:t>4</w:t>
            </w:r>
            <w:r w:rsidR="00D96C9F">
              <w:rPr>
                <w:rFonts w:cs="Arial"/>
                <w:color w:val="000000"/>
              </w:rPr>
              <w:t>000)</w:t>
            </w:r>
          </w:p>
        </w:tc>
        <w:tc>
          <w:tcPr>
            <w:tcW w:w="1418" w:type="dxa"/>
            <w:tcBorders>
              <w:top w:val="single" w:sz="4" w:space="0" w:color="auto"/>
            </w:tcBorders>
          </w:tcPr>
          <w:p w14:paraId="37A0F725" w14:textId="77777777" w:rsidR="00D96C9F" w:rsidRDefault="00D96C9F" w:rsidP="00BF090B">
            <w:pPr>
              <w:pStyle w:val="ListParagraph"/>
              <w:spacing w:before="60" w:after="60"/>
              <w:ind w:left="317" w:hanging="317"/>
              <w:jc w:val="right"/>
              <w:rPr>
                <w:rFonts w:cs="Arial"/>
                <w:color w:val="000000"/>
              </w:rPr>
            </w:pPr>
            <w:r>
              <w:rPr>
                <w:rFonts w:cs="Arial"/>
                <w:color w:val="000000"/>
              </w:rPr>
              <w:t xml:space="preserve">$10 </w:t>
            </w:r>
            <w:r w:rsidRPr="001C4717">
              <w:rPr>
                <w:rFonts w:cs="Arial"/>
                <w:color w:val="000000"/>
              </w:rPr>
              <w:t>000</w:t>
            </w:r>
          </w:p>
        </w:tc>
        <w:tc>
          <w:tcPr>
            <w:tcW w:w="1405" w:type="dxa"/>
            <w:tcBorders>
              <w:top w:val="single" w:sz="4" w:space="0" w:color="auto"/>
            </w:tcBorders>
          </w:tcPr>
          <w:p w14:paraId="35360981" w14:textId="77777777" w:rsidR="00D96C9F" w:rsidRDefault="00D96C9F" w:rsidP="00BF090B">
            <w:pPr>
              <w:pStyle w:val="ListParagraph"/>
              <w:spacing w:before="60" w:after="60"/>
              <w:jc w:val="right"/>
              <w:rPr>
                <w:rFonts w:cs="Arial"/>
                <w:color w:val="000000"/>
              </w:rPr>
            </w:pPr>
          </w:p>
        </w:tc>
      </w:tr>
      <w:tr w:rsidR="00D96C9F" w14:paraId="5866D086" w14:textId="77777777" w:rsidTr="00BF090B">
        <w:tc>
          <w:tcPr>
            <w:tcW w:w="704" w:type="dxa"/>
            <w:tcBorders>
              <w:bottom w:val="single" w:sz="4" w:space="0" w:color="auto"/>
            </w:tcBorders>
          </w:tcPr>
          <w:p w14:paraId="1D434EA5" w14:textId="77777777" w:rsidR="00D96C9F" w:rsidRDefault="00D96C9F" w:rsidP="00BF090B">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3A2CDF71" w14:textId="77777777" w:rsidR="00D96C9F" w:rsidRDefault="00D96C9F" w:rsidP="00BF090B">
            <w:pPr>
              <w:pStyle w:val="ListParagraph"/>
              <w:spacing w:before="60" w:after="60"/>
              <w:rPr>
                <w:rFonts w:cs="Arial"/>
                <w:color w:val="000000"/>
              </w:rPr>
            </w:pPr>
            <w:r>
              <w:rPr>
                <w:rFonts w:cs="Arial"/>
                <w:color w:val="000000"/>
              </w:rPr>
              <w:t>Grant and subsidies payable (912200)</w:t>
            </w:r>
          </w:p>
        </w:tc>
        <w:tc>
          <w:tcPr>
            <w:tcW w:w="1418" w:type="dxa"/>
            <w:tcBorders>
              <w:bottom w:val="single" w:sz="4" w:space="0" w:color="auto"/>
            </w:tcBorders>
          </w:tcPr>
          <w:p w14:paraId="6684C12C" w14:textId="77777777" w:rsidR="00D96C9F" w:rsidRDefault="00D96C9F" w:rsidP="00BF090B">
            <w:pPr>
              <w:pStyle w:val="ListParagraph"/>
              <w:spacing w:before="60" w:after="60"/>
              <w:jc w:val="right"/>
              <w:rPr>
                <w:rFonts w:cs="Arial"/>
                <w:color w:val="000000"/>
              </w:rPr>
            </w:pPr>
          </w:p>
        </w:tc>
        <w:tc>
          <w:tcPr>
            <w:tcW w:w="1405" w:type="dxa"/>
            <w:tcBorders>
              <w:bottom w:val="single" w:sz="4" w:space="0" w:color="auto"/>
            </w:tcBorders>
          </w:tcPr>
          <w:p w14:paraId="0DF3ADFF" w14:textId="77777777" w:rsidR="00D96C9F" w:rsidRDefault="00D96C9F" w:rsidP="00BF090B">
            <w:pPr>
              <w:pStyle w:val="ListParagraph"/>
              <w:spacing w:before="60" w:after="60"/>
              <w:jc w:val="right"/>
              <w:rPr>
                <w:rFonts w:cs="Arial"/>
                <w:color w:val="000000"/>
              </w:rPr>
            </w:pPr>
            <w:r w:rsidRPr="001C4717">
              <w:rPr>
                <w:rFonts w:cs="Arial"/>
                <w:color w:val="000000"/>
              </w:rPr>
              <w:t>$</w:t>
            </w:r>
            <w:r>
              <w:rPr>
                <w:rFonts w:cs="Arial"/>
                <w:color w:val="000000"/>
              </w:rPr>
              <w:t xml:space="preserve">10 </w:t>
            </w:r>
            <w:r w:rsidRPr="001C4717">
              <w:rPr>
                <w:rFonts w:cs="Arial"/>
                <w:color w:val="000000"/>
              </w:rPr>
              <w:t>000</w:t>
            </w:r>
          </w:p>
        </w:tc>
      </w:tr>
    </w:tbl>
    <w:p w14:paraId="22F6D9A8" w14:textId="13778EF8" w:rsidR="00713AA0" w:rsidRDefault="00713AA0" w:rsidP="00713AA0">
      <w:pPr>
        <w:spacing w:before="240"/>
      </w:pPr>
      <w:bookmarkStart w:id="89" w:name="_Toc33002608"/>
      <w:r>
        <w:t xml:space="preserve">Once the </w:t>
      </w:r>
      <w:r w:rsidR="004B4F16">
        <w:t>CSO</w:t>
      </w:r>
      <w:r>
        <w:t xml:space="preserve"> payment is made and the present obligation is settled, the agency derecognises the liability.</w:t>
      </w:r>
    </w:p>
    <w:p w14:paraId="7308D546" w14:textId="42C06B9F" w:rsidR="00713AA0" w:rsidRDefault="00713AA0" w:rsidP="00713AA0">
      <w:r>
        <w:t xml:space="preserve">Journal to derecognise </w:t>
      </w:r>
      <w:r w:rsidR="00DE4A54">
        <w:t>subsidy</w:t>
      </w:r>
      <w:r>
        <w:t xml:space="preserve"> liability: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713AA0" w14:paraId="120AE719" w14:textId="77777777" w:rsidTr="00713AA0">
        <w:tc>
          <w:tcPr>
            <w:tcW w:w="704" w:type="dxa"/>
            <w:tcBorders>
              <w:top w:val="single" w:sz="4" w:space="0" w:color="auto"/>
            </w:tcBorders>
          </w:tcPr>
          <w:p w14:paraId="34EAD711" w14:textId="77777777" w:rsidR="00713AA0" w:rsidRDefault="00713AA0" w:rsidP="00713AA0">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30496BBD" w14:textId="77777777" w:rsidR="00713AA0" w:rsidRDefault="00713AA0" w:rsidP="00713AA0">
            <w:pPr>
              <w:pStyle w:val="ListParagraph"/>
              <w:spacing w:before="60" w:after="60"/>
              <w:rPr>
                <w:rFonts w:cs="Arial"/>
                <w:color w:val="000000"/>
              </w:rPr>
            </w:pPr>
            <w:r>
              <w:rPr>
                <w:rFonts w:cs="Arial"/>
                <w:color w:val="000000"/>
              </w:rPr>
              <w:t>Grant and subsidies payable (912200)</w:t>
            </w:r>
          </w:p>
        </w:tc>
        <w:tc>
          <w:tcPr>
            <w:tcW w:w="1418" w:type="dxa"/>
            <w:tcBorders>
              <w:top w:val="single" w:sz="4" w:space="0" w:color="auto"/>
            </w:tcBorders>
          </w:tcPr>
          <w:p w14:paraId="0BB6ECDB" w14:textId="49743873" w:rsidR="00713AA0" w:rsidRDefault="00713AA0" w:rsidP="00096608">
            <w:pPr>
              <w:pStyle w:val="ListParagraph"/>
              <w:spacing w:before="60" w:after="60"/>
              <w:ind w:left="317" w:hanging="317"/>
              <w:jc w:val="right"/>
              <w:rPr>
                <w:rFonts w:cs="Arial"/>
                <w:color w:val="000000"/>
              </w:rPr>
            </w:pPr>
            <w:r>
              <w:rPr>
                <w:rFonts w:cs="Arial"/>
                <w:color w:val="000000"/>
              </w:rPr>
              <w:t>$10</w:t>
            </w:r>
            <w:r w:rsidR="00096608">
              <w:rPr>
                <w:rFonts w:cs="Arial"/>
                <w:color w:val="000000"/>
              </w:rPr>
              <w:t xml:space="preserve"> </w:t>
            </w:r>
            <w:r>
              <w:rPr>
                <w:rFonts w:cs="Arial"/>
                <w:color w:val="000000"/>
              </w:rPr>
              <w:t>0</w:t>
            </w:r>
            <w:r w:rsidRPr="001C4717">
              <w:rPr>
                <w:rFonts w:cs="Arial"/>
                <w:color w:val="000000"/>
              </w:rPr>
              <w:t>00</w:t>
            </w:r>
          </w:p>
        </w:tc>
        <w:tc>
          <w:tcPr>
            <w:tcW w:w="1405" w:type="dxa"/>
            <w:tcBorders>
              <w:top w:val="single" w:sz="4" w:space="0" w:color="auto"/>
            </w:tcBorders>
          </w:tcPr>
          <w:p w14:paraId="03A95412" w14:textId="77777777" w:rsidR="00713AA0" w:rsidRDefault="00713AA0" w:rsidP="00713AA0">
            <w:pPr>
              <w:pStyle w:val="ListParagraph"/>
              <w:spacing w:before="60" w:after="60"/>
              <w:jc w:val="right"/>
              <w:rPr>
                <w:rFonts w:cs="Arial"/>
                <w:color w:val="000000"/>
              </w:rPr>
            </w:pPr>
          </w:p>
        </w:tc>
      </w:tr>
      <w:tr w:rsidR="00713AA0" w14:paraId="2078393B" w14:textId="77777777" w:rsidTr="00713AA0">
        <w:tc>
          <w:tcPr>
            <w:tcW w:w="704" w:type="dxa"/>
            <w:tcBorders>
              <w:bottom w:val="single" w:sz="4" w:space="0" w:color="auto"/>
            </w:tcBorders>
          </w:tcPr>
          <w:p w14:paraId="4750522B" w14:textId="77777777" w:rsidR="00713AA0" w:rsidRDefault="00713AA0" w:rsidP="00713AA0">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6F6D1C47" w14:textId="56289BDA" w:rsidR="00713AA0" w:rsidRDefault="00713AA0" w:rsidP="00713AA0">
            <w:pPr>
              <w:pStyle w:val="ListParagraph"/>
              <w:spacing w:before="60" w:after="60"/>
              <w:rPr>
                <w:rFonts w:cs="Arial"/>
                <w:color w:val="000000"/>
              </w:rPr>
            </w:pPr>
            <w:r>
              <w:rPr>
                <w:rFonts w:cs="Arial"/>
                <w:color w:val="000000"/>
              </w:rPr>
              <w:t>Cash at bank (811</w:t>
            </w:r>
            <w:r w:rsidR="00B84CE5">
              <w:rPr>
                <w:rFonts w:cs="Arial"/>
                <w:color w:val="000000"/>
              </w:rPr>
              <w:t>1</w:t>
            </w:r>
            <w:r>
              <w:rPr>
                <w:rFonts w:cs="Arial"/>
                <w:color w:val="000000"/>
              </w:rPr>
              <w:t>00)</w:t>
            </w:r>
          </w:p>
        </w:tc>
        <w:tc>
          <w:tcPr>
            <w:tcW w:w="1418" w:type="dxa"/>
            <w:tcBorders>
              <w:bottom w:val="single" w:sz="4" w:space="0" w:color="auto"/>
            </w:tcBorders>
          </w:tcPr>
          <w:p w14:paraId="47E2B5C5" w14:textId="77777777" w:rsidR="00713AA0" w:rsidRDefault="00713AA0" w:rsidP="00713AA0">
            <w:pPr>
              <w:pStyle w:val="ListParagraph"/>
              <w:spacing w:before="60" w:after="60"/>
              <w:jc w:val="right"/>
              <w:rPr>
                <w:rFonts w:cs="Arial"/>
                <w:color w:val="000000"/>
              </w:rPr>
            </w:pPr>
          </w:p>
        </w:tc>
        <w:tc>
          <w:tcPr>
            <w:tcW w:w="1405" w:type="dxa"/>
            <w:tcBorders>
              <w:bottom w:val="single" w:sz="4" w:space="0" w:color="auto"/>
            </w:tcBorders>
          </w:tcPr>
          <w:p w14:paraId="5F6428A5" w14:textId="43AD92A3" w:rsidR="00713AA0" w:rsidRDefault="00713AA0" w:rsidP="00096608">
            <w:pPr>
              <w:pStyle w:val="ListParagraph"/>
              <w:spacing w:before="60" w:after="60"/>
              <w:jc w:val="right"/>
              <w:rPr>
                <w:rFonts w:cs="Arial"/>
                <w:color w:val="000000"/>
              </w:rPr>
            </w:pPr>
            <w:r w:rsidRPr="001C4717">
              <w:rPr>
                <w:rFonts w:cs="Arial"/>
                <w:color w:val="000000"/>
              </w:rPr>
              <w:t>$</w:t>
            </w:r>
            <w:r>
              <w:rPr>
                <w:rFonts w:cs="Arial"/>
                <w:color w:val="000000"/>
              </w:rPr>
              <w:t>10</w:t>
            </w:r>
            <w:r w:rsidR="00096608">
              <w:rPr>
                <w:rFonts w:cs="Arial"/>
                <w:color w:val="000000"/>
              </w:rPr>
              <w:t xml:space="preserve"> </w:t>
            </w:r>
            <w:r w:rsidRPr="001C4717">
              <w:rPr>
                <w:rFonts w:cs="Arial"/>
                <w:color w:val="000000"/>
              </w:rPr>
              <w:t>000</w:t>
            </w:r>
          </w:p>
        </w:tc>
      </w:tr>
    </w:tbl>
    <w:p w14:paraId="7B5A8A0E" w14:textId="61952BA6" w:rsidR="00D96C9F" w:rsidRDefault="00D96C9F" w:rsidP="00D96C9F">
      <w:pPr>
        <w:pStyle w:val="Heading4"/>
        <w:keepNext/>
        <w:keepLines/>
      </w:pPr>
      <w:bookmarkStart w:id="90" w:name="_Toc204068748"/>
      <w:r>
        <w:t>Present obligation has arisen and cannot be reliably measured</w:t>
      </w:r>
      <w:bookmarkEnd w:id="89"/>
      <w:bookmarkEnd w:id="90"/>
    </w:p>
    <w:p w14:paraId="5B6F3212" w14:textId="21DD7B1C" w:rsidR="00D96C9F" w:rsidRDefault="00D96C9F" w:rsidP="00D96C9F">
      <w:r>
        <w:t xml:space="preserve">Agency A provides CSO payments to </w:t>
      </w:r>
      <w:r w:rsidR="006A5517">
        <w:t>E</w:t>
      </w:r>
      <w:r w:rsidR="006A5517" w:rsidRPr="0019377C">
        <w:t xml:space="preserve">ntity </w:t>
      </w:r>
      <w:r>
        <w:t xml:space="preserve">B to provide services to the community at discounted prices. The CSO payments cover </w:t>
      </w:r>
      <w:r w:rsidR="006A5517">
        <w:t>E</w:t>
      </w:r>
      <w:r w:rsidR="006A5517" w:rsidRPr="0019377C">
        <w:t xml:space="preserve">ntity </w:t>
      </w:r>
      <w:r>
        <w:t xml:space="preserve">B for the difference between the discounted prices and what would be commercially charged in an open market. </w:t>
      </w:r>
    </w:p>
    <w:p w14:paraId="53E0C776" w14:textId="7FEEFE40" w:rsidR="00D96C9F" w:rsidRDefault="00D96C9F" w:rsidP="00D96C9F">
      <w:r>
        <w:t xml:space="preserve">At the end of the first month, </w:t>
      </w:r>
      <w:r w:rsidR="006A5517">
        <w:t>E</w:t>
      </w:r>
      <w:r w:rsidR="006A5517" w:rsidRPr="0019377C">
        <w:t xml:space="preserve">ntity </w:t>
      </w:r>
      <w:r>
        <w:t>B has provided discounted services to the community. Agency</w:t>
      </w:r>
      <w:r w:rsidR="006A5517">
        <w:t> </w:t>
      </w:r>
      <w:r>
        <w:t xml:space="preserve">A notes that it has a present obligation to pay </w:t>
      </w:r>
      <w:r w:rsidR="006A5517">
        <w:t>E</w:t>
      </w:r>
      <w:r w:rsidR="006A5517" w:rsidRPr="0019377C">
        <w:t xml:space="preserve">ntity </w:t>
      </w:r>
      <w:r w:rsidR="00751C49">
        <w:t>B but</w:t>
      </w:r>
      <w:r>
        <w:t xml:space="preserve"> is unable to reliably measure this obligation. As a result, </w:t>
      </w:r>
      <w:r w:rsidR="006A5517">
        <w:t>A</w:t>
      </w:r>
      <w:r>
        <w:t xml:space="preserve">gency A </w:t>
      </w:r>
      <w:r w:rsidRPr="00C4674B">
        <w:rPr>
          <w:b/>
        </w:rPr>
        <w:t>does not</w:t>
      </w:r>
      <w:r>
        <w:t xml:space="preserve"> recognise an expense or liability for the community service obligation payments.</w:t>
      </w:r>
    </w:p>
    <w:p w14:paraId="7150DB6C" w14:textId="77C41938" w:rsidR="00D96C9F" w:rsidRDefault="00D96C9F" w:rsidP="00D96C9F">
      <w:r>
        <w:t xml:space="preserve">In a subsequent month, </w:t>
      </w:r>
      <w:r w:rsidR="006A5517">
        <w:t xml:space="preserve">Agency </w:t>
      </w:r>
      <w:r>
        <w:t xml:space="preserve">A receives an invoice of $100 000 from </w:t>
      </w:r>
      <w:r w:rsidR="006A5517">
        <w:t>E</w:t>
      </w:r>
      <w:r w:rsidR="006A5517" w:rsidRPr="0019377C">
        <w:t xml:space="preserve">ntity </w:t>
      </w:r>
      <w:r>
        <w:t xml:space="preserve">B for services provided to the community at a discounted price. Agency A has previously noted it has a present obligation to pay </w:t>
      </w:r>
      <w:r w:rsidR="006A5517">
        <w:t>E</w:t>
      </w:r>
      <w:r w:rsidR="006A5517" w:rsidRPr="0019377C">
        <w:t xml:space="preserve">ntity </w:t>
      </w:r>
      <w:r>
        <w:t>B and can now reliably measure this obligation. Agency A recognises a</w:t>
      </w:r>
      <w:r w:rsidR="00DE4A54">
        <w:t xml:space="preserve"> subsidy</w:t>
      </w:r>
      <w:r>
        <w:t xml:space="preserve"> expense on payment of the invoice or </w:t>
      </w:r>
      <w:r w:rsidR="00DE4A54">
        <w:t xml:space="preserve">subsidy </w:t>
      </w:r>
      <w:r>
        <w:t>liability if the invoice remains unpaid at the end of the current reporting period.</w:t>
      </w:r>
    </w:p>
    <w:p w14:paraId="45FEAB1B" w14:textId="370A3596" w:rsidR="00D96C9F" w:rsidRPr="004C0218" w:rsidRDefault="00D96C9F" w:rsidP="00137A32">
      <w:pPr>
        <w:rPr>
          <w:rFonts w:cs="Arial"/>
          <w:color w:val="000000"/>
        </w:rPr>
      </w:pPr>
      <w:r>
        <w:rPr>
          <w:rFonts w:cs="Arial"/>
          <w:color w:val="000000"/>
        </w:rPr>
        <w:t xml:space="preserve">Journal to recognise </w:t>
      </w:r>
      <w:r w:rsidR="00DE4A54">
        <w:rPr>
          <w:rFonts w:cs="Arial"/>
          <w:color w:val="000000"/>
        </w:rPr>
        <w:t xml:space="preserve">subsidy </w:t>
      </w:r>
      <w:r>
        <w:rPr>
          <w:rFonts w:cs="Arial"/>
          <w:color w:val="000000"/>
        </w:rPr>
        <w:t>expense on payment of invoice</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FF20CD" w14:paraId="2DBDF9DB" w14:textId="77777777" w:rsidTr="00BF090B">
        <w:trPr>
          <w:trHeight w:val="70"/>
        </w:trPr>
        <w:tc>
          <w:tcPr>
            <w:tcW w:w="704" w:type="dxa"/>
            <w:tcBorders>
              <w:top w:val="single" w:sz="4" w:space="0" w:color="auto"/>
            </w:tcBorders>
          </w:tcPr>
          <w:p w14:paraId="55F701CD" w14:textId="77777777" w:rsidR="00FF20CD" w:rsidRDefault="00FF20CD" w:rsidP="00FF20CD">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000CEAE5" w14:textId="7A5508DF" w:rsidR="00FF20CD" w:rsidRDefault="00FF20CD" w:rsidP="00FF20CD">
            <w:pPr>
              <w:pStyle w:val="ListParagraph"/>
              <w:spacing w:before="60" w:after="60"/>
              <w:rPr>
                <w:rFonts w:cs="Arial"/>
                <w:color w:val="000000"/>
              </w:rPr>
            </w:pPr>
            <w:r>
              <w:rPr>
                <w:rFonts w:cs="Arial"/>
                <w:color w:val="000000"/>
              </w:rPr>
              <w:t>Community Service Obligations (414000)</w:t>
            </w:r>
          </w:p>
        </w:tc>
        <w:tc>
          <w:tcPr>
            <w:tcW w:w="1418" w:type="dxa"/>
            <w:tcBorders>
              <w:top w:val="single" w:sz="4" w:space="0" w:color="auto"/>
            </w:tcBorders>
          </w:tcPr>
          <w:p w14:paraId="0A9C095E" w14:textId="77777777" w:rsidR="00FF20CD" w:rsidRDefault="00FF20CD" w:rsidP="00FF20CD">
            <w:pPr>
              <w:pStyle w:val="ListParagraph"/>
              <w:spacing w:before="60" w:after="60"/>
              <w:ind w:left="317" w:hanging="317"/>
              <w:jc w:val="right"/>
              <w:rPr>
                <w:rFonts w:cs="Arial"/>
                <w:color w:val="000000"/>
              </w:rPr>
            </w:pPr>
            <w:r>
              <w:rPr>
                <w:rFonts w:cs="Arial"/>
                <w:color w:val="000000"/>
              </w:rPr>
              <w:t xml:space="preserve">$100 </w:t>
            </w:r>
            <w:r w:rsidRPr="001C4717">
              <w:rPr>
                <w:rFonts w:cs="Arial"/>
                <w:color w:val="000000"/>
              </w:rPr>
              <w:t>000</w:t>
            </w:r>
          </w:p>
        </w:tc>
        <w:tc>
          <w:tcPr>
            <w:tcW w:w="1405" w:type="dxa"/>
            <w:tcBorders>
              <w:top w:val="single" w:sz="4" w:space="0" w:color="auto"/>
            </w:tcBorders>
          </w:tcPr>
          <w:p w14:paraId="1F201B24" w14:textId="77777777" w:rsidR="00FF20CD" w:rsidRDefault="00FF20CD" w:rsidP="00FF20CD">
            <w:pPr>
              <w:pStyle w:val="ListParagraph"/>
              <w:spacing w:before="60" w:after="60"/>
              <w:jc w:val="right"/>
              <w:rPr>
                <w:rFonts w:cs="Arial"/>
                <w:color w:val="000000"/>
              </w:rPr>
            </w:pPr>
          </w:p>
        </w:tc>
      </w:tr>
      <w:tr w:rsidR="00FF20CD" w14:paraId="2EA4BB86" w14:textId="77777777" w:rsidTr="00BF090B">
        <w:tc>
          <w:tcPr>
            <w:tcW w:w="704" w:type="dxa"/>
            <w:tcBorders>
              <w:bottom w:val="single" w:sz="4" w:space="0" w:color="auto"/>
            </w:tcBorders>
          </w:tcPr>
          <w:p w14:paraId="6C271CA6" w14:textId="77777777" w:rsidR="00FF20CD" w:rsidRDefault="00FF20CD" w:rsidP="00FF20CD">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33830132" w14:textId="0E9CD510" w:rsidR="00FF20CD" w:rsidRDefault="00FF20CD">
            <w:pPr>
              <w:pStyle w:val="ListParagraph"/>
              <w:spacing w:before="60" w:after="60"/>
              <w:rPr>
                <w:rFonts w:cs="Arial"/>
                <w:color w:val="000000"/>
              </w:rPr>
            </w:pPr>
            <w:r>
              <w:rPr>
                <w:rFonts w:cs="Arial"/>
                <w:color w:val="000000"/>
              </w:rPr>
              <w:t>Cash at bank (811</w:t>
            </w:r>
            <w:r w:rsidR="00B84CE5">
              <w:rPr>
                <w:rFonts w:cs="Arial"/>
                <w:color w:val="000000"/>
              </w:rPr>
              <w:t>1</w:t>
            </w:r>
            <w:r>
              <w:rPr>
                <w:rFonts w:cs="Arial"/>
                <w:color w:val="000000"/>
              </w:rPr>
              <w:t>00)</w:t>
            </w:r>
          </w:p>
        </w:tc>
        <w:tc>
          <w:tcPr>
            <w:tcW w:w="1418" w:type="dxa"/>
            <w:tcBorders>
              <w:bottom w:val="single" w:sz="4" w:space="0" w:color="auto"/>
            </w:tcBorders>
          </w:tcPr>
          <w:p w14:paraId="43D19C6D" w14:textId="77777777" w:rsidR="00FF20CD" w:rsidRDefault="00FF20CD" w:rsidP="00FF20CD">
            <w:pPr>
              <w:pStyle w:val="ListParagraph"/>
              <w:spacing w:before="60" w:after="60"/>
              <w:jc w:val="right"/>
              <w:rPr>
                <w:rFonts w:cs="Arial"/>
                <w:color w:val="000000"/>
              </w:rPr>
            </w:pPr>
          </w:p>
        </w:tc>
        <w:tc>
          <w:tcPr>
            <w:tcW w:w="1405" w:type="dxa"/>
            <w:tcBorders>
              <w:bottom w:val="single" w:sz="4" w:space="0" w:color="auto"/>
            </w:tcBorders>
          </w:tcPr>
          <w:p w14:paraId="5B6AE374" w14:textId="77777777" w:rsidR="00FF20CD" w:rsidRDefault="00FF20CD" w:rsidP="00FF20CD">
            <w:pPr>
              <w:pStyle w:val="ListParagraph"/>
              <w:spacing w:before="60" w:after="60"/>
              <w:jc w:val="right"/>
              <w:rPr>
                <w:rFonts w:cs="Arial"/>
                <w:color w:val="000000"/>
              </w:rPr>
            </w:pPr>
            <w:r w:rsidRPr="001C4717">
              <w:rPr>
                <w:rFonts w:cs="Arial"/>
                <w:color w:val="000000"/>
              </w:rPr>
              <w:t>$</w:t>
            </w:r>
            <w:r>
              <w:rPr>
                <w:rFonts w:cs="Arial"/>
                <w:color w:val="000000"/>
              </w:rPr>
              <w:t>10</w:t>
            </w:r>
            <w:r w:rsidRPr="001C4717">
              <w:rPr>
                <w:rFonts w:cs="Arial"/>
                <w:color w:val="000000"/>
              </w:rPr>
              <w:t>0</w:t>
            </w:r>
            <w:r>
              <w:rPr>
                <w:rFonts w:cs="Arial"/>
                <w:color w:val="000000"/>
              </w:rPr>
              <w:t xml:space="preserve"> </w:t>
            </w:r>
            <w:r w:rsidRPr="001C4717">
              <w:rPr>
                <w:rFonts w:cs="Arial"/>
                <w:color w:val="000000"/>
              </w:rPr>
              <w:t>000</w:t>
            </w:r>
          </w:p>
        </w:tc>
      </w:tr>
    </w:tbl>
    <w:p w14:paraId="00BACA1E" w14:textId="2A70D773" w:rsidR="00D96C9F" w:rsidRDefault="00D96C9F" w:rsidP="00D96C9F">
      <w:pPr>
        <w:spacing w:before="240"/>
      </w:pPr>
      <w:r w:rsidRPr="00C4674B">
        <w:t>Where invoic</w:t>
      </w:r>
      <w:r w:rsidRPr="00BE6889">
        <w:t>e remains unpaid at the end of the</w:t>
      </w:r>
      <w:r w:rsidRPr="00C4674B">
        <w:t xml:space="preserve"> reporting period, a </w:t>
      </w:r>
      <w:r w:rsidR="00DE4A54">
        <w:t>subsidy</w:t>
      </w:r>
      <w:r w:rsidR="00DE4A54" w:rsidRPr="00C4674B">
        <w:t xml:space="preserve"> </w:t>
      </w:r>
      <w:r w:rsidRPr="00C4674B">
        <w:t xml:space="preserve">liability and corresponding </w:t>
      </w:r>
      <w:r w:rsidR="00DE4A54">
        <w:t xml:space="preserve">subsidy </w:t>
      </w:r>
      <w:r w:rsidRPr="00C4674B">
        <w:t xml:space="preserve">expense </w:t>
      </w:r>
      <w:r>
        <w:t>is</w:t>
      </w:r>
      <w:r w:rsidRPr="00C4674B">
        <w:t xml:space="preserve"> recognised.</w:t>
      </w:r>
    </w:p>
    <w:p w14:paraId="18E88A7D" w14:textId="75E01670" w:rsidR="00D96C9F" w:rsidRPr="004C0218" w:rsidRDefault="00D96C9F" w:rsidP="00D96C9F">
      <w:pPr>
        <w:rPr>
          <w:rFonts w:cs="Arial"/>
          <w:color w:val="000000"/>
        </w:rPr>
      </w:pPr>
      <w:r>
        <w:rPr>
          <w:rFonts w:cs="Arial"/>
          <w:color w:val="000000"/>
        </w:rPr>
        <w:t xml:space="preserve">Journal to recognise </w:t>
      </w:r>
      <w:r w:rsidR="00DE4A54">
        <w:rPr>
          <w:rFonts w:cs="Arial"/>
          <w:color w:val="000000"/>
        </w:rPr>
        <w:t xml:space="preserve">subsidy </w:t>
      </w:r>
      <w:r>
        <w:rPr>
          <w:rFonts w:cs="Arial"/>
          <w:color w:val="000000"/>
        </w:rPr>
        <w:t xml:space="preserve">expense and </w:t>
      </w:r>
      <w:r w:rsidR="00DE4A54">
        <w:rPr>
          <w:rFonts w:cs="Arial"/>
          <w:color w:val="000000"/>
        </w:rPr>
        <w:t xml:space="preserve">subsidy </w:t>
      </w:r>
      <w:r>
        <w:rPr>
          <w:rFonts w:cs="Arial"/>
          <w:color w:val="000000"/>
        </w:rPr>
        <w:t>liability</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C157DB" w14:paraId="5869F96B" w14:textId="77777777" w:rsidTr="00BF090B">
        <w:tc>
          <w:tcPr>
            <w:tcW w:w="704" w:type="dxa"/>
            <w:tcBorders>
              <w:top w:val="single" w:sz="4" w:space="0" w:color="auto"/>
            </w:tcBorders>
          </w:tcPr>
          <w:p w14:paraId="2C15899F" w14:textId="77777777" w:rsidR="00C157DB" w:rsidRDefault="00C157DB" w:rsidP="00C157D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514D5E2F" w14:textId="30C9CB29" w:rsidR="00C157DB" w:rsidRDefault="00C157DB" w:rsidP="00C157DB">
            <w:pPr>
              <w:pStyle w:val="ListParagraph"/>
              <w:spacing w:before="60" w:after="60"/>
              <w:rPr>
                <w:rFonts w:cs="Arial"/>
                <w:color w:val="000000"/>
              </w:rPr>
            </w:pPr>
            <w:r>
              <w:rPr>
                <w:rFonts w:cs="Arial"/>
                <w:color w:val="000000"/>
              </w:rPr>
              <w:t>Community Service Obligations (414000)</w:t>
            </w:r>
          </w:p>
        </w:tc>
        <w:tc>
          <w:tcPr>
            <w:tcW w:w="1418" w:type="dxa"/>
            <w:tcBorders>
              <w:top w:val="single" w:sz="4" w:space="0" w:color="auto"/>
            </w:tcBorders>
          </w:tcPr>
          <w:p w14:paraId="202302DC" w14:textId="77777777" w:rsidR="00C157DB" w:rsidRDefault="00C157DB" w:rsidP="00C157DB">
            <w:pPr>
              <w:pStyle w:val="ListParagraph"/>
              <w:spacing w:before="60" w:after="60"/>
              <w:ind w:left="317" w:hanging="317"/>
              <w:jc w:val="right"/>
              <w:rPr>
                <w:rFonts w:cs="Arial"/>
                <w:color w:val="000000"/>
              </w:rPr>
            </w:pPr>
            <w:r>
              <w:rPr>
                <w:rFonts w:cs="Arial"/>
                <w:color w:val="000000"/>
              </w:rPr>
              <w:t xml:space="preserve">$100 </w:t>
            </w:r>
            <w:r w:rsidRPr="001C4717">
              <w:rPr>
                <w:rFonts w:cs="Arial"/>
                <w:color w:val="000000"/>
              </w:rPr>
              <w:t>000</w:t>
            </w:r>
          </w:p>
        </w:tc>
        <w:tc>
          <w:tcPr>
            <w:tcW w:w="1405" w:type="dxa"/>
            <w:tcBorders>
              <w:top w:val="single" w:sz="4" w:space="0" w:color="auto"/>
            </w:tcBorders>
          </w:tcPr>
          <w:p w14:paraId="7A31828B" w14:textId="77777777" w:rsidR="00C157DB" w:rsidRDefault="00C157DB" w:rsidP="00C157DB">
            <w:pPr>
              <w:pStyle w:val="ListParagraph"/>
              <w:spacing w:before="60" w:after="60"/>
              <w:jc w:val="right"/>
              <w:rPr>
                <w:rFonts w:cs="Arial"/>
                <w:color w:val="000000"/>
              </w:rPr>
            </w:pPr>
          </w:p>
        </w:tc>
      </w:tr>
      <w:tr w:rsidR="00C157DB" w14:paraId="1CBC7671" w14:textId="77777777" w:rsidTr="00BF090B">
        <w:tc>
          <w:tcPr>
            <w:tcW w:w="704" w:type="dxa"/>
            <w:tcBorders>
              <w:bottom w:val="single" w:sz="4" w:space="0" w:color="auto"/>
            </w:tcBorders>
          </w:tcPr>
          <w:p w14:paraId="74925F80" w14:textId="77777777" w:rsidR="00C157DB" w:rsidRDefault="00C157DB" w:rsidP="00C157DB">
            <w:pPr>
              <w:pStyle w:val="ListParagraph"/>
              <w:spacing w:before="60" w:after="60"/>
              <w:rPr>
                <w:rFonts w:cs="Arial"/>
                <w:color w:val="000000"/>
              </w:rPr>
            </w:pPr>
            <w:r>
              <w:rPr>
                <w:rFonts w:cs="Arial"/>
                <w:color w:val="000000"/>
              </w:rPr>
              <w:lastRenderedPageBreak/>
              <w:t>CR</w:t>
            </w:r>
          </w:p>
        </w:tc>
        <w:tc>
          <w:tcPr>
            <w:tcW w:w="6095" w:type="dxa"/>
            <w:tcBorders>
              <w:bottom w:val="single" w:sz="4" w:space="0" w:color="auto"/>
            </w:tcBorders>
          </w:tcPr>
          <w:p w14:paraId="2E66A557" w14:textId="77777777" w:rsidR="00C157DB" w:rsidRDefault="00C157DB" w:rsidP="00C157DB">
            <w:pPr>
              <w:pStyle w:val="ListParagraph"/>
              <w:spacing w:before="60" w:after="60"/>
              <w:rPr>
                <w:rFonts w:cs="Arial"/>
                <w:color w:val="000000"/>
              </w:rPr>
            </w:pPr>
            <w:r>
              <w:rPr>
                <w:rFonts w:cs="Arial"/>
                <w:color w:val="000000"/>
              </w:rPr>
              <w:t>Grant and subsidies payable (912200)</w:t>
            </w:r>
          </w:p>
        </w:tc>
        <w:tc>
          <w:tcPr>
            <w:tcW w:w="1418" w:type="dxa"/>
            <w:tcBorders>
              <w:bottom w:val="single" w:sz="4" w:space="0" w:color="auto"/>
            </w:tcBorders>
          </w:tcPr>
          <w:p w14:paraId="32E1CD8D" w14:textId="77777777" w:rsidR="00C157DB" w:rsidRDefault="00C157DB" w:rsidP="00C157DB">
            <w:pPr>
              <w:pStyle w:val="ListParagraph"/>
              <w:spacing w:before="60" w:after="60"/>
              <w:jc w:val="right"/>
              <w:rPr>
                <w:rFonts w:cs="Arial"/>
                <w:color w:val="000000"/>
              </w:rPr>
            </w:pPr>
          </w:p>
        </w:tc>
        <w:tc>
          <w:tcPr>
            <w:tcW w:w="1405" w:type="dxa"/>
            <w:tcBorders>
              <w:bottom w:val="single" w:sz="4" w:space="0" w:color="auto"/>
            </w:tcBorders>
          </w:tcPr>
          <w:p w14:paraId="1B9776FD" w14:textId="77777777" w:rsidR="00C157DB" w:rsidRDefault="00C157DB" w:rsidP="00C157DB">
            <w:pPr>
              <w:pStyle w:val="ListParagraph"/>
              <w:spacing w:before="60" w:after="60"/>
              <w:jc w:val="right"/>
              <w:rPr>
                <w:rFonts w:cs="Arial"/>
                <w:color w:val="000000"/>
              </w:rPr>
            </w:pPr>
            <w:r w:rsidRPr="001C4717">
              <w:rPr>
                <w:rFonts w:cs="Arial"/>
                <w:color w:val="000000"/>
              </w:rPr>
              <w:t>$</w:t>
            </w:r>
            <w:r>
              <w:rPr>
                <w:rFonts w:cs="Arial"/>
                <w:color w:val="000000"/>
              </w:rPr>
              <w:t xml:space="preserve">100 </w:t>
            </w:r>
            <w:r w:rsidRPr="001C4717">
              <w:rPr>
                <w:rFonts w:cs="Arial"/>
                <w:color w:val="000000"/>
              </w:rPr>
              <w:t>000</w:t>
            </w:r>
          </w:p>
        </w:tc>
      </w:tr>
    </w:tbl>
    <w:p w14:paraId="109F59A4" w14:textId="1EB35599" w:rsidR="00713AA0" w:rsidRDefault="00713AA0" w:rsidP="00713AA0">
      <w:pPr>
        <w:spacing w:before="240"/>
      </w:pPr>
      <w:bookmarkStart w:id="91" w:name="_Toc29987089"/>
      <w:bookmarkStart w:id="92" w:name="_Toc26188786"/>
      <w:bookmarkStart w:id="93" w:name="_Toc26188814"/>
      <w:bookmarkStart w:id="94" w:name="_Toc26190225"/>
      <w:bookmarkStart w:id="95" w:name="_Toc26195267"/>
      <w:bookmarkStart w:id="96" w:name="_Toc33002609"/>
      <w:bookmarkEnd w:id="91"/>
      <w:bookmarkEnd w:id="92"/>
      <w:bookmarkEnd w:id="93"/>
      <w:bookmarkEnd w:id="94"/>
      <w:bookmarkEnd w:id="95"/>
      <w:r>
        <w:t xml:space="preserve">Once the </w:t>
      </w:r>
      <w:r w:rsidR="00DE4A54">
        <w:t>subsidy</w:t>
      </w:r>
      <w:r>
        <w:t xml:space="preserve"> payment is made and the present obligation is settled, the agency derecognises the </w:t>
      </w:r>
      <w:r w:rsidR="00DE4A54">
        <w:t xml:space="preserve">subsidy </w:t>
      </w:r>
      <w:r>
        <w:t>liability.</w:t>
      </w:r>
    </w:p>
    <w:p w14:paraId="4C3EB109" w14:textId="641370F3" w:rsidR="00713AA0" w:rsidRDefault="00713AA0" w:rsidP="00713AA0">
      <w:r>
        <w:t xml:space="preserve">Journal to derecognise </w:t>
      </w:r>
      <w:r w:rsidR="00DE4A54">
        <w:t xml:space="preserve">subsidy </w:t>
      </w:r>
      <w:r>
        <w:t>liability: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713AA0" w14:paraId="3D49E3C5" w14:textId="77777777" w:rsidTr="00713AA0">
        <w:tc>
          <w:tcPr>
            <w:tcW w:w="704" w:type="dxa"/>
            <w:tcBorders>
              <w:top w:val="single" w:sz="4" w:space="0" w:color="auto"/>
            </w:tcBorders>
          </w:tcPr>
          <w:p w14:paraId="1C1A728D" w14:textId="77777777" w:rsidR="00713AA0" w:rsidRDefault="00713AA0" w:rsidP="00713AA0">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3DA93B41" w14:textId="77777777" w:rsidR="00713AA0" w:rsidRDefault="00713AA0" w:rsidP="00713AA0">
            <w:pPr>
              <w:pStyle w:val="ListParagraph"/>
              <w:spacing w:before="60" w:after="60"/>
              <w:rPr>
                <w:rFonts w:cs="Arial"/>
                <w:color w:val="000000"/>
              </w:rPr>
            </w:pPr>
            <w:r>
              <w:rPr>
                <w:rFonts w:cs="Arial"/>
                <w:color w:val="000000"/>
              </w:rPr>
              <w:t>Grant and subsidies payable (912200)</w:t>
            </w:r>
          </w:p>
        </w:tc>
        <w:tc>
          <w:tcPr>
            <w:tcW w:w="1418" w:type="dxa"/>
            <w:tcBorders>
              <w:top w:val="single" w:sz="4" w:space="0" w:color="auto"/>
            </w:tcBorders>
          </w:tcPr>
          <w:p w14:paraId="2052F0A7" w14:textId="77777777" w:rsidR="00713AA0" w:rsidRDefault="00713AA0" w:rsidP="00713AA0">
            <w:pPr>
              <w:pStyle w:val="ListParagraph"/>
              <w:spacing w:before="60" w:after="60"/>
              <w:ind w:left="317" w:hanging="317"/>
              <w:jc w:val="right"/>
              <w:rPr>
                <w:rFonts w:cs="Arial"/>
                <w:color w:val="000000"/>
              </w:rPr>
            </w:pPr>
            <w:r>
              <w:rPr>
                <w:rFonts w:cs="Arial"/>
                <w:color w:val="000000"/>
              </w:rPr>
              <w:t xml:space="preserve">$100 </w:t>
            </w:r>
            <w:r w:rsidRPr="001C4717">
              <w:rPr>
                <w:rFonts w:cs="Arial"/>
                <w:color w:val="000000"/>
              </w:rPr>
              <w:t>000</w:t>
            </w:r>
          </w:p>
        </w:tc>
        <w:tc>
          <w:tcPr>
            <w:tcW w:w="1405" w:type="dxa"/>
            <w:tcBorders>
              <w:top w:val="single" w:sz="4" w:space="0" w:color="auto"/>
            </w:tcBorders>
          </w:tcPr>
          <w:p w14:paraId="28E6E773" w14:textId="77777777" w:rsidR="00713AA0" w:rsidRDefault="00713AA0" w:rsidP="00713AA0">
            <w:pPr>
              <w:pStyle w:val="ListParagraph"/>
              <w:spacing w:before="60" w:after="60"/>
              <w:jc w:val="right"/>
              <w:rPr>
                <w:rFonts w:cs="Arial"/>
                <w:color w:val="000000"/>
              </w:rPr>
            </w:pPr>
          </w:p>
        </w:tc>
      </w:tr>
      <w:tr w:rsidR="00713AA0" w14:paraId="1AEBF04D" w14:textId="77777777" w:rsidTr="00713AA0">
        <w:tc>
          <w:tcPr>
            <w:tcW w:w="704" w:type="dxa"/>
            <w:tcBorders>
              <w:bottom w:val="single" w:sz="4" w:space="0" w:color="auto"/>
            </w:tcBorders>
          </w:tcPr>
          <w:p w14:paraId="56B3D0DC" w14:textId="77777777" w:rsidR="00713AA0" w:rsidRDefault="00713AA0" w:rsidP="00713AA0">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4B606F06" w14:textId="77777777" w:rsidR="00713AA0" w:rsidRDefault="00713AA0" w:rsidP="00713AA0">
            <w:pPr>
              <w:pStyle w:val="ListParagraph"/>
              <w:spacing w:before="60" w:after="60"/>
              <w:rPr>
                <w:rFonts w:cs="Arial"/>
                <w:color w:val="000000"/>
              </w:rPr>
            </w:pPr>
            <w:r>
              <w:rPr>
                <w:rFonts w:cs="Arial"/>
                <w:color w:val="000000"/>
              </w:rPr>
              <w:t>Cash at bank (811000)</w:t>
            </w:r>
          </w:p>
        </w:tc>
        <w:tc>
          <w:tcPr>
            <w:tcW w:w="1418" w:type="dxa"/>
            <w:tcBorders>
              <w:bottom w:val="single" w:sz="4" w:space="0" w:color="auto"/>
            </w:tcBorders>
          </w:tcPr>
          <w:p w14:paraId="4D90109F" w14:textId="77777777" w:rsidR="00713AA0" w:rsidRDefault="00713AA0" w:rsidP="00713AA0">
            <w:pPr>
              <w:pStyle w:val="ListParagraph"/>
              <w:spacing w:before="60" w:after="60"/>
              <w:jc w:val="right"/>
              <w:rPr>
                <w:rFonts w:cs="Arial"/>
                <w:color w:val="000000"/>
              </w:rPr>
            </w:pPr>
          </w:p>
        </w:tc>
        <w:tc>
          <w:tcPr>
            <w:tcW w:w="1405" w:type="dxa"/>
            <w:tcBorders>
              <w:bottom w:val="single" w:sz="4" w:space="0" w:color="auto"/>
            </w:tcBorders>
          </w:tcPr>
          <w:p w14:paraId="2ADA7CA1" w14:textId="77777777" w:rsidR="00713AA0" w:rsidRDefault="00713AA0" w:rsidP="00713AA0">
            <w:pPr>
              <w:pStyle w:val="ListParagraph"/>
              <w:spacing w:before="60" w:after="60"/>
              <w:jc w:val="right"/>
              <w:rPr>
                <w:rFonts w:cs="Arial"/>
                <w:color w:val="000000"/>
              </w:rPr>
            </w:pPr>
            <w:r w:rsidRPr="001C4717">
              <w:rPr>
                <w:rFonts w:cs="Arial"/>
                <w:color w:val="000000"/>
              </w:rPr>
              <w:t>$</w:t>
            </w:r>
            <w:r>
              <w:rPr>
                <w:rFonts w:cs="Arial"/>
                <w:color w:val="000000"/>
              </w:rPr>
              <w:t>10</w:t>
            </w:r>
            <w:r w:rsidRPr="001C4717">
              <w:rPr>
                <w:rFonts w:cs="Arial"/>
                <w:color w:val="000000"/>
              </w:rPr>
              <w:t>0</w:t>
            </w:r>
            <w:r>
              <w:rPr>
                <w:rFonts w:cs="Arial"/>
                <w:color w:val="000000"/>
              </w:rPr>
              <w:t xml:space="preserve"> </w:t>
            </w:r>
            <w:r w:rsidRPr="001C4717">
              <w:rPr>
                <w:rFonts w:cs="Arial"/>
                <w:color w:val="000000"/>
              </w:rPr>
              <w:t>000</w:t>
            </w:r>
          </w:p>
        </w:tc>
      </w:tr>
    </w:tbl>
    <w:p w14:paraId="0ABD3084" w14:textId="4883C321" w:rsidR="00A328B5" w:rsidRDefault="00A328B5" w:rsidP="00A328B5">
      <w:pPr>
        <w:pStyle w:val="Heading4"/>
        <w:keepNext/>
        <w:keepLines/>
      </w:pPr>
      <w:bookmarkStart w:id="97" w:name="_Toc204068749"/>
      <w:r>
        <w:t>Payment made before present obligation has arisen</w:t>
      </w:r>
      <w:bookmarkEnd w:id="97"/>
    </w:p>
    <w:p w14:paraId="28C3EB1B" w14:textId="3F911A2C" w:rsidR="00120C4C" w:rsidRDefault="00A328B5" w:rsidP="00A328B5">
      <w:pPr>
        <w:rPr>
          <w:lang w:eastAsia="en-AU"/>
        </w:rPr>
      </w:pPr>
      <w:r>
        <w:rPr>
          <w:lang w:eastAsia="en-AU"/>
        </w:rPr>
        <w:t xml:space="preserve">Agency A provides a current grant to Entity B to expand the capacity of </w:t>
      </w:r>
      <w:r w:rsidR="00120C4C">
        <w:rPr>
          <w:lang w:eastAsia="en-AU"/>
        </w:rPr>
        <w:t xml:space="preserve">Entity B’s </w:t>
      </w:r>
      <w:r w:rsidR="0000075B">
        <w:rPr>
          <w:lang w:eastAsia="en-AU"/>
        </w:rPr>
        <w:t xml:space="preserve">apprenticeship </w:t>
      </w:r>
      <w:r>
        <w:rPr>
          <w:lang w:eastAsia="en-AU"/>
        </w:rPr>
        <w:t>training program.</w:t>
      </w:r>
      <w:r w:rsidR="00824734">
        <w:rPr>
          <w:lang w:eastAsia="en-AU"/>
        </w:rPr>
        <w:t xml:space="preserve"> </w:t>
      </w:r>
      <w:r w:rsidR="00EF6690">
        <w:rPr>
          <w:lang w:eastAsia="en-AU"/>
        </w:rPr>
        <w:t xml:space="preserve">The agreement requires </w:t>
      </w:r>
      <w:r>
        <w:rPr>
          <w:lang w:eastAsia="en-AU"/>
        </w:rPr>
        <w:t xml:space="preserve">Agency A </w:t>
      </w:r>
      <w:r w:rsidR="00EF6690">
        <w:rPr>
          <w:lang w:eastAsia="en-AU"/>
        </w:rPr>
        <w:t xml:space="preserve">to </w:t>
      </w:r>
      <w:r>
        <w:rPr>
          <w:lang w:eastAsia="en-AU"/>
        </w:rPr>
        <w:t xml:space="preserve">pay Entity B a </w:t>
      </w:r>
      <w:r w:rsidR="00EF6690">
        <w:rPr>
          <w:lang w:eastAsia="en-AU"/>
        </w:rPr>
        <w:t xml:space="preserve">total </w:t>
      </w:r>
      <w:r>
        <w:rPr>
          <w:lang w:eastAsia="en-AU"/>
        </w:rPr>
        <w:t xml:space="preserve">grant of </w:t>
      </w:r>
      <w:r w:rsidR="00EF6690">
        <w:rPr>
          <w:lang w:eastAsia="en-AU"/>
        </w:rPr>
        <w:t>$1</w:t>
      </w:r>
      <w:r w:rsidR="00D81A40">
        <w:rPr>
          <w:lang w:eastAsia="en-AU"/>
        </w:rPr>
        <w:t>2</w:t>
      </w:r>
      <w:r w:rsidR="00EF6690">
        <w:rPr>
          <w:lang w:eastAsia="en-AU"/>
        </w:rPr>
        <w:t> 000</w:t>
      </w:r>
      <w:r w:rsidR="00D07395">
        <w:rPr>
          <w:lang w:eastAsia="en-AU"/>
        </w:rPr>
        <w:t>,</w:t>
      </w:r>
      <w:r w:rsidR="00EF6690">
        <w:rPr>
          <w:lang w:eastAsia="en-AU"/>
        </w:rPr>
        <w:t xml:space="preserve"> with payments of $1 </w:t>
      </w:r>
      <w:r w:rsidR="00D81A40">
        <w:rPr>
          <w:lang w:eastAsia="en-AU"/>
        </w:rPr>
        <w:t>0</w:t>
      </w:r>
      <w:r w:rsidR="00EF6690">
        <w:rPr>
          <w:lang w:eastAsia="en-AU"/>
        </w:rPr>
        <w:t xml:space="preserve">00 </w:t>
      </w:r>
      <w:r w:rsidR="004312DA">
        <w:rPr>
          <w:lang w:eastAsia="en-AU"/>
        </w:rPr>
        <w:t>required</w:t>
      </w:r>
      <w:r w:rsidR="00AC450B">
        <w:rPr>
          <w:lang w:eastAsia="en-AU"/>
        </w:rPr>
        <w:t xml:space="preserve"> </w:t>
      </w:r>
      <w:r w:rsidR="004312DA">
        <w:rPr>
          <w:lang w:eastAsia="en-AU"/>
        </w:rPr>
        <w:t xml:space="preserve">at the end of </w:t>
      </w:r>
      <w:r w:rsidR="00824734">
        <w:rPr>
          <w:lang w:eastAsia="en-AU"/>
        </w:rPr>
        <w:t xml:space="preserve">each </w:t>
      </w:r>
      <w:r w:rsidR="00EF6690">
        <w:rPr>
          <w:lang w:eastAsia="en-AU"/>
        </w:rPr>
        <w:t>month</w:t>
      </w:r>
      <w:r w:rsidR="004312DA">
        <w:rPr>
          <w:lang w:eastAsia="en-AU"/>
        </w:rPr>
        <w:t xml:space="preserve"> after signing of the agreement</w:t>
      </w:r>
      <w:r w:rsidR="00824734">
        <w:rPr>
          <w:lang w:eastAsia="en-AU"/>
        </w:rPr>
        <w:t>.</w:t>
      </w:r>
    </w:p>
    <w:p w14:paraId="68FF665B" w14:textId="77777777" w:rsidR="00C75F3B" w:rsidRDefault="00EF6690" w:rsidP="00A328B5">
      <w:pPr>
        <w:spacing w:before="240"/>
        <w:rPr>
          <w:lang w:eastAsia="en-AU"/>
        </w:rPr>
      </w:pPr>
      <w:r>
        <w:rPr>
          <w:lang w:eastAsia="en-AU"/>
        </w:rPr>
        <w:t xml:space="preserve">At the end of the </w:t>
      </w:r>
      <w:r w:rsidR="00D81A40">
        <w:rPr>
          <w:lang w:eastAsia="en-AU"/>
        </w:rPr>
        <w:t xml:space="preserve">first month, </w:t>
      </w:r>
      <w:r w:rsidR="00A328B5">
        <w:rPr>
          <w:lang w:eastAsia="en-AU"/>
        </w:rPr>
        <w:t>Agency A</w:t>
      </w:r>
      <w:r w:rsidR="00120C4C">
        <w:rPr>
          <w:lang w:eastAsia="en-AU"/>
        </w:rPr>
        <w:t xml:space="preserve"> </w:t>
      </w:r>
      <w:r w:rsidR="004312DA">
        <w:rPr>
          <w:lang w:eastAsia="en-AU"/>
        </w:rPr>
        <w:t xml:space="preserve">is required to pay $1 000 to </w:t>
      </w:r>
      <w:r w:rsidR="00120C4C">
        <w:rPr>
          <w:lang w:eastAsia="en-AU"/>
        </w:rPr>
        <w:t>Entity B</w:t>
      </w:r>
      <w:r w:rsidR="004312DA">
        <w:rPr>
          <w:lang w:eastAsia="en-AU"/>
        </w:rPr>
        <w:t>.</w:t>
      </w:r>
      <w:r w:rsidR="0000075B">
        <w:rPr>
          <w:lang w:eastAsia="en-AU"/>
        </w:rPr>
        <w:t xml:space="preserve"> </w:t>
      </w:r>
      <w:r w:rsidR="004312DA">
        <w:rPr>
          <w:lang w:eastAsia="en-AU"/>
        </w:rPr>
        <w:t>I</w:t>
      </w:r>
      <w:r w:rsidR="0000075B">
        <w:rPr>
          <w:lang w:eastAsia="en-AU"/>
        </w:rPr>
        <w:t>nstead</w:t>
      </w:r>
      <w:r w:rsidR="004312DA">
        <w:rPr>
          <w:lang w:eastAsia="en-AU"/>
        </w:rPr>
        <w:t>, Agency A pays $3 000 to Entity B</w:t>
      </w:r>
      <w:r w:rsidR="0000075B">
        <w:rPr>
          <w:lang w:eastAsia="en-AU"/>
        </w:rPr>
        <w:t xml:space="preserve"> </w:t>
      </w:r>
      <w:r w:rsidR="00D07395">
        <w:rPr>
          <w:lang w:eastAsia="en-AU"/>
        </w:rPr>
        <w:t>to cover the payment requirements for the first quarter</w:t>
      </w:r>
      <w:r w:rsidR="00120C4C">
        <w:rPr>
          <w:lang w:eastAsia="en-AU"/>
        </w:rPr>
        <w:t xml:space="preserve">. </w:t>
      </w:r>
    </w:p>
    <w:p w14:paraId="6186E6B4" w14:textId="675E3CB0" w:rsidR="00A328B5" w:rsidRDefault="00C75F3B">
      <w:pPr>
        <w:spacing w:before="240"/>
      </w:pPr>
      <w:r>
        <w:rPr>
          <w:lang w:eastAsia="en-AU"/>
        </w:rPr>
        <w:t>Agency A recognises a grant expense instead of prepaid expense t</w:t>
      </w:r>
      <w:r>
        <w:t>here is no future economic benefits that are expected to flow to the agency arising from the payment.</w:t>
      </w:r>
    </w:p>
    <w:p w14:paraId="0F4D83DA" w14:textId="52DC6075" w:rsidR="00A328B5" w:rsidRDefault="00A328B5" w:rsidP="00A328B5">
      <w:pPr>
        <w:spacing w:before="240"/>
      </w:pPr>
      <w:r>
        <w:rPr>
          <w:lang w:eastAsia="en-AU"/>
        </w:rPr>
        <w:t>Journal to recognise grant expense: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A328B5" w14:paraId="150D0B7B" w14:textId="77777777" w:rsidTr="00D35518">
        <w:trPr>
          <w:trHeight w:val="252"/>
        </w:trPr>
        <w:tc>
          <w:tcPr>
            <w:tcW w:w="704" w:type="dxa"/>
            <w:tcBorders>
              <w:top w:val="single" w:sz="4" w:space="0" w:color="auto"/>
            </w:tcBorders>
          </w:tcPr>
          <w:p w14:paraId="2BC7EA5C" w14:textId="77777777" w:rsidR="00A328B5" w:rsidRDefault="00A328B5" w:rsidP="00D35518">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2F768CB0" w14:textId="254B0E05" w:rsidR="00A328B5" w:rsidRDefault="00B84CE5">
            <w:pPr>
              <w:pStyle w:val="ListParagraph"/>
              <w:spacing w:before="60" w:after="60"/>
              <w:rPr>
                <w:rFonts w:cs="Arial"/>
                <w:color w:val="000000"/>
              </w:rPr>
            </w:pPr>
            <w:r>
              <w:rPr>
                <w:rFonts w:cs="Arial"/>
                <w:color w:val="000000"/>
              </w:rPr>
              <w:t>Current grants</w:t>
            </w:r>
            <w:r w:rsidR="00A328B5">
              <w:rPr>
                <w:rFonts w:cs="Arial"/>
                <w:color w:val="000000"/>
              </w:rPr>
              <w:t xml:space="preserve"> (41</w:t>
            </w:r>
            <w:r w:rsidR="0014371C">
              <w:rPr>
                <w:rFonts w:cs="Arial"/>
                <w:color w:val="000000"/>
              </w:rPr>
              <w:t>1</w:t>
            </w:r>
            <w:r w:rsidR="00A328B5">
              <w:rPr>
                <w:rFonts w:cs="Arial"/>
                <w:color w:val="000000"/>
              </w:rPr>
              <w:t>000)</w:t>
            </w:r>
          </w:p>
        </w:tc>
        <w:tc>
          <w:tcPr>
            <w:tcW w:w="1418" w:type="dxa"/>
            <w:tcBorders>
              <w:top w:val="single" w:sz="4" w:space="0" w:color="auto"/>
            </w:tcBorders>
          </w:tcPr>
          <w:p w14:paraId="71FFF76E" w14:textId="5AFD66BC" w:rsidR="00A328B5" w:rsidRDefault="00A328B5">
            <w:pPr>
              <w:pStyle w:val="ListParagraph"/>
              <w:spacing w:before="60" w:after="60"/>
              <w:ind w:left="317" w:hanging="317"/>
              <w:jc w:val="right"/>
              <w:rPr>
                <w:rFonts w:cs="Arial"/>
                <w:color w:val="000000"/>
              </w:rPr>
            </w:pPr>
            <w:r>
              <w:rPr>
                <w:rFonts w:cs="Arial"/>
                <w:color w:val="000000"/>
              </w:rPr>
              <w:t>$</w:t>
            </w:r>
            <w:r w:rsidR="00D07395">
              <w:rPr>
                <w:rFonts w:cs="Arial"/>
                <w:color w:val="000000"/>
              </w:rPr>
              <w:t>3</w:t>
            </w:r>
            <w:r>
              <w:rPr>
                <w:rFonts w:cs="Arial"/>
                <w:color w:val="000000"/>
              </w:rPr>
              <w:t xml:space="preserve"> </w:t>
            </w:r>
            <w:r w:rsidRPr="001C4717">
              <w:rPr>
                <w:rFonts w:cs="Arial"/>
                <w:color w:val="000000"/>
              </w:rPr>
              <w:t>000</w:t>
            </w:r>
          </w:p>
        </w:tc>
        <w:tc>
          <w:tcPr>
            <w:tcW w:w="1405" w:type="dxa"/>
            <w:tcBorders>
              <w:top w:val="single" w:sz="4" w:space="0" w:color="auto"/>
            </w:tcBorders>
          </w:tcPr>
          <w:p w14:paraId="03C41959" w14:textId="77777777" w:rsidR="00A328B5" w:rsidRDefault="00A328B5" w:rsidP="00D35518">
            <w:pPr>
              <w:pStyle w:val="ListParagraph"/>
              <w:spacing w:before="60" w:after="60"/>
              <w:jc w:val="right"/>
              <w:rPr>
                <w:rFonts w:cs="Arial"/>
                <w:color w:val="000000"/>
              </w:rPr>
            </w:pPr>
          </w:p>
        </w:tc>
      </w:tr>
      <w:tr w:rsidR="00A328B5" w14:paraId="05C9D086" w14:textId="77777777" w:rsidTr="00D35518">
        <w:tc>
          <w:tcPr>
            <w:tcW w:w="704" w:type="dxa"/>
            <w:tcBorders>
              <w:bottom w:val="single" w:sz="4" w:space="0" w:color="auto"/>
            </w:tcBorders>
          </w:tcPr>
          <w:p w14:paraId="307E1E3D" w14:textId="77777777" w:rsidR="00A328B5" w:rsidRDefault="00A328B5" w:rsidP="00D35518">
            <w:pPr>
              <w:pStyle w:val="ListParagraph"/>
              <w:spacing w:before="60" w:after="60"/>
              <w:rPr>
                <w:rFonts w:cs="Arial"/>
                <w:color w:val="000000"/>
              </w:rPr>
            </w:pPr>
            <w:r>
              <w:rPr>
                <w:rFonts w:cs="Arial"/>
                <w:color w:val="000000"/>
              </w:rPr>
              <w:t>CR</w:t>
            </w:r>
          </w:p>
        </w:tc>
        <w:tc>
          <w:tcPr>
            <w:tcW w:w="6095" w:type="dxa"/>
            <w:tcBorders>
              <w:bottom w:val="single" w:sz="4" w:space="0" w:color="auto"/>
            </w:tcBorders>
          </w:tcPr>
          <w:p w14:paraId="715AD89B" w14:textId="4B65A6BD" w:rsidR="00A328B5" w:rsidRDefault="00D07395">
            <w:pPr>
              <w:pStyle w:val="ListParagraph"/>
              <w:spacing w:before="60" w:after="60"/>
              <w:rPr>
                <w:rFonts w:cs="Arial"/>
                <w:color w:val="000000"/>
              </w:rPr>
            </w:pPr>
            <w:r>
              <w:rPr>
                <w:rFonts w:cs="Arial"/>
                <w:color w:val="000000"/>
              </w:rPr>
              <w:t>Cash at bank</w:t>
            </w:r>
            <w:r w:rsidR="00A328B5">
              <w:rPr>
                <w:rFonts w:cs="Arial"/>
                <w:color w:val="000000"/>
              </w:rPr>
              <w:t xml:space="preserve"> (81</w:t>
            </w:r>
            <w:r>
              <w:rPr>
                <w:rFonts w:cs="Arial"/>
                <w:color w:val="000000"/>
              </w:rPr>
              <w:t>1</w:t>
            </w:r>
            <w:r w:rsidR="00B84CE5">
              <w:rPr>
                <w:rFonts w:cs="Arial"/>
                <w:color w:val="000000"/>
              </w:rPr>
              <w:t>1</w:t>
            </w:r>
            <w:r w:rsidR="00A328B5">
              <w:rPr>
                <w:rFonts w:cs="Arial"/>
                <w:color w:val="000000"/>
              </w:rPr>
              <w:t>00)</w:t>
            </w:r>
          </w:p>
        </w:tc>
        <w:tc>
          <w:tcPr>
            <w:tcW w:w="1418" w:type="dxa"/>
            <w:tcBorders>
              <w:bottom w:val="single" w:sz="4" w:space="0" w:color="auto"/>
            </w:tcBorders>
          </w:tcPr>
          <w:p w14:paraId="4534B954" w14:textId="77777777" w:rsidR="00A328B5" w:rsidRDefault="00A328B5" w:rsidP="00D35518">
            <w:pPr>
              <w:pStyle w:val="ListParagraph"/>
              <w:spacing w:before="60" w:after="60"/>
              <w:jc w:val="right"/>
              <w:rPr>
                <w:rFonts w:cs="Arial"/>
                <w:color w:val="000000"/>
              </w:rPr>
            </w:pPr>
          </w:p>
        </w:tc>
        <w:tc>
          <w:tcPr>
            <w:tcW w:w="1405" w:type="dxa"/>
            <w:tcBorders>
              <w:bottom w:val="single" w:sz="4" w:space="0" w:color="auto"/>
            </w:tcBorders>
          </w:tcPr>
          <w:p w14:paraId="12B6B1A5" w14:textId="3F4569C2" w:rsidR="00A328B5" w:rsidRDefault="00A328B5">
            <w:pPr>
              <w:pStyle w:val="ListParagraph"/>
              <w:spacing w:before="60" w:after="60"/>
              <w:jc w:val="right"/>
              <w:rPr>
                <w:rFonts w:cs="Arial"/>
                <w:color w:val="000000"/>
              </w:rPr>
            </w:pPr>
            <w:r w:rsidRPr="001C4717">
              <w:rPr>
                <w:rFonts w:cs="Arial"/>
                <w:color w:val="000000"/>
              </w:rPr>
              <w:t>$</w:t>
            </w:r>
            <w:r w:rsidR="00D07395">
              <w:rPr>
                <w:rFonts w:cs="Arial"/>
                <w:color w:val="000000"/>
              </w:rPr>
              <w:t>3</w:t>
            </w:r>
            <w:r>
              <w:rPr>
                <w:rFonts w:cs="Arial"/>
                <w:color w:val="000000"/>
              </w:rPr>
              <w:t xml:space="preserve"> </w:t>
            </w:r>
            <w:r w:rsidRPr="001C4717">
              <w:rPr>
                <w:rFonts w:cs="Arial"/>
                <w:color w:val="000000"/>
              </w:rPr>
              <w:t>000</w:t>
            </w:r>
          </w:p>
        </w:tc>
      </w:tr>
    </w:tbl>
    <w:p w14:paraId="05189F2D" w14:textId="3F2CA589" w:rsidR="00D96C9F" w:rsidRDefault="00D96C9F" w:rsidP="00D96C9F">
      <w:pPr>
        <w:pStyle w:val="Heading4"/>
        <w:keepNext/>
        <w:keepLines/>
        <w:ind w:left="1276" w:hanging="1276"/>
      </w:pPr>
      <w:bookmarkStart w:id="98" w:name="_Toc40170636"/>
      <w:bookmarkStart w:id="99" w:name="_Toc40182970"/>
      <w:bookmarkStart w:id="100" w:name="_Toc41893836"/>
      <w:bookmarkStart w:id="101" w:name="_Toc40170637"/>
      <w:bookmarkStart w:id="102" w:name="_Toc40182971"/>
      <w:bookmarkStart w:id="103" w:name="_Toc41893837"/>
      <w:bookmarkStart w:id="104" w:name="_Toc204068750"/>
      <w:bookmarkEnd w:id="98"/>
      <w:bookmarkEnd w:id="99"/>
      <w:bookmarkEnd w:id="100"/>
      <w:bookmarkEnd w:id="101"/>
      <w:bookmarkEnd w:id="102"/>
      <w:bookmarkEnd w:id="103"/>
      <w:r>
        <w:t>Capital grant – non cash</w:t>
      </w:r>
      <w:bookmarkEnd w:id="96"/>
      <w:bookmarkEnd w:id="104"/>
    </w:p>
    <w:p w14:paraId="1C9F37D3" w14:textId="4724B7A1" w:rsidR="00D96C9F" w:rsidRDefault="00D96C9F" w:rsidP="00D96C9F">
      <w:r>
        <w:t xml:space="preserve">Agency A owns a building with a net book value of $800 000 (cost of $1 000 000 and accumulated depreciation of $200 000). Agency A will transfer ownership of the building to </w:t>
      </w:r>
      <w:r w:rsidR="006A5517">
        <w:t>E</w:t>
      </w:r>
      <w:r w:rsidR="006A5517" w:rsidRPr="0019377C">
        <w:t xml:space="preserve">ntity </w:t>
      </w:r>
      <w:r>
        <w:t>B for no consideration</w:t>
      </w:r>
      <w:r w:rsidR="00FA3FE5">
        <w:t>. Agency A places restrictions on the use of the building including</w:t>
      </w:r>
      <w:r w:rsidR="009E01FF">
        <w:t xml:space="preserve"> that</w:t>
      </w:r>
      <w:r w:rsidR="00FA3FE5">
        <w:t xml:space="preserve"> Entity B must use the building for the delivery of specified services to the community.</w:t>
      </w:r>
    </w:p>
    <w:p w14:paraId="232D4F27" w14:textId="76227735" w:rsidR="00D96C9F" w:rsidRDefault="00D96C9F" w:rsidP="00D96C9F">
      <w:r>
        <w:t xml:space="preserve">On transfer of the building to </w:t>
      </w:r>
      <w:r w:rsidR="006A5517">
        <w:t>E</w:t>
      </w:r>
      <w:r w:rsidR="006A5517" w:rsidRPr="0019377C">
        <w:t xml:space="preserve">ntity </w:t>
      </w:r>
      <w:r>
        <w:t xml:space="preserve">B, </w:t>
      </w:r>
      <w:r w:rsidR="006A5517">
        <w:t xml:space="preserve">Agency </w:t>
      </w:r>
      <w:r>
        <w:t>A derecognises the building from its financial statements and recognises a corresponding grant expense.</w:t>
      </w:r>
    </w:p>
    <w:p w14:paraId="1C42592C" w14:textId="107A8DF8" w:rsidR="00D96C9F" w:rsidRPr="004C0218" w:rsidRDefault="00D96C9F" w:rsidP="00137A32">
      <w:pPr>
        <w:rPr>
          <w:rFonts w:cs="Arial"/>
          <w:color w:val="000000"/>
        </w:rPr>
      </w:pPr>
      <w:r>
        <w:rPr>
          <w:rFonts w:cs="Arial"/>
          <w:color w:val="000000"/>
        </w:rPr>
        <w:t>Journal to derecognise building and recognise grant expense</w:t>
      </w:r>
      <w:r w:rsidRPr="004C0218">
        <w:rPr>
          <w:rFonts w:cs="Arial"/>
          <w:color w:val="000000"/>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6095"/>
        <w:gridCol w:w="1418"/>
        <w:gridCol w:w="1405"/>
      </w:tblGrid>
      <w:tr w:rsidR="00D96C9F" w14:paraId="433FA4A4" w14:textId="77777777" w:rsidTr="00BF090B">
        <w:trPr>
          <w:trHeight w:val="70"/>
        </w:trPr>
        <w:tc>
          <w:tcPr>
            <w:tcW w:w="704" w:type="dxa"/>
            <w:tcBorders>
              <w:top w:val="single" w:sz="4" w:space="0" w:color="auto"/>
            </w:tcBorders>
          </w:tcPr>
          <w:p w14:paraId="3863A3D5" w14:textId="77777777" w:rsidR="00D96C9F" w:rsidRDefault="00D96C9F" w:rsidP="00BF090B">
            <w:pPr>
              <w:pStyle w:val="ListParagraph"/>
              <w:spacing w:before="60" w:after="60"/>
              <w:rPr>
                <w:rFonts w:cs="Arial"/>
                <w:color w:val="000000"/>
              </w:rPr>
            </w:pPr>
            <w:r>
              <w:rPr>
                <w:rFonts w:cs="Arial"/>
                <w:color w:val="000000"/>
              </w:rPr>
              <w:t>DR</w:t>
            </w:r>
          </w:p>
        </w:tc>
        <w:tc>
          <w:tcPr>
            <w:tcW w:w="6095" w:type="dxa"/>
            <w:tcBorders>
              <w:top w:val="single" w:sz="4" w:space="0" w:color="auto"/>
            </w:tcBorders>
          </w:tcPr>
          <w:p w14:paraId="6190FAB8" w14:textId="77777777" w:rsidR="00D96C9F" w:rsidRDefault="00D96C9F" w:rsidP="00BF090B">
            <w:pPr>
              <w:pStyle w:val="ListParagraph"/>
              <w:spacing w:before="60" w:after="60"/>
              <w:rPr>
                <w:rFonts w:cs="Arial"/>
                <w:color w:val="000000"/>
              </w:rPr>
            </w:pPr>
            <w:r>
              <w:rPr>
                <w:rFonts w:cs="Arial"/>
                <w:color w:val="000000"/>
              </w:rPr>
              <w:t>Capital grant expense – non cash (412700)</w:t>
            </w:r>
          </w:p>
        </w:tc>
        <w:tc>
          <w:tcPr>
            <w:tcW w:w="1418" w:type="dxa"/>
            <w:tcBorders>
              <w:top w:val="single" w:sz="4" w:space="0" w:color="auto"/>
            </w:tcBorders>
          </w:tcPr>
          <w:p w14:paraId="11EF449B" w14:textId="77777777" w:rsidR="00D96C9F" w:rsidRDefault="00D96C9F" w:rsidP="00BF090B">
            <w:pPr>
              <w:pStyle w:val="ListParagraph"/>
              <w:spacing w:before="60" w:after="60"/>
              <w:ind w:left="317" w:hanging="317"/>
              <w:jc w:val="right"/>
              <w:rPr>
                <w:rFonts w:cs="Arial"/>
                <w:color w:val="000000"/>
              </w:rPr>
            </w:pPr>
            <w:r>
              <w:rPr>
                <w:rFonts w:cs="Arial"/>
                <w:color w:val="000000"/>
              </w:rPr>
              <w:t xml:space="preserve">$800 </w:t>
            </w:r>
            <w:r w:rsidRPr="001C4717">
              <w:rPr>
                <w:rFonts w:cs="Arial"/>
                <w:color w:val="000000"/>
              </w:rPr>
              <w:t>000</w:t>
            </w:r>
          </w:p>
        </w:tc>
        <w:tc>
          <w:tcPr>
            <w:tcW w:w="1405" w:type="dxa"/>
            <w:tcBorders>
              <w:top w:val="single" w:sz="4" w:space="0" w:color="auto"/>
            </w:tcBorders>
          </w:tcPr>
          <w:p w14:paraId="2327A708" w14:textId="77777777" w:rsidR="00D96C9F" w:rsidRDefault="00D96C9F" w:rsidP="00BF090B">
            <w:pPr>
              <w:pStyle w:val="ListParagraph"/>
              <w:spacing w:before="60" w:after="60"/>
              <w:jc w:val="right"/>
              <w:rPr>
                <w:rFonts w:cs="Arial"/>
                <w:color w:val="000000"/>
              </w:rPr>
            </w:pPr>
          </w:p>
        </w:tc>
      </w:tr>
      <w:tr w:rsidR="00D96C9F" w:rsidRPr="0040005E" w14:paraId="0BCB8379" w14:textId="77777777" w:rsidTr="00BF090B">
        <w:tc>
          <w:tcPr>
            <w:tcW w:w="704" w:type="dxa"/>
          </w:tcPr>
          <w:p w14:paraId="7B9BED09" w14:textId="77777777" w:rsidR="00D96C9F" w:rsidRDefault="00D96C9F" w:rsidP="00BF090B">
            <w:pPr>
              <w:pStyle w:val="ListParagraph"/>
              <w:spacing w:before="60" w:after="60"/>
              <w:rPr>
                <w:rFonts w:cs="Arial"/>
                <w:color w:val="000000"/>
              </w:rPr>
            </w:pPr>
            <w:r>
              <w:rPr>
                <w:rFonts w:cs="Arial"/>
                <w:color w:val="000000"/>
              </w:rPr>
              <w:t xml:space="preserve">CR </w:t>
            </w:r>
          </w:p>
        </w:tc>
        <w:tc>
          <w:tcPr>
            <w:tcW w:w="6095" w:type="dxa"/>
          </w:tcPr>
          <w:p w14:paraId="27E15AB9" w14:textId="77777777" w:rsidR="00D96C9F" w:rsidRDefault="00D96C9F" w:rsidP="00BF090B">
            <w:pPr>
              <w:pStyle w:val="ListParagraph"/>
              <w:spacing w:before="60" w:after="60"/>
              <w:rPr>
                <w:rFonts w:cs="Arial"/>
                <w:color w:val="000000"/>
              </w:rPr>
            </w:pPr>
            <w:r>
              <w:rPr>
                <w:rFonts w:cs="Arial"/>
                <w:color w:val="000000"/>
              </w:rPr>
              <w:t>Buildings – transfers out (842140)</w:t>
            </w:r>
          </w:p>
        </w:tc>
        <w:tc>
          <w:tcPr>
            <w:tcW w:w="1418" w:type="dxa"/>
          </w:tcPr>
          <w:p w14:paraId="0B6226C7" w14:textId="77777777" w:rsidR="00D96C9F" w:rsidRDefault="00D96C9F" w:rsidP="00BF090B">
            <w:pPr>
              <w:pStyle w:val="ListParagraph"/>
              <w:spacing w:before="60" w:after="60"/>
              <w:jc w:val="right"/>
              <w:rPr>
                <w:rFonts w:cs="Arial"/>
                <w:color w:val="000000"/>
              </w:rPr>
            </w:pPr>
          </w:p>
        </w:tc>
        <w:tc>
          <w:tcPr>
            <w:tcW w:w="1405" w:type="dxa"/>
          </w:tcPr>
          <w:p w14:paraId="4F766347" w14:textId="51EA2B22" w:rsidR="00D96C9F" w:rsidRDefault="00034D50" w:rsidP="00BF090B">
            <w:pPr>
              <w:pStyle w:val="ListParagraph"/>
              <w:spacing w:before="60" w:after="60"/>
              <w:jc w:val="right"/>
              <w:rPr>
                <w:rFonts w:cs="Arial"/>
                <w:color w:val="000000"/>
              </w:rPr>
            </w:pPr>
            <w:r>
              <w:rPr>
                <w:rFonts w:cs="Arial"/>
                <w:color w:val="000000"/>
              </w:rPr>
              <w:t>$</w:t>
            </w:r>
            <w:r w:rsidR="00D96C9F">
              <w:rPr>
                <w:rFonts w:cs="Arial"/>
                <w:color w:val="000000"/>
              </w:rPr>
              <w:t>1 000 000</w:t>
            </w:r>
          </w:p>
        </w:tc>
      </w:tr>
      <w:tr w:rsidR="00D96C9F" w:rsidRPr="0040005E" w14:paraId="1991A676" w14:textId="77777777" w:rsidTr="00BF090B">
        <w:tc>
          <w:tcPr>
            <w:tcW w:w="704" w:type="dxa"/>
            <w:tcBorders>
              <w:bottom w:val="single" w:sz="4" w:space="0" w:color="auto"/>
            </w:tcBorders>
          </w:tcPr>
          <w:p w14:paraId="197F62EB" w14:textId="77777777" w:rsidR="00D96C9F" w:rsidRDefault="00D96C9F" w:rsidP="00BF090B">
            <w:pPr>
              <w:pStyle w:val="ListParagraph"/>
              <w:spacing w:before="60" w:after="60"/>
              <w:rPr>
                <w:rFonts w:cs="Arial"/>
                <w:color w:val="000000"/>
              </w:rPr>
            </w:pPr>
            <w:r>
              <w:rPr>
                <w:rFonts w:cs="Arial"/>
                <w:color w:val="000000"/>
              </w:rPr>
              <w:t xml:space="preserve">DR </w:t>
            </w:r>
          </w:p>
        </w:tc>
        <w:tc>
          <w:tcPr>
            <w:tcW w:w="6095" w:type="dxa"/>
            <w:tcBorders>
              <w:bottom w:val="single" w:sz="4" w:space="0" w:color="auto"/>
            </w:tcBorders>
          </w:tcPr>
          <w:p w14:paraId="4702A06C" w14:textId="77777777" w:rsidR="00D96C9F" w:rsidRDefault="00D96C9F" w:rsidP="00BF090B">
            <w:pPr>
              <w:pStyle w:val="ListParagraph"/>
              <w:spacing w:before="60" w:after="60"/>
              <w:rPr>
                <w:rFonts w:cs="Arial"/>
                <w:color w:val="000000"/>
              </w:rPr>
            </w:pPr>
            <w:r>
              <w:rPr>
                <w:rFonts w:cs="Arial"/>
                <w:color w:val="000000"/>
              </w:rPr>
              <w:t>Accumulated depreciation – building transfers (842230)</w:t>
            </w:r>
          </w:p>
        </w:tc>
        <w:tc>
          <w:tcPr>
            <w:tcW w:w="1418" w:type="dxa"/>
            <w:tcBorders>
              <w:bottom w:val="single" w:sz="4" w:space="0" w:color="auto"/>
            </w:tcBorders>
          </w:tcPr>
          <w:p w14:paraId="4AD11AE9" w14:textId="7110F9D1" w:rsidR="00D96C9F" w:rsidRDefault="00034D50" w:rsidP="00BF090B">
            <w:pPr>
              <w:pStyle w:val="ListParagraph"/>
              <w:spacing w:before="60" w:after="60"/>
              <w:jc w:val="right"/>
              <w:rPr>
                <w:rFonts w:cs="Arial"/>
                <w:color w:val="000000"/>
              </w:rPr>
            </w:pPr>
            <w:r>
              <w:rPr>
                <w:rFonts w:cs="Arial"/>
                <w:color w:val="000000"/>
              </w:rPr>
              <w:t>$200 000</w:t>
            </w:r>
          </w:p>
        </w:tc>
        <w:tc>
          <w:tcPr>
            <w:tcW w:w="1405" w:type="dxa"/>
            <w:tcBorders>
              <w:bottom w:val="single" w:sz="4" w:space="0" w:color="auto"/>
            </w:tcBorders>
          </w:tcPr>
          <w:p w14:paraId="53024804" w14:textId="3083BB90" w:rsidR="00D96C9F" w:rsidRDefault="00D96C9F">
            <w:pPr>
              <w:pStyle w:val="ListParagraph"/>
              <w:spacing w:before="60" w:after="60"/>
              <w:jc w:val="right"/>
              <w:rPr>
                <w:rFonts w:cs="Arial"/>
                <w:color w:val="000000"/>
              </w:rPr>
            </w:pPr>
          </w:p>
        </w:tc>
      </w:tr>
    </w:tbl>
    <w:p w14:paraId="03ABAAA7" w14:textId="77777777" w:rsidR="00D96C9F" w:rsidRDefault="00D96C9F" w:rsidP="00D96C9F">
      <w:pPr>
        <w:pStyle w:val="Heading2"/>
        <w:keepLines/>
        <w:ind w:left="851" w:hanging="851"/>
      </w:pPr>
      <w:bookmarkStart w:id="105" w:name="_Toc32477537"/>
      <w:bookmarkStart w:id="106" w:name="_Toc32496378"/>
      <w:bookmarkStart w:id="107" w:name="_Toc32944622"/>
      <w:bookmarkStart w:id="108" w:name="_Toc33002610"/>
      <w:bookmarkStart w:id="109" w:name="_Toc204068751"/>
      <w:bookmarkEnd w:id="105"/>
      <w:bookmarkEnd w:id="106"/>
      <w:bookmarkEnd w:id="107"/>
      <w:r>
        <w:t>Repayment of grants and subsidies</w:t>
      </w:r>
      <w:bookmarkEnd w:id="108"/>
      <w:bookmarkEnd w:id="109"/>
    </w:p>
    <w:p w14:paraId="6BBE7B78" w14:textId="5F63A1C0" w:rsidR="00D96C9F" w:rsidRDefault="00D96C9F" w:rsidP="00D96C9F">
      <w:r>
        <w:t xml:space="preserve">Situations may arise where the recipient of a grant or subsidy fails to meet certain terms and conditions attached to a grant or subsidy, and some or </w:t>
      </w:r>
      <w:r w:rsidR="00751C49">
        <w:t>all</w:t>
      </w:r>
      <w:r>
        <w:t xml:space="preserve"> the grant or subsidy is required to be repaid. In these cases, an agency recognises the amount repaid or due to be repaid as:</w:t>
      </w:r>
    </w:p>
    <w:p w14:paraId="05938A48" w14:textId="0C4131F2" w:rsidR="00D96C9F" w:rsidRDefault="00D96C9F" w:rsidP="00556D25">
      <w:pPr>
        <w:pStyle w:val="ListParagraph"/>
        <w:numPr>
          <w:ilvl w:val="0"/>
          <w:numId w:val="15"/>
        </w:numPr>
        <w:ind w:left="364" w:hanging="298"/>
      </w:pPr>
      <w:r>
        <w:t>a credit offset to grant</w:t>
      </w:r>
      <w:r w:rsidR="00DE2A08">
        <w:t>s</w:t>
      </w:r>
      <w:r>
        <w:t xml:space="preserve"> and subsid</w:t>
      </w:r>
      <w:r w:rsidR="00DE2A08">
        <w:t>ies</w:t>
      </w:r>
      <w:r>
        <w:t xml:space="preserve"> expenses where the substance of the transaction is that of a repayment of a grant or subsidy expense </w:t>
      </w:r>
      <w:r w:rsidR="00555FB2">
        <w:t xml:space="preserve">previously </w:t>
      </w:r>
      <w:r w:rsidR="00555FB2" w:rsidRPr="00555FB2">
        <w:t>recognised</w:t>
      </w:r>
      <w:r w:rsidR="00555FB2" w:rsidRPr="00B62EE3">
        <w:t xml:space="preserve"> </w:t>
      </w:r>
      <w:r w:rsidRPr="00555FB2">
        <w:t>within</w:t>
      </w:r>
      <w:r>
        <w:t xml:space="preserve"> the same financial year </w:t>
      </w:r>
    </w:p>
    <w:p w14:paraId="082C9DFD" w14:textId="60AEDFD8" w:rsidR="00D96C9F" w:rsidRDefault="00D96C9F" w:rsidP="00556D25">
      <w:pPr>
        <w:pStyle w:val="ListParagraph"/>
        <w:numPr>
          <w:ilvl w:val="0"/>
          <w:numId w:val="15"/>
        </w:numPr>
        <w:ind w:left="364" w:hanging="298"/>
      </w:pPr>
      <w:r>
        <w:lastRenderedPageBreak/>
        <w:t xml:space="preserve">or </w:t>
      </w:r>
      <w:r w:rsidR="00200FBA">
        <w:t xml:space="preserve">a </w:t>
      </w:r>
      <w:r w:rsidR="00314237">
        <w:t>miscellaneous</w:t>
      </w:r>
      <w:r w:rsidR="00200FBA">
        <w:t xml:space="preserve"> </w:t>
      </w:r>
      <w:r>
        <w:t xml:space="preserve">income for </w:t>
      </w:r>
      <w:r w:rsidR="00034D50">
        <w:t xml:space="preserve">all </w:t>
      </w:r>
      <w:r>
        <w:t>other repayments.</w:t>
      </w:r>
    </w:p>
    <w:p w14:paraId="32B59E5F" w14:textId="2A3EF59E" w:rsidR="00D96C9F" w:rsidRDefault="00D96C9F" w:rsidP="00D96C9F">
      <w:r>
        <w:t xml:space="preserve">If it is clear that a grant or subsidy recipient will be required to repay some or all of the grant or subsidy in the future, a receivable may be recorded </w:t>
      </w:r>
      <w:r w:rsidR="00C75F3B">
        <w:t>subject to meeting the</w:t>
      </w:r>
      <w:r>
        <w:t xml:space="preserve"> recognition criteria in accordance with Australian </w:t>
      </w:r>
      <w:r w:rsidR="00034D50">
        <w:t>a</w:t>
      </w:r>
      <w:r>
        <w:t xml:space="preserve">ccounting </w:t>
      </w:r>
      <w:r w:rsidR="00034D50">
        <w:t>s</w:t>
      </w:r>
      <w:r>
        <w:t>tandards. An asset is recognised when:</w:t>
      </w:r>
    </w:p>
    <w:p w14:paraId="7C896379" w14:textId="77777777" w:rsidR="00D96C9F" w:rsidRDefault="00D96C9F" w:rsidP="00556D25">
      <w:pPr>
        <w:pStyle w:val="ListParagraph"/>
        <w:numPr>
          <w:ilvl w:val="0"/>
          <w:numId w:val="15"/>
        </w:numPr>
        <w:ind w:left="364" w:hanging="298"/>
      </w:pPr>
      <w:r>
        <w:t xml:space="preserve">it is probable that the future economic benefits will flow to the agency </w:t>
      </w:r>
    </w:p>
    <w:p w14:paraId="3DBA054E" w14:textId="77777777" w:rsidR="00D96C9F" w:rsidRDefault="00D96C9F" w:rsidP="00556D25">
      <w:pPr>
        <w:pStyle w:val="ListParagraph"/>
        <w:numPr>
          <w:ilvl w:val="0"/>
          <w:numId w:val="15"/>
        </w:numPr>
        <w:ind w:left="364" w:hanging="298"/>
      </w:pPr>
      <w:r>
        <w:t>the asset has a cost or value that can be measured reliably.</w:t>
      </w:r>
    </w:p>
    <w:p w14:paraId="246A4DFD" w14:textId="10B7A2F1" w:rsidR="00D96C9F" w:rsidRDefault="00D96C9F" w:rsidP="00D96C9F">
      <w:r>
        <w:t>Where the asset recognition criteria is not met, an agency will recognise the repayment when cash is received.</w:t>
      </w:r>
    </w:p>
    <w:sectPr w:rsidR="00D96C9F" w:rsidSect="00D379B5">
      <w:footerReference w:type="default" r:id="rId17"/>
      <w:headerReference w:type="first" r:id="rId18"/>
      <w:pgSz w:w="11906" w:h="16838" w:code="9"/>
      <w:pgMar w:top="794" w:right="794" w:bottom="794" w:left="794" w:header="794"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7D69" w14:textId="77777777" w:rsidR="00E70954" w:rsidRDefault="00E70954">
      <w:r>
        <w:separator/>
      </w:r>
    </w:p>
  </w:endnote>
  <w:endnote w:type="continuationSeparator" w:id="0">
    <w:p w14:paraId="6000C051" w14:textId="77777777" w:rsidR="00E70954" w:rsidRDefault="00E70954">
      <w:r>
        <w:continuationSeparator/>
      </w:r>
    </w:p>
  </w:endnote>
  <w:endnote w:type="continuationNotice" w:id="1">
    <w:p w14:paraId="5ACA0070" w14:textId="77777777" w:rsidR="00E70954" w:rsidRDefault="00E709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0FE2" w14:textId="77777777" w:rsidR="00CD2430" w:rsidRPr="00F538BD" w:rsidRDefault="00CD2430" w:rsidP="000A385C">
    <w:pPr>
      <w:pStyle w:val="Hidden"/>
      <w:ind w:firstLine="0"/>
      <w:jc w:val="right"/>
    </w:pPr>
    <w:r w:rsidRPr="001852AF">
      <w:rPr>
        <w:noProof/>
        <w:lang w:eastAsia="en-AU"/>
      </w:rPr>
      <w:drawing>
        <wp:inline distT="0" distB="0" distL="0" distR="0" wp14:anchorId="08A84D21" wp14:editId="3BA39E51">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1EF6" w14:textId="3CBF041C" w:rsidR="00CD2430" w:rsidRDefault="00CD2430"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D2430" w:rsidRPr="00132658" w14:paraId="5861A8D4" w14:textId="77777777" w:rsidTr="00BF090B">
      <w:trPr>
        <w:cantSplit/>
        <w:trHeight w:hRule="exact" w:val="850"/>
        <w:tblHeader/>
      </w:trPr>
      <w:tc>
        <w:tcPr>
          <w:tcW w:w="10318" w:type="dxa"/>
          <w:vAlign w:val="bottom"/>
        </w:tcPr>
        <w:p w14:paraId="2C5AB7E2" w14:textId="77777777" w:rsidR="00CD2430" w:rsidRDefault="00CD2430" w:rsidP="00CB6A67">
          <w:pPr>
            <w:spacing w:after="0"/>
            <w:rPr>
              <w:rStyle w:val="PageNumber"/>
              <w:b/>
            </w:rPr>
          </w:pPr>
          <w:r>
            <w:rPr>
              <w:rStyle w:val="PageNumber"/>
            </w:rPr>
            <w:t xml:space="preserve">Department of </w:t>
          </w:r>
          <w:sdt>
            <w:sdtPr>
              <w:rPr>
                <w:rStyle w:val="PageNumber"/>
                <w:b/>
              </w:rPr>
              <w:alias w:val="Company"/>
              <w:tag w:val=""/>
              <w:id w:val="145948809"/>
              <w:placeholder>
                <w:docPart w:val="4427FB8FBD1F4414950C73570F595825"/>
              </w:placeholder>
              <w:dataBinding w:prefixMappings="xmlns:ns0='http://schemas.openxmlformats.org/officeDocument/2006/extended-properties' " w:xpath="/ns0:Properties[1]/ns0:Company[1]" w:storeItemID="{6668398D-A668-4E3E-A5EB-62B293D839F1}"/>
              <w:text w:multiLine="1"/>
            </w:sdtPr>
            <w:sdtContent>
              <w:r>
                <w:rPr>
                  <w:rStyle w:val="PageNumber"/>
                  <w:b/>
                </w:rPr>
                <w:t>TREASURY AND FINANCE</w:t>
              </w:r>
            </w:sdtContent>
          </w:sdt>
        </w:p>
        <w:p w14:paraId="2F4D2C46" w14:textId="62C78EFE" w:rsidR="00CD2430" w:rsidRPr="00CE6614" w:rsidRDefault="00A746CB" w:rsidP="00CB6A67">
          <w:pPr>
            <w:spacing w:after="0"/>
            <w:rPr>
              <w:rStyle w:val="PageNumber"/>
            </w:rPr>
          </w:pPr>
          <w:r>
            <w:rPr>
              <w:rStyle w:val="PageNumber"/>
            </w:rPr>
            <w:t>August</w:t>
          </w:r>
          <w:r w:rsidRPr="00DC50FD">
            <w:rPr>
              <w:rStyle w:val="PageNumber"/>
            </w:rPr>
            <w:t xml:space="preserve"> </w:t>
          </w:r>
          <w:r w:rsidR="00CD2430" w:rsidRPr="00DC50FD">
            <w:rPr>
              <w:rStyle w:val="PageNumber"/>
            </w:rPr>
            <w:t>202</w:t>
          </w:r>
          <w:r w:rsidR="00C75FC6">
            <w:rPr>
              <w:rStyle w:val="PageNumber"/>
            </w:rPr>
            <w:t>5</w:t>
          </w:r>
          <w:r w:rsidR="00CD2430">
            <w:rPr>
              <w:rStyle w:val="PageNumber"/>
            </w:rPr>
            <w:t xml:space="preserve"> |</w:t>
          </w:r>
          <w:r w:rsidR="00CD2430" w:rsidRPr="00CE6614">
            <w:rPr>
              <w:rStyle w:val="PageNumber"/>
            </w:rPr>
            <w:t xml:space="preserve"> Version </w:t>
          </w:r>
          <w:r w:rsidR="00C75FC6">
            <w:rPr>
              <w:rStyle w:val="PageNumber"/>
            </w:rPr>
            <w:t>2</w:t>
          </w:r>
          <w:r w:rsidR="00CD2430">
            <w:rPr>
              <w:rStyle w:val="PageNumber"/>
            </w:rPr>
            <w:t>.0</w:t>
          </w:r>
        </w:p>
        <w:p w14:paraId="3EA844BC" w14:textId="77777777" w:rsidR="00CD2430" w:rsidRPr="00AC4488" w:rsidRDefault="00CD2430"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10115">
            <w:rPr>
              <w:rStyle w:val="PageNumber"/>
              <w:noProof/>
            </w:rPr>
            <w:t>14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10115">
            <w:rPr>
              <w:rStyle w:val="PageNumber"/>
              <w:noProof/>
            </w:rPr>
            <w:t>14</w:t>
          </w:r>
          <w:r w:rsidRPr="00AC4488">
            <w:rPr>
              <w:rStyle w:val="PageNumber"/>
            </w:rPr>
            <w:fldChar w:fldCharType="end"/>
          </w:r>
        </w:p>
      </w:tc>
    </w:tr>
  </w:tbl>
  <w:p w14:paraId="3596A043" w14:textId="77777777" w:rsidR="00CD2430" w:rsidRDefault="00CD2430" w:rsidP="001852AF">
    <w:pPr>
      <w:pStyle w:val="Hidden"/>
      <w:ind w:firstLine="0"/>
    </w:pPr>
  </w:p>
  <w:p w14:paraId="6E8EFC9C" w14:textId="77777777" w:rsidR="00CD2430" w:rsidRPr="001852AF" w:rsidRDefault="00CD2430" w:rsidP="001852AF">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3DDE" w14:textId="77777777" w:rsidR="00CD2430" w:rsidRPr="00F538BD" w:rsidRDefault="00CD2430"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2A65" w14:textId="77777777" w:rsidR="00CD2430" w:rsidRDefault="00CD2430"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D2430" w:rsidRPr="00132658" w14:paraId="0AA14520" w14:textId="77777777" w:rsidTr="00BF090B">
      <w:trPr>
        <w:cantSplit/>
        <w:trHeight w:hRule="exact" w:val="850"/>
        <w:tblHeader/>
      </w:trPr>
      <w:tc>
        <w:tcPr>
          <w:tcW w:w="10318" w:type="dxa"/>
          <w:vAlign w:val="bottom"/>
        </w:tcPr>
        <w:p w14:paraId="41150F8D" w14:textId="64055B47" w:rsidR="00CD2430" w:rsidRDefault="00CD2430" w:rsidP="00CB6A67">
          <w:pPr>
            <w:spacing w:after="0"/>
            <w:rPr>
              <w:rStyle w:val="PageNumber"/>
              <w:b/>
            </w:rPr>
          </w:pPr>
          <w:r>
            <w:rPr>
              <w:rStyle w:val="PageNumber"/>
            </w:rPr>
            <w:t xml:space="preserve">Department of </w:t>
          </w:r>
          <w:sdt>
            <w:sdtPr>
              <w:rPr>
                <w:rStyle w:val="PageNumber"/>
                <w:b/>
              </w:rPr>
              <w:alias w:val="Company"/>
              <w:tag w:val=""/>
              <w:id w:val="-1550452142"/>
              <w:placeholder>
                <w:docPart w:val="4427FB8FBD1F4414950C73570F595825"/>
              </w:placeholder>
              <w:dataBinding w:prefixMappings="xmlns:ns0='http://schemas.openxmlformats.org/officeDocument/2006/extended-properties' " w:xpath="/ns0:Properties[1]/ns0:Company[1]" w:storeItemID="{6668398D-A668-4E3E-A5EB-62B293D839F1}"/>
              <w:text w:multiLine="1"/>
            </w:sdtPr>
            <w:sdtContent>
              <w:r>
                <w:rPr>
                  <w:rStyle w:val="PageNumber"/>
                  <w:b/>
                </w:rPr>
                <w:t>TREASURY AND FINANCE</w:t>
              </w:r>
            </w:sdtContent>
          </w:sdt>
        </w:p>
        <w:p w14:paraId="60026A2A" w14:textId="654C0CCF" w:rsidR="00CD2430" w:rsidRPr="00CE6614" w:rsidRDefault="00A746CB" w:rsidP="00CB6A67">
          <w:pPr>
            <w:spacing w:after="0"/>
            <w:rPr>
              <w:rStyle w:val="PageNumber"/>
            </w:rPr>
          </w:pPr>
          <w:r>
            <w:rPr>
              <w:rStyle w:val="PageNumber"/>
            </w:rPr>
            <w:t>August</w:t>
          </w:r>
          <w:r w:rsidRPr="00DC50FD">
            <w:rPr>
              <w:rStyle w:val="PageNumber"/>
            </w:rPr>
            <w:t xml:space="preserve"> 202</w:t>
          </w:r>
          <w:r>
            <w:rPr>
              <w:rStyle w:val="PageNumber"/>
            </w:rPr>
            <w:t xml:space="preserve">5 </w:t>
          </w:r>
          <w:r w:rsidR="00CD2430">
            <w:rPr>
              <w:rStyle w:val="PageNumber"/>
            </w:rPr>
            <w:t>|</w:t>
          </w:r>
          <w:r w:rsidR="00CD2430" w:rsidRPr="00CE6614">
            <w:rPr>
              <w:rStyle w:val="PageNumber"/>
            </w:rPr>
            <w:t xml:space="preserve"> Version </w:t>
          </w:r>
          <w:r w:rsidR="00C75FC6">
            <w:rPr>
              <w:rStyle w:val="PageNumber"/>
            </w:rPr>
            <w:t>2</w:t>
          </w:r>
          <w:r w:rsidR="00CD2430">
            <w:rPr>
              <w:rStyle w:val="PageNumber"/>
            </w:rPr>
            <w:t>.0</w:t>
          </w:r>
        </w:p>
        <w:p w14:paraId="57AFB435" w14:textId="45A781B7" w:rsidR="00CD2430" w:rsidRPr="00AC4488" w:rsidRDefault="00CD2430"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10115">
            <w:rPr>
              <w:rStyle w:val="PageNumber"/>
              <w:noProof/>
            </w:rPr>
            <w:t>14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10115">
            <w:rPr>
              <w:rStyle w:val="PageNumber"/>
              <w:noProof/>
            </w:rPr>
            <w:t>14</w:t>
          </w:r>
          <w:r w:rsidRPr="00AC4488">
            <w:rPr>
              <w:rStyle w:val="PageNumber"/>
            </w:rPr>
            <w:fldChar w:fldCharType="end"/>
          </w:r>
        </w:p>
      </w:tc>
    </w:tr>
  </w:tbl>
  <w:p w14:paraId="67E5975E" w14:textId="77777777" w:rsidR="00CD2430" w:rsidRDefault="00CD2430" w:rsidP="001852AF">
    <w:pPr>
      <w:pStyle w:val="Hidden"/>
      <w:ind w:firstLine="0"/>
    </w:pPr>
  </w:p>
  <w:p w14:paraId="6DECDA92" w14:textId="77777777" w:rsidR="00CD2430" w:rsidRPr="001852AF" w:rsidRDefault="00CD2430"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71F5" w14:textId="77777777" w:rsidR="00E70954" w:rsidRDefault="00E70954">
      <w:r>
        <w:separator/>
      </w:r>
    </w:p>
  </w:footnote>
  <w:footnote w:type="continuationSeparator" w:id="0">
    <w:p w14:paraId="1CFA1100" w14:textId="77777777" w:rsidR="00E70954" w:rsidRDefault="00E70954">
      <w:r>
        <w:continuationSeparator/>
      </w:r>
    </w:p>
  </w:footnote>
  <w:footnote w:type="continuationNotice" w:id="1">
    <w:p w14:paraId="60F005F2" w14:textId="77777777" w:rsidR="00E70954" w:rsidRDefault="00E709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9A8C" w14:textId="71813211" w:rsidR="00CD2430"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534A0D">
          <w:t>Guidance document: Accounting for grants and subsidies expenses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1769" w14:textId="77777777" w:rsidR="00CD2430" w:rsidRDefault="00CD2430" w:rsidP="00382BE1">
    <w:pPr>
      <w:tabs>
        <w:tab w:val="right" w:pos="10318"/>
      </w:tabs>
    </w:pPr>
    <w:r>
      <w:rPr>
        <w:noProof/>
        <w:lang w:eastAsia="en-AU"/>
      </w:rPr>
      <mc:AlternateContent>
        <mc:Choice Requires="wps">
          <w:drawing>
            <wp:anchor distT="0" distB="0" distL="114300" distR="114300" simplePos="0" relativeHeight="251657216" behindDoc="1" locked="0" layoutInCell="1" allowOverlap="1" wp14:anchorId="155069EB" wp14:editId="48FC0DC0">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9E823"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81FA" w14:textId="77777777" w:rsidR="00CD2430" w:rsidRPr="00274F1C" w:rsidRDefault="00CD2430"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7395BFEC" w14:textId="4D866D33" w:rsidR="00CD2430" w:rsidRPr="00964B22" w:rsidRDefault="00534A0D" w:rsidP="008E0345">
        <w:pPr>
          <w:pStyle w:val="Header"/>
          <w:rPr>
            <w:b/>
          </w:rPr>
        </w:pPr>
        <w:r>
          <w:t>Guidance document: Accounting for grants and subsidies expenses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1E83836"/>
    <w:lvl w:ilvl="0">
      <w:start w:val="1"/>
      <w:numFmt w:val="decimal"/>
      <w:lvlText w:val="%1."/>
      <w:lvlJc w:val="left"/>
      <w:pPr>
        <w:tabs>
          <w:tab w:val="num" w:pos="360"/>
        </w:tabs>
        <w:ind w:left="360" w:hanging="360"/>
      </w:pPr>
    </w:lvl>
  </w:abstractNum>
  <w:abstractNum w:abstractNumId="1" w15:restartNumberingAfterBreak="0">
    <w:nsid w:val="023F5C05"/>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 w15:restartNumberingAfterBreak="0">
    <w:nsid w:val="030F0990"/>
    <w:multiLevelType w:val="multilevel"/>
    <w:tmpl w:val="0C78A7AC"/>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3" w15:restartNumberingAfterBreak="0">
    <w:nsid w:val="035D246C"/>
    <w:multiLevelType w:val="hybridMultilevel"/>
    <w:tmpl w:val="A964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31554F"/>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084671"/>
    <w:multiLevelType w:val="hybridMultilevel"/>
    <w:tmpl w:val="392813C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4291828"/>
    <w:multiLevelType w:val="hybridMultilevel"/>
    <w:tmpl w:val="D0B06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A2A05F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BB818AA"/>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21F4000"/>
    <w:multiLevelType w:val="hybridMultilevel"/>
    <w:tmpl w:val="C4044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25AA1D54"/>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8545CCB"/>
    <w:multiLevelType w:val="multilevel"/>
    <w:tmpl w:val="0C78A7AC"/>
    <w:numStyleLink w:val="NTGTable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006893"/>
    <w:multiLevelType w:val="hybridMultilevel"/>
    <w:tmpl w:val="3B5A5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3AC0BD5"/>
    <w:multiLevelType w:val="multilevel"/>
    <w:tmpl w:val="39746A98"/>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33" w15:restartNumberingAfterBreak="0">
    <w:nsid w:val="33AD210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A3F5568"/>
    <w:multiLevelType w:val="hybridMultilevel"/>
    <w:tmpl w:val="9A44BD6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3E8B0959"/>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26F70CC"/>
    <w:multiLevelType w:val="multilevel"/>
    <w:tmpl w:val="39746A98"/>
    <w:numStyleLink w:val="NTGTableNumList"/>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2" w15:restartNumberingAfterBreak="0">
    <w:nsid w:val="4C052F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041405"/>
    <w:multiLevelType w:val="hybridMultilevel"/>
    <w:tmpl w:val="FE3C07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7CB4C29"/>
    <w:multiLevelType w:val="hybridMultilevel"/>
    <w:tmpl w:val="24FA0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841383"/>
    <w:multiLevelType w:val="multilevel"/>
    <w:tmpl w:val="3928FD02"/>
    <w:numStyleLink w:val="Bulletlist"/>
  </w:abstractNum>
  <w:abstractNum w:abstractNumId="52" w15:restartNumberingAfterBreak="0">
    <w:nsid w:val="5AD26E62"/>
    <w:multiLevelType w:val="hybridMultilevel"/>
    <w:tmpl w:val="E5B85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B9A5FFE"/>
    <w:multiLevelType w:val="multilevel"/>
    <w:tmpl w:val="0C78A7AC"/>
    <w:name w:val="NTG Table Bullet List33222222222222"/>
    <w:numStyleLink w:val="Tablebulletlist"/>
  </w:abstractNum>
  <w:abstractNum w:abstractNumId="54" w15:restartNumberingAfterBreak="0">
    <w:nsid w:val="5D444259"/>
    <w:multiLevelType w:val="multilevel"/>
    <w:tmpl w:val="0C78A7AC"/>
    <w:name w:val="NTG Table Bullet List332222"/>
    <w:numStyleLink w:val="Tablebulletlist"/>
  </w:abstractNum>
  <w:abstractNum w:abstractNumId="55" w15:restartNumberingAfterBreak="0">
    <w:nsid w:val="619A2F12"/>
    <w:multiLevelType w:val="hybridMultilevel"/>
    <w:tmpl w:val="CAD27510"/>
    <w:lvl w:ilvl="0" w:tplc="5AC46C4E">
      <w:numFmt w:val="bullet"/>
      <w:lvlText w:val="-"/>
      <w:lvlJc w:val="left"/>
      <w:pPr>
        <w:ind w:left="638" w:hanging="360"/>
      </w:pPr>
      <w:rPr>
        <w:rFonts w:ascii="Lato" w:eastAsiaTheme="minorEastAsia" w:hAnsi="Lato" w:cs="Times New Roman" w:hint="default"/>
      </w:rPr>
    </w:lvl>
    <w:lvl w:ilvl="1" w:tplc="47864416">
      <w:numFmt w:val="bullet"/>
      <w:lvlText w:val="•"/>
      <w:lvlJc w:val="left"/>
      <w:pPr>
        <w:ind w:left="1358" w:hanging="360"/>
      </w:pPr>
      <w:rPr>
        <w:rFonts w:ascii="Lato" w:eastAsia="Calibri" w:hAnsi="Lato" w:cs="Times New Roman" w:hint="default"/>
      </w:rPr>
    </w:lvl>
    <w:lvl w:ilvl="2" w:tplc="0C090005" w:tentative="1">
      <w:start w:val="1"/>
      <w:numFmt w:val="bullet"/>
      <w:lvlText w:val=""/>
      <w:lvlJc w:val="left"/>
      <w:pPr>
        <w:ind w:left="2078" w:hanging="360"/>
      </w:pPr>
      <w:rPr>
        <w:rFonts w:ascii="Wingdings" w:hAnsi="Wingdings" w:hint="default"/>
      </w:rPr>
    </w:lvl>
    <w:lvl w:ilvl="3" w:tplc="0C090001" w:tentative="1">
      <w:start w:val="1"/>
      <w:numFmt w:val="bullet"/>
      <w:lvlText w:val=""/>
      <w:lvlJc w:val="left"/>
      <w:pPr>
        <w:ind w:left="2798" w:hanging="360"/>
      </w:pPr>
      <w:rPr>
        <w:rFonts w:ascii="Symbol" w:hAnsi="Symbol" w:hint="default"/>
      </w:rPr>
    </w:lvl>
    <w:lvl w:ilvl="4" w:tplc="0C090003" w:tentative="1">
      <w:start w:val="1"/>
      <w:numFmt w:val="bullet"/>
      <w:lvlText w:val="o"/>
      <w:lvlJc w:val="left"/>
      <w:pPr>
        <w:ind w:left="3518" w:hanging="360"/>
      </w:pPr>
      <w:rPr>
        <w:rFonts w:ascii="Courier New" w:hAnsi="Courier New" w:cs="Courier New" w:hint="default"/>
      </w:rPr>
    </w:lvl>
    <w:lvl w:ilvl="5" w:tplc="0C090005" w:tentative="1">
      <w:start w:val="1"/>
      <w:numFmt w:val="bullet"/>
      <w:lvlText w:val=""/>
      <w:lvlJc w:val="left"/>
      <w:pPr>
        <w:ind w:left="4238" w:hanging="360"/>
      </w:pPr>
      <w:rPr>
        <w:rFonts w:ascii="Wingdings" w:hAnsi="Wingdings" w:hint="default"/>
      </w:rPr>
    </w:lvl>
    <w:lvl w:ilvl="6" w:tplc="0C090001" w:tentative="1">
      <w:start w:val="1"/>
      <w:numFmt w:val="bullet"/>
      <w:lvlText w:val=""/>
      <w:lvlJc w:val="left"/>
      <w:pPr>
        <w:ind w:left="4958" w:hanging="360"/>
      </w:pPr>
      <w:rPr>
        <w:rFonts w:ascii="Symbol" w:hAnsi="Symbol" w:hint="default"/>
      </w:rPr>
    </w:lvl>
    <w:lvl w:ilvl="7" w:tplc="0C090003" w:tentative="1">
      <w:start w:val="1"/>
      <w:numFmt w:val="bullet"/>
      <w:lvlText w:val="o"/>
      <w:lvlJc w:val="left"/>
      <w:pPr>
        <w:ind w:left="5678" w:hanging="360"/>
      </w:pPr>
      <w:rPr>
        <w:rFonts w:ascii="Courier New" w:hAnsi="Courier New" w:cs="Courier New" w:hint="default"/>
      </w:rPr>
    </w:lvl>
    <w:lvl w:ilvl="8" w:tplc="0C090005" w:tentative="1">
      <w:start w:val="1"/>
      <w:numFmt w:val="bullet"/>
      <w:lvlText w:val=""/>
      <w:lvlJc w:val="left"/>
      <w:pPr>
        <w:ind w:left="6398" w:hanging="360"/>
      </w:pPr>
      <w:rPr>
        <w:rFonts w:ascii="Wingdings" w:hAnsi="Wingdings" w:hint="default"/>
      </w:rPr>
    </w:lvl>
  </w:abstractNum>
  <w:abstractNum w:abstractNumId="56" w15:restartNumberingAfterBreak="0">
    <w:nsid w:val="621219B4"/>
    <w:multiLevelType w:val="hybridMultilevel"/>
    <w:tmpl w:val="63AC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10546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62C7589"/>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807147F"/>
    <w:multiLevelType w:val="hybridMultilevel"/>
    <w:tmpl w:val="DFAED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6DF638F7"/>
    <w:multiLevelType w:val="hybridMultilevel"/>
    <w:tmpl w:val="57EEB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4A945E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754D5CD6"/>
    <w:multiLevelType w:val="hybridMultilevel"/>
    <w:tmpl w:val="902212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DF2B18"/>
    <w:multiLevelType w:val="hybridMultilevel"/>
    <w:tmpl w:val="AC00E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CC6470"/>
    <w:multiLevelType w:val="multilevel"/>
    <w:tmpl w:val="777C5A52"/>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8" w15:restartNumberingAfterBreak="0">
    <w:nsid w:val="7A0F765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9" w15:restartNumberingAfterBreak="0">
    <w:nsid w:val="7AF7165C"/>
    <w:multiLevelType w:val="hybridMultilevel"/>
    <w:tmpl w:val="16181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B8C05FA"/>
    <w:multiLevelType w:val="hybridMultilevel"/>
    <w:tmpl w:val="CA384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C1345FC"/>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2" w15:restartNumberingAfterBreak="0">
    <w:nsid w:val="7CD55933"/>
    <w:multiLevelType w:val="hybridMultilevel"/>
    <w:tmpl w:val="819CC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7EBE0EA0"/>
    <w:multiLevelType w:val="hybridMultilevel"/>
    <w:tmpl w:val="834CA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097327">
    <w:abstractNumId w:val="34"/>
  </w:num>
  <w:num w:numId="2" w16cid:durableId="291836035">
    <w:abstractNumId w:val="20"/>
  </w:num>
  <w:num w:numId="3" w16cid:durableId="1344358670">
    <w:abstractNumId w:val="67"/>
  </w:num>
  <w:num w:numId="4" w16cid:durableId="1176774997">
    <w:abstractNumId w:val="41"/>
  </w:num>
  <w:num w:numId="5" w16cid:durableId="399058421">
    <w:abstractNumId w:val="27"/>
  </w:num>
  <w:num w:numId="6" w16cid:durableId="1660881262">
    <w:abstractNumId w:val="14"/>
  </w:num>
  <w:num w:numId="7" w16cid:durableId="1793552833">
    <w:abstractNumId w:val="45"/>
  </w:num>
  <w:num w:numId="8" w16cid:durableId="425881516">
    <w:abstractNumId w:val="35"/>
  </w:num>
  <w:num w:numId="9" w16cid:durableId="901060601">
    <w:abstractNumId w:val="32"/>
  </w:num>
  <w:num w:numId="10" w16cid:durableId="2008902797">
    <w:abstractNumId w:val="39"/>
  </w:num>
  <w:num w:numId="11" w16cid:durableId="754476256">
    <w:abstractNumId w:val="44"/>
  </w:num>
  <w:num w:numId="12" w16cid:durableId="299650883">
    <w:abstractNumId w:val="2"/>
  </w:num>
  <w:num w:numId="13" w16cid:durableId="1295015511">
    <w:abstractNumId w:val="26"/>
  </w:num>
  <w:num w:numId="14" w16cid:durableId="1959603057">
    <w:abstractNumId w:val="36"/>
  </w:num>
  <w:num w:numId="15" w16cid:durableId="192808076">
    <w:abstractNumId w:val="74"/>
  </w:num>
  <w:num w:numId="16" w16cid:durableId="196478296">
    <w:abstractNumId w:val="69"/>
  </w:num>
  <w:num w:numId="17" w16cid:durableId="1372539382">
    <w:abstractNumId w:val="22"/>
  </w:num>
  <w:num w:numId="18" w16cid:durableId="632977178">
    <w:abstractNumId w:val="10"/>
  </w:num>
  <w:num w:numId="19" w16cid:durableId="1334455514">
    <w:abstractNumId w:val="58"/>
  </w:num>
  <w:num w:numId="20" w16cid:durableId="1517572939">
    <w:abstractNumId w:val="68"/>
  </w:num>
  <w:num w:numId="21" w16cid:durableId="339429273">
    <w:abstractNumId w:val="71"/>
  </w:num>
  <w:num w:numId="22" w16cid:durableId="2134590770">
    <w:abstractNumId w:val="51"/>
  </w:num>
  <w:num w:numId="23" w16cid:durableId="581568351">
    <w:abstractNumId w:val="15"/>
  </w:num>
  <w:num w:numId="24" w16cid:durableId="25300056">
    <w:abstractNumId w:val="4"/>
  </w:num>
  <w:num w:numId="25" w16cid:durableId="1584141172">
    <w:abstractNumId w:val="33"/>
  </w:num>
  <w:num w:numId="26" w16cid:durableId="1636132407">
    <w:abstractNumId w:val="18"/>
  </w:num>
  <w:num w:numId="27" w16cid:durableId="1399933541">
    <w:abstractNumId w:val="63"/>
  </w:num>
  <w:num w:numId="28" w16cid:durableId="1289242697">
    <w:abstractNumId w:val="57"/>
  </w:num>
  <w:num w:numId="29" w16cid:durableId="1695613328">
    <w:abstractNumId w:val="1"/>
  </w:num>
  <w:num w:numId="30" w16cid:durableId="2141262708">
    <w:abstractNumId w:val="42"/>
  </w:num>
  <w:num w:numId="31" w16cid:durableId="1726027768">
    <w:abstractNumId w:val="55"/>
  </w:num>
  <w:num w:numId="32" w16cid:durableId="1121340776">
    <w:abstractNumId w:val="52"/>
  </w:num>
  <w:num w:numId="33" w16cid:durableId="1637295442">
    <w:abstractNumId w:val="66"/>
  </w:num>
  <w:num w:numId="34" w16cid:durableId="2002997667">
    <w:abstractNumId w:val="6"/>
  </w:num>
  <w:num w:numId="35" w16cid:durableId="1106852422">
    <w:abstractNumId w:val="56"/>
  </w:num>
  <w:num w:numId="36" w16cid:durableId="73477005">
    <w:abstractNumId w:val="72"/>
  </w:num>
  <w:num w:numId="37" w16cid:durableId="2169807">
    <w:abstractNumId w:val="70"/>
  </w:num>
  <w:num w:numId="38" w16cid:durableId="2119834451">
    <w:abstractNumId w:val="64"/>
  </w:num>
  <w:num w:numId="39" w16cid:durableId="1458178523">
    <w:abstractNumId w:val="38"/>
  </w:num>
  <w:num w:numId="40" w16cid:durableId="1987782586">
    <w:abstractNumId w:val="30"/>
  </w:num>
  <w:num w:numId="41" w16cid:durableId="1157309171">
    <w:abstractNumId w:val="23"/>
  </w:num>
  <w:num w:numId="42" w16cid:durableId="1094322505">
    <w:abstractNumId w:val="59"/>
  </w:num>
  <w:num w:numId="43" w16cid:durableId="78913529">
    <w:abstractNumId w:val="0"/>
  </w:num>
  <w:num w:numId="44" w16cid:durableId="1055540470">
    <w:abstractNumId w:val="61"/>
  </w:num>
  <w:num w:numId="45" w16cid:durableId="1813981589">
    <w:abstractNumId w:val="47"/>
  </w:num>
  <w:num w:numId="46" w16cid:durableId="108008474">
    <w:abstractNumId w:val="49"/>
  </w:num>
  <w:num w:numId="47" w16cid:durableId="1278561331">
    <w:abstractNumId w:val="21"/>
  </w:num>
  <w:num w:numId="48" w16cid:durableId="2049256950">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68"/>
    <w:rsid w:val="0000075B"/>
    <w:rsid w:val="00001DDF"/>
    <w:rsid w:val="00002DA8"/>
    <w:rsid w:val="0000322D"/>
    <w:rsid w:val="000040B0"/>
    <w:rsid w:val="00007670"/>
    <w:rsid w:val="00010036"/>
    <w:rsid w:val="00010665"/>
    <w:rsid w:val="00010969"/>
    <w:rsid w:val="00011457"/>
    <w:rsid w:val="00014ED4"/>
    <w:rsid w:val="0001643A"/>
    <w:rsid w:val="00016EB8"/>
    <w:rsid w:val="00021344"/>
    <w:rsid w:val="0002393A"/>
    <w:rsid w:val="00027DB8"/>
    <w:rsid w:val="000307A7"/>
    <w:rsid w:val="00031A96"/>
    <w:rsid w:val="00034D50"/>
    <w:rsid w:val="00040048"/>
    <w:rsid w:val="00040BF3"/>
    <w:rsid w:val="00043A1A"/>
    <w:rsid w:val="0004577F"/>
    <w:rsid w:val="00046C59"/>
    <w:rsid w:val="00047CBC"/>
    <w:rsid w:val="00051362"/>
    <w:rsid w:val="00051F45"/>
    <w:rsid w:val="00052953"/>
    <w:rsid w:val="0005341A"/>
    <w:rsid w:val="00053BD9"/>
    <w:rsid w:val="000569E5"/>
    <w:rsid w:val="00056DEF"/>
    <w:rsid w:val="00057DAE"/>
    <w:rsid w:val="00057FA6"/>
    <w:rsid w:val="00057FE9"/>
    <w:rsid w:val="00061164"/>
    <w:rsid w:val="000720BE"/>
    <w:rsid w:val="0007259C"/>
    <w:rsid w:val="00074573"/>
    <w:rsid w:val="0007789F"/>
    <w:rsid w:val="00080202"/>
    <w:rsid w:val="00080DCD"/>
    <w:rsid w:val="00080E22"/>
    <w:rsid w:val="00082573"/>
    <w:rsid w:val="000840A3"/>
    <w:rsid w:val="00085062"/>
    <w:rsid w:val="00086A5F"/>
    <w:rsid w:val="00086BAA"/>
    <w:rsid w:val="000878DD"/>
    <w:rsid w:val="000911EF"/>
    <w:rsid w:val="00094325"/>
    <w:rsid w:val="00095240"/>
    <w:rsid w:val="000962C5"/>
    <w:rsid w:val="00096608"/>
    <w:rsid w:val="000A04AF"/>
    <w:rsid w:val="000A070C"/>
    <w:rsid w:val="000A304C"/>
    <w:rsid w:val="000A385C"/>
    <w:rsid w:val="000A42AE"/>
    <w:rsid w:val="000A4317"/>
    <w:rsid w:val="000A559C"/>
    <w:rsid w:val="000A5761"/>
    <w:rsid w:val="000B0A84"/>
    <w:rsid w:val="000B2CA1"/>
    <w:rsid w:val="000B4499"/>
    <w:rsid w:val="000B4D61"/>
    <w:rsid w:val="000B5C7A"/>
    <w:rsid w:val="000B70EA"/>
    <w:rsid w:val="000C0B59"/>
    <w:rsid w:val="000C6023"/>
    <w:rsid w:val="000D0290"/>
    <w:rsid w:val="000D1F29"/>
    <w:rsid w:val="000D384B"/>
    <w:rsid w:val="000D57BC"/>
    <w:rsid w:val="000D633D"/>
    <w:rsid w:val="000D681A"/>
    <w:rsid w:val="000D7BBC"/>
    <w:rsid w:val="000E08BC"/>
    <w:rsid w:val="000E0962"/>
    <w:rsid w:val="000E1B82"/>
    <w:rsid w:val="000E342B"/>
    <w:rsid w:val="000E38FB"/>
    <w:rsid w:val="000E5DD2"/>
    <w:rsid w:val="000E6090"/>
    <w:rsid w:val="000E7090"/>
    <w:rsid w:val="000F2958"/>
    <w:rsid w:val="000F4805"/>
    <w:rsid w:val="0010017B"/>
    <w:rsid w:val="00101CD6"/>
    <w:rsid w:val="00104E7F"/>
    <w:rsid w:val="001117D8"/>
    <w:rsid w:val="00112926"/>
    <w:rsid w:val="001137EC"/>
    <w:rsid w:val="001152F5"/>
    <w:rsid w:val="00117079"/>
    <w:rsid w:val="00117743"/>
    <w:rsid w:val="00117F5B"/>
    <w:rsid w:val="00120A84"/>
    <w:rsid w:val="00120C4C"/>
    <w:rsid w:val="00126C4D"/>
    <w:rsid w:val="00127D01"/>
    <w:rsid w:val="00132658"/>
    <w:rsid w:val="00137A32"/>
    <w:rsid w:val="0014371C"/>
    <w:rsid w:val="00144509"/>
    <w:rsid w:val="001471C8"/>
    <w:rsid w:val="00147DED"/>
    <w:rsid w:val="00150DC0"/>
    <w:rsid w:val="001516E9"/>
    <w:rsid w:val="00156CD4"/>
    <w:rsid w:val="00161CC6"/>
    <w:rsid w:val="00162DFD"/>
    <w:rsid w:val="0016356E"/>
    <w:rsid w:val="00164A3E"/>
    <w:rsid w:val="00165F58"/>
    <w:rsid w:val="00166FF6"/>
    <w:rsid w:val="00167D09"/>
    <w:rsid w:val="00172C77"/>
    <w:rsid w:val="001755A0"/>
    <w:rsid w:val="00176123"/>
    <w:rsid w:val="00176FA8"/>
    <w:rsid w:val="00181620"/>
    <w:rsid w:val="00182790"/>
    <w:rsid w:val="001827F5"/>
    <w:rsid w:val="001852AF"/>
    <w:rsid w:val="00185433"/>
    <w:rsid w:val="00193C52"/>
    <w:rsid w:val="001943C7"/>
    <w:rsid w:val="001957AD"/>
    <w:rsid w:val="00195CBE"/>
    <w:rsid w:val="001A21F0"/>
    <w:rsid w:val="001A2B7F"/>
    <w:rsid w:val="001A3AFD"/>
    <w:rsid w:val="001A496C"/>
    <w:rsid w:val="001A6304"/>
    <w:rsid w:val="001B1352"/>
    <w:rsid w:val="001B18A1"/>
    <w:rsid w:val="001B2B6C"/>
    <w:rsid w:val="001B49AD"/>
    <w:rsid w:val="001C5C66"/>
    <w:rsid w:val="001C6F9E"/>
    <w:rsid w:val="001D01C4"/>
    <w:rsid w:val="001D2E79"/>
    <w:rsid w:val="001D454E"/>
    <w:rsid w:val="001D52B0"/>
    <w:rsid w:val="001D5A18"/>
    <w:rsid w:val="001D7CA4"/>
    <w:rsid w:val="001E057F"/>
    <w:rsid w:val="001E14EB"/>
    <w:rsid w:val="001E1982"/>
    <w:rsid w:val="001E66A0"/>
    <w:rsid w:val="001E6A2F"/>
    <w:rsid w:val="001E6CAA"/>
    <w:rsid w:val="001F2879"/>
    <w:rsid w:val="001F3936"/>
    <w:rsid w:val="001F56F4"/>
    <w:rsid w:val="001F59E6"/>
    <w:rsid w:val="001F5C6E"/>
    <w:rsid w:val="001F624F"/>
    <w:rsid w:val="001F630E"/>
    <w:rsid w:val="00200D66"/>
    <w:rsid w:val="00200FBA"/>
    <w:rsid w:val="00202014"/>
    <w:rsid w:val="00205775"/>
    <w:rsid w:val="00206936"/>
    <w:rsid w:val="00206C6F"/>
    <w:rsid w:val="00206FBD"/>
    <w:rsid w:val="00207746"/>
    <w:rsid w:val="00217D52"/>
    <w:rsid w:val="00220C43"/>
    <w:rsid w:val="00221220"/>
    <w:rsid w:val="00225710"/>
    <w:rsid w:val="00230031"/>
    <w:rsid w:val="00230CAA"/>
    <w:rsid w:val="00230DFB"/>
    <w:rsid w:val="00235C01"/>
    <w:rsid w:val="00236878"/>
    <w:rsid w:val="00236E77"/>
    <w:rsid w:val="0023735B"/>
    <w:rsid w:val="0024177E"/>
    <w:rsid w:val="0024277C"/>
    <w:rsid w:val="00242F27"/>
    <w:rsid w:val="002461B3"/>
    <w:rsid w:val="00246866"/>
    <w:rsid w:val="00247343"/>
    <w:rsid w:val="00262411"/>
    <w:rsid w:val="00265C56"/>
    <w:rsid w:val="00266968"/>
    <w:rsid w:val="00267AA5"/>
    <w:rsid w:val="00270267"/>
    <w:rsid w:val="002716CD"/>
    <w:rsid w:val="0027262B"/>
    <w:rsid w:val="00272BB8"/>
    <w:rsid w:val="00274D4B"/>
    <w:rsid w:val="002806F5"/>
    <w:rsid w:val="00281577"/>
    <w:rsid w:val="00285767"/>
    <w:rsid w:val="00290554"/>
    <w:rsid w:val="002926BC"/>
    <w:rsid w:val="002935AF"/>
    <w:rsid w:val="00293A72"/>
    <w:rsid w:val="00294CF2"/>
    <w:rsid w:val="0029758A"/>
    <w:rsid w:val="00297726"/>
    <w:rsid w:val="002A0160"/>
    <w:rsid w:val="002A19AD"/>
    <w:rsid w:val="002A30C3"/>
    <w:rsid w:val="002A660B"/>
    <w:rsid w:val="002A6D6D"/>
    <w:rsid w:val="002A6F6A"/>
    <w:rsid w:val="002A7135"/>
    <w:rsid w:val="002A7712"/>
    <w:rsid w:val="002B38F7"/>
    <w:rsid w:val="002B5591"/>
    <w:rsid w:val="002B6AA4"/>
    <w:rsid w:val="002B6C0F"/>
    <w:rsid w:val="002C01D3"/>
    <w:rsid w:val="002C1FE9"/>
    <w:rsid w:val="002C4907"/>
    <w:rsid w:val="002D35B6"/>
    <w:rsid w:val="002D3A57"/>
    <w:rsid w:val="002D7D05"/>
    <w:rsid w:val="002E13CA"/>
    <w:rsid w:val="002E20C8"/>
    <w:rsid w:val="002E4290"/>
    <w:rsid w:val="002E5B94"/>
    <w:rsid w:val="002E66A6"/>
    <w:rsid w:val="002E681D"/>
    <w:rsid w:val="002E70BF"/>
    <w:rsid w:val="002F0DB1"/>
    <w:rsid w:val="002F1268"/>
    <w:rsid w:val="002F16FF"/>
    <w:rsid w:val="002F26AA"/>
    <w:rsid w:val="002F2885"/>
    <w:rsid w:val="002F32D0"/>
    <w:rsid w:val="002F3CF1"/>
    <w:rsid w:val="002F45A1"/>
    <w:rsid w:val="00302AC6"/>
    <w:rsid w:val="003037F9"/>
    <w:rsid w:val="0030583E"/>
    <w:rsid w:val="00305E87"/>
    <w:rsid w:val="0030615B"/>
    <w:rsid w:val="00306236"/>
    <w:rsid w:val="003066D3"/>
    <w:rsid w:val="003073CE"/>
    <w:rsid w:val="00307FE1"/>
    <w:rsid w:val="00314237"/>
    <w:rsid w:val="003148DE"/>
    <w:rsid w:val="00314A34"/>
    <w:rsid w:val="00314BC0"/>
    <w:rsid w:val="0031537C"/>
    <w:rsid w:val="003164BA"/>
    <w:rsid w:val="003167A5"/>
    <w:rsid w:val="0031759C"/>
    <w:rsid w:val="00317C19"/>
    <w:rsid w:val="003223FE"/>
    <w:rsid w:val="0032576A"/>
    <w:rsid w:val="003258E6"/>
    <w:rsid w:val="003269B1"/>
    <w:rsid w:val="00326ED2"/>
    <w:rsid w:val="003276EF"/>
    <w:rsid w:val="0033308F"/>
    <w:rsid w:val="00340DD6"/>
    <w:rsid w:val="00342283"/>
    <w:rsid w:val="00342B74"/>
    <w:rsid w:val="0034348E"/>
    <w:rsid w:val="00343A87"/>
    <w:rsid w:val="00344A36"/>
    <w:rsid w:val="003456F4"/>
    <w:rsid w:val="003477B6"/>
    <w:rsid w:val="00347FB6"/>
    <w:rsid w:val="003504FD"/>
    <w:rsid w:val="00350881"/>
    <w:rsid w:val="003526FD"/>
    <w:rsid w:val="00356DB8"/>
    <w:rsid w:val="00357D55"/>
    <w:rsid w:val="003617CB"/>
    <w:rsid w:val="00363513"/>
    <w:rsid w:val="00363D2F"/>
    <w:rsid w:val="00364526"/>
    <w:rsid w:val="003657E5"/>
    <w:rsid w:val="0036589C"/>
    <w:rsid w:val="00367888"/>
    <w:rsid w:val="00371312"/>
    <w:rsid w:val="003717FA"/>
    <w:rsid w:val="00371DC7"/>
    <w:rsid w:val="003765C6"/>
    <w:rsid w:val="00376BF0"/>
    <w:rsid w:val="00377B21"/>
    <w:rsid w:val="003812ED"/>
    <w:rsid w:val="00382BE1"/>
    <w:rsid w:val="00386C04"/>
    <w:rsid w:val="00386E34"/>
    <w:rsid w:val="00390CE3"/>
    <w:rsid w:val="00394876"/>
    <w:rsid w:val="00394A25"/>
    <w:rsid w:val="00394AAF"/>
    <w:rsid w:val="00394CE5"/>
    <w:rsid w:val="00395B7B"/>
    <w:rsid w:val="003A0167"/>
    <w:rsid w:val="003A134B"/>
    <w:rsid w:val="003A2D2C"/>
    <w:rsid w:val="003A358A"/>
    <w:rsid w:val="003A546A"/>
    <w:rsid w:val="003A6341"/>
    <w:rsid w:val="003B173F"/>
    <w:rsid w:val="003B2A64"/>
    <w:rsid w:val="003B5633"/>
    <w:rsid w:val="003B5A69"/>
    <w:rsid w:val="003B678C"/>
    <w:rsid w:val="003B67FD"/>
    <w:rsid w:val="003B6A61"/>
    <w:rsid w:val="003C2968"/>
    <w:rsid w:val="003C2991"/>
    <w:rsid w:val="003C39F5"/>
    <w:rsid w:val="003C4533"/>
    <w:rsid w:val="003C660D"/>
    <w:rsid w:val="003D01AB"/>
    <w:rsid w:val="003D41C2"/>
    <w:rsid w:val="003D42C0"/>
    <w:rsid w:val="003D5B29"/>
    <w:rsid w:val="003D5FED"/>
    <w:rsid w:val="003D7818"/>
    <w:rsid w:val="003E2445"/>
    <w:rsid w:val="003E3BB2"/>
    <w:rsid w:val="003E6461"/>
    <w:rsid w:val="003F0236"/>
    <w:rsid w:val="003F05A3"/>
    <w:rsid w:val="003F146C"/>
    <w:rsid w:val="003F5B58"/>
    <w:rsid w:val="0040222A"/>
    <w:rsid w:val="004047BC"/>
    <w:rsid w:val="00406497"/>
    <w:rsid w:val="00406D99"/>
    <w:rsid w:val="004100F7"/>
    <w:rsid w:val="00414CB3"/>
    <w:rsid w:val="0041563D"/>
    <w:rsid w:val="00420CF5"/>
    <w:rsid w:val="00422874"/>
    <w:rsid w:val="00426E25"/>
    <w:rsid w:val="00427D87"/>
    <w:rsid w:val="00427D9C"/>
    <w:rsid w:val="00427DB1"/>
    <w:rsid w:val="00427E7E"/>
    <w:rsid w:val="004312DA"/>
    <w:rsid w:val="00433201"/>
    <w:rsid w:val="0043786D"/>
    <w:rsid w:val="004433AE"/>
    <w:rsid w:val="00443B6E"/>
    <w:rsid w:val="00444C45"/>
    <w:rsid w:val="00450237"/>
    <w:rsid w:val="00451226"/>
    <w:rsid w:val="004521CB"/>
    <w:rsid w:val="0045420A"/>
    <w:rsid w:val="004554D4"/>
    <w:rsid w:val="004572E5"/>
    <w:rsid w:val="00461744"/>
    <w:rsid w:val="00462853"/>
    <w:rsid w:val="00463273"/>
    <w:rsid w:val="00464771"/>
    <w:rsid w:val="00466185"/>
    <w:rsid w:val="004668A7"/>
    <w:rsid w:val="00466D96"/>
    <w:rsid w:val="00467747"/>
    <w:rsid w:val="00470BDF"/>
    <w:rsid w:val="004722E2"/>
    <w:rsid w:val="004724BB"/>
    <w:rsid w:val="00472FC8"/>
    <w:rsid w:val="00473500"/>
    <w:rsid w:val="00473C98"/>
    <w:rsid w:val="00474965"/>
    <w:rsid w:val="00482DF8"/>
    <w:rsid w:val="004864DE"/>
    <w:rsid w:val="00494BE5"/>
    <w:rsid w:val="0049609E"/>
    <w:rsid w:val="004A0E07"/>
    <w:rsid w:val="004A0EBA"/>
    <w:rsid w:val="004A2538"/>
    <w:rsid w:val="004A5D3A"/>
    <w:rsid w:val="004A6C28"/>
    <w:rsid w:val="004B0C15"/>
    <w:rsid w:val="004B35EA"/>
    <w:rsid w:val="004B36AB"/>
    <w:rsid w:val="004B3704"/>
    <w:rsid w:val="004B4F16"/>
    <w:rsid w:val="004B5B6A"/>
    <w:rsid w:val="004B69E4"/>
    <w:rsid w:val="004B7373"/>
    <w:rsid w:val="004C2BF4"/>
    <w:rsid w:val="004C403F"/>
    <w:rsid w:val="004C48D7"/>
    <w:rsid w:val="004C6C39"/>
    <w:rsid w:val="004D075F"/>
    <w:rsid w:val="004D1B76"/>
    <w:rsid w:val="004D334F"/>
    <w:rsid w:val="004D344E"/>
    <w:rsid w:val="004E019E"/>
    <w:rsid w:val="004E06EC"/>
    <w:rsid w:val="004E11BC"/>
    <w:rsid w:val="004E2275"/>
    <w:rsid w:val="004E24CB"/>
    <w:rsid w:val="004E2CB7"/>
    <w:rsid w:val="004E44BD"/>
    <w:rsid w:val="004E6313"/>
    <w:rsid w:val="004F016A"/>
    <w:rsid w:val="004F211E"/>
    <w:rsid w:val="004F2206"/>
    <w:rsid w:val="004F6AA0"/>
    <w:rsid w:val="004F74F0"/>
    <w:rsid w:val="00500F94"/>
    <w:rsid w:val="005017D7"/>
    <w:rsid w:val="00502FB3"/>
    <w:rsid w:val="00503A8F"/>
    <w:rsid w:val="00503DE9"/>
    <w:rsid w:val="0050530C"/>
    <w:rsid w:val="00505DEA"/>
    <w:rsid w:val="00507782"/>
    <w:rsid w:val="00510115"/>
    <w:rsid w:val="00512A04"/>
    <w:rsid w:val="00512CDA"/>
    <w:rsid w:val="00520F99"/>
    <w:rsid w:val="005249F5"/>
    <w:rsid w:val="005260F7"/>
    <w:rsid w:val="00526500"/>
    <w:rsid w:val="0052690A"/>
    <w:rsid w:val="005313D9"/>
    <w:rsid w:val="00531587"/>
    <w:rsid w:val="005336F1"/>
    <w:rsid w:val="00534A0D"/>
    <w:rsid w:val="00536032"/>
    <w:rsid w:val="00543BD1"/>
    <w:rsid w:val="0054507C"/>
    <w:rsid w:val="00546D7E"/>
    <w:rsid w:val="00551352"/>
    <w:rsid w:val="005517E2"/>
    <w:rsid w:val="0055409B"/>
    <w:rsid w:val="005545FF"/>
    <w:rsid w:val="00555FB2"/>
    <w:rsid w:val="00556113"/>
    <w:rsid w:val="00556872"/>
    <w:rsid w:val="00556D25"/>
    <w:rsid w:val="005616C1"/>
    <w:rsid w:val="0056173B"/>
    <w:rsid w:val="00564C12"/>
    <w:rsid w:val="00564D23"/>
    <w:rsid w:val="005654B8"/>
    <w:rsid w:val="005671EB"/>
    <w:rsid w:val="005713D1"/>
    <w:rsid w:val="0057377F"/>
    <w:rsid w:val="0057569A"/>
    <w:rsid w:val="005762CC"/>
    <w:rsid w:val="0058143A"/>
    <w:rsid w:val="00582D3D"/>
    <w:rsid w:val="00592948"/>
    <w:rsid w:val="00595386"/>
    <w:rsid w:val="0059695E"/>
    <w:rsid w:val="005A3621"/>
    <w:rsid w:val="005A4AC0"/>
    <w:rsid w:val="005A5FDF"/>
    <w:rsid w:val="005A64C3"/>
    <w:rsid w:val="005A680B"/>
    <w:rsid w:val="005B0FB7"/>
    <w:rsid w:val="005B122A"/>
    <w:rsid w:val="005B34E3"/>
    <w:rsid w:val="005B42AF"/>
    <w:rsid w:val="005B5AC2"/>
    <w:rsid w:val="005B6C3D"/>
    <w:rsid w:val="005C2833"/>
    <w:rsid w:val="005C6FD4"/>
    <w:rsid w:val="005D04C7"/>
    <w:rsid w:val="005D18D0"/>
    <w:rsid w:val="005D3964"/>
    <w:rsid w:val="005D52E8"/>
    <w:rsid w:val="005D72C5"/>
    <w:rsid w:val="005E144D"/>
    <w:rsid w:val="005E1500"/>
    <w:rsid w:val="005E3A43"/>
    <w:rsid w:val="005E4D43"/>
    <w:rsid w:val="005E512B"/>
    <w:rsid w:val="005E51A4"/>
    <w:rsid w:val="005E65E0"/>
    <w:rsid w:val="005F5788"/>
    <w:rsid w:val="005F57EE"/>
    <w:rsid w:val="005F77C7"/>
    <w:rsid w:val="0060030B"/>
    <w:rsid w:val="006035B1"/>
    <w:rsid w:val="006067DE"/>
    <w:rsid w:val="0060766C"/>
    <w:rsid w:val="0061118C"/>
    <w:rsid w:val="006145BB"/>
    <w:rsid w:val="00615307"/>
    <w:rsid w:val="00620675"/>
    <w:rsid w:val="00622910"/>
    <w:rsid w:val="00626F1B"/>
    <w:rsid w:val="00627B71"/>
    <w:rsid w:val="0063002B"/>
    <w:rsid w:val="006305EB"/>
    <w:rsid w:val="00630B60"/>
    <w:rsid w:val="00636CCE"/>
    <w:rsid w:val="00640D8B"/>
    <w:rsid w:val="00641F1A"/>
    <w:rsid w:val="006433C3"/>
    <w:rsid w:val="00644214"/>
    <w:rsid w:val="00645F28"/>
    <w:rsid w:val="00646BC9"/>
    <w:rsid w:val="00650F5B"/>
    <w:rsid w:val="00652D7F"/>
    <w:rsid w:val="00652DC0"/>
    <w:rsid w:val="00653F27"/>
    <w:rsid w:val="00660584"/>
    <w:rsid w:val="006670D7"/>
    <w:rsid w:val="006714FE"/>
    <w:rsid w:val="006719EA"/>
    <w:rsid w:val="00671F13"/>
    <w:rsid w:val="0067400A"/>
    <w:rsid w:val="006747E0"/>
    <w:rsid w:val="00676179"/>
    <w:rsid w:val="006812DF"/>
    <w:rsid w:val="006829FA"/>
    <w:rsid w:val="006847AD"/>
    <w:rsid w:val="006848E1"/>
    <w:rsid w:val="0068532F"/>
    <w:rsid w:val="00690862"/>
    <w:rsid w:val="00690B7D"/>
    <w:rsid w:val="0069114B"/>
    <w:rsid w:val="00695867"/>
    <w:rsid w:val="006A3DE2"/>
    <w:rsid w:val="006A5517"/>
    <w:rsid w:val="006A5734"/>
    <w:rsid w:val="006A756A"/>
    <w:rsid w:val="006B12C5"/>
    <w:rsid w:val="006C118B"/>
    <w:rsid w:val="006C396A"/>
    <w:rsid w:val="006C60C5"/>
    <w:rsid w:val="006C7253"/>
    <w:rsid w:val="006D1ADA"/>
    <w:rsid w:val="006D66F7"/>
    <w:rsid w:val="006D6723"/>
    <w:rsid w:val="006D6E89"/>
    <w:rsid w:val="006E3095"/>
    <w:rsid w:val="006E3736"/>
    <w:rsid w:val="006E3B5D"/>
    <w:rsid w:val="006E4785"/>
    <w:rsid w:val="006F1D3A"/>
    <w:rsid w:val="006F476D"/>
    <w:rsid w:val="00702471"/>
    <w:rsid w:val="00702D61"/>
    <w:rsid w:val="00705C9D"/>
    <w:rsid w:val="00705F13"/>
    <w:rsid w:val="00713AA0"/>
    <w:rsid w:val="00713FEC"/>
    <w:rsid w:val="00714F1D"/>
    <w:rsid w:val="00715225"/>
    <w:rsid w:val="00720CC6"/>
    <w:rsid w:val="00722DDB"/>
    <w:rsid w:val="00723EC2"/>
    <w:rsid w:val="00724728"/>
    <w:rsid w:val="00724F98"/>
    <w:rsid w:val="00727644"/>
    <w:rsid w:val="00730B9B"/>
    <w:rsid w:val="0073182E"/>
    <w:rsid w:val="00731CB4"/>
    <w:rsid w:val="007332FF"/>
    <w:rsid w:val="0073520D"/>
    <w:rsid w:val="007372B0"/>
    <w:rsid w:val="00737AFD"/>
    <w:rsid w:val="00740478"/>
    <w:rsid w:val="007408F5"/>
    <w:rsid w:val="00741EAE"/>
    <w:rsid w:val="007427F3"/>
    <w:rsid w:val="00744F9D"/>
    <w:rsid w:val="00751C49"/>
    <w:rsid w:val="00751E00"/>
    <w:rsid w:val="0075413F"/>
    <w:rsid w:val="00755248"/>
    <w:rsid w:val="00757AC3"/>
    <w:rsid w:val="0076190B"/>
    <w:rsid w:val="0076355D"/>
    <w:rsid w:val="00763A2D"/>
    <w:rsid w:val="00764CF0"/>
    <w:rsid w:val="007761D8"/>
    <w:rsid w:val="00777795"/>
    <w:rsid w:val="00783A57"/>
    <w:rsid w:val="00784147"/>
    <w:rsid w:val="00784C92"/>
    <w:rsid w:val="007859CD"/>
    <w:rsid w:val="007903D5"/>
    <w:rsid w:val="007907E4"/>
    <w:rsid w:val="00790F60"/>
    <w:rsid w:val="007911CF"/>
    <w:rsid w:val="00792DA3"/>
    <w:rsid w:val="007949FE"/>
    <w:rsid w:val="00796461"/>
    <w:rsid w:val="007A0B21"/>
    <w:rsid w:val="007A6A4F"/>
    <w:rsid w:val="007A74B7"/>
    <w:rsid w:val="007B03F5"/>
    <w:rsid w:val="007B197D"/>
    <w:rsid w:val="007B280D"/>
    <w:rsid w:val="007B4D29"/>
    <w:rsid w:val="007B59D3"/>
    <w:rsid w:val="007B5C09"/>
    <w:rsid w:val="007B5DA2"/>
    <w:rsid w:val="007B7CE7"/>
    <w:rsid w:val="007C0966"/>
    <w:rsid w:val="007C19E7"/>
    <w:rsid w:val="007C5CFD"/>
    <w:rsid w:val="007C6CC7"/>
    <w:rsid w:val="007C6D9F"/>
    <w:rsid w:val="007D32BC"/>
    <w:rsid w:val="007D4893"/>
    <w:rsid w:val="007D5A7F"/>
    <w:rsid w:val="007D7697"/>
    <w:rsid w:val="007E70CF"/>
    <w:rsid w:val="007E74A4"/>
    <w:rsid w:val="007F01DB"/>
    <w:rsid w:val="007F05C5"/>
    <w:rsid w:val="007F0C1A"/>
    <w:rsid w:val="007F263F"/>
    <w:rsid w:val="007F46EA"/>
    <w:rsid w:val="007F5579"/>
    <w:rsid w:val="007F6C6C"/>
    <w:rsid w:val="008002E8"/>
    <w:rsid w:val="00800A09"/>
    <w:rsid w:val="0080294F"/>
    <w:rsid w:val="0080362B"/>
    <w:rsid w:val="00803D4F"/>
    <w:rsid w:val="0080766E"/>
    <w:rsid w:val="008105BE"/>
    <w:rsid w:val="00811169"/>
    <w:rsid w:val="00811B93"/>
    <w:rsid w:val="008138E9"/>
    <w:rsid w:val="00815297"/>
    <w:rsid w:val="00817BA1"/>
    <w:rsid w:val="00822683"/>
    <w:rsid w:val="00822D83"/>
    <w:rsid w:val="00823022"/>
    <w:rsid w:val="008236A1"/>
    <w:rsid w:val="00824734"/>
    <w:rsid w:val="0082634E"/>
    <w:rsid w:val="008277AC"/>
    <w:rsid w:val="00830FAE"/>
    <w:rsid w:val="008313C4"/>
    <w:rsid w:val="00834607"/>
    <w:rsid w:val="00835434"/>
    <w:rsid w:val="008358C0"/>
    <w:rsid w:val="00842838"/>
    <w:rsid w:val="00850222"/>
    <w:rsid w:val="00850FEB"/>
    <w:rsid w:val="00854EC1"/>
    <w:rsid w:val="008570B6"/>
    <w:rsid w:val="0085797F"/>
    <w:rsid w:val="00860804"/>
    <w:rsid w:val="00861DC3"/>
    <w:rsid w:val="0086482D"/>
    <w:rsid w:val="00867019"/>
    <w:rsid w:val="00870989"/>
    <w:rsid w:val="008735A9"/>
    <w:rsid w:val="00874434"/>
    <w:rsid w:val="00874F03"/>
    <w:rsid w:val="00875E08"/>
    <w:rsid w:val="00877D20"/>
    <w:rsid w:val="00880BE0"/>
    <w:rsid w:val="00881C48"/>
    <w:rsid w:val="0088220D"/>
    <w:rsid w:val="00883D8E"/>
    <w:rsid w:val="00883E43"/>
    <w:rsid w:val="0088445B"/>
    <w:rsid w:val="008853C0"/>
    <w:rsid w:val="00885590"/>
    <w:rsid w:val="00885B80"/>
    <w:rsid w:val="00885C30"/>
    <w:rsid w:val="00885E9B"/>
    <w:rsid w:val="008863B8"/>
    <w:rsid w:val="00886C9D"/>
    <w:rsid w:val="008937E2"/>
    <w:rsid w:val="00893C96"/>
    <w:rsid w:val="0089500A"/>
    <w:rsid w:val="00896EF2"/>
    <w:rsid w:val="00897BDA"/>
    <w:rsid w:val="00897C94"/>
    <w:rsid w:val="008A4C80"/>
    <w:rsid w:val="008A51A3"/>
    <w:rsid w:val="008A7C12"/>
    <w:rsid w:val="008B03CE"/>
    <w:rsid w:val="008B0812"/>
    <w:rsid w:val="008B529E"/>
    <w:rsid w:val="008B7C3D"/>
    <w:rsid w:val="008C17FB"/>
    <w:rsid w:val="008C5BC0"/>
    <w:rsid w:val="008D003F"/>
    <w:rsid w:val="008D01E0"/>
    <w:rsid w:val="008D1B00"/>
    <w:rsid w:val="008D2E2C"/>
    <w:rsid w:val="008D57B8"/>
    <w:rsid w:val="008D653B"/>
    <w:rsid w:val="008E0345"/>
    <w:rsid w:val="008E03FC"/>
    <w:rsid w:val="008E2757"/>
    <w:rsid w:val="008E510B"/>
    <w:rsid w:val="008F03AF"/>
    <w:rsid w:val="008F0BBF"/>
    <w:rsid w:val="008F0C45"/>
    <w:rsid w:val="008F7268"/>
    <w:rsid w:val="008F7F79"/>
    <w:rsid w:val="00902B13"/>
    <w:rsid w:val="00904B46"/>
    <w:rsid w:val="009062E9"/>
    <w:rsid w:val="00911941"/>
    <w:rsid w:val="0091203A"/>
    <w:rsid w:val="009138A0"/>
    <w:rsid w:val="00914AE9"/>
    <w:rsid w:val="00914E47"/>
    <w:rsid w:val="00920773"/>
    <w:rsid w:val="00922E72"/>
    <w:rsid w:val="00924B0B"/>
    <w:rsid w:val="00925B9E"/>
    <w:rsid w:val="00925F0F"/>
    <w:rsid w:val="00930C91"/>
    <w:rsid w:val="00932F6B"/>
    <w:rsid w:val="00942F77"/>
    <w:rsid w:val="009436FF"/>
    <w:rsid w:val="0094483E"/>
    <w:rsid w:val="00945368"/>
    <w:rsid w:val="009468BC"/>
    <w:rsid w:val="00955099"/>
    <w:rsid w:val="009616DF"/>
    <w:rsid w:val="00961824"/>
    <w:rsid w:val="00961B41"/>
    <w:rsid w:val="0096212C"/>
    <w:rsid w:val="00964B22"/>
    <w:rsid w:val="0096542F"/>
    <w:rsid w:val="009669BE"/>
    <w:rsid w:val="00967169"/>
    <w:rsid w:val="00967C1A"/>
    <w:rsid w:val="00967FA7"/>
    <w:rsid w:val="00971645"/>
    <w:rsid w:val="00974AE3"/>
    <w:rsid w:val="00977919"/>
    <w:rsid w:val="00981F01"/>
    <w:rsid w:val="00983000"/>
    <w:rsid w:val="0098487A"/>
    <w:rsid w:val="00984A66"/>
    <w:rsid w:val="00986435"/>
    <w:rsid w:val="009870FA"/>
    <w:rsid w:val="009905DA"/>
    <w:rsid w:val="009921C3"/>
    <w:rsid w:val="0099551D"/>
    <w:rsid w:val="009A0432"/>
    <w:rsid w:val="009A18B4"/>
    <w:rsid w:val="009A21ED"/>
    <w:rsid w:val="009A4BFE"/>
    <w:rsid w:val="009A5897"/>
    <w:rsid w:val="009A5F24"/>
    <w:rsid w:val="009B0B3E"/>
    <w:rsid w:val="009B1913"/>
    <w:rsid w:val="009B1B79"/>
    <w:rsid w:val="009B422F"/>
    <w:rsid w:val="009B42C6"/>
    <w:rsid w:val="009B4664"/>
    <w:rsid w:val="009B559A"/>
    <w:rsid w:val="009B6657"/>
    <w:rsid w:val="009B7C35"/>
    <w:rsid w:val="009C05F8"/>
    <w:rsid w:val="009C14D1"/>
    <w:rsid w:val="009C198E"/>
    <w:rsid w:val="009C21F1"/>
    <w:rsid w:val="009C3B70"/>
    <w:rsid w:val="009C633C"/>
    <w:rsid w:val="009D0EB5"/>
    <w:rsid w:val="009D14F9"/>
    <w:rsid w:val="009D2B74"/>
    <w:rsid w:val="009D31A2"/>
    <w:rsid w:val="009D44FA"/>
    <w:rsid w:val="009D63FF"/>
    <w:rsid w:val="009E01FF"/>
    <w:rsid w:val="009E087F"/>
    <w:rsid w:val="009E175D"/>
    <w:rsid w:val="009E3CC2"/>
    <w:rsid w:val="009E4A4A"/>
    <w:rsid w:val="009E4D3F"/>
    <w:rsid w:val="009E6B4F"/>
    <w:rsid w:val="009F06BD"/>
    <w:rsid w:val="009F2A4D"/>
    <w:rsid w:val="009F3302"/>
    <w:rsid w:val="009F360A"/>
    <w:rsid w:val="009F54D1"/>
    <w:rsid w:val="00A004DA"/>
    <w:rsid w:val="00A00828"/>
    <w:rsid w:val="00A01877"/>
    <w:rsid w:val="00A03290"/>
    <w:rsid w:val="00A041E2"/>
    <w:rsid w:val="00A060DD"/>
    <w:rsid w:val="00A07490"/>
    <w:rsid w:val="00A10655"/>
    <w:rsid w:val="00A1197C"/>
    <w:rsid w:val="00A12B64"/>
    <w:rsid w:val="00A14680"/>
    <w:rsid w:val="00A14BFB"/>
    <w:rsid w:val="00A15900"/>
    <w:rsid w:val="00A17E06"/>
    <w:rsid w:val="00A21981"/>
    <w:rsid w:val="00A22C38"/>
    <w:rsid w:val="00A23963"/>
    <w:rsid w:val="00A25193"/>
    <w:rsid w:val="00A26695"/>
    <w:rsid w:val="00A266B0"/>
    <w:rsid w:val="00A26E80"/>
    <w:rsid w:val="00A31AE8"/>
    <w:rsid w:val="00A328B5"/>
    <w:rsid w:val="00A3739D"/>
    <w:rsid w:val="00A37DDA"/>
    <w:rsid w:val="00A37ED8"/>
    <w:rsid w:val="00A40E57"/>
    <w:rsid w:val="00A41DEA"/>
    <w:rsid w:val="00A43160"/>
    <w:rsid w:val="00A448F7"/>
    <w:rsid w:val="00A45BF7"/>
    <w:rsid w:val="00A55BFE"/>
    <w:rsid w:val="00A60797"/>
    <w:rsid w:val="00A653DF"/>
    <w:rsid w:val="00A65DD3"/>
    <w:rsid w:val="00A6613C"/>
    <w:rsid w:val="00A66E4A"/>
    <w:rsid w:val="00A7116D"/>
    <w:rsid w:val="00A71E1C"/>
    <w:rsid w:val="00A746CB"/>
    <w:rsid w:val="00A758AE"/>
    <w:rsid w:val="00A76C2D"/>
    <w:rsid w:val="00A81C52"/>
    <w:rsid w:val="00A82CC8"/>
    <w:rsid w:val="00A9047D"/>
    <w:rsid w:val="00A90B1A"/>
    <w:rsid w:val="00A925EC"/>
    <w:rsid w:val="00A929AA"/>
    <w:rsid w:val="00A92B6B"/>
    <w:rsid w:val="00A955A9"/>
    <w:rsid w:val="00A95647"/>
    <w:rsid w:val="00A97F3A"/>
    <w:rsid w:val="00AA541E"/>
    <w:rsid w:val="00AA6396"/>
    <w:rsid w:val="00AB3E0F"/>
    <w:rsid w:val="00AC06DF"/>
    <w:rsid w:val="00AC098F"/>
    <w:rsid w:val="00AC450B"/>
    <w:rsid w:val="00AC4C39"/>
    <w:rsid w:val="00AC7531"/>
    <w:rsid w:val="00AD0549"/>
    <w:rsid w:val="00AD0DA4"/>
    <w:rsid w:val="00AD4169"/>
    <w:rsid w:val="00AD46BD"/>
    <w:rsid w:val="00AE25C6"/>
    <w:rsid w:val="00AE29F0"/>
    <w:rsid w:val="00AE306C"/>
    <w:rsid w:val="00AE6CA6"/>
    <w:rsid w:val="00AF16E7"/>
    <w:rsid w:val="00AF28C1"/>
    <w:rsid w:val="00AF5F76"/>
    <w:rsid w:val="00B01D78"/>
    <w:rsid w:val="00B02EF1"/>
    <w:rsid w:val="00B04A4E"/>
    <w:rsid w:val="00B07C97"/>
    <w:rsid w:val="00B07EA1"/>
    <w:rsid w:val="00B11C67"/>
    <w:rsid w:val="00B1468A"/>
    <w:rsid w:val="00B15754"/>
    <w:rsid w:val="00B15A27"/>
    <w:rsid w:val="00B15F5F"/>
    <w:rsid w:val="00B165A5"/>
    <w:rsid w:val="00B2046E"/>
    <w:rsid w:val="00B20E8B"/>
    <w:rsid w:val="00B257E1"/>
    <w:rsid w:val="00B2599A"/>
    <w:rsid w:val="00B27AC4"/>
    <w:rsid w:val="00B31982"/>
    <w:rsid w:val="00B31A3E"/>
    <w:rsid w:val="00B343CC"/>
    <w:rsid w:val="00B37906"/>
    <w:rsid w:val="00B41A85"/>
    <w:rsid w:val="00B43C75"/>
    <w:rsid w:val="00B44C65"/>
    <w:rsid w:val="00B4553E"/>
    <w:rsid w:val="00B47ABC"/>
    <w:rsid w:val="00B5084A"/>
    <w:rsid w:val="00B5418A"/>
    <w:rsid w:val="00B606A1"/>
    <w:rsid w:val="00B6098D"/>
    <w:rsid w:val="00B614F7"/>
    <w:rsid w:val="00B61B26"/>
    <w:rsid w:val="00B62EE3"/>
    <w:rsid w:val="00B63DB0"/>
    <w:rsid w:val="00B675B2"/>
    <w:rsid w:val="00B67E17"/>
    <w:rsid w:val="00B72657"/>
    <w:rsid w:val="00B75053"/>
    <w:rsid w:val="00B7736C"/>
    <w:rsid w:val="00B81261"/>
    <w:rsid w:val="00B8223E"/>
    <w:rsid w:val="00B8243D"/>
    <w:rsid w:val="00B832AE"/>
    <w:rsid w:val="00B83E5C"/>
    <w:rsid w:val="00B84CE5"/>
    <w:rsid w:val="00B85CED"/>
    <w:rsid w:val="00B86678"/>
    <w:rsid w:val="00B8785B"/>
    <w:rsid w:val="00B92207"/>
    <w:rsid w:val="00B92330"/>
    <w:rsid w:val="00B92F9B"/>
    <w:rsid w:val="00B941B3"/>
    <w:rsid w:val="00B95A1A"/>
    <w:rsid w:val="00B96513"/>
    <w:rsid w:val="00BA1D47"/>
    <w:rsid w:val="00BA66F0"/>
    <w:rsid w:val="00BB1E7F"/>
    <w:rsid w:val="00BB2239"/>
    <w:rsid w:val="00BB2AE7"/>
    <w:rsid w:val="00BB6464"/>
    <w:rsid w:val="00BC10B3"/>
    <w:rsid w:val="00BC1B6E"/>
    <w:rsid w:val="00BC1BB8"/>
    <w:rsid w:val="00BC2C79"/>
    <w:rsid w:val="00BC3AD6"/>
    <w:rsid w:val="00BC4F4F"/>
    <w:rsid w:val="00BC5022"/>
    <w:rsid w:val="00BD64DC"/>
    <w:rsid w:val="00BD65F4"/>
    <w:rsid w:val="00BD701D"/>
    <w:rsid w:val="00BD7FE1"/>
    <w:rsid w:val="00BE0EDE"/>
    <w:rsid w:val="00BE11BE"/>
    <w:rsid w:val="00BE161F"/>
    <w:rsid w:val="00BE2DB5"/>
    <w:rsid w:val="00BE37CA"/>
    <w:rsid w:val="00BE6144"/>
    <w:rsid w:val="00BE635A"/>
    <w:rsid w:val="00BE68A2"/>
    <w:rsid w:val="00BE6D1F"/>
    <w:rsid w:val="00BF090B"/>
    <w:rsid w:val="00BF0F96"/>
    <w:rsid w:val="00BF17E9"/>
    <w:rsid w:val="00BF2ABB"/>
    <w:rsid w:val="00BF49E5"/>
    <w:rsid w:val="00BF5099"/>
    <w:rsid w:val="00BF5345"/>
    <w:rsid w:val="00BF5B58"/>
    <w:rsid w:val="00C004BE"/>
    <w:rsid w:val="00C04A0E"/>
    <w:rsid w:val="00C05211"/>
    <w:rsid w:val="00C064FF"/>
    <w:rsid w:val="00C105AE"/>
    <w:rsid w:val="00C10F10"/>
    <w:rsid w:val="00C157DB"/>
    <w:rsid w:val="00C15D4D"/>
    <w:rsid w:val="00C166A0"/>
    <w:rsid w:val="00C175DC"/>
    <w:rsid w:val="00C21C2D"/>
    <w:rsid w:val="00C30171"/>
    <w:rsid w:val="00C309D8"/>
    <w:rsid w:val="00C3322B"/>
    <w:rsid w:val="00C337FF"/>
    <w:rsid w:val="00C4188E"/>
    <w:rsid w:val="00C42E7D"/>
    <w:rsid w:val="00C43519"/>
    <w:rsid w:val="00C44C70"/>
    <w:rsid w:val="00C51537"/>
    <w:rsid w:val="00C52BC3"/>
    <w:rsid w:val="00C533CC"/>
    <w:rsid w:val="00C573F1"/>
    <w:rsid w:val="00C61AFA"/>
    <w:rsid w:val="00C61D64"/>
    <w:rsid w:val="00C62099"/>
    <w:rsid w:val="00C62CE4"/>
    <w:rsid w:val="00C64919"/>
    <w:rsid w:val="00C64EA3"/>
    <w:rsid w:val="00C72867"/>
    <w:rsid w:val="00C75DCB"/>
    <w:rsid w:val="00C75E81"/>
    <w:rsid w:val="00C75F3B"/>
    <w:rsid w:val="00C75F52"/>
    <w:rsid w:val="00C75FC6"/>
    <w:rsid w:val="00C800F1"/>
    <w:rsid w:val="00C832C6"/>
    <w:rsid w:val="00C8341A"/>
    <w:rsid w:val="00C86533"/>
    <w:rsid w:val="00C86609"/>
    <w:rsid w:val="00C90E92"/>
    <w:rsid w:val="00C9198C"/>
    <w:rsid w:val="00C92B4C"/>
    <w:rsid w:val="00C954F6"/>
    <w:rsid w:val="00C95EC8"/>
    <w:rsid w:val="00C96842"/>
    <w:rsid w:val="00C9709E"/>
    <w:rsid w:val="00CA1990"/>
    <w:rsid w:val="00CA2D5C"/>
    <w:rsid w:val="00CA54C1"/>
    <w:rsid w:val="00CA6BC5"/>
    <w:rsid w:val="00CA7995"/>
    <w:rsid w:val="00CB0907"/>
    <w:rsid w:val="00CB0A8B"/>
    <w:rsid w:val="00CB22F8"/>
    <w:rsid w:val="00CB609B"/>
    <w:rsid w:val="00CB6A67"/>
    <w:rsid w:val="00CC0BA2"/>
    <w:rsid w:val="00CC5E6C"/>
    <w:rsid w:val="00CC61CD"/>
    <w:rsid w:val="00CC6E44"/>
    <w:rsid w:val="00CD2430"/>
    <w:rsid w:val="00CD5011"/>
    <w:rsid w:val="00CE0E23"/>
    <w:rsid w:val="00CE5601"/>
    <w:rsid w:val="00CE640F"/>
    <w:rsid w:val="00CE76BC"/>
    <w:rsid w:val="00CE7932"/>
    <w:rsid w:val="00CE7AE2"/>
    <w:rsid w:val="00CF22AC"/>
    <w:rsid w:val="00CF32FF"/>
    <w:rsid w:val="00CF48B5"/>
    <w:rsid w:val="00CF540E"/>
    <w:rsid w:val="00CF567B"/>
    <w:rsid w:val="00CF5802"/>
    <w:rsid w:val="00CF671B"/>
    <w:rsid w:val="00D02F07"/>
    <w:rsid w:val="00D048B5"/>
    <w:rsid w:val="00D07395"/>
    <w:rsid w:val="00D1576A"/>
    <w:rsid w:val="00D17744"/>
    <w:rsid w:val="00D202AF"/>
    <w:rsid w:val="00D23346"/>
    <w:rsid w:val="00D27EBE"/>
    <w:rsid w:val="00D31F0B"/>
    <w:rsid w:val="00D35518"/>
    <w:rsid w:val="00D36A49"/>
    <w:rsid w:val="00D379B5"/>
    <w:rsid w:val="00D43F3D"/>
    <w:rsid w:val="00D45E66"/>
    <w:rsid w:val="00D517C6"/>
    <w:rsid w:val="00D518A2"/>
    <w:rsid w:val="00D60C45"/>
    <w:rsid w:val="00D63913"/>
    <w:rsid w:val="00D64806"/>
    <w:rsid w:val="00D652BC"/>
    <w:rsid w:val="00D705DF"/>
    <w:rsid w:val="00D70AF1"/>
    <w:rsid w:val="00D71D84"/>
    <w:rsid w:val="00D72464"/>
    <w:rsid w:val="00D768EB"/>
    <w:rsid w:val="00D8193D"/>
    <w:rsid w:val="00D81A40"/>
    <w:rsid w:val="00D82D1E"/>
    <w:rsid w:val="00D832D9"/>
    <w:rsid w:val="00D90B75"/>
    <w:rsid w:val="00D90F00"/>
    <w:rsid w:val="00D914FD"/>
    <w:rsid w:val="00D94F6B"/>
    <w:rsid w:val="00D951B6"/>
    <w:rsid w:val="00D95360"/>
    <w:rsid w:val="00D96B6F"/>
    <w:rsid w:val="00D96C9F"/>
    <w:rsid w:val="00D975C0"/>
    <w:rsid w:val="00DA1EA6"/>
    <w:rsid w:val="00DA269A"/>
    <w:rsid w:val="00DA5285"/>
    <w:rsid w:val="00DB024D"/>
    <w:rsid w:val="00DB0D9D"/>
    <w:rsid w:val="00DB14DF"/>
    <w:rsid w:val="00DB191D"/>
    <w:rsid w:val="00DB22A2"/>
    <w:rsid w:val="00DB2358"/>
    <w:rsid w:val="00DB334B"/>
    <w:rsid w:val="00DB4F91"/>
    <w:rsid w:val="00DB5BBC"/>
    <w:rsid w:val="00DB5DDB"/>
    <w:rsid w:val="00DB72A0"/>
    <w:rsid w:val="00DC14A8"/>
    <w:rsid w:val="00DC1EF7"/>
    <w:rsid w:val="00DC1F0F"/>
    <w:rsid w:val="00DC3117"/>
    <w:rsid w:val="00DC50FD"/>
    <w:rsid w:val="00DC5DD9"/>
    <w:rsid w:val="00DC65B1"/>
    <w:rsid w:val="00DC6D2D"/>
    <w:rsid w:val="00DD0EBE"/>
    <w:rsid w:val="00DD1B48"/>
    <w:rsid w:val="00DD2DA9"/>
    <w:rsid w:val="00DD64C2"/>
    <w:rsid w:val="00DE2A08"/>
    <w:rsid w:val="00DE33B5"/>
    <w:rsid w:val="00DE4795"/>
    <w:rsid w:val="00DE4A54"/>
    <w:rsid w:val="00DE5E18"/>
    <w:rsid w:val="00DE6E01"/>
    <w:rsid w:val="00DE77B3"/>
    <w:rsid w:val="00DF0487"/>
    <w:rsid w:val="00DF04F7"/>
    <w:rsid w:val="00DF1C5B"/>
    <w:rsid w:val="00DF5EA4"/>
    <w:rsid w:val="00E02681"/>
    <w:rsid w:val="00E02792"/>
    <w:rsid w:val="00E034D8"/>
    <w:rsid w:val="00E03F7C"/>
    <w:rsid w:val="00E040C3"/>
    <w:rsid w:val="00E04CC0"/>
    <w:rsid w:val="00E05DF2"/>
    <w:rsid w:val="00E115B3"/>
    <w:rsid w:val="00E137CC"/>
    <w:rsid w:val="00E1392E"/>
    <w:rsid w:val="00E15816"/>
    <w:rsid w:val="00E160D5"/>
    <w:rsid w:val="00E16195"/>
    <w:rsid w:val="00E16212"/>
    <w:rsid w:val="00E1623C"/>
    <w:rsid w:val="00E1680F"/>
    <w:rsid w:val="00E2005A"/>
    <w:rsid w:val="00E2100A"/>
    <w:rsid w:val="00E2316A"/>
    <w:rsid w:val="00E239FF"/>
    <w:rsid w:val="00E23BDE"/>
    <w:rsid w:val="00E24E6E"/>
    <w:rsid w:val="00E26855"/>
    <w:rsid w:val="00E26AA0"/>
    <w:rsid w:val="00E27D7B"/>
    <w:rsid w:val="00E30556"/>
    <w:rsid w:val="00E30981"/>
    <w:rsid w:val="00E32C7B"/>
    <w:rsid w:val="00E33136"/>
    <w:rsid w:val="00E34D7C"/>
    <w:rsid w:val="00E36C7E"/>
    <w:rsid w:val="00E3723D"/>
    <w:rsid w:val="00E401A3"/>
    <w:rsid w:val="00E4169F"/>
    <w:rsid w:val="00E42675"/>
    <w:rsid w:val="00E44C89"/>
    <w:rsid w:val="00E466C2"/>
    <w:rsid w:val="00E470F6"/>
    <w:rsid w:val="00E47732"/>
    <w:rsid w:val="00E520E6"/>
    <w:rsid w:val="00E61BA2"/>
    <w:rsid w:val="00E63864"/>
    <w:rsid w:val="00E6403F"/>
    <w:rsid w:val="00E64725"/>
    <w:rsid w:val="00E70954"/>
    <w:rsid w:val="00E73105"/>
    <w:rsid w:val="00E731B7"/>
    <w:rsid w:val="00E74286"/>
    <w:rsid w:val="00E74D95"/>
    <w:rsid w:val="00E75449"/>
    <w:rsid w:val="00E770C4"/>
    <w:rsid w:val="00E84C5A"/>
    <w:rsid w:val="00E861DB"/>
    <w:rsid w:val="00E862A2"/>
    <w:rsid w:val="00E871F3"/>
    <w:rsid w:val="00E879A8"/>
    <w:rsid w:val="00E9151D"/>
    <w:rsid w:val="00E931F7"/>
    <w:rsid w:val="00E93406"/>
    <w:rsid w:val="00E94417"/>
    <w:rsid w:val="00E956C5"/>
    <w:rsid w:val="00E9579A"/>
    <w:rsid w:val="00E95C39"/>
    <w:rsid w:val="00E96432"/>
    <w:rsid w:val="00EA2C39"/>
    <w:rsid w:val="00EA4CCC"/>
    <w:rsid w:val="00EB0A3C"/>
    <w:rsid w:val="00EB0A96"/>
    <w:rsid w:val="00EB32E6"/>
    <w:rsid w:val="00EB6266"/>
    <w:rsid w:val="00EB77F9"/>
    <w:rsid w:val="00EC12C6"/>
    <w:rsid w:val="00EC1D0B"/>
    <w:rsid w:val="00EC20F9"/>
    <w:rsid w:val="00EC5769"/>
    <w:rsid w:val="00EC7D00"/>
    <w:rsid w:val="00EC7DD7"/>
    <w:rsid w:val="00ED0304"/>
    <w:rsid w:val="00ED087C"/>
    <w:rsid w:val="00ED0D94"/>
    <w:rsid w:val="00ED0DD5"/>
    <w:rsid w:val="00ED36E0"/>
    <w:rsid w:val="00ED3B50"/>
    <w:rsid w:val="00ED4149"/>
    <w:rsid w:val="00EE38FA"/>
    <w:rsid w:val="00EE3E2C"/>
    <w:rsid w:val="00EE52BF"/>
    <w:rsid w:val="00EE5D23"/>
    <w:rsid w:val="00EE750D"/>
    <w:rsid w:val="00EF0505"/>
    <w:rsid w:val="00EF13B9"/>
    <w:rsid w:val="00EF3CA4"/>
    <w:rsid w:val="00EF4012"/>
    <w:rsid w:val="00EF5415"/>
    <w:rsid w:val="00EF5E1F"/>
    <w:rsid w:val="00EF6690"/>
    <w:rsid w:val="00EF7859"/>
    <w:rsid w:val="00EF7BFB"/>
    <w:rsid w:val="00F0037E"/>
    <w:rsid w:val="00F014DA"/>
    <w:rsid w:val="00F01BE6"/>
    <w:rsid w:val="00F02591"/>
    <w:rsid w:val="00F04231"/>
    <w:rsid w:val="00F051E3"/>
    <w:rsid w:val="00F06278"/>
    <w:rsid w:val="00F107DD"/>
    <w:rsid w:val="00F14273"/>
    <w:rsid w:val="00F24F21"/>
    <w:rsid w:val="00F26532"/>
    <w:rsid w:val="00F30056"/>
    <w:rsid w:val="00F35FE9"/>
    <w:rsid w:val="00F4058C"/>
    <w:rsid w:val="00F42A18"/>
    <w:rsid w:val="00F535EB"/>
    <w:rsid w:val="00F562BE"/>
    <w:rsid w:val="00F5696E"/>
    <w:rsid w:val="00F60758"/>
    <w:rsid w:val="00F60B9B"/>
    <w:rsid w:val="00F60EFF"/>
    <w:rsid w:val="00F6223E"/>
    <w:rsid w:val="00F63AB5"/>
    <w:rsid w:val="00F65D86"/>
    <w:rsid w:val="00F666F4"/>
    <w:rsid w:val="00F67D2D"/>
    <w:rsid w:val="00F802D7"/>
    <w:rsid w:val="00F84945"/>
    <w:rsid w:val="00F860CC"/>
    <w:rsid w:val="00F862C0"/>
    <w:rsid w:val="00F90858"/>
    <w:rsid w:val="00F91388"/>
    <w:rsid w:val="00F93331"/>
    <w:rsid w:val="00F94398"/>
    <w:rsid w:val="00F948C6"/>
    <w:rsid w:val="00FA342F"/>
    <w:rsid w:val="00FA3FE5"/>
    <w:rsid w:val="00FA4629"/>
    <w:rsid w:val="00FA69FE"/>
    <w:rsid w:val="00FB0284"/>
    <w:rsid w:val="00FB0730"/>
    <w:rsid w:val="00FB0845"/>
    <w:rsid w:val="00FB2B56"/>
    <w:rsid w:val="00FB3910"/>
    <w:rsid w:val="00FB4E3A"/>
    <w:rsid w:val="00FB4E6A"/>
    <w:rsid w:val="00FB5E58"/>
    <w:rsid w:val="00FB6829"/>
    <w:rsid w:val="00FC12BF"/>
    <w:rsid w:val="00FC1A7C"/>
    <w:rsid w:val="00FC2C60"/>
    <w:rsid w:val="00FC64AB"/>
    <w:rsid w:val="00FD11E0"/>
    <w:rsid w:val="00FD3E6F"/>
    <w:rsid w:val="00FD3EB0"/>
    <w:rsid w:val="00FD45A9"/>
    <w:rsid w:val="00FD4E93"/>
    <w:rsid w:val="00FD51B9"/>
    <w:rsid w:val="00FD6B40"/>
    <w:rsid w:val="00FE2A39"/>
    <w:rsid w:val="00FE2EF6"/>
    <w:rsid w:val="00FE316A"/>
    <w:rsid w:val="00FE3F44"/>
    <w:rsid w:val="00FE6C17"/>
    <w:rsid w:val="00FE6DDA"/>
    <w:rsid w:val="00FF06AE"/>
    <w:rsid w:val="00FF20CD"/>
    <w:rsid w:val="00FF36E0"/>
    <w:rsid w:val="00FF39CF"/>
    <w:rsid w:val="00FF7159"/>
    <w:rsid w:val="00FF71A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72068"/>
  <w15:docId w15:val="{E31E5699-4CD9-403C-906C-9689837A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1"/>
    <w:qFormat/>
    <w:rsid w:val="00DF04F7"/>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DF04F7"/>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1"/>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1"/>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9"/>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9"/>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9"/>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9"/>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9"/>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DF04F7"/>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DF04F7"/>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evel 1 bullet,Business Requirements,Bullet List Paragraph,Bullet Main,List Paragraph1,List Paragraph11,List Paragraph111,L,F5 List Paragraph,Dot pt,CV text,Medium Grid 1 - Accent 21,Numbered Paragraph,List Paragraph2,NFP GP Bulleted Lis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9"/>
    <w:rsid w:val="00E75449"/>
    <w:rPr>
      <w:rFonts w:asciiTheme="majorHAnsi" w:hAnsiTheme="majorHAnsi"/>
      <w:color w:val="606060"/>
      <w:lang w:eastAsia="en-AU"/>
    </w:rPr>
  </w:style>
  <w:style w:type="character" w:customStyle="1" w:styleId="Heading7Char">
    <w:name w:val="Heading 7 Char"/>
    <w:basedOn w:val="DefaultParagraphFont"/>
    <w:link w:val="Heading7"/>
    <w:uiPriority w:val="9"/>
    <w:rsid w:val="00E75449"/>
    <w:rPr>
      <w:rFonts w:asciiTheme="majorHAnsi" w:hAnsiTheme="majorHAnsi"/>
      <w:color w:val="1F1F5F" w:themeColor="text1"/>
    </w:rPr>
  </w:style>
  <w:style w:type="character" w:customStyle="1" w:styleId="Heading8Char">
    <w:name w:val="Heading 8 Char"/>
    <w:basedOn w:val="DefaultParagraphFont"/>
    <w:link w:val="Heading8"/>
    <w:uiPriority w:val="9"/>
    <w:rsid w:val="00E75449"/>
    <w:rPr>
      <w:rFonts w:asciiTheme="majorHAnsi" w:hAnsiTheme="majorHAnsi"/>
      <w:color w:val="606060"/>
    </w:rPr>
  </w:style>
  <w:style w:type="character" w:customStyle="1" w:styleId="Heading9Char">
    <w:name w:val="Heading 9 Char"/>
    <w:basedOn w:val="DefaultParagraphFont"/>
    <w:link w:val="Heading9"/>
    <w:uiPriority w:val="9"/>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4"/>
    <w:rsid w:val="00176123"/>
    <w:pPr>
      <w:spacing w:after="120"/>
    </w:pPr>
  </w:style>
  <w:style w:type="paragraph" w:styleId="ListBullet2">
    <w:name w:val="List Bullet 2"/>
    <w:aliases w:val="Bullet list level 2"/>
    <w:basedOn w:val="Normal"/>
    <w:uiPriority w:val="4"/>
    <w:rsid w:val="006847AD"/>
    <w:pPr>
      <w:spacing w:after="120"/>
    </w:pPr>
  </w:style>
  <w:style w:type="paragraph" w:styleId="ListBullet3">
    <w:name w:val="List Bullet 3"/>
    <w:aliases w:val="Bullet list level 3"/>
    <w:basedOn w:val="Normal"/>
    <w:uiPriority w:val="4"/>
    <w:rsid w:val="006847AD"/>
    <w:pPr>
      <w:spacing w:after="120"/>
    </w:pPr>
  </w:style>
  <w:style w:type="paragraph" w:styleId="ListBullet4">
    <w:name w:val="List Bullet 4"/>
    <w:aliases w:val="Bullet list level 4"/>
    <w:basedOn w:val="Normal"/>
    <w:uiPriority w:val="4"/>
    <w:rsid w:val="006847AD"/>
    <w:pPr>
      <w:spacing w:after="120"/>
    </w:pPr>
  </w:style>
  <w:style w:type="paragraph" w:styleId="ListBullet5">
    <w:name w:val="List Bullet 5"/>
    <w:aliases w:val="Bullet list level 5"/>
    <w:basedOn w:val="Normal"/>
    <w:uiPriority w:val="99"/>
    <w:rsid w:val="004E2CB7"/>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8"/>
      </w:numPr>
    </w:pPr>
  </w:style>
  <w:style w:type="paragraph" w:styleId="Caption">
    <w:name w:val="caption"/>
    <w:basedOn w:val="Normal"/>
    <w:next w:val="Normal"/>
    <w:uiPriority w:val="35"/>
    <w:qFormat/>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unhideWhenUsed/>
    <w:rsid w:val="00A71E1C"/>
    <w:pPr>
      <w:spacing w:after="0"/>
    </w:pPr>
    <w:rPr>
      <w:sz w:val="20"/>
      <w:szCs w:val="20"/>
    </w:rPr>
  </w:style>
  <w:style w:type="character" w:customStyle="1" w:styleId="FootnoteTextChar">
    <w:name w:val="Footnote Text Char"/>
    <w:basedOn w:val="DefaultParagraphFont"/>
    <w:link w:val="FootnoteText"/>
    <w:uiPriority w:val="99"/>
    <w:rsid w:val="00A71E1C"/>
    <w:rPr>
      <w:rFonts w:ascii="Lato" w:hAnsi="Lato"/>
      <w:sz w:val="20"/>
      <w:szCs w:val="20"/>
    </w:rPr>
  </w:style>
  <w:style w:type="character" w:styleId="FootnoteReference">
    <w:name w:val="footnote reference"/>
    <w:basedOn w:val="DefaultParagraphFont"/>
    <w:uiPriority w:val="99"/>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numbering" w:customStyle="1" w:styleId="NTGTableNumList">
    <w:name w:val="NTG Table Num List"/>
    <w:uiPriority w:val="99"/>
    <w:rsid w:val="00945368"/>
    <w:pPr>
      <w:numPr>
        <w:numId w:val="9"/>
      </w:numPr>
    </w:pPr>
  </w:style>
  <w:style w:type="paragraph" w:customStyle="1" w:styleId="NTGTableNumList1">
    <w:name w:val="NTG Table Num List 1"/>
    <w:semiHidden/>
    <w:qFormat/>
    <w:rsid w:val="00945368"/>
    <w:pPr>
      <w:numPr>
        <w:numId w:val="10"/>
      </w:numPr>
      <w:spacing w:after="20"/>
    </w:pPr>
  </w:style>
  <w:style w:type="paragraph" w:customStyle="1" w:styleId="NTGTableNumList2">
    <w:name w:val="NTG Table Num List 2"/>
    <w:basedOn w:val="NTGTableNumList1"/>
    <w:semiHidden/>
    <w:qFormat/>
    <w:rsid w:val="00945368"/>
    <w:pPr>
      <w:numPr>
        <w:ilvl w:val="1"/>
      </w:numPr>
    </w:pPr>
  </w:style>
  <w:style w:type="paragraph" w:customStyle="1" w:styleId="NTGTableNumList3">
    <w:name w:val="NTG Table Num List 3"/>
    <w:basedOn w:val="NTGTableNumList2"/>
    <w:semiHidden/>
    <w:qFormat/>
    <w:rsid w:val="00945368"/>
    <w:pPr>
      <w:numPr>
        <w:ilvl w:val="2"/>
      </w:numPr>
    </w:pPr>
  </w:style>
  <w:style w:type="paragraph" w:customStyle="1" w:styleId="NTGTableNumList4">
    <w:name w:val="NTG Table Num List 4"/>
    <w:basedOn w:val="NTGTableNumList3"/>
    <w:semiHidden/>
    <w:qFormat/>
    <w:rsid w:val="00945368"/>
    <w:pPr>
      <w:numPr>
        <w:ilvl w:val="3"/>
      </w:numPr>
    </w:pPr>
  </w:style>
  <w:style w:type="paragraph" w:customStyle="1" w:styleId="NTGTableNumList5">
    <w:name w:val="NTG Table Num List 5"/>
    <w:basedOn w:val="NTGTableNumList4"/>
    <w:semiHidden/>
    <w:qFormat/>
    <w:rsid w:val="00945368"/>
    <w:pPr>
      <w:numPr>
        <w:ilvl w:val="4"/>
      </w:numPr>
    </w:pPr>
  </w:style>
  <w:style w:type="paragraph" w:customStyle="1" w:styleId="NTGTableNumList6">
    <w:name w:val="NTG Table Num List 6"/>
    <w:basedOn w:val="NTGTableNumList5"/>
    <w:semiHidden/>
    <w:qFormat/>
    <w:rsid w:val="00945368"/>
    <w:pPr>
      <w:numPr>
        <w:ilvl w:val="5"/>
      </w:numPr>
    </w:pPr>
  </w:style>
  <w:style w:type="paragraph" w:customStyle="1" w:styleId="NTGTableNumList7">
    <w:name w:val="NTG Table Num List 7"/>
    <w:basedOn w:val="NTGTableNumList6"/>
    <w:semiHidden/>
    <w:qFormat/>
    <w:rsid w:val="00945368"/>
    <w:pPr>
      <w:numPr>
        <w:ilvl w:val="6"/>
      </w:numPr>
    </w:pPr>
  </w:style>
  <w:style w:type="paragraph" w:customStyle="1" w:styleId="NTGTableNumList8">
    <w:name w:val="NTG Table Num List 8"/>
    <w:basedOn w:val="NTGTableNumList7"/>
    <w:semiHidden/>
    <w:qFormat/>
    <w:rsid w:val="00945368"/>
    <w:pPr>
      <w:numPr>
        <w:ilvl w:val="7"/>
      </w:numPr>
    </w:pPr>
  </w:style>
  <w:style w:type="paragraph" w:customStyle="1" w:styleId="NTGTableNumList9">
    <w:name w:val="NTG Table Num List 9"/>
    <w:basedOn w:val="NTGTableNumList8"/>
    <w:semiHidden/>
    <w:qFormat/>
    <w:rsid w:val="00945368"/>
    <w:pPr>
      <w:numPr>
        <w:ilvl w:val="8"/>
      </w:numPr>
    </w:pPr>
  </w:style>
  <w:style w:type="numbering" w:customStyle="1" w:styleId="NTGTableList">
    <w:name w:val="NTG Table List"/>
    <w:uiPriority w:val="99"/>
    <w:rsid w:val="00945368"/>
    <w:pPr>
      <w:numPr>
        <w:numId w:val="12"/>
      </w:numPr>
    </w:pPr>
  </w:style>
  <w:style w:type="numbering" w:customStyle="1" w:styleId="NTGStandardNumList">
    <w:name w:val="NTG Standard Num List"/>
    <w:uiPriority w:val="99"/>
    <w:rsid w:val="00945368"/>
    <w:pPr>
      <w:numPr>
        <w:numId w:val="11"/>
      </w:numPr>
    </w:pPr>
  </w:style>
  <w:style w:type="paragraph" w:customStyle="1" w:styleId="NTGTableBulletList1">
    <w:name w:val="NTG Table Bullet List 1"/>
    <w:semiHidden/>
    <w:qFormat/>
    <w:rsid w:val="00945368"/>
    <w:pPr>
      <w:numPr>
        <w:numId w:val="13"/>
      </w:numPr>
      <w:spacing w:after="20"/>
    </w:pPr>
  </w:style>
  <w:style w:type="paragraph" w:customStyle="1" w:styleId="NTGTableBulletList2">
    <w:name w:val="NTG Table Bullet List 2"/>
    <w:basedOn w:val="NTGTableBulletList1"/>
    <w:semiHidden/>
    <w:qFormat/>
    <w:rsid w:val="00945368"/>
    <w:pPr>
      <w:numPr>
        <w:ilvl w:val="1"/>
      </w:numPr>
    </w:pPr>
  </w:style>
  <w:style w:type="paragraph" w:customStyle="1" w:styleId="NTGTableBulletList3">
    <w:name w:val="NTG Table Bullet List 3"/>
    <w:basedOn w:val="NTGTableBulletList2"/>
    <w:semiHidden/>
    <w:qFormat/>
    <w:rsid w:val="00945368"/>
    <w:pPr>
      <w:numPr>
        <w:ilvl w:val="2"/>
      </w:numPr>
    </w:pPr>
  </w:style>
  <w:style w:type="paragraph" w:customStyle="1" w:styleId="NTGTableBulletList4">
    <w:name w:val="NTG Table Bullet List 4"/>
    <w:basedOn w:val="NTGTableBulletList3"/>
    <w:semiHidden/>
    <w:qFormat/>
    <w:rsid w:val="00945368"/>
    <w:pPr>
      <w:numPr>
        <w:ilvl w:val="3"/>
      </w:numPr>
    </w:pPr>
  </w:style>
  <w:style w:type="paragraph" w:customStyle="1" w:styleId="NTGTableBulletList5">
    <w:name w:val="NTG Table Bullet List 5"/>
    <w:basedOn w:val="NTGTableBulletList4"/>
    <w:semiHidden/>
    <w:qFormat/>
    <w:rsid w:val="00945368"/>
    <w:pPr>
      <w:numPr>
        <w:ilvl w:val="4"/>
      </w:numPr>
    </w:pPr>
  </w:style>
  <w:style w:type="paragraph" w:customStyle="1" w:styleId="NTGTableBulletList6">
    <w:name w:val="NTG Table Bullet List 6"/>
    <w:basedOn w:val="NTGTableBulletList5"/>
    <w:semiHidden/>
    <w:qFormat/>
    <w:rsid w:val="00945368"/>
    <w:pPr>
      <w:numPr>
        <w:ilvl w:val="5"/>
      </w:numPr>
    </w:pPr>
  </w:style>
  <w:style w:type="paragraph" w:customStyle="1" w:styleId="NTGTableBulletList7">
    <w:name w:val="NTG Table Bullet List 7"/>
    <w:basedOn w:val="NTGTableBulletList6"/>
    <w:semiHidden/>
    <w:qFormat/>
    <w:rsid w:val="00945368"/>
    <w:pPr>
      <w:numPr>
        <w:ilvl w:val="6"/>
      </w:numPr>
    </w:pPr>
  </w:style>
  <w:style w:type="paragraph" w:customStyle="1" w:styleId="NTGTableBulletList8">
    <w:name w:val="NTG Table Bullet List 8"/>
    <w:basedOn w:val="NTGTableBulletList7"/>
    <w:semiHidden/>
    <w:qFormat/>
    <w:rsid w:val="00945368"/>
    <w:pPr>
      <w:numPr>
        <w:ilvl w:val="7"/>
      </w:numPr>
    </w:pPr>
  </w:style>
  <w:style w:type="paragraph" w:customStyle="1" w:styleId="NTGTableBulletList9">
    <w:name w:val="NTG Table Bullet List 9"/>
    <w:basedOn w:val="NTGTableBulletList8"/>
    <w:semiHidden/>
    <w:qFormat/>
    <w:rsid w:val="00945368"/>
    <w:pPr>
      <w:numPr>
        <w:ilvl w:val="8"/>
      </w:numPr>
    </w:pPr>
  </w:style>
  <w:style w:type="paragraph" w:customStyle="1" w:styleId="DTFBodyText">
    <w:name w:val="DTF Body Text"/>
    <w:basedOn w:val="Normal"/>
    <w:link w:val="DTFBodyTextChar"/>
    <w:qFormat/>
    <w:rsid w:val="00945368"/>
    <w:pPr>
      <w:tabs>
        <w:tab w:val="left" w:pos="709"/>
        <w:tab w:val="left" w:pos="1276"/>
        <w:tab w:val="left" w:pos="4536"/>
      </w:tabs>
    </w:pPr>
    <w:rPr>
      <w:rFonts w:ascii="Arial" w:eastAsia="Times New Roman" w:hAnsi="Arial" w:cs="Arial"/>
      <w:szCs w:val="20"/>
      <w:lang w:eastAsia="en-AU"/>
    </w:rPr>
  </w:style>
  <w:style w:type="character" w:customStyle="1" w:styleId="DTFBodyTextChar">
    <w:name w:val="DTF Body Text Char"/>
    <w:basedOn w:val="DefaultParagraphFont"/>
    <w:link w:val="DTFBodyText"/>
    <w:rsid w:val="00945368"/>
    <w:rPr>
      <w:rFonts w:eastAsia="Times New Roman" w:cs="Arial"/>
      <w:szCs w:val="20"/>
      <w:lang w:eastAsia="en-AU"/>
    </w:rPr>
  </w:style>
  <w:style w:type="paragraph" w:customStyle="1" w:styleId="NTGCoverPageDate">
    <w:name w:val="NTG Cover Page Date"/>
    <w:next w:val="Normal"/>
    <w:semiHidden/>
    <w:rsid w:val="00C62CE4"/>
    <w:pPr>
      <w:spacing w:before="1400"/>
    </w:pPr>
    <w:rPr>
      <w:rFonts w:eastAsia="Times New Roman"/>
      <w:sz w:val="28"/>
      <w:lang w:eastAsia="en-AU"/>
    </w:rPr>
  </w:style>
  <w:style w:type="paragraph" w:styleId="BalloonText">
    <w:name w:val="Balloon Text"/>
    <w:basedOn w:val="Normal"/>
    <w:link w:val="BalloonTextChar"/>
    <w:uiPriority w:val="99"/>
    <w:semiHidden/>
    <w:unhideWhenUsed/>
    <w:rsid w:val="00DF04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F7"/>
    <w:rPr>
      <w:rFonts w:ascii="Segoe UI" w:hAnsi="Segoe UI" w:cs="Segoe UI"/>
      <w:sz w:val="18"/>
      <w:szCs w:val="18"/>
    </w:rPr>
  </w:style>
  <w:style w:type="character" w:styleId="CommentReference">
    <w:name w:val="annotation reference"/>
    <w:basedOn w:val="DefaultParagraphFont"/>
    <w:uiPriority w:val="99"/>
    <w:semiHidden/>
    <w:unhideWhenUsed/>
    <w:rsid w:val="00DF04F7"/>
    <w:rPr>
      <w:sz w:val="16"/>
      <w:szCs w:val="16"/>
    </w:rPr>
  </w:style>
  <w:style w:type="paragraph" w:styleId="CommentText">
    <w:name w:val="annotation text"/>
    <w:basedOn w:val="Normal"/>
    <w:link w:val="CommentTextChar"/>
    <w:uiPriority w:val="99"/>
    <w:unhideWhenUsed/>
    <w:rsid w:val="00DF04F7"/>
    <w:rPr>
      <w:sz w:val="20"/>
      <w:szCs w:val="20"/>
    </w:rPr>
  </w:style>
  <w:style w:type="character" w:customStyle="1" w:styleId="CommentTextChar">
    <w:name w:val="Comment Text Char"/>
    <w:basedOn w:val="DefaultParagraphFont"/>
    <w:link w:val="CommentText"/>
    <w:uiPriority w:val="99"/>
    <w:rsid w:val="00DF04F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F04F7"/>
    <w:rPr>
      <w:b/>
      <w:bCs/>
    </w:rPr>
  </w:style>
  <w:style w:type="character" w:customStyle="1" w:styleId="CommentSubjectChar">
    <w:name w:val="Comment Subject Char"/>
    <w:basedOn w:val="CommentTextChar"/>
    <w:link w:val="CommentSubject"/>
    <w:uiPriority w:val="99"/>
    <w:semiHidden/>
    <w:rsid w:val="00DF04F7"/>
    <w:rPr>
      <w:rFonts w:ascii="Lato" w:hAnsi="Lato"/>
      <w:b/>
      <w:bCs/>
      <w:sz w:val="20"/>
      <w:szCs w:val="20"/>
    </w:rPr>
  </w:style>
  <w:style w:type="numbering" w:customStyle="1" w:styleId="NTGStandardList">
    <w:name w:val="NTG Standard List"/>
    <w:basedOn w:val="NoList"/>
    <w:rsid w:val="00D96C9F"/>
    <w:pPr>
      <w:numPr>
        <w:numId w:val="17"/>
      </w:numPr>
    </w:pPr>
  </w:style>
  <w:style w:type="paragraph" w:styleId="Revision">
    <w:name w:val="Revision"/>
    <w:hidden/>
    <w:uiPriority w:val="99"/>
    <w:semiHidden/>
    <w:rsid w:val="009D31A2"/>
    <w:pPr>
      <w:spacing w:after="0"/>
    </w:pPr>
    <w:rPr>
      <w:rFonts w:ascii="Lato" w:hAnsi="Lato"/>
    </w:rPr>
  </w:style>
  <w:style w:type="paragraph" w:customStyle="1" w:styleId="Default">
    <w:name w:val="Default"/>
    <w:rsid w:val="00DD1B48"/>
    <w:pPr>
      <w:autoSpaceDE w:val="0"/>
      <w:autoSpaceDN w:val="0"/>
      <w:adjustRightInd w:val="0"/>
      <w:spacing w:after="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1E6CAA"/>
    <w:rPr>
      <w:color w:val="8C4799" w:themeColor="followedHyperlink"/>
      <w:u w:val="single"/>
    </w:rPr>
  </w:style>
  <w:style w:type="character" w:customStyle="1" w:styleId="uv3um">
    <w:name w:val="uv3um"/>
    <w:basedOn w:val="DefaultParagraphFont"/>
    <w:rsid w:val="00ED0D94"/>
  </w:style>
  <w:style w:type="character" w:customStyle="1" w:styleId="ListParagraphChar">
    <w:name w:val="List Paragraph Char"/>
    <w:aliases w:val="Level 1 bullet Char,Business Requirements Char,Bullet List Paragraph Char,Bullet Main Char,List Paragraph1 Char,List Paragraph11 Char,List Paragraph111 Char,L Char,F5 List Paragraph Char,Dot pt Char,CV text Char,List Paragraph2 Char"/>
    <w:basedOn w:val="DefaultParagraphFont"/>
    <w:link w:val="ListParagraph"/>
    <w:uiPriority w:val="34"/>
    <w:rsid w:val="00F91388"/>
    <w:rPr>
      <w:rFonts w:ascii="Lato" w:eastAsiaTheme="minorEastAsia" w:hAnsi="Lato"/>
      <w:iCs/>
    </w:rPr>
  </w:style>
  <w:style w:type="character" w:customStyle="1" w:styleId="bg-green-200">
    <w:name w:val="bg-green-200"/>
    <w:basedOn w:val="DefaultParagraphFont"/>
    <w:rsid w:val="00F051E3"/>
  </w:style>
  <w:style w:type="character" w:styleId="UnresolvedMention">
    <w:name w:val="Unresolved Mention"/>
    <w:basedOn w:val="DefaultParagraphFont"/>
    <w:uiPriority w:val="99"/>
    <w:semiHidden/>
    <w:unhideWhenUsed/>
    <w:rsid w:val="00BE1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27">
      <w:bodyDiv w:val="1"/>
      <w:marLeft w:val="0"/>
      <w:marRight w:val="0"/>
      <w:marTop w:val="0"/>
      <w:marBottom w:val="0"/>
      <w:divBdr>
        <w:top w:val="none" w:sz="0" w:space="0" w:color="auto"/>
        <w:left w:val="none" w:sz="0" w:space="0" w:color="auto"/>
        <w:bottom w:val="none" w:sz="0" w:space="0" w:color="auto"/>
        <w:right w:val="none" w:sz="0" w:space="0" w:color="auto"/>
      </w:divBdr>
    </w:div>
    <w:div w:id="45302175">
      <w:bodyDiv w:val="1"/>
      <w:marLeft w:val="0"/>
      <w:marRight w:val="0"/>
      <w:marTop w:val="0"/>
      <w:marBottom w:val="0"/>
      <w:divBdr>
        <w:top w:val="none" w:sz="0" w:space="0" w:color="auto"/>
        <w:left w:val="none" w:sz="0" w:space="0" w:color="auto"/>
        <w:bottom w:val="none" w:sz="0" w:space="0" w:color="auto"/>
        <w:right w:val="none" w:sz="0" w:space="0" w:color="auto"/>
      </w:divBdr>
    </w:div>
    <w:div w:id="122695811">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0284264">
      <w:bodyDiv w:val="1"/>
      <w:marLeft w:val="0"/>
      <w:marRight w:val="0"/>
      <w:marTop w:val="0"/>
      <w:marBottom w:val="0"/>
      <w:divBdr>
        <w:top w:val="none" w:sz="0" w:space="0" w:color="auto"/>
        <w:left w:val="none" w:sz="0" w:space="0" w:color="auto"/>
        <w:bottom w:val="none" w:sz="0" w:space="0" w:color="auto"/>
        <w:right w:val="none" w:sz="0" w:space="0" w:color="auto"/>
      </w:divBdr>
    </w:div>
    <w:div w:id="338241828">
      <w:bodyDiv w:val="1"/>
      <w:marLeft w:val="0"/>
      <w:marRight w:val="0"/>
      <w:marTop w:val="0"/>
      <w:marBottom w:val="0"/>
      <w:divBdr>
        <w:top w:val="none" w:sz="0" w:space="0" w:color="auto"/>
        <w:left w:val="none" w:sz="0" w:space="0" w:color="auto"/>
        <w:bottom w:val="none" w:sz="0" w:space="0" w:color="auto"/>
        <w:right w:val="none" w:sz="0" w:space="0" w:color="auto"/>
      </w:divBdr>
    </w:div>
    <w:div w:id="420373440">
      <w:bodyDiv w:val="1"/>
      <w:marLeft w:val="0"/>
      <w:marRight w:val="0"/>
      <w:marTop w:val="0"/>
      <w:marBottom w:val="0"/>
      <w:divBdr>
        <w:top w:val="none" w:sz="0" w:space="0" w:color="auto"/>
        <w:left w:val="none" w:sz="0" w:space="0" w:color="auto"/>
        <w:bottom w:val="none" w:sz="0" w:space="0" w:color="auto"/>
        <w:right w:val="none" w:sz="0" w:space="0" w:color="auto"/>
      </w:divBdr>
    </w:div>
    <w:div w:id="729115274">
      <w:bodyDiv w:val="1"/>
      <w:marLeft w:val="0"/>
      <w:marRight w:val="0"/>
      <w:marTop w:val="0"/>
      <w:marBottom w:val="0"/>
      <w:divBdr>
        <w:top w:val="none" w:sz="0" w:space="0" w:color="auto"/>
        <w:left w:val="none" w:sz="0" w:space="0" w:color="auto"/>
        <w:bottom w:val="none" w:sz="0" w:space="0" w:color="auto"/>
        <w:right w:val="none" w:sz="0" w:space="0" w:color="auto"/>
      </w:divBdr>
    </w:div>
    <w:div w:id="763964198">
      <w:bodyDiv w:val="1"/>
      <w:marLeft w:val="0"/>
      <w:marRight w:val="0"/>
      <w:marTop w:val="0"/>
      <w:marBottom w:val="0"/>
      <w:divBdr>
        <w:top w:val="none" w:sz="0" w:space="0" w:color="auto"/>
        <w:left w:val="none" w:sz="0" w:space="0" w:color="auto"/>
        <w:bottom w:val="none" w:sz="0" w:space="0" w:color="auto"/>
        <w:right w:val="none" w:sz="0" w:space="0" w:color="auto"/>
      </w:divBdr>
    </w:div>
    <w:div w:id="826748113">
      <w:bodyDiv w:val="1"/>
      <w:marLeft w:val="0"/>
      <w:marRight w:val="0"/>
      <w:marTop w:val="0"/>
      <w:marBottom w:val="0"/>
      <w:divBdr>
        <w:top w:val="none" w:sz="0" w:space="0" w:color="auto"/>
        <w:left w:val="none" w:sz="0" w:space="0" w:color="auto"/>
        <w:bottom w:val="none" w:sz="0" w:space="0" w:color="auto"/>
        <w:right w:val="none" w:sz="0" w:space="0" w:color="auto"/>
      </w:divBdr>
    </w:div>
    <w:div w:id="836726083">
      <w:bodyDiv w:val="1"/>
      <w:marLeft w:val="0"/>
      <w:marRight w:val="0"/>
      <w:marTop w:val="0"/>
      <w:marBottom w:val="0"/>
      <w:divBdr>
        <w:top w:val="none" w:sz="0" w:space="0" w:color="auto"/>
        <w:left w:val="none" w:sz="0" w:space="0" w:color="auto"/>
        <w:bottom w:val="none" w:sz="0" w:space="0" w:color="auto"/>
        <w:right w:val="none" w:sz="0" w:space="0" w:color="auto"/>
      </w:divBdr>
    </w:div>
    <w:div w:id="1135178404">
      <w:bodyDiv w:val="1"/>
      <w:marLeft w:val="0"/>
      <w:marRight w:val="0"/>
      <w:marTop w:val="0"/>
      <w:marBottom w:val="0"/>
      <w:divBdr>
        <w:top w:val="none" w:sz="0" w:space="0" w:color="auto"/>
        <w:left w:val="none" w:sz="0" w:space="0" w:color="auto"/>
        <w:bottom w:val="none" w:sz="0" w:space="0" w:color="auto"/>
        <w:right w:val="none" w:sz="0" w:space="0" w:color="auto"/>
      </w:divBdr>
    </w:div>
    <w:div w:id="1577011421">
      <w:bodyDiv w:val="1"/>
      <w:marLeft w:val="0"/>
      <w:marRight w:val="0"/>
      <w:marTop w:val="0"/>
      <w:marBottom w:val="0"/>
      <w:divBdr>
        <w:top w:val="none" w:sz="0" w:space="0" w:color="auto"/>
        <w:left w:val="none" w:sz="0" w:space="0" w:color="auto"/>
        <w:bottom w:val="none" w:sz="0" w:space="0" w:color="auto"/>
        <w:right w:val="none" w:sz="0" w:space="0" w:color="auto"/>
      </w:divBdr>
    </w:div>
    <w:div w:id="1659383359">
      <w:bodyDiv w:val="1"/>
      <w:marLeft w:val="0"/>
      <w:marRight w:val="0"/>
      <w:marTop w:val="0"/>
      <w:marBottom w:val="0"/>
      <w:divBdr>
        <w:top w:val="none" w:sz="0" w:space="0" w:color="auto"/>
        <w:left w:val="none" w:sz="0" w:space="0" w:color="auto"/>
        <w:bottom w:val="none" w:sz="0" w:space="0" w:color="auto"/>
        <w:right w:val="none" w:sz="0" w:space="0" w:color="auto"/>
      </w:divBdr>
    </w:div>
    <w:div w:id="1674647883">
      <w:bodyDiv w:val="1"/>
      <w:marLeft w:val="0"/>
      <w:marRight w:val="0"/>
      <w:marTop w:val="0"/>
      <w:marBottom w:val="0"/>
      <w:divBdr>
        <w:top w:val="none" w:sz="0" w:space="0" w:color="auto"/>
        <w:left w:val="none" w:sz="0" w:space="0" w:color="auto"/>
        <w:bottom w:val="none" w:sz="0" w:space="0" w:color="auto"/>
        <w:right w:val="none" w:sz="0" w:space="0" w:color="auto"/>
      </w:divBdr>
    </w:div>
    <w:div w:id="168867494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7810817">
      <w:bodyDiv w:val="1"/>
      <w:marLeft w:val="0"/>
      <w:marRight w:val="0"/>
      <w:marTop w:val="0"/>
      <w:marBottom w:val="0"/>
      <w:divBdr>
        <w:top w:val="none" w:sz="0" w:space="0" w:color="auto"/>
        <w:left w:val="none" w:sz="0" w:space="0" w:color="auto"/>
        <w:bottom w:val="none" w:sz="0" w:space="0" w:color="auto"/>
        <w:right w:val="none" w:sz="0" w:space="0" w:color="auto"/>
      </w:divBdr>
    </w:div>
    <w:div w:id="1957132573">
      <w:bodyDiv w:val="1"/>
      <w:marLeft w:val="0"/>
      <w:marRight w:val="0"/>
      <w:marTop w:val="0"/>
      <w:marBottom w:val="0"/>
      <w:divBdr>
        <w:top w:val="none" w:sz="0" w:space="0" w:color="auto"/>
        <w:left w:val="none" w:sz="0" w:space="0" w:color="auto"/>
        <w:bottom w:val="none" w:sz="0" w:space="0" w:color="auto"/>
        <w:right w:val="none" w:sz="0" w:space="0" w:color="auto"/>
      </w:divBdr>
    </w:div>
    <w:div w:id="19820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TF.FinancialPolicy@nt.gov.au"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iew.officeapps.live.com/op/view.aspx?src=https%3A%2F%2Ftreasury.nt.gov.au%2F__data%2Fassets%2Fword_doc%2F0008%2F1391669%2FTreasurers-Direction-Non-financial-assets.docx&amp;wdOrigin=BROWSELIN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9F8DE95DD4AC7BFDBBE843992524D"/>
        <w:category>
          <w:name w:val="General"/>
          <w:gallery w:val="placeholder"/>
        </w:category>
        <w:types>
          <w:type w:val="bbPlcHdr"/>
        </w:types>
        <w:behaviors>
          <w:behavior w:val="content"/>
        </w:behaviors>
        <w:guid w:val="{6C77AB5C-ECC0-4D60-A67F-6AD967820BB4}"/>
      </w:docPartPr>
      <w:docPartBody>
        <w:p w:rsidR="00563F12" w:rsidRDefault="00563F12">
          <w:pPr>
            <w:pStyle w:val="04F9F8DE95DD4AC7BFDBBE843992524D"/>
          </w:pPr>
          <w:r w:rsidRPr="000C7A65">
            <w:rPr>
              <w:rStyle w:val="PlaceholderText"/>
            </w:rPr>
            <w:t>[Title]</w:t>
          </w:r>
        </w:p>
      </w:docPartBody>
    </w:docPart>
    <w:docPart>
      <w:docPartPr>
        <w:name w:val="AE65F6C604D9466EB1C2AF56AFC25806"/>
        <w:category>
          <w:name w:val="General"/>
          <w:gallery w:val="placeholder"/>
        </w:category>
        <w:types>
          <w:type w:val="bbPlcHdr"/>
        </w:types>
        <w:behaviors>
          <w:behavior w:val="content"/>
        </w:behaviors>
        <w:guid w:val="{E241862F-0A4E-4D20-936D-F1945833CC59}"/>
      </w:docPartPr>
      <w:docPartBody>
        <w:p w:rsidR="00563F12" w:rsidRDefault="00563F12">
          <w:pPr>
            <w:pStyle w:val="AE65F6C604D9466EB1C2AF56AFC25806"/>
          </w:pPr>
          <w:r w:rsidRPr="00741874">
            <w:rPr>
              <w:rStyle w:val="PlaceholderText"/>
            </w:rPr>
            <w:t>[Title]</w:t>
          </w:r>
        </w:p>
      </w:docPartBody>
    </w:docPart>
    <w:docPart>
      <w:docPartPr>
        <w:name w:val="4427FB8FBD1F4414950C73570F595825"/>
        <w:category>
          <w:name w:val="General"/>
          <w:gallery w:val="placeholder"/>
        </w:category>
        <w:types>
          <w:type w:val="bbPlcHdr"/>
        </w:types>
        <w:behaviors>
          <w:behavior w:val="content"/>
        </w:behaviors>
        <w:guid w:val="{52BFF79E-2255-4AAD-818F-391EE8D4B766}"/>
      </w:docPartPr>
      <w:docPartBody>
        <w:p w:rsidR="00563F12" w:rsidRDefault="00563F12">
          <w:pPr>
            <w:pStyle w:val="4427FB8FBD1F4414950C73570F595825"/>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12"/>
    <w:rsid w:val="00087B8C"/>
    <w:rsid w:val="000A304C"/>
    <w:rsid w:val="000D7BEB"/>
    <w:rsid w:val="000F006A"/>
    <w:rsid w:val="0015198B"/>
    <w:rsid w:val="00182790"/>
    <w:rsid w:val="001A50BB"/>
    <w:rsid w:val="001B019B"/>
    <w:rsid w:val="00220C43"/>
    <w:rsid w:val="002311E9"/>
    <w:rsid w:val="00234396"/>
    <w:rsid w:val="00246B14"/>
    <w:rsid w:val="00277C01"/>
    <w:rsid w:val="002E7497"/>
    <w:rsid w:val="002F28D7"/>
    <w:rsid w:val="00307A65"/>
    <w:rsid w:val="00334606"/>
    <w:rsid w:val="00357591"/>
    <w:rsid w:val="003B3F24"/>
    <w:rsid w:val="003D47CD"/>
    <w:rsid w:val="003E6461"/>
    <w:rsid w:val="00451226"/>
    <w:rsid w:val="004A525B"/>
    <w:rsid w:val="00562482"/>
    <w:rsid w:val="00563F12"/>
    <w:rsid w:val="00583AC9"/>
    <w:rsid w:val="005B4A14"/>
    <w:rsid w:val="005E6302"/>
    <w:rsid w:val="005F7CA3"/>
    <w:rsid w:val="00600BB2"/>
    <w:rsid w:val="00667A97"/>
    <w:rsid w:val="00677E69"/>
    <w:rsid w:val="006E7DE8"/>
    <w:rsid w:val="007312B3"/>
    <w:rsid w:val="007B197D"/>
    <w:rsid w:val="008004AC"/>
    <w:rsid w:val="00820A4F"/>
    <w:rsid w:val="00822D83"/>
    <w:rsid w:val="00830FAE"/>
    <w:rsid w:val="00840A5E"/>
    <w:rsid w:val="00851D84"/>
    <w:rsid w:val="00874F03"/>
    <w:rsid w:val="00896EF2"/>
    <w:rsid w:val="008A14BB"/>
    <w:rsid w:val="008C2EAA"/>
    <w:rsid w:val="008F0BBF"/>
    <w:rsid w:val="009C05F8"/>
    <w:rsid w:val="00A26695"/>
    <w:rsid w:val="00A3618E"/>
    <w:rsid w:val="00AA4C7F"/>
    <w:rsid w:val="00AB3A63"/>
    <w:rsid w:val="00AD0549"/>
    <w:rsid w:val="00B37906"/>
    <w:rsid w:val="00BC10B3"/>
    <w:rsid w:val="00BD701D"/>
    <w:rsid w:val="00BE6D1F"/>
    <w:rsid w:val="00C03207"/>
    <w:rsid w:val="00C166A0"/>
    <w:rsid w:val="00C337FF"/>
    <w:rsid w:val="00C44CE4"/>
    <w:rsid w:val="00C6262E"/>
    <w:rsid w:val="00CC0BA2"/>
    <w:rsid w:val="00D05F2C"/>
    <w:rsid w:val="00D3534E"/>
    <w:rsid w:val="00D41CE2"/>
    <w:rsid w:val="00D4378B"/>
    <w:rsid w:val="00DD26CA"/>
    <w:rsid w:val="00E05916"/>
    <w:rsid w:val="00E20983"/>
    <w:rsid w:val="00E9175A"/>
    <w:rsid w:val="00E96432"/>
    <w:rsid w:val="00EC1D0B"/>
    <w:rsid w:val="00F3732D"/>
    <w:rsid w:val="00F47BED"/>
    <w:rsid w:val="00FA3E04"/>
    <w:rsid w:val="00FC5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F9F8DE95DD4AC7BFDBBE843992524D">
    <w:name w:val="04F9F8DE95DD4AC7BFDBBE843992524D"/>
  </w:style>
  <w:style w:type="paragraph" w:customStyle="1" w:styleId="AE65F6C604D9466EB1C2AF56AFC25806">
    <w:name w:val="AE65F6C604D9466EB1C2AF56AFC25806"/>
  </w:style>
  <w:style w:type="paragraph" w:customStyle="1" w:styleId="4427FB8FBD1F4414950C73570F595825">
    <w:name w:val="4427FB8FBD1F4414950C73570F595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AE9BE9-1910-4DE8-91A3-C7C0619C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Guidance document: Accounting for grants and subsidies expenses</vt:lpstr>
    </vt:vector>
  </TitlesOfParts>
  <Company>TREASURY AND FINANCE</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Accounting for grants and subsidies expenses</dc:title>
  <dc:creator>Northern Territory Government</dc:creator>
  <cp:lastModifiedBy>Marlene Woods</cp:lastModifiedBy>
  <cp:revision>3</cp:revision>
  <cp:lastPrinted>2025-05-01T00:35:00Z</cp:lastPrinted>
  <dcterms:created xsi:type="dcterms:W3CDTF">2025-08-29T02:37:00Z</dcterms:created>
  <dcterms:modified xsi:type="dcterms:W3CDTF">2025-09-01T22:39:00Z</dcterms:modified>
</cp:coreProperties>
</file>