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54A0D1BAA44D491D867B4972AD6582D6"/>
        </w:placeholder>
        <w:dataBinding w:prefixMappings="xmlns:ns0='http://purl.org/dc/elements/1.1/' xmlns:ns1='http://schemas.openxmlformats.org/package/2006/metadata/core-properties' " w:xpath="/ns1:coreProperties[1]/ns0:title[1]" w:storeItemID="{6C3C8BC8-F283-45AE-878A-BAB7291924A1}"/>
        <w:text/>
      </w:sdtPr>
      <w:sdtEndPr/>
      <w:sdtContent>
        <w:p w14:paraId="3A6854FF" w14:textId="77777777" w:rsidR="00806800" w:rsidRPr="006D3B70" w:rsidRDefault="007B1D83" w:rsidP="00806800">
          <w:pPr>
            <w:pStyle w:val="NTGCoverPageTitle"/>
            <w:rPr>
              <w:lang w:val="en-AU"/>
            </w:rPr>
          </w:pPr>
          <w:r>
            <w:rPr>
              <w:lang w:val="en-AU"/>
            </w:rPr>
            <w:t>Guidance document – Commonwealth funding agreements</w:t>
          </w:r>
        </w:p>
      </w:sdtContent>
    </w:sdt>
    <w:p w14:paraId="4F919107" w14:textId="1414FF4E" w:rsidR="00705033" w:rsidRPr="006D3B70" w:rsidRDefault="005C11ED" w:rsidP="00027D9F">
      <w:pPr>
        <w:pStyle w:val="NTGCoverPageDate"/>
      </w:pPr>
      <w:r>
        <w:fldChar w:fldCharType="begin"/>
      </w:r>
      <w:r>
        <w:instrText xml:space="preserve"> DOCPROPERTY  DocumentDate  \* MERGEFORMAT </w:instrText>
      </w:r>
      <w:r>
        <w:fldChar w:fldCharType="separate"/>
      </w:r>
      <w:r w:rsidR="0090565E">
        <w:t>7 December 2018</w:t>
      </w:r>
      <w:r>
        <w:fldChar w:fldCharType="end"/>
      </w:r>
    </w:p>
    <w:p w14:paraId="1E75A3F2" w14:textId="169EB511" w:rsidR="00420C06" w:rsidRPr="006D3B70" w:rsidRDefault="005D269A" w:rsidP="005D269A">
      <w:pPr>
        <w:pStyle w:val="NTGCoverPageVersion"/>
        <w:rPr>
          <w:rFonts w:eastAsiaTheme="majorEastAsia"/>
        </w:rPr>
      </w:pPr>
      <w:r w:rsidRPr="006D3B70">
        <w:rPr>
          <w:rFonts w:eastAsiaTheme="majorEastAsia"/>
        </w:rPr>
        <w:t>Version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90565E">
        <w:rPr>
          <w:rFonts w:eastAsiaTheme="majorEastAsia"/>
        </w:rPr>
        <w:t>1.0</w:t>
      </w:r>
      <w:r w:rsidRPr="006D3B70">
        <w:rPr>
          <w:rFonts w:eastAsiaTheme="majorEastAsia"/>
        </w:rPr>
        <w:fldChar w:fldCharType="end"/>
      </w:r>
    </w:p>
    <w:p w14:paraId="221F2BB2" w14:textId="77777777" w:rsidR="005D269A" w:rsidRPr="006D3B70" w:rsidRDefault="005D269A" w:rsidP="00420C06">
      <w:pPr>
        <w:rPr>
          <w:rFonts w:eastAsiaTheme="majorEastAsia"/>
        </w:rPr>
      </w:pPr>
    </w:p>
    <w:p w14:paraId="20DC08A8" w14:textId="77777777"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6621DD" w:rsidRPr="006D3B70" w14:paraId="52B7FC41" w14:textId="77777777" w:rsidTr="005F76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gridSpan w:val="2"/>
          </w:tcPr>
          <w:p w14:paraId="3444E954" w14:textId="77777777" w:rsidR="006A769B" w:rsidRPr="006D3B70" w:rsidRDefault="006A769B" w:rsidP="005F764E">
            <w:pPr>
              <w:rPr>
                <w:bCs/>
              </w:rPr>
            </w:pPr>
            <w:r w:rsidRPr="006D3B70">
              <w:rPr>
                <w:bCs/>
              </w:rPr>
              <w:lastRenderedPageBreak/>
              <w:t>Document details</w:t>
            </w:r>
          </w:p>
        </w:tc>
      </w:tr>
      <w:tr w:rsidR="00A24C50" w:rsidRPr="006D3B70" w14:paraId="5198CA9A"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7755210D" w14:textId="77777777" w:rsidR="00A24C50" w:rsidRPr="006D3B70" w:rsidRDefault="00A24C50" w:rsidP="000A7EFB">
            <w:pPr>
              <w:spacing w:before="40"/>
              <w:rPr>
                <w:b/>
                <w:bCs/>
              </w:rPr>
            </w:pPr>
            <w:r w:rsidRPr="006D3B70">
              <w:rPr>
                <w:b/>
                <w:bCs/>
              </w:rPr>
              <w:t>Document title</w:t>
            </w:r>
          </w:p>
        </w:tc>
        <w:tc>
          <w:tcPr>
            <w:tcW w:w="7263" w:type="dxa"/>
          </w:tcPr>
          <w:p w14:paraId="17E1EEF4" w14:textId="4E5A9E77" w:rsidR="00A24C50" w:rsidRPr="006D3B70" w:rsidRDefault="00FB5006" w:rsidP="000A7EFB">
            <w:pPr>
              <w:spacing w:before="40"/>
              <w:cnfStyle w:val="000000000000" w:firstRow="0" w:lastRow="0" w:firstColumn="0" w:lastColumn="0" w:oddVBand="0" w:evenVBand="0" w:oddHBand="0" w:evenHBand="0" w:firstRowFirstColumn="0" w:firstRowLastColumn="0" w:lastRowFirstColumn="0" w:lastRowLastColumn="0"/>
              <w:rPr>
                <w:bCs/>
              </w:rPr>
            </w:pPr>
            <w:r w:rsidRPr="006D3B70">
              <w:rPr>
                <w:bCs/>
              </w:rPr>
              <w:fldChar w:fldCharType="begin"/>
            </w:r>
            <w:r w:rsidRPr="006D3B70">
              <w:rPr>
                <w:bCs/>
              </w:rPr>
              <w:instrText xml:space="preserve"> TITLE  </w:instrText>
            </w:r>
            <w:r w:rsidRPr="006D3B70">
              <w:rPr>
                <w:bCs/>
              </w:rPr>
              <w:fldChar w:fldCharType="separate"/>
            </w:r>
            <w:r w:rsidR="0090565E">
              <w:rPr>
                <w:bCs/>
              </w:rPr>
              <w:t>Guidance document – Commonwealth funding agreements</w:t>
            </w:r>
            <w:r w:rsidRPr="006D3B70">
              <w:rPr>
                <w:bCs/>
              </w:rPr>
              <w:fldChar w:fldCharType="end"/>
            </w:r>
          </w:p>
        </w:tc>
      </w:tr>
      <w:tr w:rsidR="00A24C50" w:rsidRPr="006D3B70" w14:paraId="54FA3416"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6DA1461E" w14:textId="77777777" w:rsidR="00A24C50" w:rsidRPr="006D3B70" w:rsidRDefault="00A24C50" w:rsidP="000A7EFB">
            <w:pPr>
              <w:spacing w:before="40"/>
              <w:rPr>
                <w:b/>
                <w:bCs/>
              </w:rPr>
            </w:pPr>
            <w:r w:rsidRPr="006D3B70">
              <w:rPr>
                <w:b/>
                <w:bCs/>
              </w:rPr>
              <w:t>Contact details</w:t>
            </w:r>
          </w:p>
        </w:tc>
        <w:tc>
          <w:tcPr>
            <w:tcW w:w="7263" w:type="dxa"/>
          </w:tcPr>
          <w:p w14:paraId="3FA5570C" w14:textId="77777777" w:rsidR="004205FB" w:rsidRDefault="004205FB" w:rsidP="000A7EFB">
            <w:pPr>
              <w:pStyle w:val="NTGTableBulletList1"/>
              <w:numPr>
                <w:ilvl w:val="0"/>
                <w:numId w:val="47"/>
              </w:numPr>
              <w:spacing w:before="40" w:after="40"/>
              <w:cnfStyle w:val="000000000000" w:firstRow="0" w:lastRow="0" w:firstColumn="0" w:lastColumn="0" w:oddVBand="0" w:evenVBand="0" w:oddHBand="0" w:evenHBand="0" w:firstRowFirstColumn="0" w:firstRowLastColumn="0" w:lastRowFirstColumn="0" w:lastRowLastColumn="0"/>
            </w:pPr>
            <w:r w:rsidRPr="00A345DB">
              <w:rPr>
                <w:b/>
              </w:rPr>
              <w:t>Intergovernmental Relations</w:t>
            </w:r>
          </w:p>
          <w:p w14:paraId="4509325D" w14:textId="77777777" w:rsidR="004205FB" w:rsidRDefault="004205FB" w:rsidP="000A7EFB">
            <w:pPr>
              <w:pStyle w:val="NTGTableBulletList1"/>
              <w:numPr>
                <w:ilvl w:val="0"/>
                <w:numId w:val="0"/>
              </w:numPr>
              <w:spacing w:before="40" w:after="40"/>
              <w:ind w:left="284"/>
              <w:cnfStyle w:val="000000000000" w:firstRow="0" w:lastRow="0" w:firstColumn="0" w:lastColumn="0" w:oddVBand="0" w:evenVBand="0" w:oddHBand="0" w:evenHBand="0" w:firstRowFirstColumn="0" w:firstRowLastColumn="0" w:lastRowFirstColumn="0" w:lastRowLastColumn="0"/>
            </w:pPr>
            <w:r>
              <w:t>Department of Treasury and Finance</w:t>
            </w:r>
          </w:p>
          <w:p w14:paraId="0CDDECCF" w14:textId="77777777" w:rsidR="004205FB" w:rsidRDefault="005C11ED" w:rsidP="000A7EFB">
            <w:pPr>
              <w:pStyle w:val="NTGTableBulletList1"/>
              <w:numPr>
                <w:ilvl w:val="0"/>
                <w:numId w:val="0"/>
              </w:numPr>
              <w:spacing w:before="40" w:after="40"/>
              <w:ind w:left="284"/>
              <w:cnfStyle w:val="000000000000" w:firstRow="0" w:lastRow="0" w:firstColumn="0" w:lastColumn="0" w:oddVBand="0" w:evenVBand="0" w:oddHBand="0" w:evenHBand="0" w:firstRowFirstColumn="0" w:firstRowLastColumn="0" w:lastRowFirstColumn="0" w:lastRowLastColumn="0"/>
            </w:pPr>
            <w:hyperlink r:id="rId12" w:history="1">
              <w:r w:rsidR="004205FB" w:rsidRPr="00E4331D">
                <w:rPr>
                  <w:rStyle w:val="Hyperlink"/>
                </w:rPr>
                <w:t>dtf.intergovrelations@nt.gov.au</w:t>
              </w:r>
            </w:hyperlink>
          </w:p>
          <w:p w14:paraId="38D27E91" w14:textId="77777777" w:rsidR="004205FB" w:rsidRPr="00A345DB" w:rsidRDefault="004205FB" w:rsidP="000A7EFB">
            <w:pPr>
              <w:pStyle w:val="NTGTableBulletList1"/>
              <w:numPr>
                <w:ilvl w:val="0"/>
                <w:numId w:val="47"/>
              </w:numPr>
              <w:spacing w:before="40" w:after="40"/>
              <w:cnfStyle w:val="000000000000" w:firstRow="0" w:lastRow="0" w:firstColumn="0" w:lastColumn="0" w:oddVBand="0" w:evenVBand="0" w:oddHBand="0" w:evenHBand="0" w:firstRowFirstColumn="0" w:firstRowLastColumn="0" w:lastRowFirstColumn="0" w:lastRowLastColumn="0"/>
              <w:rPr>
                <w:b/>
              </w:rPr>
            </w:pPr>
            <w:r w:rsidRPr="00A345DB">
              <w:rPr>
                <w:b/>
              </w:rPr>
              <w:t>Federal Policy</w:t>
            </w:r>
            <w:r>
              <w:rPr>
                <w:b/>
              </w:rPr>
              <w:t xml:space="preserve"> and Strategic Coordination</w:t>
            </w:r>
            <w:r w:rsidRPr="00A345DB">
              <w:rPr>
                <w:b/>
              </w:rPr>
              <w:t xml:space="preserve"> Unit</w:t>
            </w:r>
            <w:r>
              <w:rPr>
                <w:b/>
              </w:rPr>
              <w:t xml:space="preserve"> </w:t>
            </w:r>
          </w:p>
          <w:p w14:paraId="12A40F4C" w14:textId="77777777" w:rsidR="00DD5446" w:rsidRDefault="004205FB" w:rsidP="000A7EFB">
            <w:pPr>
              <w:pStyle w:val="NTGTableBulletList1"/>
              <w:numPr>
                <w:ilvl w:val="0"/>
                <w:numId w:val="0"/>
              </w:numPr>
              <w:spacing w:before="40" w:after="40"/>
              <w:ind w:left="284"/>
              <w:cnfStyle w:val="000000000000" w:firstRow="0" w:lastRow="0" w:firstColumn="0" w:lastColumn="0" w:oddVBand="0" w:evenVBand="0" w:oddHBand="0" w:evenHBand="0" w:firstRowFirstColumn="0" w:firstRowLastColumn="0" w:lastRowFirstColumn="0" w:lastRowLastColumn="0"/>
            </w:pPr>
            <w:r>
              <w:t>Department of the Chief Minister</w:t>
            </w:r>
          </w:p>
          <w:p w14:paraId="05E2483E" w14:textId="3AEB9FAA" w:rsidR="00E5369B" w:rsidRPr="00DD5446" w:rsidRDefault="005C11ED" w:rsidP="000A7EFB">
            <w:pPr>
              <w:pStyle w:val="NTGTableBulletList1"/>
              <w:numPr>
                <w:ilvl w:val="0"/>
                <w:numId w:val="0"/>
              </w:numPr>
              <w:spacing w:before="40" w:after="40"/>
              <w:ind w:left="284"/>
              <w:cnfStyle w:val="000000000000" w:firstRow="0" w:lastRow="0" w:firstColumn="0" w:lastColumn="0" w:oddVBand="0" w:evenVBand="0" w:oddHBand="0" w:evenHBand="0" w:firstRowFirstColumn="0" w:firstRowLastColumn="0" w:lastRowFirstColumn="0" w:lastRowLastColumn="0"/>
            </w:pPr>
            <w:hyperlink r:id="rId13" w:history="1">
              <w:r w:rsidR="004205FB" w:rsidRPr="00E4331D">
                <w:rPr>
                  <w:rStyle w:val="Hyperlink"/>
                </w:rPr>
                <w:t>coagnt.dcm@nt.gov.au</w:t>
              </w:r>
            </w:hyperlink>
          </w:p>
        </w:tc>
      </w:tr>
      <w:tr w:rsidR="00A24C50" w:rsidRPr="006D3B70" w14:paraId="43F57E12"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1DAD075C" w14:textId="77777777" w:rsidR="00A24C50" w:rsidRPr="006D3B70" w:rsidRDefault="00A24C50" w:rsidP="000A7EFB">
            <w:pPr>
              <w:spacing w:before="40"/>
              <w:rPr>
                <w:b/>
                <w:bCs/>
              </w:rPr>
            </w:pPr>
            <w:r w:rsidRPr="006D3B70">
              <w:rPr>
                <w:b/>
                <w:bCs/>
              </w:rPr>
              <w:t>Date and version</w:t>
            </w:r>
          </w:p>
        </w:tc>
        <w:tc>
          <w:tcPr>
            <w:tcW w:w="7263" w:type="dxa"/>
          </w:tcPr>
          <w:p w14:paraId="12002652" w14:textId="082C32D1" w:rsidR="00A24C50" w:rsidRPr="006D3B70" w:rsidRDefault="00B27A5C" w:rsidP="000A7EFB">
            <w:pPr>
              <w:spacing w:before="40"/>
              <w:cnfStyle w:val="000000000000" w:firstRow="0" w:lastRow="0" w:firstColumn="0" w:lastColumn="0" w:oddVBand="0" w:evenVBand="0" w:oddHBand="0" w:evenHBand="0" w:firstRowFirstColumn="0" w:firstRowLastColumn="0" w:lastRowFirstColumn="0" w:lastRowLastColumn="0"/>
              <w:rPr>
                <w:bCs/>
              </w:rPr>
            </w:pPr>
            <w:r w:rsidRPr="006D3B70">
              <w:rPr>
                <w:bCs/>
              </w:rPr>
              <w:fldChar w:fldCharType="begin"/>
            </w:r>
            <w:r w:rsidRPr="006D3B70">
              <w:rPr>
                <w:bCs/>
              </w:rPr>
              <w:instrText xml:space="preserve"> DOCPROPERTY  DocumentDate  \* MERGEFORMAT </w:instrText>
            </w:r>
            <w:r w:rsidRPr="006D3B70">
              <w:rPr>
                <w:bCs/>
              </w:rPr>
              <w:fldChar w:fldCharType="separate"/>
            </w:r>
            <w:r w:rsidR="0090565E">
              <w:rPr>
                <w:bCs/>
              </w:rPr>
              <w:t>7 December 2018</w:t>
            </w:r>
            <w:r w:rsidRPr="006D3B70">
              <w:rPr>
                <w:bCs/>
              </w:rPr>
              <w:fldChar w:fldCharType="end"/>
            </w:r>
          </w:p>
          <w:p w14:paraId="2ACADFB9" w14:textId="5B3EE20E" w:rsidR="00A24C50" w:rsidRPr="006D3B70" w:rsidRDefault="001D705C" w:rsidP="000A7EFB">
            <w:pPr>
              <w:spacing w:before="40"/>
              <w:cnfStyle w:val="000000000000" w:firstRow="0" w:lastRow="0" w:firstColumn="0" w:lastColumn="0" w:oddVBand="0" w:evenVBand="0" w:oddHBand="0" w:evenHBand="0" w:firstRowFirstColumn="0" w:firstRowLastColumn="0" w:lastRowFirstColumn="0" w:lastRowLastColumn="0"/>
              <w:rPr>
                <w:bCs/>
              </w:rPr>
            </w:pPr>
            <w:r w:rsidRPr="006D3B70">
              <w:rPr>
                <w:bCs/>
              </w:rPr>
              <w:t>Version </w:t>
            </w:r>
            <w:r w:rsidR="00517D7A" w:rsidRPr="006D3B70">
              <w:rPr>
                <w:bCs/>
              </w:rPr>
              <w:fldChar w:fldCharType="begin"/>
            </w:r>
            <w:r w:rsidR="00517D7A" w:rsidRPr="006D3B70">
              <w:rPr>
                <w:bCs/>
              </w:rPr>
              <w:instrText xml:space="preserve"> DOCPROPERTY  VersionNo  \* MERGEFORMAT </w:instrText>
            </w:r>
            <w:r w:rsidR="00517D7A" w:rsidRPr="006D3B70">
              <w:rPr>
                <w:bCs/>
              </w:rPr>
              <w:fldChar w:fldCharType="separate"/>
            </w:r>
            <w:r w:rsidR="0090565E">
              <w:rPr>
                <w:bCs/>
              </w:rPr>
              <w:t>1.0</w:t>
            </w:r>
            <w:r w:rsidR="00517D7A" w:rsidRPr="006D3B70">
              <w:rPr>
                <w:bCs/>
              </w:rPr>
              <w:fldChar w:fldCharType="end"/>
            </w:r>
          </w:p>
        </w:tc>
      </w:tr>
      <w:tr w:rsidR="006A769B" w:rsidRPr="006D3B70" w14:paraId="23B248F4"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3BF2456B" w14:textId="77777777" w:rsidR="006A769B" w:rsidRPr="006D3B70" w:rsidRDefault="006A769B" w:rsidP="000A7EFB">
            <w:pPr>
              <w:spacing w:before="40"/>
              <w:rPr>
                <w:b/>
                <w:bCs/>
              </w:rPr>
            </w:pPr>
            <w:r w:rsidRPr="006D3B70">
              <w:rPr>
                <w:b/>
                <w:bCs/>
              </w:rPr>
              <w:t>Approved by</w:t>
            </w:r>
          </w:p>
        </w:tc>
        <w:tc>
          <w:tcPr>
            <w:tcW w:w="7263" w:type="dxa"/>
          </w:tcPr>
          <w:p w14:paraId="585DDB48" w14:textId="057D0187" w:rsidR="007D7E7C" w:rsidRPr="006D3B70" w:rsidRDefault="004205FB" w:rsidP="000A7EFB">
            <w:pPr>
              <w:spacing w:before="40"/>
              <w:cnfStyle w:val="000000000000" w:firstRow="0" w:lastRow="0" w:firstColumn="0" w:lastColumn="0" w:oddVBand="0" w:evenVBand="0" w:oddHBand="0" w:evenHBand="0" w:firstRowFirstColumn="0" w:firstRowLastColumn="0" w:lastRowFirstColumn="0" w:lastRowLastColumn="0"/>
              <w:rPr>
                <w:bCs/>
              </w:rPr>
            </w:pPr>
            <w:r>
              <w:rPr>
                <w:bCs/>
              </w:rPr>
              <w:t xml:space="preserve">Under Treasurer </w:t>
            </w:r>
          </w:p>
        </w:tc>
      </w:tr>
      <w:tr w:rsidR="006A769B" w:rsidRPr="006D3B70" w14:paraId="03043DFF"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09A56C6B" w14:textId="77777777" w:rsidR="006A769B" w:rsidRPr="006D3B70" w:rsidRDefault="006A769B" w:rsidP="000A7EFB">
            <w:pPr>
              <w:spacing w:before="40"/>
              <w:rPr>
                <w:b/>
                <w:bCs/>
              </w:rPr>
            </w:pPr>
            <w:r w:rsidRPr="006D3B70">
              <w:rPr>
                <w:b/>
                <w:bCs/>
              </w:rPr>
              <w:t>Date approved</w:t>
            </w:r>
          </w:p>
        </w:tc>
        <w:tc>
          <w:tcPr>
            <w:tcW w:w="7263" w:type="dxa"/>
          </w:tcPr>
          <w:p w14:paraId="2A3D0C0E" w14:textId="06A34104" w:rsidR="006A769B" w:rsidRPr="006D3B70" w:rsidRDefault="00DD5446" w:rsidP="000A7EFB">
            <w:pPr>
              <w:spacing w:before="40"/>
              <w:cnfStyle w:val="000000000000" w:firstRow="0" w:lastRow="0" w:firstColumn="0" w:lastColumn="0" w:oddVBand="0" w:evenVBand="0" w:oddHBand="0" w:evenHBand="0" w:firstRowFirstColumn="0" w:firstRowLastColumn="0" w:lastRowFirstColumn="0" w:lastRowLastColumn="0"/>
              <w:rPr>
                <w:bCs/>
              </w:rPr>
            </w:pPr>
            <w:r>
              <w:rPr>
                <w:bCs/>
              </w:rPr>
              <w:t>7 December </w:t>
            </w:r>
            <w:r w:rsidR="004205FB">
              <w:rPr>
                <w:bCs/>
              </w:rPr>
              <w:t>2018</w:t>
            </w:r>
          </w:p>
        </w:tc>
      </w:tr>
      <w:tr w:rsidR="006A769B" w:rsidRPr="006D3B70" w14:paraId="02E43769"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54CB08FF" w14:textId="34BE513A" w:rsidR="006A769B" w:rsidRPr="006D3B70" w:rsidRDefault="006A769B" w:rsidP="000A7EFB">
            <w:pPr>
              <w:spacing w:before="40"/>
              <w:rPr>
                <w:b/>
                <w:bCs/>
              </w:rPr>
            </w:pPr>
            <w:r w:rsidRPr="006D3B70">
              <w:rPr>
                <w:b/>
                <w:bCs/>
              </w:rPr>
              <w:t>Document review</w:t>
            </w:r>
          </w:p>
        </w:tc>
        <w:tc>
          <w:tcPr>
            <w:tcW w:w="7263" w:type="dxa"/>
          </w:tcPr>
          <w:p w14:paraId="0C2502AC" w14:textId="0793BA58" w:rsidR="006A769B" w:rsidRPr="006D3B70" w:rsidRDefault="00363465" w:rsidP="000A7EFB">
            <w:pPr>
              <w:spacing w:before="40"/>
              <w:cnfStyle w:val="000000000000" w:firstRow="0" w:lastRow="0" w:firstColumn="0" w:lastColumn="0" w:oddVBand="0" w:evenVBand="0" w:oddHBand="0" w:evenHBand="0" w:firstRowFirstColumn="0" w:firstRowLastColumn="0" w:lastRowFirstColumn="0" w:lastRowLastColumn="0"/>
              <w:rPr>
                <w:bCs/>
              </w:rPr>
            </w:pPr>
            <w:r>
              <w:rPr>
                <w:bCs/>
              </w:rPr>
              <w:t>Every two years</w:t>
            </w:r>
          </w:p>
        </w:tc>
      </w:tr>
    </w:tbl>
    <w:p w14:paraId="082E7018" w14:textId="77777777" w:rsidR="006A769B" w:rsidRPr="006D3B70"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089"/>
        <w:gridCol w:w="2112"/>
        <w:gridCol w:w="2476"/>
        <w:gridCol w:w="3951"/>
      </w:tblGrid>
      <w:tr w:rsidR="006621DD" w:rsidRPr="006D3B70" w14:paraId="20B2EFBA" w14:textId="77777777" w:rsidTr="006D47EC">
        <w:trPr>
          <w:cnfStyle w:val="100000000000" w:firstRow="1" w:lastRow="0" w:firstColumn="0" w:lastColumn="0" w:oddVBand="0" w:evenVBand="0" w:oddHBand="0" w:evenHBand="0" w:firstRowFirstColumn="0" w:firstRowLastColumn="0" w:lastRowFirstColumn="0" w:lastRowLastColumn="0"/>
          <w:tblHeader/>
        </w:trPr>
        <w:tc>
          <w:tcPr>
            <w:tcW w:w="9639" w:type="dxa"/>
            <w:gridSpan w:val="4"/>
          </w:tcPr>
          <w:p w14:paraId="788EFDFE" w14:textId="77777777" w:rsidR="006A769B" w:rsidRPr="006D3B70" w:rsidRDefault="006A769B" w:rsidP="005F764E">
            <w:pPr>
              <w:rPr>
                <w:b w:val="0"/>
              </w:rPr>
            </w:pPr>
            <w:r w:rsidRPr="006D3B70">
              <w:t>Change history</w:t>
            </w:r>
          </w:p>
        </w:tc>
      </w:tr>
      <w:tr w:rsidR="006A769B" w:rsidRPr="006D3B70" w14:paraId="14584782" w14:textId="77777777" w:rsidTr="006D47EC">
        <w:trPr>
          <w:cnfStyle w:val="100000000000" w:firstRow="1" w:lastRow="0" w:firstColumn="0" w:lastColumn="0" w:oddVBand="0" w:evenVBand="0" w:oddHBand="0" w:evenHBand="0" w:firstRowFirstColumn="0" w:firstRowLastColumn="0" w:lastRowFirstColumn="0" w:lastRowLastColumn="0"/>
          <w:tblHeader/>
        </w:trPr>
        <w:tc>
          <w:tcPr>
            <w:tcW w:w="1090" w:type="dxa"/>
          </w:tcPr>
          <w:p w14:paraId="0BA383DF" w14:textId="77777777" w:rsidR="006A769B" w:rsidRPr="006D3B70" w:rsidRDefault="006A769B" w:rsidP="005F764E">
            <w:pPr>
              <w:rPr>
                <w:b w:val="0"/>
              </w:rPr>
            </w:pPr>
            <w:r w:rsidRPr="006D3B70">
              <w:t>Version</w:t>
            </w:r>
          </w:p>
        </w:tc>
        <w:tc>
          <w:tcPr>
            <w:tcW w:w="2112" w:type="dxa"/>
          </w:tcPr>
          <w:p w14:paraId="1B06B890" w14:textId="77777777" w:rsidR="006A769B" w:rsidRPr="006D3B70" w:rsidRDefault="006A769B" w:rsidP="005F764E">
            <w:pPr>
              <w:rPr>
                <w:b w:val="0"/>
              </w:rPr>
            </w:pPr>
            <w:r w:rsidRPr="006D3B70">
              <w:t>Date</w:t>
            </w:r>
          </w:p>
        </w:tc>
        <w:tc>
          <w:tcPr>
            <w:tcW w:w="2479" w:type="dxa"/>
          </w:tcPr>
          <w:p w14:paraId="6BE328C7" w14:textId="77777777" w:rsidR="006A769B" w:rsidRPr="006D3B70" w:rsidRDefault="006A769B" w:rsidP="005F764E">
            <w:pPr>
              <w:rPr>
                <w:b w:val="0"/>
              </w:rPr>
            </w:pPr>
            <w:r w:rsidRPr="006D3B70">
              <w:t>Author</w:t>
            </w:r>
          </w:p>
        </w:tc>
        <w:tc>
          <w:tcPr>
            <w:tcW w:w="3958" w:type="dxa"/>
          </w:tcPr>
          <w:p w14:paraId="04A04A8A" w14:textId="77777777" w:rsidR="006A769B" w:rsidRPr="006D3B70" w:rsidRDefault="006A769B" w:rsidP="005F764E">
            <w:pPr>
              <w:rPr>
                <w:b w:val="0"/>
              </w:rPr>
            </w:pPr>
            <w:r w:rsidRPr="006D3B70">
              <w:t>Change details</w:t>
            </w:r>
          </w:p>
        </w:tc>
      </w:tr>
      <w:tr w:rsidR="006A769B" w:rsidRPr="006D3B70" w14:paraId="4986B390" w14:textId="77777777" w:rsidTr="007766EF">
        <w:tc>
          <w:tcPr>
            <w:tcW w:w="1090" w:type="dxa"/>
          </w:tcPr>
          <w:p w14:paraId="19BC029F" w14:textId="77777777" w:rsidR="006A769B" w:rsidRPr="006D3B70" w:rsidRDefault="005C11ED" w:rsidP="005F764E">
            <w:r>
              <w:fldChar w:fldCharType="begin"/>
            </w:r>
            <w:r>
              <w:instrText xml:space="preserve"> DOCPROPERTY  VersionNo  \* MERGEFORMAT </w:instrText>
            </w:r>
            <w:r>
              <w:fldChar w:fldCharType="separate"/>
            </w:r>
            <w:r w:rsidR="0090565E">
              <w:t>1.0</w:t>
            </w:r>
            <w:r>
              <w:fldChar w:fldCharType="end"/>
            </w:r>
          </w:p>
        </w:tc>
        <w:tc>
          <w:tcPr>
            <w:tcW w:w="2112" w:type="dxa"/>
          </w:tcPr>
          <w:p w14:paraId="5CBD50AC" w14:textId="1673238E" w:rsidR="006A769B" w:rsidRPr="006D3B70" w:rsidRDefault="005C11ED" w:rsidP="005F764E">
            <w:r>
              <w:fldChar w:fldCharType="begin"/>
            </w:r>
            <w:r>
              <w:instrText xml:space="preserve"> DOCPROPERTY  DocumentDate  \* MERGEFORMAT </w:instrText>
            </w:r>
            <w:r>
              <w:fldChar w:fldCharType="separate"/>
            </w:r>
            <w:r w:rsidR="0090565E">
              <w:t>7 December 2018</w:t>
            </w:r>
            <w:r>
              <w:fldChar w:fldCharType="end"/>
            </w:r>
          </w:p>
        </w:tc>
        <w:tc>
          <w:tcPr>
            <w:tcW w:w="2479" w:type="dxa"/>
          </w:tcPr>
          <w:p w14:paraId="65CCB830" w14:textId="77777777" w:rsidR="006A769B" w:rsidRPr="006D3B70" w:rsidRDefault="005C11ED" w:rsidP="005F764E">
            <w:r>
              <w:fldChar w:fldCharType="begin"/>
            </w:r>
            <w:r>
              <w:instrText xml:space="preserve"> DOCPROPERTY  DocumentAuthor  \* MERGEFORMAT </w:instrText>
            </w:r>
            <w:r>
              <w:fldChar w:fldCharType="separate"/>
            </w:r>
            <w:r w:rsidR="0090565E">
              <w:t>DTF Financial Policy</w:t>
            </w:r>
            <w:r>
              <w:fldChar w:fldCharType="end"/>
            </w:r>
          </w:p>
        </w:tc>
        <w:tc>
          <w:tcPr>
            <w:tcW w:w="3958" w:type="dxa"/>
          </w:tcPr>
          <w:p w14:paraId="79C3043E" w14:textId="77777777" w:rsidR="006A769B" w:rsidRPr="006D3B70" w:rsidRDefault="00A45F95" w:rsidP="005F764E">
            <w:r w:rsidRPr="006D3B70">
              <w:t>Initial version</w:t>
            </w:r>
          </w:p>
        </w:tc>
      </w:tr>
      <w:tr w:rsidR="006A769B" w:rsidRPr="006D3B70" w14:paraId="2953DCE1" w14:textId="77777777" w:rsidTr="007766EF">
        <w:tc>
          <w:tcPr>
            <w:tcW w:w="1090" w:type="dxa"/>
          </w:tcPr>
          <w:p w14:paraId="4FA36AA9" w14:textId="77777777" w:rsidR="006A769B" w:rsidRPr="006D3B70" w:rsidRDefault="006A769B" w:rsidP="005F764E"/>
        </w:tc>
        <w:tc>
          <w:tcPr>
            <w:tcW w:w="2112" w:type="dxa"/>
          </w:tcPr>
          <w:p w14:paraId="4B3FBCF2" w14:textId="77777777" w:rsidR="006A769B" w:rsidRPr="006D3B70" w:rsidRDefault="006A769B" w:rsidP="005F764E"/>
        </w:tc>
        <w:tc>
          <w:tcPr>
            <w:tcW w:w="2479" w:type="dxa"/>
          </w:tcPr>
          <w:p w14:paraId="67406ACD" w14:textId="77777777" w:rsidR="006A769B" w:rsidRPr="006D3B70" w:rsidRDefault="006A769B" w:rsidP="005F764E"/>
        </w:tc>
        <w:tc>
          <w:tcPr>
            <w:tcW w:w="3958" w:type="dxa"/>
          </w:tcPr>
          <w:p w14:paraId="2D4E20FA" w14:textId="77777777" w:rsidR="006A769B" w:rsidRPr="006D3B70" w:rsidRDefault="006A769B" w:rsidP="005F764E"/>
        </w:tc>
      </w:tr>
      <w:tr w:rsidR="006A769B" w:rsidRPr="006D3B70" w14:paraId="1736DE2A" w14:textId="77777777" w:rsidTr="007766EF">
        <w:tc>
          <w:tcPr>
            <w:tcW w:w="1090" w:type="dxa"/>
          </w:tcPr>
          <w:p w14:paraId="114D7736" w14:textId="77777777" w:rsidR="006A769B" w:rsidRPr="006D3B70" w:rsidRDefault="006A769B" w:rsidP="005F764E"/>
        </w:tc>
        <w:tc>
          <w:tcPr>
            <w:tcW w:w="2112" w:type="dxa"/>
          </w:tcPr>
          <w:p w14:paraId="63E3136E" w14:textId="77777777" w:rsidR="006A769B" w:rsidRPr="006D3B70" w:rsidRDefault="006A769B" w:rsidP="005F764E"/>
        </w:tc>
        <w:tc>
          <w:tcPr>
            <w:tcW w:w="2479" w:type="dxa"/>
          </w:tcPr>
          <w:p w14:paraId="196D4160" w14:textId="77777777" w:rsidR="006A769B" w:rsidRPr="006D3B70" w:rsidRDefault="006A769B" w:rsidP="005F764E"/>
        </w:tc>
        <w:tc>
          <w:tcPr>
            <w:tcW w:w="3958" w:type="dxa"/>
          </w:tcPr>
          <w:p w14:paraId="0F71AE42" w14:textId="77777777" w:rsidR="006A769B" w:rsidRPr="006D3B70" w:rsidRDefault="006A769B" w:rsidP="005F764E"/>
        </w:tc>
      </w:tr>
      <w:tr w:rsidR="006A769B" w:rsidRPr="006D3B70" w14:paraId="43E5A188" w14:textId="77777777" w:rsidTr="007766EF">
        <w:tc>
          <w:tcPr>
            <w:tcW w:w="1090" w:type="dxa"/>
          </w:tcPr>
          <w:p w14:paraId="2EF5AFF9" w14:textId="77777777" w:rsidR="006A769B" w:rsidRPr="006D3B70" w:rsidRDefault="006A769B" w:rsidP="005F764E"/>
        </w:tc>
        <w:tc>
          <w:tcPr>
            <w:tcW w:w="2112" w:type="dxa"/>
          </w:tcPr>
          <w:p w14:paraId="226CBE92" w14:textId="77777777" w:rsidR="006A769B" w:rsidRPr="006D3B70" w:rsidRDefault="006A769B" w:rsidP="005F764E"/>
        </w:tc>
        <w:tc>
          <w:tcPr>
            <w:tcW w:w="2479" w:type="dxa"/>
          </w:tcPr>
          <w:p w14:paraId="40D7BC15" w14:textId="77777777" w:rsidR="006A769B" w:rsidRPr="006D3B70" w:rsidRDefault="006A769B" w:rsidP="005F764E"/>
        </w:tc>
        <w:tc>
          <w:tcPr>
            <w:tcW w:w="3958" w:type="dxa"/>
          </w:tcPr>
          <w:p w14:paraId="2F5751B0" w14:textId="77777777" w:rsidR="006A769B" w:rsidRPr="006D3B70" w:rsidRDefault="006A769B" w:rsidP="005F764E"/>
        </w:tc>
      </w:tr>
    </w:tbl>
    <w:p w14:paraId="5B72BB04" w14:textId="77777777" w:rsidR="006A769B" w:rsidRPr="006D3B70" w:rsidRDefault="006A769B" w:rsidP="00420C06"/>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6621DD" w:rsidRPr="006D3B70" w14:paraId="771C074A" w14:textId="77777777" w:rsidTr="004205FB">
        <w:trPr>
          <w:cnfStyle w:val="100000000000" w:firstRow="1" w:lastRow="0" w:firstColumn="0" w:lastColumn="0" w:oddVBand="0" w:evenVBand="0" w:oddHBand="0" w:evenHBand="0" w:firstRowFirstColumn="0" w:firstRowLastColumn="0" w:lastRowFirstColumn="0" w:lastRowLastColumn="0"/>
          <w:tblHeader/>
        </w:trPr>
        <w:tc>
          <w:tcPr>
            <w:tcW w:w="9628" w:type="dxa"/>
            <w:gridSpan w:val="2"/>
          </w:tcPr>
          <w:p w14:paraId="5B7D75C6" w14:textId="77777777" w:rsidR="006A769B" w:rsidRPr="006D3B70" w:rsidRDefault="006A769B" w:rsidP="005F764E">
            <w:pPr>
              <w:rPr>
                <w:b w:val="0"/>
              </w:rPr>
            </w:pPr>
            <w:r w:rsidRPr="006D3B70">
              <w:t>Acronyms</w:t>
            </w:r>
            <w:r w:rsidRPr="006D3B70">
              <w:br/>
              <w:t>The following acronyms are used in this document</w:t>
            </w:r>
          </w:p>
        </w:tc>
      </w:tr>
      <w:tr w:rsidR="006A769B" w:rsidRPr="006D3B70" w14:paraId="767B56BC" w14:textId="77777777" w:rsidTr="004205FB">
        <w:trPr>
          <w:cnfStyle w:val="100000000000" w:firstRow="1" w:lastRow="0" w:firstColumn="0" w:lastColumn="0" w:oddVBand="0" w:evenVBand="0" w:oddHBand="0" w:evenHBand="0" w:firstRowFirstColumn="0" w:firstRowLastColumn="0" w:lastRowFirstColumn="0" w:lastRowLastColumn="0"/>
          <w:tblHeader/>
        </w:trPr>
        <w:tc>
          <w:tcPr>
            <w:tcW w:w="2374" w:type="dxa"/>
          </w:tcPr>
          <w:p w14:paraId="0950A456" w14:textId="77777777" w:rsidR="006A769B" w:rsidRPr="006D3B70" w:rsidRDefault="006621DD" w:rsidP="005F764E">
            <w:pPr>
              <w:rPr>
                <w:b w:val="0"/>
              </w:rPr>
            </w:pPr>
            <w:r w:rsidRPr="006D3B70">
              <w:t>Acronyms</w:t>
            </w:r>
          </w:p>
        </w:tc>
        <w:tc>
          <w:tcPr>
            <w:tcW w:w="7254" w:type="dxa"/>
          </w:tcPr>
          <w:p w14:paraId="75BD33DB" w14:textId="77777777" w:rsidR="006A769B" w:rsidRPr="006D3B70" w:rsidRDefault="006621DD" w:rsidP="005F764E">
            <w:pPr>
              <w:rPr>
                <w:b w:val="0"/>
              </w:rPr>
            </w:pPr>
            <w:r w:rsidRPr="006D3B70">
              <w:t>Full form</w:t>
            </w:r>
          </w:p>
        </w:tc>
      </w:tr>
      <w:tr w:rsidR="00586B87" w:rsidRPr="006D3B70" w14:paraId="060EC683" w14:textId="77777777" w:rsidTr="004205FB">
        <w:tc>
          <w:tcPr>
            <w:tcW w:w="2374" w:type="dxa"/>
          </w:tcPr>
          <w:p w14:paraId="78F0CDB1" w14:textId="77777777" w:rsidR="00586B87" w:rsidRDefault="00586B87" w:rsidP="005F764E">
            <w:r>
              <w:t>ANAO</w:t>
            </w:r>
          </w:p>
        </w:tc>
        <w:tc>
          <w:tcPr>
            <w:tcW w:w="7254" w:type="dxa"/>
          </w:tcPr>
          <w:p w14:paraId="4910014D" w14:textId="77777777" w:rsidR="00586B87" w:rsidRDefault="00586B87" w:rsidP="005F764E">
            <w:r>
              <w:t>Australian National Audit Office</w:t>
            </w:r>
          </w:p>
        </w:tc>
      </w:tr>
      <w:tr w:rsidR="004205FB" w:rsidRPr="006D3B70" w14:paraId="0E871435" w14:textId="77777777" w:rsidTr="004205FB">
        <w:tc>
          <w:tcPr>
            <w:tcW w:w="2374" w:type="dxa"/>
          </w:tcPr>
          <w:p w14:paraId="79C72078" w14:textId="01CC936E" w:rsidR="004205FB" w:rsidRDefault="004205FB" w:rsidP="004205FB">
            <w:r>
              <w:t>COAG</w:t>
            </w:r>
          </w:p>
        </w:tc>
        <w:tc>
          <w:tcPr>
            <w:tcW w:w="7254" w:type="dxa"/>
          </w:tcPr>
          <w:p w14:paraId="67359AF8" w14:textId="2040A3DA" w:rsidR="004205FB" w:rsidRDefault="004205FB" w:rsidP="004205FB">
            <w:r>
              <w:t>Council of Australian Governments</w:t>
            </w:r>
          </w:p>
        </w:tc>
      </w:tr>
      <w:tr w:rsidR="004205FB" w:rsidRPr="006D3B70" w14:paraId="2B5E5343" w14:textId="77777777" w:rsidTr="004205FB">
        <w:tc>
          <w:tcPr>
            <w:tcW w:w="2374" w:type="dxa"/>
          </w:tcPr>
          <w:p w14:paraId="6F1EEF3F" w14:textId="227D1964" w:rsidR="004205FB" w:rsidRDefault="004205FB" w:rsidP="004205FB">
            <w:r>
              <w:t>COPE</w:t>
            </w:r>
          </w:p>
        </w:tc>
        <w:tc>
          <w:tcPr>
            <w:tcW w:w="7254" w:type="dxa"/>
          </w:tcPr>
          <w:p w14:paraId="10CD345B" w14:textId="3443C747" w:rsidR="004205FB" w:rsidRDefault="004205FB" w:rsidP="004205FB">
            <w:r>
              <w:t>Commonwealth own-purpose expense</w:t>
            </w:r>
          </w:p>
        </w:tc>
      </w:tr>
      <w:tr w:rsidR="004205FB" w:rsidRPr="006D3B70" w14:paraId="3809CB31" w14:textId="77777777" w:rsidTr="004205FB">
        <w:tc>
          <w:tcPr>
            <w:tcW w:w="2374" w:type="dxa"/>
          </w:tcPr>
          <w:p w14:paraId="5CAD00C3" w14:textId="4A90AD6F" w:rsidR="004205FB" w:rsidRDefault="004205FB" w:rsidP="004205FB">
            <w:r>
              <w:t>FMA</w:t>
            </w:r>
          </w:p>
        </w:tc>
        <w:tc>
          <w:tcPr>
            <w:tcW w:w="7254" w:type="dxa"/>
          </w:tcPr>
          <w:p w14:paraId="7403275B" w14:textId="2B5A59A9" w:rsidR="004205FB" w:rsidRPr="004205FB" w:rsidRDefault="004205FB" w:rsidP="004205FB">
            <w:pPr>
              <w:rPr>
                <w:i/>
              </w:rPr>
            </w:pPr>
            <w:r w:rsidRPr="004205FB">
              <w:rPr>
                <w:i/>
              </w:rPr>
              <w:t>Financial Management Act</w:t>
            </w:r>
          </w:p>
        </w:tc>
      </w:tr>
      <w:tr w:rsidR="004205FB" w:rsidRPr="006D3B70" w14:paraId="120F9688" w14:textId="77777777" w:rsidTr="004205FB">
        <w:tc>
          <w:tcPr>
            <w:tcW w:w="2374" w:type="dxa"/>
          </w:tcPr>
          <w:p w14:paraId="6AC4D776" w14:textId="4E3A5943" w:rsidR="004205FB" w:rsidRDefault="004205FB" w:rsidP="004205FB">
            <w:r>
              <w:t>IGA</w:t>
            </w:r>
          </w:p>
        </w:tc>
        <w:tc>
          <w:tcPr>
            <w:tcW w:w="7254" w:type="dxa"/>
          </w:tcPr>
          <w:p w14:paraId="1C8AC0B5" w14:textId="265B7B0F" w:rsidR="004205FB" w:rsidRDefault="004205FB" w:rsidP="004205FB">
            <w:r>
              <w:t>Intergovernmental Agreement</w:t>
            </w:r>
            <w:r w:rsidR="008A107E">
              <w:t xml:space="preserve"> on Federal Financial Relations</w:t>
            </w:r>
          </w:p>
        </w:tc>
      </w:tr>
      <w:tr w:rsidR="004205FB" w:rsidRPr="006D3B70" w14:paraId="0A3FFCC1" w14:textId="77777777" w:rsidTr="004205FB">
        <w:tc>
          <w:tcPr>
            <w:tcW w:w="2374" w:type="dxa"/>
          </w:tcPr>
          <w:p w14:paraId="7B0E8A69" w14:textId="127BFF53" w:rsidR="004205FB" w:rsidRDefault="004205FB" w:rsidP="004205FB">
            <w:r>
              <w:t>IP</w:t>
            </w:r>
          </w:p>
        </w:tc>
        <w:tc>
          <w:tcPr>
            <w:tcW w:w="7254" w:type="dxa"/>
          </w:tcPr>
          <w:p w14:paraId="77E0E862" w14:textId="39FEC548" w:rsidR="004205FB" w:rsidRDefault="004205FB" w:rsidP="004205FB">
            <w:r>
              <w:t>Implementation plan</w:t>
            </w:r>
          </w:p>
        </w:tc>
      </w:tr>
      <w:tr w:rsidR="004205FB" w:rsidRPr="006D3B70" w14:paraId="31C319E6" w14:textId="77777777" w:rsidTr="004205FB">
        <w:tc>
          <w:tcPr>
            <w:tcW w:w="2374" w:type="dxa"/>
          </w:tcPr>
          <w:p w14:paraId="53D0230C" w14:textId="305EF994" w:rsidR="004205FB" w:rsidRDefault="004205FB" w:rsidP="004205FB">
            <w:r>
              <w:t>NA</w:t>
            </w:r>
          </w:p>
        </w:tc>
        <w:tc>
          <w:tcPr>
            <w:tcW w:w="7254" w:type="dxa"/>
          </w:tcPr>
          <w:p w14:paraId="72DD6045" w14:textId="46997A35" w:rsidR="004205FB" w:rsidRDefault="004205FB" w:rsidP="004205FB">
            <w:r>
              <w:t>National agreement</w:t>
            </w:r>
          </w:p>
        </w:tc>
      </w:tr>
      <w:tr w:rsidR="004205FB" w:rsidRPr="006D3B70" w14:paraId="7D75D25A" w14:textId="77777777" w:rsidTr="004205FB">
        <w:tc>
          <w:tcPr>
            <w:tcW w:w="2374" w:type="dxa"/>
          </w:tcPr>
          <w:p w14:paraId="24C55683" w14:textId="50D453F8" w:rsidR="004205FB" w:rsidRDefault="004205FB" w:rsidP="004205FB">
            <w:r>
              <w:t>NPA</w:t>
            </w:r>
          </w:p>
        </w:tc>
        <w:tc>
          <w:tcPr>
            <w:tcW w:w="7254" w:type="dxa"/>
          </w:tcPr>
          <w:p w14:paraId="41949DC8" w14:textId="7CA63199" w:rsidR="004205FB" w:rsidRDefault="004205FB" w:rsidP="004205FB">
            <w:r>
              <w:t>National partnership agreement</w:t>
            </w:r>
          </w:p>
        </w:tc>
      </w:tr>
      <w:tr w:rsidR="004205FB" w:rsidRPr="006D3B70" w14:paraId="28448458" w14:textId="77777777" w:rsidTr="004205FB">
        <w:tc>
          <w:tcPr>
            <w:tcW w:w="2374" w:type="dxa"/>
          </w:tcPr>
          <w:p w14:paraId="2C13B896" w14:textId="0EE84CAB" w:rsidR="004205FB" w:rsidRDefault="004205FB" w:rsidP="004205FB">
            <w:r>
              <w:t>NT</w:t>
            </w:r>
          </w:p>
        </w:tc>
        <w:tc>
          <w:tcPr>
            <w:tcW w:w="7254" w:type="dxa"/>
          </w:tcPr>
          <w:p w14:paraId="0B9D2FEE" w14:textId="00D1FBAA" w:rsidR="004205FB" w:rsidRDefault="004205FB" w:rsidP="004205FB">
            <w:r>
              <w:t>Northern Territory</w:t>
            </w:r>
          </w:p>
        </w:tc>
      </w:tr>
      <w:tr w:rsidR="004205FB" w:rsidRPr="006D3B70" w14:paraId="43C414CE" w14:textId="77777777" w:rsidTr="004205FB">
        <w:tc>
          <w:tcPr>
            <w:tcW w:w="2374" w:type="dxa"/>
          </w:tcPr>
          <w:p w14:paraId="6795F75D" w14:textId="5F3977C2" w:rsidR="004205FB" w:rsidRDefault="004205FB" w:rsidP="004205FB">
            <w:r>
              <w:t>PA</w:t>
            </w:r>
          </w:p>
        </w:tc>
        <w:tc>
          <w:tcPr>
            <w:tcW w:w="7254" w:type="dxa"/>
          </w:tcPr>
          <w:p w14:paraId="7F3F8AFD" w14:textId="3AB43182" w:rsidR="004205FB" w:rsidRDefault="004205FB" w:rsidP="004205FB">
            <w:r>
              <w:t>Project agreement</w:t>
            </w:r>
          </w:p>
        </w:tc>
      </w:tr>
      <w:tr w:rsidR="004205FB" w:rsidRPr="006D3B70" w14:paraId="1739E195" w14:textId="77777777" w:rsidTr="004205FB">
        <w:tc>
          <w:tcPr>
            <w:tcW w:w="2374" w:type="dxa"/>
          </w:tcPr>
          <w:p w14:paraId="545EF747" w14:textId="0A01A836" w:rsidR="004205FB" w:rsidRDefault="004205FB" w:rsidP="004205FB">
            <w:r>
              <w:t>SPP</w:t>
            </w:r>
          </w:p>
        </w:tc>
        <w:tc>
          <w:tcPr>
            <w:tcW w:w="7254" w:type="dxa"/>
          </w:tcPr>
          <w:p w14:paraId="5A4153D4" w14:textId="7C9ECAFF" w:rsidR="004205FB" w:rsidRDefault="004205FB" w:rsidP="004205FB">
            <w:r>
              <w:t>Specific purpose payment</w:t>
            </w:r>
          </w:p>
        </w:tc>
      </w:tr>
    </w:tbl>
    <w:p w14:paraId="1336AE66" w14:textId="77777777" w:rsidR="00CA45E4" w:rsidRDefault="00CA45E4" w:rsidP="00420C06"/>
    <w:p w14:paraId="33CD4856" w14:textId="77777777" w:rsidR="00CA45E4" w:rsidRPr="006D3B70" w:rsidRDefault="00CA45E4" w:rsidP="00420C06">
      <w:pPr>
        <w:sectPr w:rsidR="00CA45E4" w:rsidRPr="006D3B70" w:rsidSect="00652E1F">
          <w:headerReference w:type="default" r:id="rId14"/>
          <w:headerReference w:type="first" r:id="rId15"/>
          <w:footerReference w:type="first" r:id="rId16"/>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753398352"/>
        <w:docPartObj>
          <w:docPartGallery w:val="Table of Contents"/>
          <w:docPartUnique/>
        </w:docPartObj>
      </w:sdtPr>
      <w:sdtEndPr>
        <w:rPr>
          <w:noProof/>
        </w:rPr>
      </w:sdtEndPr>
      <w:sdtContent>
        <w:p w14:paraId="3384710D" w14:textId="6B3CCC3B" w:rsidR="00BA3A96" w:rsidRDefault="00BA3A96">
          <w:pPr>
            <w:pStyle w:val="TOCHeading"/>
          </w:pPr>
          <w:r>
            <w:t>Contents</w:t>
          </w:r>
        </w:p>
        <w:p w14:paraId="3E233463" w14:textId="77777777" w:rsidR="008A107E" w:rsidRDefault="0098496B">
          <w:pPr>
            <w:pStyle w:val="TOC1"/>
            <w:rPr>
              <w:rFonts w:asciiTheme="minorHAnsi" w:hAnsiTheme="minorHAnsi" w:cstheme="minorBidi"/>
              <w:b w:val="0"/>
            </w:rPr>
          </w:pPr>
          <w:r>
            <w:rPr>
              <w:b w:val="0"/>
              <w:bCs/>
            </w:rPr>
            <w:fldChar w:fldCharType="begin"/>
          </w:r>
          <w:r>
            <w:rPr>
              <w:b w:val="0"/>
              <w:bCs/>
            </w:rPr>
            <w:instrText xml:space="preserve"> TOC \o "1-2" \h \z \u </w:instrText>
          </w:r>
          <w:r>
            <w:rPr>
              <w:b w:val="0"/>
              <w:bCs/>
            </w:rPr>
            <w:fldChar w:fldCharType="separate"/>
          </w:r>
          <w:hyperlink w:anchor="_Toc531871481" w:history="1">
            <w:r w:rsidR="008A107E" w:rsidRPr="00F853D3">
              <w:rPr>
                <w:rStyle w:val="Hyperlink"/>
              </w:rPr>
              <w:t>1</w:t>
            </w:r>
            <w:r w:rsidR="008A107E">
              <w:rPr>
                <w:rFonts w:asciiTheme="minorHAnsi" w:hAnsiTheme="minorHAnsi" w:cstheme="minorBidi"/>
                <w:b w:val="0"/>
              </w:rPr>
              <w:tab/>
            </w:r>
            <w:r w:rsidR="008A107E" w:rsidRPr="00F853D3">
              <w:rPr>
                <w:rStyle w:val="Hyperlink"/>
              </w:rPr>
              <w:t>Introduction</w:t>
            </w:r>
            <w:r w:rsidR="008A107E">
              <w:rPr>
                <w:webHidden/>
              </w:rPr>
              <w:tab/>
            </w:r>
            <w:r w:rsidR="008A107E">
              <w:rPr>
                <w:webHidden/>
              </w:rPr>
              <w:fldChar w:fldCharType="begin"/>
            </w:r>
            <w:r w:rsidR="008A107E">
              <w:rPr>
                <w:webHidden/>
              </w:rPr>
              <w:instrText xml:space="preserve"> PAGEREF _Toc531871481 \h </w:instrText>
            </w:r>
            <w:r w:rsidR="008A107E">
              <w:rPr>
                <w:webHidden/>
              </w:rPr>
            </w:r>
            <w:r w:rsidR="008A107E">
              <w:rPr>
                <w:webHidden/>
              </w:rPr>
              <w:fldChar w:fldCharType="separate"/>
            </w:r>
            <w:r w:rsidR="008A107E">
              <w:rPr>
                <w:webHidden/>
              </w:rPr>
              <w:t>4</w:t>
            </w:r>
            <w:r w:rsidR="008A107E">
              <w:rPr>
                <w:webHidden/>
              </w:rPr>
              <w:fldChar w:fldCharType="end"/>
            </w:r>
          </w:hyperlink>
        </w:p>
        <w:p w14:paraId="679D9A52" w14:textId="77777777" w:rsidR="008A107E" w:rsidRDefault="005C11ED">
          <w:pPr>
            <w:pStyle w:val="TOC2"/>
            <w:rPr>
              <w:rFonts w:asciiTheme="minorHAnsi" w:hAnsiTheme="minorHAnsi" w:cstheme="minorBidi"/>
            </w:rPr>
          </w:pPr>
          <w:hyperlink w:anchor="_Toc531871482" w:history="1">
            <w:r w:rsidR="008A107E" w:rsidRPr="00F853D3">
              <w:rPr>
                <w:rStyle w:val="Hyperlink"/>
              </w:rPr>
              <w:t>1.1</w:t>
            </w:r>
            <w:r w:rsidR="008A107E">
              <w:rPr>
                <w:rFonts w:asciiTheme="minorHAnsi" w:hAnsiTheme="minorHAnsi" w:cstheme="minorBidi"/>
              </w:rPr>
              <w:tab/>
            </w:r>
            <w:r w:rsidR="008A107E" w:rsidRPr="00F853D3">
              <w:rPr>
                <w:rStyle w:val="Hyperlink"/>
              </w:rPr>
              <w:t>Purpose</w:t>
            </w:r>
            <w:r w:rsidR="008A107E">
              <w:rPr>
                <w:webHidden/>
              </w:rPr>
              <w:tab/>
            </w:r>
            <w:r w:rsidR="008A107E">
              <w:rPr>
                <w:webHidden/>
              </w:rPr>
              <w:fldChar w:fldCharType="begin"/>
            </w:r>
            <w:r w:rsidR="008A107E">
              <w:rPr>
                <w:webHidden/>
              </w:rPr>
              <w:instrText xml:space="preserve"> PAGEREF _Toc531871482 \h </w:instrText>
            </w:r>
            <w:r w:rsidR="008A107E">
              <w:rPr>
                <w:webHidden/>
              </w:rPr>
            </w:r>
            <w:r w:rsidR="008A107E">
              <w:rPr>
                <w:webHidden/>
              </w:rPr>
              <w:fldChar w:fldCharType="separate"/>
            </w:r>
            <w:r w:rsidR="008A107E">
              <w:rPr>
                <w:webHidden/>
              </w:rPr>
              <w:t>4</w:t>
            </w:r>
            <w:r w:rsidR="008A107E">
              <w:rPr>
                <w:webHidden/>
              </w:rPr>
              <w:fldChar w:fldCharType="end"/>
            </w:r>
          </w:hyperlink>
        </w:p>
        <w:p w14:paraId="24362C42" w14:textId="77777777" w:rsidR="008A107E" w:rsidRDefault="005C11ED">
          <w:pPr>
            <w:pStyle w:val="TOC2"/>
            <w:rPr>
              <w:rFonts w:asciiTheme="minorHAnsi" w:hAnsiTheme="minorHAnsi" w:cstheme="minorBidi"/>
            </w:rPr>
          </w:pPr>
          <w:hyperlink w:anchor="_Toc531871483" w:history="1">
            <w:r w:rsidR="008A107E" w:rsidRPr="00F853D3">
              <w:rPr>
                <w:rStyle w:val="Hyperlink"/>
              </w:rPr>
              <w:t>1.2</w:t>
            </w:r>
            <w:r w:rsidR="008A107E">
              <w:rPr>
                <w:rFonts w:asciiTheme="minorHAnsi" w:hAnsiTheme="minorHAnsi" w:cstheme="minorBidi"/>
              </w:rPr>
              <w:tab/>
            </w:r>
            <w:r w:rsidR="008A107E" w:rsidRPr="00F853D3">
              <w:rPr>
                <w:rStyle w:val="Hyperlink"/>
              </w:rPr>
              <w:t>Statement</w:t>
            </w:r>
            <w:r w:rsidR="008A107E">
              <w:rPr>
                <w:webHidden/>
              </w:rPr>
              <w:tab/>
            </w:r>
            <w:r w:rsidR="008A107E">
              <w:rPr>
                <w:webHidden/>
              </w:rPr>
              <w:fldChar w:fldCharType="begin"/>
            </w:r>
            <w:r w:rsidR="008A107E">
              <w:rPr>
                <w:webHidden/>
              </w:rPr>
              <w:instrText xml:space="preserve"> PAGEREF _Toc531871483 \h </w:instrText>
            </w:r>
            <w:r w:rsidR="008A107E">
              <w:rPr>
                <w:webHidden/>
              </w:rPr>
            </w:r>
            <w:r w:rsidR="008A107E">
              <w:rPr>
                <w:webHidden/>
              </w:rPr>
              <w:fldChar w:fldCharType="separate"/>
            </w:r>
            <w:r w:rsidR="008A107E">
              <w:rPr>
                <w:webHidden/>
              </w:rPr>
              <w:t>4</w:t>
            </w:r>
            <w:r w:rsidR="008A107E">
              <w:rPr>
                <w:webHidden/>
              </w:rPr>
              <w:fldChar w:fldCharType="end"/>
            </w:r>
          </w:hyperlink>
        </w:p>
        <w:p w14:paraId="4D4CAC1A" w14:textId="77777777" w:rsidR="008A107E" w:rsidRDefault="005C11ED">
          <w:pPr>
            <w:pStyle w:val="TOC2"/>
            <w:rPr>
              <w:rFonts w:asciiTheme="minorHAnsi" w:hAnsiTheme="minorHAnsi" w:cstheme="minorBidi"/>
            </w:rPr>
          </w:pPr>
          <w:hyperlink w:anchor="_Toc531871484" w:history="1">
            <w:r w:rsidR="008A107E" w:rsidRPr="00F853D3">
              <w:rPr>
                <w:rStyle w:val="Hyperlink"/>
              </w:rPr>
              <w:t>1.3</w:t>
            </w:r>
            <w:r w:rsidR="008A107E">
              <w:rPr>
                <w:rFonts w:asciiTheme="minorHAnsi" w:hAnsiTheme="minorHAnsi" w:cstheme="minorBidi"/>
              </w:rPr>
              <w:tab/>
            </w:r>
            <w:r w:rsidR="008A107E" w:rsidRPr="00F853D3">
              <w:rPr>
                <w:rStyle w:val="Hyperlink"/>
              </w:rPr>
              <w:t>Legislative basis and related documents</w:t>
            </w:r>
            <w:r w:rsidR="008A107E">
              <w:rPr>
                <w:webHidden/>
              </w:rPr>
              <w:tab/>
            </w:r>
            <w:r w:rsidR="008A107E">
              <w:rPr>
                <w:webHidden/>
              </w:rPr>
              <w:fldChar w:fldCharType="begin"/>
            </w:r>
            <w:r w:rsidR="008A107E">
              <w:rPr>
                <w:webHidden/>
              </w:rPr>
              <w:instrText xml:space="preserve"> PAGEREF _Toc531871484 \h </w:instrText>
            </w:r>
            <w:r w:rsidR="008A107E">
              <w:rPr>
                <w:webHidden/>
              </w:rPr>
            </w:r>
            <w:r w:rsidR="008A107E">
              <w:rPr>
                <w:webHidden/>
              </w:rPr>
              <w:fldChar w:fldCharType="separate"/>
            </w:r>
            <w:r w:rsidR="008A107E">
              <w:rPr>
                <w:webHidden/>
              </w:rPr>
              <w:t>4</w:t>
            </w:r>
            <w:r w:rsidR="008A107E">
              <w:rPr>
                <w:webHidden/>
              </w:rPr>
              <w:fldChar w:fldCharType="end"/>
            </w:r>
          </w:hyperlink>
        </w:p>
        <w:p w14:paraId="11735044" w14:textId="77777777" w:rsidR="008A107E" w:rsidRDefault="005C11ED">
          <w:pPr>
            <w:pStyle w:val="TOC2"/>
            <w:rPr>
              <w:rFonts w:asciiTheme="minorHAnsi" w:hAnsiTheme="minorHAnsi" w:cstheme="minorBidi"/>
            </w:rPr>
          </w:pPr>
          <w:hyperlink w:anchor="_Toc531871485" w:history="1">
            <w:r w:rsidR="008A107E" w:rsidRPr="00F853D3">
              <w:rPr>
                <w:rStyle w:val="Hyperlink"/>
              </w:rPr>
              <w:t>1.4</w:t>
            </w:r>
            <w:r w:rsidR="008A107E">
              <w:rPr>
                <w:rFonts w:asciiTheme="minorHAnsi" w:hAnsiTheme="minorHAnsi" w:cstheme="minorBidi"/>
              </w:rPr>
              <w:tab/>
            </w:r>
            <w:r w:rsidR="008A107E" w:rsidRPr="00F853D3">
              <w:rPr>
                <w:rStyle w:val="Hyperlink"/>
              </w:rPr>
              <w:t>Background</w:t>
            </w:r>
            <w:r w:rsidR="008A107E">
              <w:rPr>
                <w:webHidden/>
              </w:rPr>
              <w:tab/>
            </w:r>
            <w:r w:rsidR="008A107E">
              <w:rPr>
                <w:webHidden/>
              </w:rPr>
              <w:fldChar w:fldCharType="begin"/>
            </w:r>
            <w:r w:rsidR="008A107E">
              <w:rPr>
                <w:webHidden/>
              </w:rPr>
              <w:instrText xml:space="preserve"> PAGEREF _Toc531871485 \h </w:instrText>
            </w:r>
            <w:r w:rsidR="008A107E">
              <w:rPr>
                <w:webHidden/>
              </w:rPr>
            </w:r>
            <w:r w:rsidR="008A107E">
              <w:rPr>
                <w:webHidden/>
              </w:rPr>
              <w:fldChar w:fldCharType="separate"/>
            </w:r>
            <w:r w:rsidR="008A107E">
              <w:rPr>
                <w:webHidden/>
              </w:rPr>
              <w:t>4</w:t>
            </w:r>
            <w:r w:rsidR="008A107E">
              <w:rPr>
                <w:webHidden/>
              </w:rPr>
              <w:fldChar w:fldCharType="end"/>
            </w:r>
          </w:hyperlink>
        </w:p>
        <w:p w14:paraId="0FDB0CFC" w14:textId="77777777" w:rsidR="008A107E" w:rsidRDefault="005C11ED">
          <w:pPr>
            <w:pStyle w:val="TOC1"/>
            <w:rPr>
              <w:rFonts w:asciiTheme="minorHAnsi" w:hAnsiTheme="minorHAnsi" w:cstheme="minorBidi"/>
              <w:b w:val="0"/>
            </w:rPr>
          </w:pPr>
          <w:hyperlink w:anchor="_Toc531871486" w:history="1">
            <w:r w:rsidR="008A107E" w:rsidRPr="00F853D3">
              <w:rPr>
                <w:rStyle w:val="Hyperlink"/>
              </w:rPr>
              <w:t>2</w:t>
            </w:r>
            <w:r w:rsidR="008A107E">
              <w:rPr>
                <w:rFonts w:asciiTheme="minorHAnsi" w:hAnsiTheme="minorHAnsi" w:cstheme="minorBidi"/>
                <w:b w:val="0"/>
              </w:rPr>
              <w:tab/>
            </w:r>
            <w:r w:rsidR="008A107E" w:rsidRPr="00F853D3">
              <w:rPr>
                <w:rStyle w:val="Hyperlink"/>
              </w:rPr>
              <w:t>Overview</w:t>
            </w:r>
            <w:r w:rsidR="008A107E">
              <w:rPr>
                <w:webHidden/>
              </w:rPr>
              <w:tab/>
            </w:r>
            <w:r w:rsidR="008A107E">
              <w:rPr>
                <w:webHidden/>
              </w:rPr>
              <w:fldChar w:fldCharType="begin"/>
            </w:r>
            <w:r w:rsidR="008A107E">
              <w:rPr>
                <w:webHidden/>
              </w:rPr>
              <w:instrText xml:space="preserve"> PAGEREF _Toc531871486 \h </w:instrText>
            </w:r>
            <w:r w:rsidR="008A107E">
              <w:rPr>
                <w:webHidden/>
              </w:rPr>
            </w:r>
            <w:r w:rsidR="008A107E">
              <w:rPr>
                <w:webHidden/>
              </w:rPr>
              <w:fldChar w:fldCharType="separate"/>
            </w:r>
            <w:r w:rsidR="008A107E">
              <w:rPr>
                <w:webHidden/>
              </w:rPr>
              <w:t>6</w:t>
            </w:r>
            <w:r w:rsidR="008A107E">
              <w:rPr>
                <w:webHidden/>
              </w:rPr>
              <w:fldChar w:fldCharType="end"/>
            </w:r>
          </w:hyperlink>
        </w:p>
        <w:p w14:paraId="618DCF93" w14:textId="77777777" w:rsidR="008A107E" w:rsidRDefault="005C11ED">
          <w:pPr>
            <w:pStyle w:val="TOC2"/>
            <w:rPr>
              <w:rFonts w:asciiTheme="minorHAnsi" w:hAnsiTheme="minorHAnsi" w:cstheme="minorBidi"/>
            </w:rPr>
          </w:pPr>
          <w:hyperlink w:anchor="_Toc531871487" w:history="1">
            <w:r w:rsidR="008A107E" w:rsidRPr="00F853D3">
              <w:rPr>
                <w:rStyle w:val="Hyperlink"/>
              </w:rPr>
              <w:t>2.1</w:t>
            </w:r>
            <w:r w:rsidR="008A107E">
              <w:rPr>
                <w:rFonts w:asciiTheme="minorHAnsi" w:hAnsiTheme="minorHAnsi" w:cstheme="minorBidi"/>
              </w:rPr>
              <w:tab/>
            </w:r>
            <w:r w:rsidR="008A107E" w:rsidRPr="00F853D3">
              <w:rPr>
                <w:rStyle w:val="Hyperlink"/>
              </w:rPr>
              <w:t>Scope</w:t>
            </w:r>
            <w:r w:rsidR="008A107E">
              <w:rPr>
                <w:webHidden/>
              </w:rPr>
              <w:tab/>
            </w:r>
            <w:r w:rsidR="008A107E">
              <w:rPr>
                <w:webHidden/>
              </w:rPr>
              <w:fldChar w:fldCharType="begin"/>
            </w:r>
            <w:r w:rsidR="008A107E">
              <w:rPr>
                <w:webHidden/>
              </w:rPr>
              <w:instrText xml:space="preserve"> PAGEREF _Toc531871487 \h </w:instrText>
            </w:r>
            <w:r w:rsidR="008A107E">
              <w:rPr>
                <w:webHidden/>
              </w:rPr>
            </w:r>
            <w:r w:rsidR="008A107E">
              <w:rPr>
                <w:webHidden/>
              </w:rPr>
              <w:fldChar w:fldCharType="separate"/>
            </w:r>
            <w:r w:rsidR="008A107E">
              <w:rPr>
                <w:webHidden/>
              </w:rPr>
              <w:t>6</w:t>
            </w:r>
            <w:r w:rsidR="008A107E">
              <w:rPr>
                <w:webHidden/>
              </w:rPr>
              <w:fldChar w:fldCharType="end"/>
            </w:r>
          </w:hyperlink>
        </w:p>
        <w:p w14:paraId="186124CE" w14:textId="77777777" w:rsidR="008A107E" w:rsidRDefault="005C11ED">
          <w:pPr>
            <w:pStyle w:val="TOC1"/>
            <w:rPr>
              <w:rFonts w:asciiTheme="minorHAnsi" w:hAnsiTheme="minorHAnsi" w:cstheme="minorBidi"/>
              <w:b w:val="0"/>
            </w:rPr>
          </w:pPr>
          <w:hyperlink w:anchor="_Toc531871488" w:history="1">
            <w:r w:rsidR="008A107E" w:rsidRPr="00F853D3">
              <w:rPr>
                <w:rStyle w:val="Hyperlink"/>
              </w:rPr>
              <w:t>3</w:t>
            </w:r>
            <w:r w:rsidR="008A107E">
              <w:rPr>
                <w:rFonts w:asciiTheme="minorHAnsi" w:hAnsiTheme="minorHAnsi" w:cstheme="minorBidi"/>
                <w:b w:val="0"/>
              </w:rPr>
              <w:tab/>
            </w:r>
            <w:r w:rsidR="008A107E" w:rsidRPr="00F853D3">
              <w:rPr>
                <w:rStyle w:val="Hyperlink"/>
              </w:rPr>
              <w:t>Roles and responsibilities</w:t>
            </w:r>
            <w:r w:rsidR="008A107E">
              <w:rPr>
                <w:webHidden/>
              </w:rPr>
              <w:tab/>
            </w:r>
            <w:r w:rsidR="008A107E">
              <w:rPr>
                <w:webHidden/>
              </w:rPr>
              <w:fldChar w:fldCharType="begin"/>
            </w:r>
            <w:r w:rsidR="008A107E">
              <w:rPr>
                <w:webHidden/>
              </w:rPr>
              <w:instrText xml:space="preserve"> PAGEREF _Toc531871488 \h </w:instrText>
            </w:r>
            <w:r w:rsidR="008A107E">
              <w:rPr>
                <w:webHidden/>
              </w:rPr>
            </w:r>
            <w:r w:rsidR="008A107E">
              <w:rPr>
                <w:webHidden/>
              </w:rPr>
              <w:fldChar w:fldCharType="separate"/>
            </w:r>
            <w:r w:rsidR="008A107E">
              <w:rPr>
                <w:webHidden/>
              </w:rPr>
              <w:t>7</w:t>
            </w:r>
            <w:r w:rsidR="008A107E">
              <w:rPr>
                <w:webHidden/>
              </w:rPr>
              <w:fldChar w:fldCharType="end"/>
            </w:r>
          </w:hyperlink>
        </w:p>
        <w:p w14:paraId="61CDA39D" w14:textId="77777777" w:rsidR="008A107E" w:rsidRDefault="005C11ED">
          <w:pPr>
            <w:pStyle w:val="TOC2"/>
            <w:rPr>
              <w:rFonts w:asciiTheme="minorHAnsi" w:hAnsiTheme="minorHAnsi" w:cstheme="minorBidi"/>
            </w:rPr>
          </w:pPr>
          <w:hyperlink w:anchor="_Toc531871489" w:history="1">
            <w:r w:rsidR="008A107E" w:rsidRPr="00F853D3">
              <w:rPr>
                <w:rStyle w:val="Hyperlink"/>
              </w:rPr>
              <w:t>3.1</w:t>
            </w:r>
            <w:r w:rsidR="008A107E">
              <w:rPr>
                <w:rFonts w:asciiTheme="minorHAnsi" w:hAnsiTheme="minorHAnsi" w:cstheme="minorBidi"/>
              </w:rPr>
              <w:tab/>
            </w:r>
            <w:r w:rsidR="008A107E" w:rsidRPr="00F853D3">
              <w:rPr>
                <w:rStyle w:val="Hyperlink"/>
              </w:rPr>
              <w:t>Portfolio agencies</w:t>
            </w:r>
            <w:r w:rsidR="008A107E">
              <w:rPr>
                <w:webHidden/>
              </w:rPr>
              <w:tab/>
            </w:r>
            <w:r w:rsidR="008A107E">
              <w:rPr>
                <w:webHidden/>
              </w:rPr>
              <w:fldChar w:fldCharType="begin"/>
            </w:r>
            <w:r w:rsidR="008A107E">
              <w:rPr>
                <w:webHidden/>
              </w:rPr>
              <w:instrText xml:space="preserve"> PAGEREF _Toc531871489 \h </w:instrText>
            </w:r>
            <w:r w:rsidR="008A107E">
              <w:rPr>
                <w:webHidden/>
              </w:rPr>
            </w:r>
            <w:r w:rsidR="008A107E">
              <w:rPr>
                <w:webHidden/>
              </w:rPr>
              <w:fldChar w:fldCharType="separate"/>
            </w:r>
            <w:r w:rsidR="008A107E">
              <w:rPr>
                <w:webHidden/>
              </w:rPr>
              <w:t>7</w:t>
            </w:r>
            <w:r w:rsidR="008A107E">
              <w:rPr>
                <w:webHidden/>
              </w:rPr>
              <w:fldChar w:fldCharType="end"/>
            </w:r>
          </w:hyperlink>
        </w:p>
        <w:p w14:paraId="290AA164" w14:textId="77777777" w:rsidR="008A107E" w:rsidRDefault="005C11ED">
          <w:pPr>
            <w:pStyle w:val="TOC2"/>
            <w:rPr>
              <w:rFonts w:asciiTheme="minorHAnsi" w:hAnsiTheme="minorHAnsi" w:cstheme="minorBidi"/>
            </w:rPr>
          </w:pPr>
          <w:hyperlink w:anchor="_Toc531871490" w:history="1">
            <w:r w:rsidR="008A107E" w:rsidRPr="00F853D3">
              <w:rPr>
                <w:rStyle w:val="Hyperlink"/>
              </w:rPr>
              <w:t>3.2</w:t>
            </w:r>
            <w:r w:rsidR="008A107E">
              <w:rPr>
                <w:rFonts w:asciiTheme="minorHAnsi" w:hAnsiTheme="minorHAnsi" w:cstheme="minorBidi"/>
              </w:rPr>
              <w:tab/>
            </w:r>
            <w:r w:rsidR="008A107E" w:rsidRPr="00F853D3">
              <w:rPr>
                <w:rStyle w:val="Hyperlink"/>
              </w:rPr>
              <w:t>Central agencies</w:t>
            </w:r>
            <w:r w:rsidR="008A107E">
              <w:rPr>
                <w:webHidden/>
              </w:rPr>
              <w:tab/>
            </w:r>
            <w:r w:rsidR="008A107E">
              <w:rPr>
                <w:webHidden/>
              </w:rPr>
              <w:fldChar w:fldCharType="begin"/>
            </w:r>
            <w:r w:rsidR="008A107E">
              <w:rPr>
                <w:webHidden/>
              </w:rPr>
              <w:instrText xml:space="preserve"> PAGEREF _Toc531871490 \h </w:instrText>
            </w:r>
            <w:r w:rsidR="008A107E">
              <w:rPr>
                <w:webHidden/>
              </w:rPr>
            </w:r>
            <w:r w:rsidR="008A107E">
              <w:rPr>
                <w:webHidden/>
              </w:rPr>
              <w:fldChar w:fldCharType="separate"/>
            </w:r>
            <w:r w:rsidR="008A107E">
              <w:rPr>
                <w:webHidden/>
              </w:rPr>
              <w:t>7</w:t>
            </w:r>
            <w:r w:rsidR="008A107E">
              <w:rPr>
                <w:webHidden/>
              </w:rPr>
              <w:fldChar w:fldCharType="end"/>
            </w:r>
          </w:hyperlink>
        </w:p>
        <w:p w14:paraId="17DE4DA0" w14:textId="77777777" w:rsidR="008A107E" w:rsidRDefault="005C11ED">
          <w:pPr>
            <w:pStyle w:val="TOC1"/>
            <w:rPr>
              <w:rFonts w:asciiTheme="minorHAnsi" w:hAnsiTheme="minorHAnsi" w:cstheme="minorBidi"/>
              <w:b w:val="0"/>
            </w:rPr>
          </w:pPr>
          <w:hyperlink w:anchor="_Toc531871491" w:history="1">
            <w:r w:rsidR="008A107E" w:rsidRPr="00F853D3">
              <w:rPr>
                <w:rStyle w:val="Hyperlink"/>
              </w:rPr>
              <w:t>4</w:t>
            </w:r>
            <w:r w:rsidR="008A107E">
              <w:rPr>
                <w:rFonts w:asciiTheme="minorHAnsi" w:hAnsiTheme="minorHAnsi" w:cstheme="minorBidi"/>
                <w:b w:val="0"/>
              </w:rPr>
              <w:tab/>
            </w:r>
            <w:r w:rsidR="008A107E" w:rsidRPr="00F853D3">
              <w:rPr>
                <w:rStyle w:val="Hyperlink"/>
              </w:rPr>
              <w:t>Development and negotiation process</w:t>
            </w:r>
            <w:r w:rsidR="008A107E">
              <w:rPr>
                <w:webHidden/>
              </w:rPr>
              <w:tab/>
            </w:r>
            <w:r w:rsidR="008A107E">
              <w:rPr>
                <w:webHidden/>
              </w:rPr>
              <w:fldChar w:fldCharType="begin"/>
            </w:r>
            <w:r w:rsidR="008A107E">
              <w:rPr>
                <w:webHidden/>
              </w:rPr>
              <w:instrText xml:space="preserve"> PAGEREF _Toc531871491 \h </w:instrText>
            </w:r>
            <w:r w:rsidR="008A107E">
              <w:rPr>
                <w:webHidden/>
              </w:rPr>
            </w:r>
            <w:r w:rsidR="008A107E">
              <w:rPr>
                <w:webHidden/>
              </w:rPr>
              <w:fldChar w:fldCharType="separate"/>
            </w:r>
            <w:r w:rsidR="008A107E">
              <w:rPr>
                <w:webHidden/>
              </w:rPr>
              <w:t>8</w:t>
            </w:r>
            <w:r w:rsidR="008A107E">
              <w:rPr>
                <w:webHidden/>
              </w:rPr>
              <w:fldChar w:fldCharType="end"/>
            </w:r>
          </w:hyperlink>
        </w:p>
        <w:p w14:paraId="4654B3DD" w14:textId="77777777" w:rsidR="008A107E" w:rsidRDefault="005C11ED">
          <w:pPr>
            <w:pStyle w:val="TOC2"/>
            <w:rPr>
              <w:rFonts w:asciiTheme="minorHAnsi" w:hAnsiTheme="minorHAnsi" w:cstheme="minorBidi"/>
            </w:rPr>
          </w:pPr>
          <w:hyperlink w:anchor="_Toc531871492" w:history="1">
            <w:r w:rsidR="008A107E" w:rsidRPr="00F853D3">
              <w:rPr>
                <w:rStyle w:val="Hyperlink"/>
              </w:rPr>
              <w:t>4.1</w:t>
            </w:r>
            <w:r w:rsidR="008A107E">
              <w:rPr>
                <w:rFonts w:asciiTheme="minorHAnsi" w:hAnsiTheme="minorHAnsi" w:cstheme="minorBidi"/>
              </w:rPr>
              <w:tab/>
            </w:r>
            <w:r w:rsidR="008A107E" w:rsidRPr="00F853D3">
              <w:rPr>
                <w:rStyle w:val="Hyperlink"/>
              </w:rPr>
              <w:t>Negotiation principles</w:t>
            </w:r>
            <w:r w:rsidR="008A107E">
              <w:rPr>
                <w:webHidden/>
              </w:rPr>
              <w:tab/>
            </w:r>
            <w:r w:rsidR="008A107E">
              <w:rPr>
                <w:webHidden/>
              </w:rPr>
              <w:fldChar w:fldCharType="begin"/>
            </w:r>
            <w:r w:rsidR="008A107E">
              <w:rPr>
                <w:webHidden/>
              </w:rPr>
              <w:instrText xml:space="preserve"> PAGEREF _Toc531871492 \h </w:instrText>
            </w:r>
            <w:r w:rsidR="008A107E">
              <w:rPr>
                <w:webHidden/>
              </w:rPr>
            </w:r>
            <w:r w:rsidR="008A107E">
              <w:rPr>
                <w:webHidden/>
              </w:rPr>
              <w:fldChar w:fldCharType="separate"/>
            </w:r>
            <w:r w:rsidR="008A107E">
              <w:rPr>
                <w:webHidden/>
              </w:rPr>
              <w:t>8</w:t>
            </w:r>
            <w:r w:rsidR="008A107E">
              <w:rPr>
                <w:webHidden/>
              </w:rPr>
              <w:fldChar w:fldCharType="end"/>
            </w:r>
          </w:hyperlink>
        </w:p>
        <w:p w14:paraId="3A84FCBA" w14:textId="77777777" w:rsidR="008A107E" w:rsidRDefault="005C11ED">
          <w:pPr>
            <w:pStyle w:val="TOC2"/>
            <w:rPr>
              <w:rFonts w:asciiTheme="minorHAnsi" w:hAnsiTheme="minorHAnsi" w:cstheme="minorBidi"/>
            </w:rPr>
          </w:pPr>
          <w:hyperlink w:anchor="_Toc531871493" w:history="1">
            <w:r w:rsidR="008A107E" w:rsidRPr="00F853D3">
              <w:rPr>
                <w:rStyle w:val="Hyperlink"/>
              </w:rPr>
              <w:t>4.2</w:t>
            </w:r>
            <w:r w:rsidR="008A107E">
              <w:rPr>
                <w:rFonts w:asciiTheme="minorHAnsi" w:hAnsiTheme="minorHAnsi" w:cstheme="minorBidi"/>
              </w:rPr>
              <w:tab/>
            </w:r>
            <w:r w:rsidR="008A107E" w:rsidRPr="00F853D3">
              <w:rPr>
                <w:rStyle w:val="Hyperlink"/>
              </w:rPr>
              <w:t>Development design principles</w:t>
            </w:r>
            <w:r w:rsidR="008A107E">
              <w:rPr>
                <w:webHidden/>
              </w:rPr>
              <w:tab/>
            </w:r>
            <w:r w:rsidR="008A107E">
              <w:rPr>
                <w:webHidden/>
              </w:rPr>
              <w:fldChar w:fldCharType="begin"/>
            </w:r>
            <w:r w:rsidR="008A107E">
              <w:rPr>
                <w:webHidden/>
              </w:rPr>
              <w:instrText xml:space="preserve"> PAGEREF _Toc531871493 \h </w:instrText>
            </w:r>
            <w:r w:rsidR="008A107E">
              <w:rPr>
                <w:webHidden/>
              </w:rPr>
            </w:r>
            <w:r w:rsidR="008A107E">
              <w:rPr>
                <w:webHidden/>
              </w:rPr>
              <w:fldChar w:fldCharType="separate"/>
            </w:r>
            <w:r w:rsidR="008A107E">
              <w:rPr>
                <w:webHidden/>
              </w:rPr>
              <w:t>9</w:t>
            </w:r>
            <w:r w:rsidR="008A107E">
              <w:rPr>
                <w:webHidden/>
              </w:rPr>
              <w:fldChar w:fldCharType="end"/>
            </w:r>
          </w:hyperlink>
        </w:p>
        <w:p w14:paraId="1AE04470" w14:textId="77777777" w:rsidR="008A107E" w:rsidRDefault="005C11ED">
          <w:pPr>
            <w:pStyle w:val="TOC1"/>
            <w:rPr>
              <w:rFonts w:asciiTheme="minorHAnsi" w:hAnsiTheme="minorHAnsi" w:cstheme="minorBidi"/>
              <w:b w:val="0"/>
            </w:rPr>
          </w:pPr>
          <w:hyperlink w:anchor="_Toc531871494" w:history="1">
            <w:r w:rsidR="008A107E" w:rsidRPr="00F853D3">
              <w:rPr>
                <w:rStyle w:val="Hyperlink"/>
              </w:rPr>
              <w:t>5</w:t>
            </w:r>
            <w:r w:rsidR="008A107E">
              <w:rPr>
                <w:rFonts w:asciiTheme="minorHAnsi" w:hAnsiTheme="minorHAnsi" w:cstheme="minorBidi"/>
                <w:b w:val="0"/>
              </w:rPr>
              <w:tab/>
            </w:r>
            <w:r w:rsidR="008A107E" w:rsidRPr="00F853D3">
              <w:rPr>
                <w:rStyle w:val="Hyperlink"/>
              </w:rPr>
              <w:t>Endorsement and approvals process</w:t>
            </w:r>
            <w:r w:rsidR="008A107E">
              <w:rPr>
                <w:webHidden/>
              </w:rPr>
              <w:tab/>
            </w:r>
            <w:r w:rsidR="008A107E">
              <w:rPr>
                <w:webHidden/>
              </w:rPr>
              <w:fldChar w:fldCharType="begin"/>
            </w:r>
            <w:r w:rsidR="008A107E">
              <w:rPr>
                <w:webHidden/>
              </w:rPr>
              <w:instrText xml:space="preserve"> PAGEREF _Toc531871494 \h </w:instrText>
            </w:r>
            <w:r w:rsidR="008A107E">
              <w:rPr>
                <w:webHidden/>
              </w:rPr>
            </w:r>
            <w:r w:rsidR="008A107E">
              <w:rPr>
                <w:webHidden/>
              </w:rPr>
              <w:fldChar w:fldCharType="separate"/>
            </w:r>
            <w:r w:rsidR="008A107E">
              <w:rPr>
                <w:webHidden/>
              </w:rPr>
              <w:t>12</w:t>
            </w:r>
            <w:r w:rsidR="008A107E">
              <w:rPr>
                <w:webHidden/>
              </w:rPr>
              <w:fldChar w:fldCharType="end"/>
            </w:r>
          </w:hyperlink>
        </w:p>
        <w:p w14:paraId="28AE4080" w14:textId="77777777" w:rsidR="008A107E" w:rsidRDefault="005C11ED">
          <w:pPr>
            <w:pStyle w:val="TOC2"/>
            <w:rPr>
              <w:rFonts w:asciiTheme="minorHAnsi" w:hAnsiTheme="minorHAnsi" w:cstheme="minorBidi"/>
            </w:rPr>
          </w:pPr>
          <w:hyperlink w:anchor="_Toc531871495" w:history="1">
            <w:r w:rsidR="008A107E" w:rsidRPr="00F853D3">
              <w:rPr>
                <w:rStyle w:val="Hyperlink"/>
              </w:rPr>
              <w:t>5.1</w:t>
            </w:r>
            <w:r w:rsidR="008A107E">
              <w:rPr>
                <w:rFonts w:asciiTheme="minorHAnsi" w:hAnsiTheme="minorHAnsi" w:cstheme="minorBidi"/>
              </w:rPr>
              <w:tab/>
            </w:r>
            <w:r w:rsidR="008A107E" w:rsidRPr="00F853D3">
              <w:rPr>
                <w:rStyle w:val="Hyperlink"/>
              </w:rPr>
              <w:t>Whole of government initiatives</w:t>
            </w:r>
            <w:r w:rsidR="008A107E">
              <w:rPr>
                <w:webHidden/>
              </w:rPr>
              <w:tab/>
            </w:r>
            <w:r w:rsidR="008A107E">
              <w:rPr>
                <w:webHidden/>
              </w:rPr>
              <w:fldChar w:fldCharType="begin"/>
            </w:r>
            <w:r w:rsidR="008A107E">
              <w:rPr>
                <w:webHidden/>
              </w:rPr>
              <w:instrText xml:space="preserve"> PAGEREF _Toc531871495 \h </w:instrText>
            </w:r>
            <w:r w:rsidR="008A107E">
              <w:rPr>
                <w:webHidden/>
              </w:rPr>
            </w:r>
            <w:r w:rsidR="008A107E">
              <w:rPr>
                <w:webHidden/>
              </w:rPr>
              <w:fldChar w:fldCharType="separate"/>
            </w:r>
            <w:r w:rsidR="008A107E">
              <w:rPr>
                <w:webHidden/>
              </w:rPr>
              <w:t>12</w:t>
            </w:r>
            <w:r w:rsidR="008A107E">
              <w:rPr>
                <w:webHidden/>
              </w:rPr>
              <w:fldChar w:fldCharType="end"/>
            </w:r>
          </w:hyperlink>
        </w:p>
        <w:p w14:paraId="3FED30BD" w14:textId="77777777" w:rsidR="008A107E" w:rsidRDefault="005C11ED">
          <w:pPr>
            <w:pStyle w:val="TOC2"/>
            <w:rPr>
              <w:rFonts w:asciiTheme="minorHAnsi" w:hAnsiTheme="minorHAnsi" w:cstheme="minorBidi"/>
            </w:rPr>
          </w:pPr>
          <w:hyperlink w:anchor="_Toc531871496" w:history="1">
            <w:r w:rsidR="008A107E" w:rsidRPr="00F853D3">
              <w:rPr>
                <w:rStyle w:val="Hyperlink"/>
              </w:rPr>
              <w:t>5.2</w:t>
            </w:r>
            <w:r w:rsidR="008A107E">
              <w:rPr>
                <w:rFonts w:asciiTheme="minorHAnsi" w:hAnsiTheme="minorHAnsi" w:cstheme="minorBidi"/>
              </w:rPr>
              <w:tab/>
            </w:r>
            <w:r w:rsidR="008A107E" w:rsidRPr="00F853D3">
              <w:rPr>
                <w:rStyle w:val="Hyperlink"/>
              </w:rPr>
              <w:t>Agency or sector specific agreements</w:t>
            </w:r>
            <w:r w:rsidR="008A107E">
              <w:rPr>
                <w:webHidden/>
              </w:rPr>
              <w:tab/>
            </w:r>
            <w:r w:rsidR="008A107E">
              <w:rPr>
                <w:webHidden/>
              </w:rPr>
              <w:fldChar w:fldCharType="begin"/>
            </w:r>
            <w:r w:rsidR="008A107E">
              <w:rPr>
                <w:webHidden/>
              </w:rPr>
              <w:instrText xml:space="preserve"> PAGEREF _Toc531871496 \h </w:instrText>
            </w:r>
            <w:r w:rsidR="008A107E">
              <w:rPr>
                <w:webHidden/>
              </w:rPr>
            </w:r>
            <w:r w:rsidR="008A107E">
              <w:rPr>
                <w:webHidden/>
              </w:rPr>
              <w:fldChar w:fldCharType="separate"/>
            </w:r>
            <w:r w:rsidR="008A107E">
              <w:rPr>
                <w:webHidden/>
              </w:rPr>
              <w:t>12</w:t>
            </w:r>
            <w:r w:rsidR="008A107E">
              <w:rPr>
                <w:webHidden/>
              </w:rPr>
              <w:fldChar w:fldCharType="end"/>
            </w:r>
          </w:hyperlink>
        </w:p>
        <w:p w14:paraId="09738C05" w14:textId="77777777" w:rsidR="008A107E" w:rsidRDefault="005C11ED">
          <w:pPr>
            <w:pStyle w:val="TOC2"/>
            <w:rPr>
              <w:rFonts w:asciiTheme="minorHAnsi" w:hAnsiTheme="minorHAnsi" w:cstheme="minorBidi"/>
            </w:rPr>
          </w:pPr>
          <w:hyperlink w:anchor="_Toc531871497" w:history="1">
            <w:r w:rsidR="008A107E" w:rsidRPr="00F853D3">
              <w:rPr>
                <w:rStyle w:val="Hyperlink"/>
              </w:rPr>
              <w:t>5.3</w:t>
            </w:r>
            <w:r w:rsidR="008A107E">
              <w:rPr>
                <w:rFonts w:asciiTheme="minorHAnsi" w:hAnsiTheme="minorHAnsi" w:cstheme="minorBidi"/>
              </w:rPr>
              <w:tab/>
            </w:r>
            <w:r w:rsidR="008A107E" w:rsidRPr="00F853D3">
              <w:rPr>
                <w:rStyle w:val="Hyperlink"/>
              </w:rPr>
              <w:t>Ministerial correspondence</w:t>
            </w:r>
            <w:r w:rsidR="008A107E">
              <w:rPr>
                <w:webHidden/>
              </w:rPr>
              <w:tab/>
            </w:r>
            <w:r w:rsidR="008A107E">
              <w:rPr>
                <w:webHidden/>
              </w:rPr>
              <w:fldChar w:fldCharType="begin"/>
            </w:r>
            <w:r w:rsidR="008A107E">
              <w:rPr>
                <w:webHidden/>
              </w:rPr>
              <w:instrText xml:space="preserve"> PAGEREF _Toc531871497 \h </w:instrText>
            </w:r>
            <w:r w:rsidR="008A107E">
              <w:rPr>
                <w:webHidden/>
              </w:rPr>
            </w:r>
            <w:r w:rsidR="008A107E">
              <w:rPr>
                <w:webHidden/>
              </w:rPr>
              <w:fldChar w:fldCharType="separate"/>
            </w:r>
            <w:r w:rsidR="008A107E">
              <w:rPr>
                <w:webHidden/>
              </w:rPr>
              <w:t>13</w:t>
            </w:r>
            <w:r w:rsidR="008A107E">
              <w:rPr>
                <w:webHidden/>
              </w:rPr>
              <w:fldChar w:fldCharType="end"/>
            </w:r>
          </w:hyperlink>
        </w:p>
        <w:p w14:paraId="30CF48A0" w14:textId="77777777" w:rsidR="008A107E" w:rsidRDefault="005C11ED">
          <w:pPr>
            <w:pStyle w:val="TOC1"/>
            <w:rPr>
              <w:rFonts w:asciiTheme="minorHAnsi" w:hAnsiTheme="minorHAnsi" w:cstheme="minorBidi"/>
              <w:b w:val="0"/>
            </w:rPr>
          </w:pPr>
          <w:hyperlink w:anchor="_Toc531871498" w:history="1">
            <w:r w:rsidR="008A107E" w:rsidRPr="00F853D3">
              <w:rPr>
                <w:rStyle w:val="Hyperlink"/>
              </w:rPr>
              <w:t>6</w:t>
            </w:r>
            <w:r w:rsidR="008A107E">
              <w:rPr>
                <w:rFonts w:asciiTheme="minorHAnsi" w:hAnsiTheme="minorHAnsi" w:cstheme="minorBidi"/>
                <w:b w:val="0"/>
              </w:rPr>
              <w:tab/>
            </w:r>
            <w:r w:rsidR="008A107E" w:rsidRPr="00F853D3">
              <w:rPr>
                <w:rStyle w:val="Hyperlink"/>
              </w:rPr>
              <w:t>Managing Commonwealth funding agreements</w:t>
            </w:r>
            <w:r w:rsidR="008A107E">
              <w:rPr>
                <w:webHidden/>
              </w:rPr>
              <w:tab/>
            </w:r>
            <w:r w:rsidR="008A107E">
              <w:rPr>
                <w:webHidden/>
              </w:rPr>
              <w:fldChar w:fldCharType="begin"/>
            </w:r>
            <w:r w:rsidR="008A107E">
              <w:rPr>
                <w:webHidden/>
              </w:rPr>
              <w:instrText xml:space="preserve"> PAGEREF _Toc531871498 \h </w:instrText>
            </w:r>
            <w:r w:rsidR="008A107E">
              <w:rPr>
                <w:webHidden/>
              </w:rPr>
            </w:r>
            <w:r w:rsidR="008A107E">
              <w:rPr>
                <w:webHidden/>
              </w:rPr>
              <w:fldChar w:fldCharType="separate"/>
            </w:r>
            <w:r w:rsidR="008A107E">
              <w:rPr>
                <w:webHidden/>
              </w:rPr>
              <w:t>14</w:t>
            </w:r>
            <w:r w:rsidR="008A107E">
              <w:rPr>
                <w:webHidden/>
              </w:rPr>
              <w:fldChar w:fldCharType="end"/>
            </w:r>
          </w:hyperlink>
        </w:p>
        <w:p w14:paraId="1B21ED6E" w14:textId="77777777" w:rsidR="008A107E" w:rsidRDefault="005C11ED">
          <w:pPr>
            <w:pStyle w:val="TOC2"/>
            <w:rPr>
              <w:rFonts w:asciiTheme="minorHAnsi" w:hAnsiTheme="minorHAnsi" w:cstheme="minorBidi"/>
            </w:rPr>
          </w:pPr>
          <w:hyperlink w:anchor="_Toc531871499" w:history="1">
            <w:r w:rsidR="008A107E" w:rsidRPr="00F853D3">
              <w:rPr>
                <w:rStyle w:val="Hyperlink"/>
              </w:rPr>
              <w:t>6.1</w:t>
            </w:r>
            <w:r w:rsidR="008A107E">
              <w:rPr>
                <w:rFonts w:asciiTheme="minorHAnsi" w:hAnsiTheme="minorHAnsi" w:cstheme="minorBidi"/>
              </w:rPr>
              <w:tab/>
            </w:r>
            <w:r w:rsidR="008A107E" w:rsidRPr="00F853D3">
              <w:rPr>
                <w:rStyle w:val="Hyperlink"/>
              </w:rPr>
              <w:t>Funding and performance risks</w:t>
            </w:r>
            <w:r w:rsidR="008A107E">
              <w:rPr>
                <w:webHidden/>
              </w:rPr>
              <w:tab/>
            </w:r>
            <w:r w:rsidR="008A107E">
              <w:rPr>
                <w:webHidden/>
              </w:rPr>
              <w:fldChar w:fldCharType="begin"/>
            </w:r>
            <w:r w:rsidR="008A107E">
              <w:rPr>
                <w:webHidden/>
              </w:rPr>
              <w:instrText xml:space="preserve"> PAGEREF _Toc531871499 \h </w:instrText>
            </w:r>
            <w:r w:rsidR="008A107E">
              <w:rPr>
                <w:webHidden/>
              </w:rPr>
            </w:r>
            <w:r w:rsidR="008A107E">
              <w:rPr>
                <w:webHidden/>
              </w:rPr>
              <w:fldChar w:fldCharType="separate"/>
            </w:r>
            <w:r w:rsidR="008A107E">
              <w:rPr>
                <w:webHidden/>
              </w:rPr>
              <w:t>14</w:t>
            </w:r>
            <w:r w:rsidR="008A107E">
              <w:rPr>
                <w:webHidden/>
              </w:rPr>
              <w:fldChar w:fldCharType="end"/>
            </w:r>
          </w:hyperlink>
        </w:p>
        <w:p w14:paraId="7F9E5D7D" w14:textId="77777777" w:rsidR="008A107E" w:rsidRDefault="005C11ED">
          <w:pPr>
            <w:pStyle w:val="TOC2"/>
            <w:rPr>
              <w:rFonts w:asciiTheme="minorHAnsi" w:hAnsiTheme="minorHAnsi" w:cstheme="minorBidi"/>
            </w:rPr>
          </w:pPr>
          <w:hyperlink w:anchor="_Toc531871500" w:history="1">
            <w:r w:rsidR="008A107E" w:rsidRPr="00F853D3">
              <w:rPr>
                <w:rStyle w:val="Hyperlink"/>
              </w:rPr>
              <w:t>6.2</w:t>
            </w:r>
            <w:r w:rsidR="008A107E">
              <w:rPr>
                <w:rFonts w:asciiTheme="minorHAnsi" w:hAnsiTheme="minorHAnsi" w:cstheme="minorBidi"/>
              </w:rPr>
              <w:tab/>
            </w:r>
            <w:r w:rsidR="008A107E" w:rsidRPr="00F853D3">
              <w:rPr>
                <w:rStyle w:val="Hyperlink"/>
              </w:rPr>
              <w:t>Reporting arrangements</w:t>
            </w:r>
            <w:r w:rsidR="008A107E">
              <w:rPr>
                <w:webHidden/>
              </w:rPr>
              <w:tab/>
            </w:r>
            <w:r w:rsidR="008A107E">
              <w:rPr>
                <w:webHidden/>
              </w:rPr>
              <w:fldChar w:fldCharType="begin"/>
            </w:r>
            <w:r w:rsidR="008A107E">
              <w:rPr>
                <w:webHidden/>
              </w:rPr>
              <w:instrText xml:space="preserve"> PAGEREF _Toc531871500 \h </w:instrText>
            </w:r>
            <w:r w:rsidR="008A107E">
              <w:rPr>
                <w:webHidden/>
              </w:rPr>
            </w:r>
            <w:r w:rsidR="008A107E">
              <w:rPr>
                <w:webHidden/>
              </w:rPr>
              <w:fldChar w:fldCharType="separate"/>
            </w:r>
            <w:r w:rsidR="008A107E">
              <w:rPr>
                <w:webHidden/>
              </w:rPr>
              <w:t>14</w:t>
            </w:r>
            <w:r w:rsidR="008A107E">
              <w:rPr>
                <w:webHidden/>
              </w:rPr>
              <w:fldChar w:fldCharType="end"/>
            </w:r>
          </w:hyperlink>
        </w:p>
        <w:p w14:paraId="79757E04" w14:textId="77777777" w:rsidR="008A107E" w:rsidRDefault="005C11ED">
          <w:pPr>
            <w:pStyle w:val="TOC2"/>
            <w:rPr>
              <w:rFonts w:asciiTheme="minorHAnsi" w:hAnsiTheme="minorHAnsi" w:cstheme="minorBidi"/>
            </w:rPr>
          </w:pPr>
          <w:hyperlink w:anchor="_Toc531871501" w:history="1">
            <w:r w:rsidR="008A107E" w:rsidRPr="00F853D3">
              <w:rPr>
                <w:rStyle w:val="Hyperlink"/>
              </w:rPr>
              <w:t>6.3</w:t>
            </w:r>
            <w:r w:rsidR="008A107E">
              <w:rPr>
                <w:rFonts w:asciiTheme="minorHAnsi" w:hAnsiTheme="minorHAnsi" w:cstheme="minorBidi"/>
              </w:rPr>
              <w:tab/>
            </w:r>
            <w:r w:rsidR="008A107E" w:rsidRPr="00F853D3">
              <w:rPr>
                <w:rStyle w:val="Hyperlink"/>
              </w:rPr>
              <w:t>Reviews</w:t>
            </w:r>
            <w:r w:rsidR="008A107E">
              <w:rPr>
                <w:webHidden/>
              </w:rPr>
              <w:tab/>
            </w:r>
            <w:r w:rsidR="008A107E">
              <w:rPr>
                <w:webHidden/>
              </w:rPr>
              <w:fldChar w:fldCharType="begin"/>
            </w:r>
            <w:r w:rsidR="008A107E">
              <w:rPr>
                <w:webHidden/>
              </w:rPr>
              <w:instrText xml:space="preserve"> PAGEREF _Toc531871501 \h </w:instrText>
            </w:r>
            <w:r w:rsidR="008A107E">
              <w:rPr>
                <w:webHidden/>
              </w:rPr>
            </w:r>
            <w:r w:rsidR="008A107E">
              <w:rPr>
                <w:webHidden/>
              </w:rPr>
              <w:fldChar w:fldCharType="separate"/>
            </w:r>
            <w:r w:rsidR="008A107E">
              <w:rPr>
                <w:webHidden/>
              </w:rPr>
              <w:t>14</w:t>
            </w:r>
            <w:r w:rsidR="008A107E">
              <w:rPr>
                <w:webHidden/>
              </w:rPr>
              <w:fldChar w:fldCharType="end"/>
            </w:r>
          </w:hyperlink>
        </w:p>
        <w:p w14:paraId="2B70582A" w14:textId="77777777" w:rsidR="008A107E" w:rsidRDefault="005C11ED">
          <w:pPr>
            <w:pStyle w:val="TOC2"/>
            <w:rPr>
              <w:rFonts w:asciiTheme="minorHAnsi" w:hAnsiTheme="minorHAnsi" w:cstheme="minorBidi"/>
            </w:rPr>
          </w:pPr>
          <w:hyperlink w:anchor="_Toc531871502" w:history="1">
            <w:r w:rsidR="008A107E" w:rsidRPr="00F853D3">
              <w:rPr>
                <w:rStyle w:val="Hyperlink"/>
              </w:rPr>
              <w:t>6.4</w:t>
            </w:r>
            <w:r w:rsidR="008A107E">
              <w:rPr>
                <w:rFonts w:asciiTheme="minorHAnsi" w:hAnsiTheme="minorHAnsi" w:cstheme="minorBidi"/>
              </w:rPr>
              <w:tab/>
            </w:r>
            <w:r w:rsidR="008A107E" w:rsidRPr="00F853D3">
              <w:rPr>
                <w:rStyle w:val="Hyperlink"/>
              </w:rPr>
              <w:t>Expiring agreements</w:t>
            </w:r>
            <w:r w:rsidR="008A107E">
              <w:rPr>
                <w:webHidden/>
              </w:rPr>
              <w:tab/>
            </w:r>
            <w:r w:rsidR="008A107E">
              <w:rPr>
                <w:webHidden/>
              </w:rPr>
              <w:fldChar w:fldCharType="begin"/>
            </w:r>
            <w:r w:rsidR="008A107E">
              <w:rPr>
                <w:webHidden/>
              </w:rPr>
              <w:instrText xml:space="preserve"> PAGEREF _Toc531871502 \h </w:instrText>
            </w:r>
            <w:r w:rsidR="008A107E">
              <w:rPr>
                <w:webHidden/>
              </w:rPr>
            </w:r>
            <w:r w:rsidR="008A107E">
              <w:rPr>
                <w:webHidden/>
              </w:rPr>
              <w:fldChar w:fldCharType="separate"/>
            </w:r>
            <w:r w:rsidR="008A107E">
              <w:rPr>
                <w:webHidden/>
              </w:rPr>
              <w:t>14</w:t>
            </w:r>
            <w:r w:rsidR="008A107E">
              <w:rPr>
                <w:webHidden/>
              </w:rPr>
              <w:fldChar w:fldCharType="end"/>
            </w:r>
          </w:hyperlink>
        </w:p>
        <w:p w14:paraId="0FF30EB7" w14:textId="77777777" w:rsidR="008A107E" w:rsidRDefault="005C11ED">
          <w:pPr>
            <w:pStyle w:val="TOC2"/>
            <w:rPr>
              <w:rFonts w:asciiTheme="minorHAnsi" w:hAnsiTheme="minorHAnsi" w:cstheme="minorBidi"/>
            </w:rPr>
          </w:pPr>
          <w:hyperlink w:anchor="_Toc531871503" w:history="1">
            <w:r w:rsidR="008A107E" w:rsidRPr="00F853D3">
              <w:rPr>
                <w:rStyle w:val="Hyperlink"/>
              </w:rPr>
              <w:t>6.5</w:t>
            </w:r>
            <w:r w:rsidR="008A107E">
              <w:rPr>
                <w:rFonts w:asciiTheme="minorHAnsi" w:hAnsiTheme="minorHAnsi" w:cstheme="minorBidi"/>
              </w:rPr>
              <w:tab/>
            </w:r>
            <w:r w:rsidR="008A107E" w:rsidRPr="00F853D3">
              <w:rPr>
                <w:rStyle w:val="Hyperlink"/>
              </w:rPr>
              <w:t>Variation of agreements</w:t>
            </w:r>
            <w:r w:rsidR="008A107E">
              <w:rPr>
                <w:webHidden/>
              </w:rPr>
              <w:tab/>
            </w:r>
            <w:r w:rsidR="008A107E">
              <w:rPr>
                <w:webHidden/>
              </w:rPr>
              <w:fldChar w:fldCharType="begin"/>
            </w:r>
            <w:r w:rsidR="008A107E">
              <w:rPr>
                <w:webHidden/>
              </w:rPr>
              <w:instrText xml:space="preserve"> PAGEREF _Toc531871503 \h </w:instrText>
            </w:r>
            <w:r w:rsidR="008A107E">
              <w:rPr>
                <w:webHidden/>
              </w:rPr>
            </w:r>
            <w:r w:rsidR="008A107E">
              <w:rPr>
                <w:webHidden/>
              </w:rPr>
              <w:fldChar w:fldCharType="separate"/>
            </w:r>
            <w:r w:rsidR="008A107E">
              <w:rPr>
                <w:webHidden/>
              </w:rPr>
              <w:t>14</w:t>
            </w:r>
            <w:r w:rsidR="008A107E">
              <w:rPr>
                <w:webHidden/>
              </w:rPr>
              <w:fldChar w:fldCharType="end"/>
            </w:r>
          </w:hyperlink>
        </w:p>
        <w:p w14:paraId="7A883295" w14:textId="77777777" w:rsidR="008A107E" w:rsidRDefault="005C11ED">
          <w:pPr>
            <w:pStyle w:val="TOC2"/>
            <w:rPr>
              <w:rFonts w:asciiTheme="minorHAnsi" w:hAnsiTheme="minorHAnsi" w:cstheme="minorBidi"/>
            </w:rPr>
          </w:pPr>
          <w:hyperlink w:anchor="_Toc531871504" w:history="1">
            <w:r w:rsidR="008A107E" w:rsidRPr="00F853D3">
              <w:rPr>
                <w:rStyle w:val="Hyperlink"/>
              </w:rPr>
              <w:t>6.6</w:t>
            </w:r>
            <w:r w:rsidR="008A107E">
              <w:rPr>
                <w:rFonts w:asciiTheme="minorHAnsi" w:hAnsiTheme="minorHAnsi" w:cstheme="minorBidi"/>
              </w:rPr>
              <w:tab/>
            </w:r>
            <w:r w:rsidR="008A107E" w:rsidRPr="00F853D3">
              <w:rPr>
                <w:rStyle w:val="Hyperlink"/>
              </w:rPr>
              <w:t>Performance audits</w:t>
            </w:r>
            <w:r w:rsidR="008A107E">
              <w:rPr>
                <w:webHidden/>
              </w:rPr>
              <w:tab/>
            </w:r>
            <w:r w:rsidR="008A107E">
              <w:rPr>
                <w:webHidden/>
              </w:rPr>
              <w:fldChar w:fldCharType="begin"/>
            </w:r>
            <w:r w:rsidR="008A107E">
              <w:rPr>
                <w:webHidden/>
              </w:rPr>
              <w:instrText xml:space="preserve"> PAGEREF _Toc531871504 \h </w:instrText>
            </w:r>
            <w:r w:rsidR="008A107E">
              <w:rPr>
                <w:webHidden/>
              </w:rPr>
            </w:r>
            <w:r w:rsidR="008A107E">
              <w:rPr>
                <w:webHidden/>
              </w:rPr>
              <w:fldChar w:fldCharType="separate"/>
            </w:r>
            <w:r w:rsidR="008A107E">
              <w:rPr>
                <w:webHidden/>
              </w:rPr>
              <w:t>15</w:t>
            </w:r>
            <w:r w:rsidR="008A107E">
              <w:rPr>
                <w:webHidden/>
              </w:rPr>
              <w:fldChar w:fldCharType="end"/>
            </w:r>
          </w:hyperlink>
        </w:p>
        <w:p w14:paraId="56096F7F" w14:textId="77777777" w:rsidR="008A107E" w:rsidRDefault="005C11ED">
          <w:pPr>
            <w:pStyle w:val="TOC1"/>
            <w:rPr>
              <w:rFonts w:asciiTheme="minorHAnsi" w:hAnsiTheme="minorHAnsi" w:cstheme="minorBidi"/>
              <w:b w:val="0"/>
            </w:rPr>
          </w:pPr>
          <w:hyperlink w:anchor="_Toc531871505" w:history="1">
            <w:r w:rsidR="008A107E" w:rsidRPr="00F853D3">
              <w:rPr>
                <w:rStyle w:val="Hyperlink"/>
              </w:rPr>
              <w:t>7</w:t>
            </w:r>
            <w:r w:rsidR="008A107E">
              <w:rPr>
                <w:rFonts w:asciiTheme="minorHAnsi" w:hAnsiTheme="minorHAnsi" w:cstheme="minorBidi"/>
                <w:b w:val="0"/>
              </w:rPr>
              <w:tab/>
            </w:r>
            <w:r w:rsidR="008A107E" w:rsidRPr="00F853D3">
              <w:rPr>
                <w:rStyle w:val="Hyperlink"/>
              </w:rPr>
              <w:t>Glossary</w:t>
            </w:r>
            <w:r w:rsidR="008A107E">
              <w:rPr>
                <w:webHidden/>
              </w:rPr>
              <w:tab/>
            </w:r>
            <w:r w:rsidR="008A107E">
              <w:rPr>
                <w:webHidden/>
              </w:rPr>
              <w:fldChar w:fldCharType="begin"/>
            </w:r>
            <w:r w:rsidR="008A107E">
              <w:rPr>
                <w:webHidden/>
              </w:rPr>
              <w:instrText xml:space="preserve"> PAGEREF _Toc531871505 \h </w:instrText>
            </w:r>
            <w:r w:rsidR="008A107E">
              <w:rPr>
                <w:webHidden/>
              </w:rPr>
            </w:r>
            <w:r w:rsidR="008A107E">
              <w:rPr>
                <w:webHidden/>
              </w:rPr>
              <w:fldChar w:fldCharType="separate"/>
            </w:r>
            <w:r w:rsidR="008A107E">
              <w:rPr>
                <w:webHidden/>
              </w:rPr>
              <w:t>16</w:t>
            </w:r>
            <w:r w:rsidR="008A107E">
              <w:rPr>
                <w:webHidden/>
              </w:rPr>
              <w:fldChar w:fldCharType="end"/>
            </w:r>
          </w:hyperlink>
        </w:p>
        <w:p w14:paraId="7AF1D9DC" w14:textId="0BE0B6D8" w:rsidR="00BA3A96" w:rsidRDefault="0098496B">
          <w:r>
            <w:rPr>
              <w:rFonts w:eastAsiaTheme="minorEastAsia" w:cs="Arial"/>
              <w:b/>
              <w:bCs/>
              <w:noProof/>
              <w:lang w:eastAsia="en-AU"/>
            </w:rPr>
            <w:fldChar w:fldCharType="end"/>
          </w:r>
        </w:p>
      </w:sdtContent>
    </w:sdt>
    <w:p w14:paraId="51AE089B" w14:textId="77777777" w:rsidR="00420C06" w:rsidRPr="006D3B70" w:rsidRDefault="00420C06" w:rsidP="00420C06"/>
    <w:p w14:paraId="1C8D060A" w14:textId="77777777" w:rsidR="00420C06" w:rsidRPr="006D3B70" w:rsidRDefault="00420C06" w:rsidP="00420C06">
      <w:pPr>
        <w:sectPr w:rsidR="00420C06" w:rsidRPr="006D3B70" w:rsidSect="007D55DF">
          <w:headerReference w:type="default" r:id="rId17"/>
          <w:headerReference w:type="first" r:id="rId18"/>
          <w:pgSz w:w="11906" w:h="16838" w:code="9"/>
          <w:pgMar w:top="1134" w:right="1134" w:bottom="1134" w:left="1134" w:header="709" w:footer="0" w:gutter="0"/>
          <w:cols w:space="708"/>
          <w:docGrid w:linePitch="360"/>
        </w:sectPr>
      </w:pPr>
    </w:p>
    <w:p w14:paraId="692D7E67" w14:textId="7CE81824" w:rsidR="002908B1" w:rsidRDefault="00E5369B" w:rsidP="00540BAA">
      <w:pPr>
        <w:pStyle w:val="Heading1"/>
        <w:ind w:left="426" w:hanging="426"/>
      </w:pPr>
      <w:bookmarkStart w:id="0" w:name="_Toc531871481"/>
      <w:r>
        <w:lastRenderedPageBreak/>
        <w:t>Introduction</w:t>
      </w:r>
      <w:bookmarkEnd w:id="0"/>
    </w:p>
    <w:p w14:paraId="11572E48" w14:textId="1C18A243" w:rsidR="00E5369B" w:rsidRDefault="00540BAA" w:rsidP="006C2318">
      <w:pPr>
        <w:pStyle w:val="Heading2"/>
        <w:ind w:left="851" w:hanging="860"/>
      </w:pPr>
      <w:bookmarkStart w:id="1" w:name="_Toc531871482"/>
      <w:r>
        <w:t>Purpose</w:t>
      </w:r>
      <w:bookmarkEnd w:id="1"/>
    </w:p>
    <w:p w14:paraId="0734563A" w14:textId="278AB9E7" w:rsidR="00540BAA" w:rsidRDefault="00540BAA" w:rsidP="00540BAA">
      <w:r>
        <w:t xml:space="preserve">To provide best practice guidance to assist accountable officers and agencies to meet their obligations under the Treasurer’s Direction – Commonwealth Funding Agreements, the </w:t>
      </w:r>
      <w:r w:rsidRPr="001C455F">
        <w:rPr>
          <w:i/>
        </w:rPr>
        <w:t>Financial Management Act</w:t>
      </w:r>
      <w:r w:rsidRPr="00F859F1">
        <w:t xml:space="preserve"> (FMA)</w:t>
      </w:r>
      <w:r>
        <w:rPr>
          <w:i/>
        </w:rPr>
        <w:t xml:space="preserve">, </w:t>
      </w:r>
      <w:r>
        <w:t>and other relevant legislation.</w:t>
      </w:r>
    </w:p>
    <w:p w14:paraId="3B90806E" w14:textId="78EB45F4" w:rsidR="00265DC9" w:rsidRDefault="00265DC9" w:rsidP="00E5369B">
      <w:r>
        <w:t xml:space="preserve">Guidance material in </w:t>
      </w:r>
      <w:r w:rsidR="00363465">
        <w:t xml:space="preserve">this document is not </w:t>
      </w:r>
      <w:r w:rsidR="007C2A8A">
        <w:t>mandatory.</w:t>
      </w:r>
      <w:r>
        <w:t xml:space="preserve"> If a conflict arises between this guidance document and the Treasurer’s Directions or other legislative requirements, the legislation takes precedence followed by the Treasurer’s Directions.</w:t>
      </w:r>
    </w:p>
    <w:p w14:paraId="0E445031" w14:textId="77777777" w:rsidR="00540BAA" w:rsidRDefault="00540BAA" w:rsidP="00540BAA">
      <w:r>
        <w:t>The Treasurer’s Directions generally designate responsibility to the accountable officer. Unless specifically excluded by the FMA or Treasurer’s Directions, accountable officers may choose to delegate certain responsibilities and functions to agency employees. This can be done through a number of mechanisms, such as accountable officer approved policies, procedures and agency delegations.</w:t>
      </w:r>
    </w:p>
    <w:p w14:paraId="40E79C58" w14:textId="77777777" w:rsidR="00265DC9" w:rsidRDefault="00265DC9" w:rsidP="00E5369B">
      <w:r>
        <w:t>Responsibilities assigned to ministers cannot be delegated.</w:t>
      </w:r>
    </w:p>
    <w:p w14:paraId="1065C060" w14:textId="1ACF9F3A" w:rsidR="00265DC9" w:rsidRDefault="00265DC9" w:rsidP="006C2318">
      <w:pPr>
        <w:pStyle w:val="Heading2"/>
        <w:ind w:left="851" w:hanging="860"/>
      </w:pPr>
      <w:bookmarkStart w:id="2" w:name="_Toc531871483"/>
      <w:r>
        <w:t>Statement</w:t>
      </w:r>
      <w:bookmarkEnd w:id="2"/>
    </w:p>
    <w:p w14:paraId="2A91E5A3" w14:textId="04BC395D" w:rsidR="007C2A8A" w:rsidRDefault="007C2A8A" w:rsidP="00265DC9">
      <w:r>
        <w:t>The objectiv</w:t>
      </w:r>
      <w:r w:rsidR="00DD5446">
        <w:t xml:space="preserve">es of the Treasurer’s Direction – Commonwealth </w:t>
      </w:r>
      <w:r>
        <w:t>funding agreements and this guide are to establish a framework that minimises the financial risk</w:t>
      </w:r>
      <w:r w:rsidR="00E814C1">
        <w:t xml:space="preserve"> posed by Commonwealth funding agreements</w:t>
      </w:r>
      <w:r>
        <w:t xml:space="preserve"> to the Northern Territory </w:t>
      </w:r>
      <w:r w:rsidR="001514DA">
        <w:t xml:space="preserve">(NT) </w:t>
      </w:r>
      <w:r>
        <w:t>Government. This is achieved through good design principles, allocating roles and responsibilities</w:t>
      </w:r>
      <w:r w:rsidR="00586B87">
        <w:t>,</w:t>
      </w:r>
      <w:r>
        <w:t xml:space="preserve"> and establishing processes requiring endorsement and approvals commensurate with the financial risks of each Commonwealth funding agreement.</w:t>
      </w:r>
    </w:p>
    <w:p w14:paraId="3A2371FC" w14:textId="77777777" w:rsidR="00265DC9" w:rsidRDefault="0024451B" w:rsidP="00265DC9">
      <w:r>
        <w:t>Agencies are strongly encouraged to ensure all employees engaged in developing, negotiating, and seeking approval for Commonwealth funding agreements are aware of and have access to this guide.</w:t>
      </w:r>
    </w:p>
    <w:p w14:paraId="7CD8AD3B" w14:textId="3EE5986A" w:rsidR="0024451B" w:rsidRDefault="0024451B" w:rsidP="006C2318">
      <w:pPr>
        <w:pStyle w:val="Heading2"/>
        <w:ind w:left="851" w:hanging="860"/>
      </w:pPr>
      <w:bookmarkStart w:id="3" w:name="_Toc531871484"/>
      <w:r>
        <w:t>Legislative basis and related documents</w:t>
      </w:r>
      <w:bookmarkEnd w:id="3"/>
    </w:p>
    <w:p w14:paraId="1F7AA4BA" w14:textId="76F0B50E" w:rsidR="0024451B" w:rsidRDefault="0024451B" w:rsidP="00E34EE3">
      <w:pPr>
        <w:pStyle w:val="ListBullet"/>
        <w:numPr>
          <w:ilvl w:val="0"/>
          <w:numId w:val="18"/>
        </w:numPr>
      </w:pPr>
      <w:r>
        <w:t>FMA</w:t>
      </w:r>
    </w:p>
    <w:p w14:paraId="3EA18B13" w14:textId="5B3EC553" w:rsidR="00BD1F84" w:rsidRDefault="00BD1F84" w:rsidP="00E34EE3">
      <w:pPr>
        <w:pStyle w:val="ListBullet"/>
        <w:numPr>
          <w:ilvl w:val="0"/>
          <w:numId w:val="18"/>
        </w:numPr>
      </w:pPr>
      <w:r>
        <w:t>Intergovernmental Agreement on Federal Financial Relations</w:t>
      </w:r>
      <w:r w:rsidR="008E4DA5">
        <w:t xml:space="preserve"> (IGA)</w:t>
      </w:r>
    </w:p>
    <w:p w14:paraId="2F53B2AA" w14:textId="4F6DABB3" w:rsidR="002B3717" w:rsidRDefault="002B3717" w:rsidP="00E34EE3">
      <w:pPr>
        <w:pStyle w:val="ListBullet"/>
        <w:numPr>
          <w:ilvl w:val="0"/>
          <w:numId w:val="18"/>
        </w:numPr>
      </w:pPr>
      <w:r>
        <w:t>Treasurer’</w:t>
      </w:r>
      <w:r w:rsidR="007F051B">
        <w:t>s Direction</w:t>
      </w:r>
      <w:r w:rsidR="00540BAA">
        <w:t> </w:t>
      </w:r>
      <w:r>
        <w:t>–</w:t>
      </w:r>
      <w:r w:rsidR="00540BAA">
        <w:t> </w:t>
      </w:r>
      <w:r>
        <w:t>Commonwealth funding agreements</w:t>
      </w:r>
    </w:p>
    <w:p w14:paraId="3751828C" w14:textId="7FEE623B" w:rsidR="002B3717" w:rsidRDefault="002B3717" w:rsidP="00E34EE3">
      <w:pPr>
        <w:pStyle w:val="ListBullet"/>
        <w:numPr>
          <w:ilvl w:val="0"/>
          <w:numId w:val="18"/>
        </w:numPr>
      </w:pPr>
      <w:r>
        <w:t>Flowchart</w:t>
      </w:r>
      <w:r w:rsidR="00540BAA">
        <w:t> </w:t>
      </w:r>
      <w:r>
        <w:t>–</w:t>
      </w:r>
      <w:r w:rsidR="00540BAA">
        <w:t> </w:t>
      </w:r>
      <w:r>
        <w:t>Commonwealth funding agreements process</w:t>
      </w:r>
      <w:r w:rsidR="008A107E">
        <w:t>.</w:t>
      </w:r>
    </w:p>
    <w:p w14:paraId="1C72CF3E" w14:textId="49C1E747" w:rsidR="0024451B" w:rsidRDefault="0024451B" w:rsidP="006C2318">
      <w:pPr>
        <w:pStyle w:val="Heading2"/>
        <w:ind w:left="851" w:hanging="860"/>
      </w:pPr>
      <w:bookmarkStart w:id="4" w:name="_Toc531871485"/>
      <w:r>
        <w:t>Background</w:t>
      </w:r>
      <w:bookmarkEnd w:id="4"/>
    </w:p>
    <w:p w14:paraId="7B85368A" w14:textId="43F14BD3" w:rsidR="0024451B" w:rsidRDefault="001C3ED8" w:rsidP="0024451B">
      <w:r>
        <w:t>Commonwealth funding agr</w:t>
      </w:r>
      <w:r w:rsidR="008D3FF0">
        <w:t xml:space="preserve">eements (excluding Commonwealth own-purpose </w:t>
      </w:r>
      <w:r>
        <w:t>expense</w:t>
      </w:r>
      <w:r w:rsidR="00586B87">
        <w:t>s</w:t>
      </w:r>
      <w:r>
        <w:t xml:space="preserve">) are governed by the </w:t>
      </w:r>
      <w:r w:rsidR="00AF1E12">
        <w:t>IGA</w:t>
      </w:r>
      <w:r>
        <w:t>, which establishes a framework for collaboration on policy development and service delivery</w:t>
      </w:r>
      <w:r w:rsidR="00586B87">
        <w:t>,</w:t>
      </w:r>
      <w:r>
        <w:t xml:space="preserve"> and facilitate</w:t>
      </w:r>
      <w:r w:rsidR="00586B87">
        <w:t>s</w:t>
      </w:r>
      <w:r>
        <w:t xml:space="preserve"> implementing economic and social reforms in areas of national importance.</w:t>
      </w:r>
    </w:p>
    <w:p w14:paraId="408A551A" w14:textId="24827BC6" w:rsidR="001C3ED8" w:rsidRDefault="00B018AB" w:rsidP="0024451B">
      <w:r>
        <w:t xml:space="preserve">The </w:t>
      </w:r>
      <w:r w:rsidR="000B7924">
        <w:t>IGA</w:t>
      </w:r>
      <w:r>
        <w:t xml:space="preserve"> aims to benefit all Australians through fair and sustainable financial arrangements that recognise the primary roles of the states</w:t>
      </w:r>
      <w:r w:rsidR="00540BAA">
        <w:t xml:space="preserve"> and </w:t>
      </w:r>
      <w:r w:rsidR="00DD5446">
        <w:t xml:space="preserve">territories </w:t>
      </w:r>
      <w:r>
        <w:t xml:space="preserve">in delivering government services in key sectors and provide ongoing financial support for those services, while acknowledging the role of the </w:t>
      </w:r>
      <w:r w:rsidR="002D216D">
        <w:t>Australian</w:t>
      </w:r>
      <w:r w:rsidR="00540BAA">
        <w:t> </w:t>
      </w:r>
      <w:r w:rsidR="002D216D">
        <w:t>Government</w:t>
      </w:r>
      <w:r>
        <w:t xml:space="preserve"> in supporting the achievement of national outcomes to improve the wellbeing of all Australians.</w:t>
      </w:r>
    </w:p>
    <w:p w14:paraId="512C0D35" w14:textId="77777777" w:rsidR="002B3717" w:rsidRDefault="002B3717">
      <w:pPr>
        <w:rPr>
          <w:rFonts w:cs="Arial"/>
          <w:b/>
          <w:bCs/>
          <w:sz w:val="24"/>
          <w:szCs w:val="26"/>
        </w:rPr>
      </w:pPr>
      <w:r>
        <w:br w:type="page"/>
      </w:r>
    </w:p>
    <w:p w14:paraId="15EFA1C9" w14:textId="00838904" w:rsidR="002D216D" w:rsidRDefault="002D216D" w:rsidP="006C2318">
      <w:pPr>
        <w:pStyle w:val="Heading3"/>
        <w:ind w:left="851" w:hanging="851"/>
      </w:pPr>
      <w:r>
        <w:lastRenderedPageBreak/>
        <w:t>Financial support</w:t>
      </w:r>
    </w:p>
    <w:p w14:paraId="251E5F9B" w14:textId="66ACBB3B" w:rsidR="002D216D" w:rsidRDefault="002D216D" w:rsidP="002D216D">
      <w:r>
        <w:t xml:space="preserve">Under the </w:t>
      </w:r>
      <w:r w:rsidR="000B7924">
        <w:t>IGA</w:t>
      </w:r>
      <w:r>
        <w:t>, the Australian</w:t>
      </w:r>
      <w:r w:rsidR="00540BAA">
        <w:t> </w:t>
      </w:r>
      <w:r>
        <w:t xml:space="preserve">Government provides financial support for </w:t>
      </w:r>
      <w:r w:rsidR="003D6C25">
        <w:t>states and territories</w:t>
      </w:r>
      <w:r w:rsidR="002A008E">
        <w:t xml:space="preserve"> service delivery efforts, such as</w:t>
      </w:r>
      <w:r>
        <w:t>:</w:t>
      </w:r>
    </w:p>
    <w:p w14:paraId="19469102" w14:textId="05150ED6" w:rsidR="002D216D" w:rsidRDefault="002D216D" w:rsidP="00E34EE3">
      <w:pPr>
        <w:pStyle w:val="ListNumber"/>
        <w:numPr>
          <w:ilvl w:val="0"/>
          <w:numId w:val="19"/>
        </w:numPr>
      </w:pPr>
      <w:r>
        <w:t>general revenue assistance, including the on-</w:t>
      </w:r>
      <w:r w:rsidR="003D6C25">
        <w:t xml:space="preserve">going provision of </w:t>
      </w:r>
      <w:r w:rsidR="00C418E7">
        <w:t xml:space="preserve">goods and services tax </w:t>
      </w:r>
      <w:r w:rsidR="003D6C25">
        <w:t>payments</w:t>
      </w:r>
      <w:r>
        <w:t xml:space="preserve"> to be used by the states and territories for any purpose</w:t>
      </w:r>
    </w:p>
    <w:p w14:paraId="4335A915" w14:textId="13E6E915" w:rsidR="002D216D" w:rsidRDefault="002D216D" w:rsidP="00E34EE3">
      <w:pPr>
        <w:pStyle w:val="ListNumber"/>
        <w:numPr>
          <w:ilvl w:val="0"/>
          <w:numId w:val="19"/>
        </w:numPr>
      </w:pPr>
      <w:r>
        <w:t>national specific purpose payments</w:t>
      </w:r>
      <w:r w:rsidR="00B27A5C">
        <w:t xml:space="preserve"> </w:t>
      </w:r>
      <w:r>
        <w:t>to be spent in key service delivery sectors</w:t>
      </w:r>
    </w:p>
    <w:p w14:paraId="7CA45CAC" w14:textId="0B97A7FE" w:rsidR="002D216D" w:rsidRDefault="002D216D" w:rsidP="00E34EE3">
      <w:pPr>
        <w:pStyle w:val="ListNumber"/>
        <w:numPr>
          <w:ilvl w:val="0"/>
          <w:numId w:val="19"/>
        </w:numPr>
      </w:pPr>
      <w:r>
        <w:t>national</w:t>
      </w:r>
      <w:r w:rsidR="00232BF0">
        <w:t xml:space="preserve"> health reform funding largely for public hospital services</w:t>
      </w:r>
    </w:p>
    <w:p w14:paraId="3A666A2C" w14:textId="5E3B1384" w:rsidR="002B4329" w:rsidRDefault="002B4329" w:rsidP="00E34EE3">
      <w:pPr>
        <w:pStyle w:val="ListNumber"/>
        <w:numPr>
          <w:ilvl w:val="0"/>
          <w:numId w:val="19"/>
        </w:numPr>
      </w:pPr>
      <w:r>
        <w:t>Quality Schools funding for government and non-government schools</w:t>
      </w:r>
    </w:p>
    <w:p w14:paraId="1B689861" w14:textId="16AA8A85" w:rsidR="002B4329" w:rsidRDefault="002B4329" w:rsidP="00E34EE3">
      <w:pPr>
        <w:pStyle w:val="ListNumber"/>
        <w:numPr>
          <w:ilvl w:val="0"/>
          <w:numId w:val="19"/>
        </w:numPr>
      </w:pPr>
      <w:r>
        <w:t>National Housing and Homelessness funding</w:t>
      </w:r>
    </w:p>
    <w:p w14:paraId="48842EB7" w14:textId="31C3AC93" w:rsidR="002D216D" w:rsidRDefault="002B4329" w:rsidP="00E34EE3">
      <w:pPr>
        <w:pStyle w:val="ListNumber"/>
        <w:numPr>
          <w:ilvl w:val="0"/>
          <w:numId w:val="19"/>
        </w:numPr>
      </w:pPr>
      <w:r>
        <w:t>national partnership and project agreement</w:t>
      </w:r>
      <w:r w:rsidR="0073173D" w:rsidRPr="0073173D">
        <w:t xml:space="preserve"> </w:t>
      </w:r>
      <w:r w:rsidR="0073173D">
        <w:t>payments</w:t>
      </w:r>
      <w:r w:rsidR="00AA0673">
        <w:t>.</w:t>
      </w:r>
    </w:p>
    <w:p w14:paraId="30EE6674" w14:textId="44DD3C31" w:rsidR="0002745F" w:rsidRDefault="0002745F" w:rsidP="006C2318">
      <w:pPr>
        <w:pStyle w:val="Heading3"/>
        <w:ind w:left="851" w:hanging="851"/>
      </w:pPr>
      <w:r>
        <w:t>Centralised payment arrangements</w:t>
      </w:r>
    </w:p>
    <w:p w14:paraId="1201029E" w14:textId="3AC051DA" w:rsidR="00EB68DC" w:rsidRDefault="00EB68DC" w:rsidP="00EB68DC">
      <w:r>
        <w:t xml:space="preserve">A key feature of the </w:t>
      </w:r>
      <w:r w:rsidR="000B7924">
        <w:t>IGA</w:t>
      </w:r>
      <w:r>
        <w:t xml:space="preserve"> is </w:t>
      </w:r>
      <w:r w:rsidR="002075A2">
        <w:t>centralised payment arrangements that simplify payments to the states and territories, aid transparency and improve the states</w:t>
      </w:r>
      <w:r w:rsidR="00540BAA">
        <w:t>’</w:t>
      </w:r>
      <w:r w:rsidR="002075A2">
        <w:t xml:space="preserve"> and</w:t>
      </w:r>
      <w:r w:rsidR="003D6C25">
        <w:t xml:space="preserve"> territories</w:t>
      </w:r>
      <w:r w:rsidR="00540BAA">
        <w:t>’</w:t>
      </w:r>
      <w:r w:rsidR="003D6C25">
        <w:t xml:space="preserve"> budget processes. </w:t>
      </w:r>
      <w:r w:rsidR="002075A2">
        <w:t>Under these arrangements, all payments are processed centrally by the Australian</w:t>
      </w:r>
      <w:r w:rsidR="00540BAA">
        <w:t> </w:t>
      </w:r>
      <w:r w:rsidR="002075A2">
        <w:t>Government’s Department of Treasury and paid directly to each state and territory treasury, which is then responsible for distributing the fund</w:t>
      </w:r>
      <w:r w:rsidR="002A008E">
        <w:t>s</w:t>
      </w:r>
      <w:r w:rsidR="002075A2">
        <w:t xml:space="preserve"> within its jurisdiction.</w:t>
      </w:r>
    </w:p>
    <w:p w14:paraId="765B0BA6" w14:textId="1DDAD612" w:rsidR="0002745F" w:rsidRDefault="0002745F" w:rsidP="006C2318">
      <w:pPr>
        <w:pStyle w:val="Heading3"/>
        <w:ind w:left="851" w:hanging="851"/>
      </w:pPr>
      <w:r>
        <w:t>Council of Australian Governments</w:t>
      </w:r>
    </w:p>
    <w:p w14:paraId="4BCE1C99" w14:textId="7F10F8D9" w:rsidR="0026692E" w:rsidRDefault="002075A2">
      <w:r>
        <w:t>The Council of Australian Governments (COAG), comprising of the Australian</w:t>
      </w:r>
      <w:r w:rsidR="00540BAA">
        <w:t> </w:t>
      </w:r>
      <w:r>
        <w:t>Government and state and territory treasurers, monitors the progress on all aspects of the framework for federal financial relations.</w:t>
      </w:r>
    </w:p>
    <w:p w14:paraId="10A4C9A7" w14:textId="77777777" w:rsidR="00BB1D2E" w:rsidRDefault="00BB1D2E">
      <w:pPr>
        <w:rPr>
          <w:rFonts w:eastAsiaTheme="majorEastAsia" w:cstheme="majorBidi"/>
          <w:b/>
          <w:bCs/>
          <w:kern w:val="32"/>
          <w:sz w:val="32"/>
          <w:szCs w:val="32"/>
        </w:rPr>
      </w:pPr>
      <w:r>
        <w:br w:type="page"/>
      </w:r>
    </w:p>
    <w:p w14:paraId="3D2BF213" w14:textId="7FF29882" w:rsidR="0026692E" w:rsidRDefault="0026692E" w:rsidP="00540BAA">
      <w:pPr>
        <w:pStyle w:val="Heading1"/>
        <w:ind w:left="426" w:hanging="426"/>
      </w:pPr>
      <w:bookmarkStart w:id="5" w:name="_Toc531871486"/>
      <w:r>
        <w:lastRenderedPageBreak/>
        <w:t>Overview</w:t>
      </w:r>
      <w:bookmarkEnd w:id="5"/>
    </w:p>
    <w:p w14:paraId="59F28A3C" w14:textId="02150CE9" w:rsidR="00E814C1" w:rsidRDefault="00E814C1" w:rsidP="006C2318">
      <w:pPr>
        <w:pStyle w:val="Heading2"/>
        <w:ind w:left="851" w:hanging="860"/>
      </w:pPr>
      <w:bookmarkStart w:id="6" w:name="_Toc531871487"/>
      <w:r>
        <w:t>Scope</w:t>
      </w:r>
      <w:bookmarkEnd w:id="6"/>
    </w:p>
    <w:p w14:paraId="54DBB90F" w14:textId="025181A8" w:rsidR="00E814C1" w:rsidRDefault="00055BC6" w:rsidP="00E814C1">
      <w:r>
        <w:t xml:space="preserve">The following Commonwealth funding agreements are </w:t>
      </w:r>
      <w:r w:rsidRPr="00DD5446">
        <w:t>included</w:t>
      </w:r>
      <w:r>
        <w:rPr>
          <w:b/>
        </w:rPr>
        <w:t xml:space="preserve"> </w:t>
      </w:r>
      <w:r>
        <w:t>in the sco</w:t>
      </w:r>
      <w:r w:rsidR="00DD5446">
        <w:t xml:space="preserve">pe of the Treasurer’s Direction – Commonwealth </w:t>
      </w:r>
      <w:r w:rsidR="0098496B">
        <w:t xml:space="preserve">funding agreements </w:t>
      </w:r>
      <w:r>
        <w:t>and this guidance document:</w:t>
      </w:r>
    </w:p>
    <w:p w14:paraId="0C57593B" w14:textId="2427601A" w:rsidR="002A008E" w:rsidRDefault="00E814C1" w:rsidP="00E34EE3">
      <w:pPr>
        <w:pStyle w:val="ListBullet"/>
        <w:numPr>
          <w:ilvl w:val="0"/>
          <w:numId w:val="12"/>
        </w:numPr>
      </w:pPr>
      <w:r>
        <w:rPr>
          <w:b/>
        </w:rPr>
        <w:t>National agreements (NAs)</w:t>
      </w:r>
      <w:r w:rsidR="00244D97">
        <w:rPr>
          <w:b/>
        </w:rPr>
        <w:t> </w:t>
      </w:r>
      <w:r>
        <w:rPr>
          <w:b/>
        </w:rPr>
        <w:t xml:space="preserve">– </w:t>
      </w:r>
      <w:r>
        <w:t>define the objectives, outcomes, outputs and performance indicators, and clarify the roles and responsibilities that guide the Australian</w:t>
      </w:r>
      <w:r w:rsidR="00244D97">
        <w:t> </w:t>
      </w:r>
      <w:r>
        <w:t xml:space="preserve">Government and </w:t>
      </w:r>
      <w:r w:rsidR="00143725">
        <w:t xml:space="preserve">states </w:t>
      </w:r>
      <w:r>
        <w:t xml:space="preserve">and </w:t>
      </w:r>
      <w:r w:rsidR="00143725">
        <w:t xml:space="preserve">territories </w:t>
      </w:r>
      <w:r>
        <w:t>in the delivery of services in key sectors, such as:</w:t>
      </w:r>
    </w:p>
    <w:p w14:paraId="7FA93C55" w14:textId="77777777" w:rsidR="0073173D" w:rsidRDefault="0073173D" w:rsidP="00E34EE3">
      <w:pPr>
        <w:pStyle w:val="ListBullet"/>
        <w:numPr>
          <w:ilvl w:val="1"/>
          <w:numId w:val="12"/>
        </w:numPr>
      </w:pPr>
      <w:r>
        <w:t>health</w:t>
      </w:r>
    </w:p>
    <w:p w14:paraId="44388539" w14:textId="77777777" w:rsidR="0073173D" w:rsidRDefault="0073173D" w:rsidP="00E34EE3">
      <w:pPr>
        <w:pStyle w:val="ListBullet"/>
        <w:numPr>
          <w:ilvl w:val="1"/>
          <w:numId w:val="12"/>
        </w:numPr>
      </w:pPr>
      <w:r>
        <w:t xml:space="preserve">education </w:t>
      </w:r>
    </w:p>
    <w:p w14:paraId="298F50A7" w14:textId="475BBCAA" w:rsidR="002A008E" w:rsidRDefault="00E814C1" w:rsidP="00E34EE3">
      <w:pPr>
        <w:pStyle w:val="ListBullet"/>
        <w:numPr>
          <w:ilvl w:val="1"/>
          <w:numId w:val="12"/>
        </w:numPr>
      </w:pPr>
      <w:r>
        <w:t>skills and workforce development</w:t>
      </w:r>
    </w:p>
    <w:p w14:paraId="7A15D2FB" w14:textId="77777777" w:rsidR="002A008E" w:rsidRDefault="00E814C1" w:rsidP="00E34EE3">
      <w:pPr>
        <w:pStyle w:val="ListBullet"/>
        <w:numPr>
          <w:ilvl w:val="1"/>
          <w:numId w:val="12"/>
        </w:numPr>
      </w:pPr>
      <w:r>
        <w:t>disability services</w:t>
      </w:r>
    </w:p>
    <w:p w14:paraId="324BEFDB" w14:textId="77777777" w:rsidR="002A008E" w:rsidRDefault="00E814C1" w:rsidP="00E34EE3">
      <w:pPr>
        <w:pStyle w:val="ListBullet"/>
        <w:numPr>
          <w:ilvl w:val="1"/>
          <w:numId w:val="12"/>
        </w:numPr>
      </w:pPr>
      <w:r>
        <w:t>affordable housing</w:t>
      </w:r>
    </w:p>
    <w:p w14:paraId="1C330E40" w14:textId="6CD9B82B" w:rsidR="00E814C1" w:rsidRDefault="00AA0673" w:rsidP="00E34EE3">
      <w:pPr>
        <w:pStyle w:val="ListBullet"/>
        <w:numPr>
          <w:ilvl w:val="1"/>
          <w:numId w:val="12"/>
        </w:numPr>
      </w:pPr>
      <w:r>
        <w:t>indigenous reform.</w:t>
      </w:r>
    </w:p>
    <w:p w14:paraId="6DB67F72" w14:textId="159E7F85" w:rsidR="00E814C1" w:rsidRDefault="00E814C1" w:rsidP="00E34EE3">
      <w:pPr>
        <w:pStyle w:val="ListBullet"/>
        <w:numPr>
          <w:ilvl w:val="0"/>
          <w:numId w:val="13"/>
        </w:numPr>
      </w:pPr>
      <w:r>
        <w:rPr>
          <w:b/>
        </w:rPr>
        <w:t>S</w:t>
      </w:r>
      <w:r w:rsidR="00363465">
        <w:rPr>
          <w:b/>
        </w:rPr>
        <w:t>pecific purpose payments (SP</w:t>
      </w:r>
      <w:r>
        <w:rPr>
          <w:b/>
        </w:rPr>
        <w:t>Ps</w:t>
      </w:r>
      <w:r w:rsidR="00363465">
        <w:rPr>
          <w:b/>
        </w:rPr>
        <w:t>)</w:t>
      </w:r>
      <w:r w:rsidR="00244D97">
        <w:rPr>
          <w:b/>
        </w:rPr>
        <w:t> </w:t>
      </w:r>
      <w:r>
        <w:rPr>
          <w:b/>
        </w:rPr>
        <w:t xml:space="preserve">– </w:t>
      </w:r>
      <w:r>
        <w:t>are the funding mechanisms through which the Australian Government supports states’ and territories’ efforts in delivering service</w:t>
      </w:r>
      <w:r w:rsidR="00143725">
        <w:t>s</w:t>
      </w:r>
      <w:r>
        <w:t xml:space="preserve"> in key sectors.  National SPPs are usually associated with national agreements</w:t>
      </w:r>
      <w:r w:rsidR="002734B6">
        <w:t>.</w:t>
      </w:r>
    </w:p>
    <w:p w14:paraId="0D441C39" w14:textId="7C8EBC06" w:rsidR="00E814C1" w:rsidRDefault="00E814C1" w:rsidP="00E34EE3">
      <w:pPr>
        <w:pStyle w:val="ListBullet"/>
        <w:numPr>
          <w:ilvl w:val="0"/>
          <w:numId w:val="13"/>
        </w:numPr>
      </w:pPr>
      <w:r>
        <w:rPr>
          <w:b/>
        </w:rPr>
        <w:t>National partnership agreements (NPAs)</w:t>
      </w:r>
      <w:r w:rsidR="00244D97">
        <w:rPr>
          <w:b/>
        </w:rPr>
        <w:t> </w:t>
      </w:r>
      <w:r>
        <w:rPr>
          <w:b/>
        </w:rPr>
        <w:t xml:space="preserve">– </w:t>
      </w:r>
      <w:r>
        <w:t>support the delivery of specified projects, facilitate reforms or reward those jurisdictions that deliver on nationally significant reforms, and are typically time limited</w:t>
      </w:r>
      <w:r w:rsidR="002B4329">
        <w:t>.</w:t>
      </w:r>
    </w:p>
    <w:p w14:paraId="08FB6817" w14:textId="6D7D8A20" w:rsidR="00E814C1" w:rsidRDefault="00E814C1" w:rsidP="00E34EE3">
      <w:pPr>
        <w:pStyle w:val="ListBullet"/>
        <w:numPr>
          <w:ilvl w:val="0"/>
          <w:numId w:val="13"/>
        </w:numPr>
      </w:pPr>
      <w:r>
        <w:rPr>
          <w:b/>
        </w:rPr>
        <w:t>Implementation plans</w:t>
      </w:r>
      <w:r w:rsidR="00B27A5C">
        <w:rPr>
          <w:b/>
        </w:rPr>
        <w:t xml:space="preserve"> (IP</w:t>
      </w:r>
      <w:r w:rsidR="00244D97">
        <w:rPr>
          <w:b/>
        </w:rPr>
        <w:t>s</w:t>
      </w:r>
      <w:r w:rsidR="00B27A5C">
        <w:rPr>
          <w:b/>
        </w:rPr>
        <w:t>)</w:t>
      </w:r>
      <w:r>
        <w:rPr>
          <w:b/>
        </w:rPr>
        <w:t>,</w:t>
      </w:r>
      <w:r w:rsidR="00055BC6">
        <w:rPr>
          <w:b/>
        </w:rPr>
        <w:t xml:space="preserve"> </w:t>
      </w:r>
      <w:r w:rsidR="00244D97">
        <w:rPr>
          <w:b/>
        </w:rPr>
        <w:t xml:space="preserve">NPA </w:t>
      </w:r>
      <w:r>
        <w:rPr>
          <w:b/>
        </w:rPr>
        <w:t>schedules</w:t>
      </w:r>
      <w:r w:rsidR="00B27A5C">
        <w:rPr>
          <w:b/>
        </w:rPr>
        <w:t xml:space="preserve"> and</w:t>
      </w:r>
      <w:r>
        <w:rPr>
          <w:b/>
        </w:rPr>
        <w:t xml:space="preserve"> project plans</w:t>
      </w:r>
      <w:r w:rsidR="00244D97">
        <w:rPr>
          <w:b/>
        </w:rPr>
        <w:t> </w:t>
      </w:r>
      <w:r>
        <w:rPr>
          <w:b/>
        </w:rPr>
        <w:t xml:space="preserve">– </w:t>
      </w:r>
      <w:r>
        <w:t xml:space="preserve">subsidiary documents to some </w:t>
      </w:r>
      <w:r w:rsidR="002B4329">
        <w:t>NPAs</w:t>
      </w:r>
      <w:r>
        <w:t xml:space="preserve"> that outline how an individual jurisdiction intends to achieve the outcomes and outputs specified in the overarching </w:t>
      </w:r>
      <w:r w:rsidR="002B4329">
        <w:t>NPA.</w:t>
      </w:r>
    </w:p>
    <w:p w14:paraId="2FD4E25E" w14:textId="1AF6A97B" w:rsidR="00E814C1" w:rsidRDefault="00E814C1" w:rsidP="00E34EE3">
      <w:pPr>
        <w:pStyle w:val="ListBullet"/>
        <w:numPr>
          <w:ilvl w:val="0"/>
          <w:numId w:val="13"/>
        </w:numPr>
      </w:pPr>
      <w:r>
        <w:rPr>
          <w:b/>
        </w:rPr>
        <w:t>Project agreements (PAs)</w:t>
      </w:r>
      <w:r w:rsidR="00244D97">
        <w:rPr>
          <w:b/>
        </w:rPr>
        <w:t> </w:t>
      </w:r>
      <w:r>
        <w:rPr>
          <w:b/>
        </w:rPr>
        <w:t xml:space="preserve">– </w:t>
      </w:r>
      <w:r>
        <w:t xml:space="preserve">are a simpler form of </w:t>
      </w:r>
      <w:r w:rsidR="002B4329">
        <w:t xml:space="preserve">NPA </w:t>
      </w:r>
      <w:r>
        <w:t>used to implement projects considered low-value and or low-risk, and are typically time limited.</w:t>
      </w:r>
    </w:p>
    <w:p w14:paraId="14FD09D7" w14:textId="56E798AC" w:rsidR="00E814C1" w:rsidRPr="00E814C1" w:rsidRDefault="00055BC6" w:rsidP="0098496B">
      <w:pPr>
        <w:pStyle w:val="ListBullet"/>
        <w:spacing w:before="360"/>
      </w:pPr>
      <w:r>
        <w:t xml:space="preserve">The following Commonwealth funding agreements are </w:t>
      </w:r>
      <w:r w:rsidRPr="005B489B">
        <w:t>excluded</w:t>
      </w:r>
      <w:r>
        <w:rPr>
          <w:b/>
        </w:rPr>
        <w:t xml:space="preserve"> </w:t>
      </w:r>
      <w:r>
        <w:t>fr</w:t>
      </w:r>
      <w:r w:rsidR="00DD5446">
        <w:t>om the scope of the Treasurer’s </w:t>
      </w:r>
      <w:r>
        <w:t>Direction and this guidance document:</w:t>
      </w:r>
    </w:p>
    <w:p w14:paraId="08043888" w14:textId="55785D05" w:rsidR="007F051B" w:rsidRDefault="00E814C1" w:rsidP="00015B56">
      <w:pPr>
        <w:pStyle w:val="ListBullet"/>
        <w:numPr>
          <w:ilvl w:val="0"/>
          <w:numId w:val="14"/>
        </w:numPr>
      </w:pPr>
      <w:r>
        <w:rPr>
          <w:b/>
        </w:rPr>
        <w:t>Commonwealth own-purpose expense (COPE</w:t>
      </w:r>
      <w:r w:rsidR="00244D97">
        <w:rPr>
          <w:b/>
        </w:rPr>
        <w:t>s</w:t>
      </w:r>
      <w:r w:rsidRPr="003D6C25">
        <w:rPr>
          <w:b/>
        </w:rPr>
        <w:t xml:space="preserve">) – </w:t>
      </w:r>
      <w:r w:rsidR="00244D97">
        <w:t>involve</w:t>
      </w:r>
      <w:r w:rsidRPr="003D6C25">
        <w:t xml:space="preserve"> Commonwealth payments for goods and services, predominantly in</w:t>
      </w:r>
      <w:r>
        <w:t xml:space="preserve"> a fee for service arrangement</w:t>
      </w:r>
      <w:r w:rsidR="00244D97">
        <w:t xml:space="preserve"> where funding is paid directly to agencies</w:t>
      </w:r>
      <w:r>
        <w:t>.</w:t>
      </w:r>
      <w:r w:rsidRPr="003D6C25">
        <w:t xml:space="preserve"> COPE</w:t>
      </w:r>
      <w:r w:rsidR="00055BC6">
        <w:t>s</w:t>
      </w:r>
      <w:r w:rsidRPr="003D6C25">
        <w:t xml:space="preserve"> are excluded from compliance with the Treasurer’s</w:t>
      </w:r>
      <w:r w:rsidR="00244D97">
        <w:t> </w:t>
      </w:r>
      <w:r w:rsidRPr="003D6C25">
        <w:t>Direction</w:t>
      </w:r>
      <w:r w:rsidR="00244D97">
        <w:t> </w:t>
      </w:r>
      <w:r w:rsidR="00F95EE0">
        <w:rPr>
          <w:b/>
        </w:rPr>
        <w:t>–</w:t>
      </w:r>
      <w:r w:rsidR="00244D97" w:rsidRPr="003D6C25">
        <w:t xml:space="preserve"> </w:t>
      </w:r>
      <w:r w:rsidRPr="003D6C25">
        <w:t xml:space="preserve">Commonwealth funding agreements, however, they may form part of </w:t>
      </w:r>
      <w:r w:rsidR="00015B56">
        <w:t>NAs</w:t>
      </w:r>
      <w:r>
        <w:t>,</w:t>
      </w:r>
      <w:r w:rsidRPr="003D6C25">
        <w:t xml:space="preserve"> or </w:t>
      </w:r>
      <w:r w:rsidR="002B4329">
        <w:t>NPAs</w:t>
      </w:r>
      <w:r w:rsidRPr="003D6C25">
        <w:t xml:space="preserve"> where they contribute to mutually agreed objectives.</w:t>
      </w:r>
    </w:p>
    <w:p w14:paraId="438E3014" w14:textId="24F96AC9" w:rsidR="00BB1D2E" w:rsidRPr="00015B56" w:rsidRDefault="00BB1D2E" w:rsidP="00015B56">
      <w:pPr>
        <w:pStyle w:val="ListBullet"/>
        <w:numPr>
          <w:ilvl w:val="0"/>
          <w:numId w:val="14"/>
        </w:numPr>
      </w:pPr>
      <w:r>
        <w:br w:type="page"/>
      </w:r>
    </w:p>
    <w:p w14:paraId="173F72B0" w14:textId="45B9756D" w:rsidR="00BB1D2E" w:rsidRDefault="00BB1D2E" w:rsidP="00244D97">
      <w:pPr>
        <w:pStyle w:val="Heading1"/>
        <w:ind w:left="426" w:hanging="426"/>
      </w:pPr>
      <w:bookmarkStart w:id="7" w:name="_Toc531871488"/>
      <w:r>
        <w:lastRenderedPageBreak/>
        <w:t>Roles and responsibilities</w:t>
      </w:r>
      <w:bookmarkEnd w:id="7"/>
    </w:p>
    <w:p w14:paraId="466C3A53" w14:textId="6C412D19" w:rsidR="000819DD" w:rsidRDefault="000819DD" w:rsidP="000819DD">
      <w:r>
        <w:t>It is essential for portfolio agencies and central agencies to collaborate closely in the negotiation and development of Commonwealth funding agreements</w:t>
      </w:r>
      <w:r w:rsidR="0098496B">
        <w:t>,</w:t>
      </w:r>
      <w:r>
        <w:t xml:space="preserve"> t</w:t>
      </w:r>
      <w:r w:rsidR="0098496B">
        <w:t>o ensure sound agreement design</w:t>
      </w:r>
      <w:r>
        <w:t xml:space="preserve"> through combining agencies’ expertise in policy and service delivery</w:t>
      </w:r>
      <w:r w:rsidR="00015B56">
        <w:t>,</w:t>
      </w:r>
      <w:r>
        <w:t xml:space="preserve"> with central agencies’ experience and expertise in Australian</w:t>
      </w:r>
      <w:r w:rsidR="00244D97">
        <w:t> </w:t>
      </w:r>
      <w:r w:rsidR="00015B56">
        <w:t xml:space="preserve">Government </w:t>
      </w:r>
      <w:r>
        <w:t>and NT</w:t>
      </w:r>
      <w:r w:rsidR="00244D97">
        <w:t> </w:t>
      </w:r>
      <w:r>
        <w:t>G</w:t>
      </w:r>
      <w:r w:rsidR="001514DA">
        <w:t>overnment</w:t>
      </w:r>
      <w:r>
        <w:t xml:space="preserve"> financial relations.</w:t>
      </w:r>
    </w:p>
    <w:p w14:paraId="291759BD" w14:textId="63D71025" w:rsidR="0026692E" w:rsidRDefault="00BB1D2E" w:rsidP="006C2318">
      <w:pPr>
        <w:pStyle w:val="Heading2"/>
        <w:ind w:left="851" w:hanging="860"/>
      </w:pPr>
      <w:bookmarkStart w:id="8" w:name="_Toc531871489"/>
      <w:r>
        <w:t>Portfolio agencies</w:t>
      </w:r>
      <w:bookmarkEnd w:id="8"/>
    </w:p>
    <w:p w14:paraId="731C8F69" w14:textId="3F0AF330" w:rsidR="000819DD" w:rsidRDefault="000819DD" w:rsidP="000819DD">
      <w:r>
        <w:t>As soon as practicable after becoming aware of the Australian</w:t>
      </w:r>
      <w:r w:rsidR="00244D97">
        <w:t> </w:t>
      </w:r>
      <w:r>
        <w:t>Government’s intention to negotiate a Commonwealth funding agreement, portfolio agencies must contact central agencies to advise of the Australian</w:t>
      </w:r>
      <w:r w:rsidR="00244D97">
        <w:t> </w:t>
      </w:r>
      <w:r>
        <w:t xml:space="preserve">Government’s intention, as well as provide </w:t>
      </w:r>
      <w:r w:rsidR="004B45AC">
        <w:t xml:space="preserve">all </w:t>
      </w:r>
      <w:r>
        <w:t xml:space="preserve">draft </w:t>
      </w:r>
      <w:r w:rsidR="004B45AC">
        <w:t xml:space="preserve">iterations </w:t>
      </w:r>
      <w:r>
        <w:t>of the agreement.</w:t>
      </w:r>
    </w:p>
    <w:p w14:paraId="2AC78D33" w14:textId="16D7D3FA" w:rsidR="000819DD" w:rsidRDefault="00244D97" w:rsidP="000819DD">
      <w:r>
        <w:t>P</w:t>
      </w:r>
      <w:r w:rsidR="00643171">
        <w:t xml:space="preserve">ortfolio </w:t>
      </w:r>
      <w:r w:rsidR="000819DD">
        <w:t xml:space="preserve">agencies must also provide central agencies with contact details of </w:t>
      </w:r>
      <w:r w:rsidR="0073173D">
        <w:t>a</w:t>
      </w:r>
      <w:r w:rsidR="00643171">
        <w:t xml:space="preserve"> primary contact</w:t>
      </w:r>
      <w:r w:rsidR="004B45AC">
        <w:t xml:space="preserve"> for each agreement</w:t>
      </w:r>
      <w:r w:rsidR="00643171">
        <w:t>.</w:t>
      </w:r>
    </w:p>
    <w:p w14:paraId="376304D1" w14:textId="1E6D071E" w:rsidR="00CD4336" w:rsidRDefault="00424620" w:rsidP="00424620">
      <w:r>
        <w:t xml:space="preserve">In general, </w:t>
      </w:r>
      <w:r w:rsidR="00F53032">
        <w:t>portfolio</w:t>
      </w:r>
      <w:r>
        <w:t xml:space="preserve"> agencies will lead the negotiation and development of </w:t>
      </w:r>
      <w:r w:rsidR="003D6C25">
        <w:t>Commonwealth funding agreements</w:t>
      </w:r>
      <w:r w:rsidR="00244D97">
        <w:t>,</w:t>
      </w:r>
      <w:r>
        <w:t xml:space="preserve"> unless they are </w:t>
      </w:r>
      <w:r w:rsidR="002734B6">
        <w:t>whole of government initiatives</w:t>
      </w:r>
      <w:r w:rsidR="003D6C25">
        <w:t>,</w:t>
      </w:r>
      <w:r>
        <w:t xml:space="preserve"> which require coordination by central agencies.</w:t>
      </w:r>
    </w:p>
    <w:p w14:paraId="04710214" w14:textId="08F8AB5B" w:rsidR="00424620" w:rsidRDefault="004809E5" w:rsidP="006C2318">
      <w:pPr>
        <w:pStyle w:val="Heading2"/>
        <w:ind w:left="851" w:hanging="851"/>
      </w:pPr>
      <w:bookmarkStart w:id="9" w:name="_Toc531871490"/>
      <w:r>
        <w:t>Central agencies</w:t>
      </w:r>
      <w:bookmarkEnd w:id="9"/>
    </w:p>
    <w:p w14:paraId="0105474D" w14:textId="77777777" w:rsidR="00015B56" w:rsidRDefault="00015B56" w:rsidP="0017026C">
      <w:pPr>
        <w:spacing w:after="120"/>
      </w:pPr>
      <w:r>
        <w:t>For the purposes of the Treasurer’s Direction and this guidance document, the central agencies are:</w:t>
      </w:r>
    </w:p>
    <w:p w14:paraId="428CFCD6" w14:textId="3DEDD2B0" w:rsidR="00015B56" w:rsidRDefault="00015B56" w:rsidP="0017026C">
      <w:pPr>
        <w:pStyle w:val="NTGTableBulletList1"/>
        <w:spacing w:after="120"/>
      </w:pPr>
      <w:r>
        <w:t>Department o</w:t>
      </w:r>
      <w:r w:rsidR="008A107E">
        <w:t>f Treasury and Finance (DTF)</w:t>
      </w:r>
    </w:p>
    <w:p w14:paraId="35CC697F" w14:textId="77777777" w:rsidR="00015B56" w:rsidRDefault="00015B56" w:rsidP="0017026C">
      <w:pPr>
        <w:pStyle w:val="NTGTableBulletList1"/>
        <w:spacing w:after="120"/>
      </w:pPr>
      <w:r>
        <w:t>Department of the Chief Minister (DCM).</w:t>
      </w:r>
    </w:p>
    <w:p w14:paraId="2E38BD17" w14:textId="0EC99118" w:rsidR="002734B6" w:rsidRDefault="00AF6BF7" w:rsidP="0017026C">
      <w:pPr>
        <w:spacing w:after="120"/>
      </w:pPr>
      <w:r>
        <w:t>C</w:t>
      </w:r>
      <w:r w:rsidR="007617E4">
        <w:t>entral agencies</w:t>
      </w:r>
      <w:r w:rsidR="00CD4336">
        <w:t xml:space="preserve"> </w:t>
      </w:r>
      <w:r w:rsidR="004809E5">
        <w:t xml:space="preserve">will lead the negotiation and development of </w:t>
      </w:r>
      <w:r w:rsidR="002734B6">
        <w:t xml:space="preserve">whole of government </w:t>
      </w:r>
      <w:r w:rsidR="0098496B">
        <w:t xml:space="preserve">initiatives. </w:t>
      </w:r>
      <w:r w:rsidR="0017026C">
        <w:t xml:space="preserve">For all other Commonwealth funding agreements, central agencies will </w:t>
      </w:r>
      <w:r w:rsidR="004809E5">
        <w:t xml:space="preserve">provide support and advice to </w:t>
      </w:r>
      <w:r w:rsidR="00F53032">
        <w:t>portfolio</w:t>
      </w:r>
      <w:r w:rsidR="004809E5">
        <w:t xml:space="preserve"> agencies</w:t>
      </w:r>
      <w:r w:rsidR="00015B56">
        <w:t xml:space="preserve"> </w:t>
      </w:r>
      <w:r w:rsidR="004809E5">
        <w:t>throughout the nego</w:t>
      </w:r>
      <w:r w:rsidR="002B4329">
        <w:t xml:space="preserve">tiation and development process </w:t>
      </w:r>
      <w:r w:rsidR="002734B6">
        <w:t>to ensure:</w:t>
      </w:r>
    </w:p>
    <w:p w14:paraId="7E697308" w14:textId="1534388F" w:rsidR="004809E5" w:rsidRDefault="002734B6" w:rsidP="0098496B">
      <w:pPr>
        <w:pStyle w:val="ListParagraph"/>
        <w:numPr>
          <w:ilvl w:val="0"/>
          <w:numId w:val="42"/>
        </w:numPr>
        <w:ind w:left="284" w:hanging="284"/>
      </w:pPr>
      <w:r>
        <w:t xml:space="preserve">Commonwealth funding agreements are </w:t>
      </w:r>
      <w:r w:rsidR="005B69F5">
        <w:t>aligned</w:t>
      </w:r>
      <w:r>
        <w:t xml:space="preserve"> with the principles of the IGA</w:t>
      </w:r>
    </w:p>
    <w:p w14:paraId="4C53D9CE" w14:textId="249F6037" w:rsidR="002734B6" w:rsidRDefault="002734B6" w:rsidP="0098496B">
      <w:pPr>
        <w:pStyle w:val="ListParagraph"/>
        <w:numPr>
          <w:ilvl w:val="0"/>
          <w:numId w:val="42"/>
        </w:numPr>
        <w:ind w:left="284" w:hanging="284"/>
      </w:pPr>
      <w:r>
        <w:t>int</w:t>
      </w:r>
      <w:r w:rsidR="00B27A5C">
        <w:t>egrity within federal relations</w:t>
      </w:r>
    </w:p>
    <w:p w14:paraId="46857817" w14:textId="70EBE812" w:rsidR="005B69F5" w:rsidRDefault="005B69F5" w:rsidP="0098496B">
      <w:pPr>
        <w:pStyle w:val="ListParagraph"/>
        <w:numPr>
          <w:ilvl w:val="0"/>
          <w:numId w:val="42"/>
        </w:numPr>
        <w:ind w:left="284" w:hanging="284"/>
      </w:pPr>
      <w:r>
        <w:t xml:space="preserve">Commonwealth funding agreements align with the </w:t>
      </w:r>
      <w:r w:rsidR="0017026C">
        <w:t>NT</w:t>
      </w:r>
      <w:r w:rsidR="00244D97">
        <w:t> </w:t>
      </w:r>
      <w:r>
        <w:t>Government’s strategic priorities</w:t>
      </w:r>
      <w:r w:rsidR="00B27A5C">
        <w:t>.</w:t>
      </w:r>
    </w:p>
    <w:p w14:paraId="1C33B878" w14:textId="77777777" w:rsidR="00BB1D2E" w:rsidRDefault="00BB1D2E">
      <w:pPr>
        <w:rPr>
          <w:rFonts w:eastAsiaTheme="majorEastAsia" w:cstheme="majorBidi"/>
          <w:b/>
          <w:bCs/>
          <w:kern w:val="32"/>
          <w:sz w:val="32"/>
          <w:szCs w:val="32"/>
        </w:rPr>
      </w:pPr>
      <w:r>
        <w:br w:type="page"/>
      </w:r>
    </w:p>
    <w:p w14:paraId="72BFF304" w14:textId="0265C804" w:rsidR="004809E5" w:rsidRDefault="004809E5" w:rsidP="00244D97">
      <w:pPr>
        <w:pStyle w:val="Heading1"/>
        <w:ind w:left="426" w:hanging="426"/>
      </w:pPr>
      <w:bookmarkStart w:id="10" w:name="_Toc531871491"/>
      <w:r>
        <w:lastRenderedPageBreak/>
        <w:t>Development and negotiation process</w:t>
      </w:r>
      <w:bookmarkEnd w:id="10"/>
    </w:p>
    <w:p w14:paraId="48DADC16" w14:textId="2532FAF8" w:rsidR="006242B2" w:rsidRDefault="006242B2" w:rsidP="006242B2">
      <w:r>
        <w:t xml:space="preserve">The </w:t>
      </w:r>
      <w:r w:rsidR="00582933">
        <w:t xml:space="preserve">development of </w:t>
      </w:r>
      <w:r w:rsidR="00EB0889">
        <w:t xml:space="preserve">Commonwealth funding agreements </w:t>
      </w:r>
      <w:r w:rsidR="00582933">
        <w:t>occurs following identification of an area for policy collaboration between the Australian</w:t>
      </w:r>
      <w:r w:rsidR="00244D97">
        <w:t> </w:t>
      </w:r>
      <w:r w:rsidR="00582933">
        <w:t>Government and states and territories.</w:t>
      </w:r>
    </w:p>
    <w:p w14:paraId="40217D31" w14:textId="4294AF78" w:rsidR="00582933" w:rsidRDefault="00582933" w:rsidP="00582933">
      <w:r>
        <w:t>The Australian Government usually prepares initial drafts of NAs</w:t>
      </w:r>
      <w:r w:rsidR="00EB0889">
        <w:t>,</w:t>
      </w:r>
      <w:r>
        <w:t xml:space="preserve"> </w:t>
      </w:r>
      <w:r w:rsidR="00EB0889">
        <w:t>NPAs and PAs</w:t>
      </w:r>
      <w:r w:rsidR="00935349">
        <w:t>.</w:t>
      </w:r>
      <w:r>
        <w:t xml:space="preserve"> It then seeks feedback on the proposed terms of the agreement from the states and territories.</w:t>
      </w:r>
    </w:p>
    <w:p w14:paraId="5FCC964B" w14:textId="4BE1B3BD" w:rsidR="00582933" w:rsidRDefault="00582933" w:rsidP="00582933">
      <w:r>
        <w:t xml:space="preserve">The states and territories are generally responsible for developing </w:t>
      </w:r>
      <w:r w:rsidR="00643171">
        <w:t xml:space="preserve">NPA schedules, </w:t>
      </w:r>
      <w:r w:rsidR="009A0DD1">
        <w:t xml:space="preserve">IPs </w:t>
      </w:r>
      <w:r w:rsidR="003D6C25">
        <w:t>and project plans</w:t>
      </w:r>
      <w:r w:rsidR="00EB0889">
        <w:t xml:space="preserve"> where required, once an overarching agreement has been developed and is in place</w:t>
      </w:r>
      <w:r>
        <w:t>.</w:t>
      </w:r>
    </w:p>
    <w:p w14:paraId="7BB7BA8C" w14:textId="19E3F990" w:rsidR="00EF5D60" w:rsidRDefault="00EF5D60" w:rsidP="006C2318">
      <w:pPr>
        <w:pStyle w:val="Heading2"/>
        <w:ind w:left="851" w:hanging="860"/>
      </w:pPr>
      <w:bookmarkStart w:id="11" w:name="_Toc531871492"/>
      <w:r>
        <w:t xml:space="preserve">Negotiation </w:t>
      </w:r>
      <w:r w:rsidR="00C46B69">
        <w:t>principles</w:t>
      </w:r>
      <w:bookmarkEnd w:id="11"/>
    </w:p>
    <w:p w14:paraId="527C7CBA" w14:textId="05956090" w:rsidR="00EF5D60" w:rsidRDefault="00EF5D60" w:rsidP="00EF5D60">
      <w:r>
        <w:t>Negotiations should focus on ensuring</w:t>
      </w:r>
      <w:r w:rsidR="00143725">
        <w:t>, at a minimum,</w:t>
      </w:r>
      <w:r>
        <w:t xml:space="preserve"> all of the following are met:</w:t>
      </w:r>
    </w:p>
    <w:p w14:paraId="0CC9CCC1" w14:textId="5661D4AD" w:rsidR="00EF5D60" w:rsidRDefault="00EF5D60" w:rsidP="00E34EE3">
      <w:pPr>
        <w:pStyle w:val="ListBullet"/>
        <w:numPr>
          <w:ilvl w:val="0"/>
          <w:numId w:val="15"/>
        </w:numPr>
      </w:pPr>
      <w:r>
        <w:t>the specified outcomes, outputs</w:t>
      </w:r>
      <w:r w:rsidR="00C05DEC">
        <w:t>,</w:t>
      </w:r>
      <w:r>
        <w:t xml:space="preserve"> performance measures</w:t>
      </w:r>
      <w:r w:rsidR="00C05DEC">
        <w:t xml:space="preserve"> and reporting requirements</w:t>
      </w:r>
      <w:r>
        <w:t xml:space="preserve"> are appropriate</w:t>
      </w:r>
      <w:r w:rsidR="00A81F92">
        <w:t xml:space="preserve"> and achievable</w:t>
      </w:r>
    </w:p>
    <w:p w14:paraId="34C0D225" w14:textId="23BB29EE" w:rsidR="00EF5D60" w:rsidRDefault="00EF5D60" w:rsidP="00E34EE3">
      <w:pPr>
        <w:pStyle w:val="ListBullet"/>
        <w:numPr>
          <w:ilvl w:val="0"/>
          <w:numId w:val="15"/>
        </w:numPr>
      </w:pPr>
      <w:r>
        <w:t xml:space="preserve">the proposed level of funding is adequate </w:t>
      </w:r>
      <w:r w:rsidR="00A81F92">
        <w:t>to meet the proposed targets</w:t>
      </w:r>
      <w:r>
        <w:t xml:space="preserve"> </w:t>
      </w:r>
    </w:p>
    <w:p w14:paraId="644A9A99" w14:textId="3D79025C" w:rsidR="00EF5D60" w:rsidRDefault="00EF5D60" w:rsidP="00E34EE3">
      <w:pPr>
        <w:pStyle w:val="ListBullet"/>
        <w:numPr>
          <w:ilvl w:val="0"/>
          <w:numId w:val="15"/>
        </w:numPr>
      </w:pPr>
      <w:r>
        <w:t xml:space="preserve">the draft agreement is consistent with the principles of the </w:t>
      </w:r>
      <w:r w:rsidR="000B7924">
        <w:t>IGA</w:t>
      </w:r>
      <w:r>
        <w:t>.</w:t>
      </w:r>
    </w:p>
    <w:p w14:paraId="1D19D286" w14:textId="1A0E386A" w:rsidR="00C46B69" w:rsidRDefault="00C46B69" w:rsidP="006C2318">
      <w:pPr>
        <w:pStyle w:val="Heading3"/>
        <w:ind w:left="851" w:hanging="851"/>
      </w:pPr>
      <w:r>
        <w:t>Benefit</w:t>
      </w:r>
      <w:r w:rsidR="00064B73">
        <w:t xml:space="preserve"> to</w:t>
      </w:r>
      <w:r>
        <w:t xml:space="preserve"> the Northern Territory</w:t>
      </w:r>
    </w:p>
    <w:p w14:paraId="71BA028F" w14:textId="63EED128" w:rsidR="00143725" w:rsidRDefault="00C46B69">
      <w:r>
        <w:t>Funding agreements offered by the Australian</w:t>
      </w:r>
      <w:r w:rsidR="00244D97">
        <w:t> </w:t>
      </w:r>
      <w:r>
        <w:t xml:space="preserve">Government are usually about advancing </w:t>
      </w:r>
      <w:r w:rsidR="00064B73">
        <w:t xml:space="preserve">national </w:t>
      </w:r>
      <w:r>
        <w:t>priorities, and may not necessarily advan</w:t>
      </w:r>
      <w:r w:rsidR="008D3FF0">
        <w:t>ce NT</w:t>
      </w:r>
      <w:r w:rsidR="00244D97">
        <w:t> </w:t>
      </w:r>
      <w:r w:rsidR="008D3FF0">
        <w:t>G</w:t>
      </w:r>
      <w:r w:rsidR="001514DA">
        <w:t>overnment</w:t>
      </w:r>
      <w:r w:rsidR="008D3FF0">
        <w:t xml:space="preserve"> priorities or outcomes. </w:t>
      </w:r>
      <w:r>
        <w:t xml:space="preserve">The </w:t>
      </w:r>
      <w:r w:rsidR="009A0DD1">
        <w:t>NT</w:t>
      </w:r>
      <w:r w:rsidR="00244D97">
        <w:t> </w:t>
      </w:r>
      <w:r w:rsidR="00991881">
        <w:t>Government</w:t>
      </w:r>
      <w:r>
        <w:t>, however, will often commit to national priorities to advance Australia</w:t>
      </w:r>
      <w:r w:rsidR="00991881">
        <w:noBreakHyphen/>
      </w:r>
      <w:r>
        <w:t>wide initiatives or support COAG decisions. It is a matter of balancing relationships and outcomes.</w:t>
      </w:r>
    </w:p>
    <w:p w14:paraId="6EA4700A" w14:textId="00139CA6" w:rsidR="00C46B69" w:rsidRDefault="00C46B69" w:rsidP="00C46B69">
      <w:r>
        <w:t>When assessing</w:t>
      </w:r>
      <w:r w:rsidR="00A81F92">
        <w:t xml:space="preserve"> the</w:t>
      </w:r>
      <w:r>
        <w:t xml:space="preserve"> benefit to the </w:t>
      </w:r>
      <w:r w:rsidR="0017026C">
        <w:t>NT</w:t>
      </w:r>
      <w:r>
        <w:t>, agencies should consider all of the following:</w:t>
      </w:r>
    </w:p>
    <w:p w14:paraId="356B2EA4" w14:textId="77777777" w:rsidR="00C46B69" w:rsidRDefault="00C46B69" w:rsidP="00E34EE3">
      <w:pPr>
        <w:pStyle w:val="ListNumber"/>
        <w:numPr>
          <w:ilvl w:val="0"/>
          <w:numId w:val="16"/>
        </w:numPr>
      </w:pPr>
      <w:r>
        <w:t>the existence of a program logic or evidence base that indicates the agreement is designed to support outcomes</w:t>
      </w:r>
    </w:p>
    <w:p w14:paraId="6BE90F7C" w14:textId="77777777" w:rsidR="00C46B69" w:rsidRDefault="00C46B69" w:rsidP="00E34EE3">
      <w:pPr>
        <w:pStyle w:val="ListNumber"/>
        <w:numPr>
          <w:ilvl w:val="0"/>
          <w:numId w:val="16"/>
        </w:numPr>
      </w:pPr>
      <w:r>
        <w:t>whether a component of the agreement imposes unnecessary costs and or restrictions on the delivery of services and infrastructure</w:t>
      </w:r>
    </w:p>
    <w:p w14:paraId="6703F3F1" w14:textId="77777777" w:rsidR="00C46B69" w:rsidRDefault="00064B73" w:rsidP="00E34EE3">
      <w:pPr>
        <w:pStyle w:val="ListNumber"/>
        <w:numPr>
          <w:ilvl w:val="0"/>
          <w:numId w:val="16"/>
        </w:numPr>
      </w:pPr>
      <w:r>
        <w:t>if</w:t>
      </w:r>
      <w:r w:rsidR="00C46B69">
        <w:t xml:space="preserve"> the agreement contain</w:t>
      </w:r>
      <w:r>
        <w:t>s</w:t>
      </w:r>
      <w:r w:rsidR="00C46B69">
        <w:t xml:space="preserve"> onerous administra</w:t>
      </w:r>
      <w:r>
        <w:t>tive and reporting requirements</w:t>
      </w:r>
    </w:p>
    <w:p w14:paraId="1DB253F9" w14:textId="77777777" w:rsidR="00C46B69" w:rsidRDefault="00064B73" w:rsidP="00E34EE3">
      <w:pPr>
        <w:pStyle w:val="ListNumber"/>
        <w:numPr>
          <w:ilvl w:val="0"/>
          <w:numId w:val="16"/>
        </w:numPr>
      </w:pPr>
      <w:r>
        <w:t>if</w:t>
      </w:r>
      <w:r w:rsidR="00C46B69">
        <w:t xml:space="preserve"> there </w:t>
      </w:r>
      <w:r>
        <w:t xml:space="preserve">is </w:t>
      </w:r>
      <w:r w:rsidR="00C46B69">
        <w:t xml:space="preserve">a requirement for matched funding and </w:t>
      </w:r>
      <w:r>
        <w:t xml:space="preserve">whether </w:t>
      </w:r>
      <w:r w:rsidR="00C46B69">
        <w:t xml:space="preserve">this </w:t>
      </w:r>
      <w:r>
        <w:t xml:space="preserve">has </w:t>
      </w:r>
      <w:r w:rsidR="00C46B69">
        <w:t>been factored into</w:t>
      </w:r>
      <w:r>
        <w:t xml:space="preserve"> the budget</w:t>
      </w:r>
    </w:p>
    <w:p w14:paraId="5D4C2EC1" w14:textId="77777777" w:rsidR="00C46B69" w:rsidRDefault="00C46B69" w:rsidP="00E34EE3">
      <w:pPr>
        <w:pStyle w:val="ListNumber"/>
        <w:numPr>
          <w:ilvl w:val="0"/>
          <w:numId w:val="16"/>
        </w:numPr>
      </w:pPr>
      <w:r>
        <w:t>the durability of agreements enter</w:t>
      </w:r>
      <w:r w:rsidR="00064B73">
        <w:t>ed</w:t>
      </w:r>
      <w:r>
        <w:t xml:space="preserve"> into, and arrangements or expectations at the expiry of the agreement for ongoing funding.</w:t>
      </w:r>
    </w:p>
    <w:p w14:paraId="4EAA7DE6" w14:textId="5BDAC478" w:rsidR="00C46B69" w:rsidRDefault="00064B73" w:rsidP="006C2318">
      <w:pPr>
        <w:pStyle w:val="Heading3"/>
        <w:ind w:left="851" w:hanging="851"/>
      </w:pPr>
      <w:r>
        <w:t>Realistic and achievable for Northern</w:t>
      </w:r>
      <w:r w:rsidR="0070721E">
        <w:t> </w:t>
      </w:r>
      <w:r>
        <w:t>Territory</w:t>
      </w:r>
    </w:p>
    <w:p w14:paraId="7DACCDF2" w14:textId="4EA61C53" w:rsidR="00C46B69" w:rsidRDefault="00064B73" w:rsidP="00C46B69">
      <w:r>
        <w:t>Outputs, outcomes and reporting requirements linked to payments must be realistic and achievab</w:t>
      </w:r>
      <w:r w:rsidR="008D3FF0">
        <w:t xml:space="preserve">le for the </w:t>
      </w:r>
      <w:r w:rsidR="0017026C">
        <w:t>NT</w:t>
      </w:r>
      <w:r w:rsidR="008D3FF0">
        <w:t xml:space="preserve">. </w:t>
      </w:r>
      <w:r>
        <w:t xml:space="preserve">There is potential for </w:t>
      </w:r>
      <w:r w:rsidR="008D3FF0">
        <w:t xml:space="preserve">reputational damage to the </w:t>
      </w:r>
      <w:r w:rsidR="0017026C">
        <w:t>NT</w:t>
      </w:r>
      <w:r w:rsidR="008D3FF0">
        <w:t xml:space="preserve"> if </w:t>
      </w:r>
      <w:r w:rsidR="00F53032">
        <w:t>portfolio</w:t>
      </w:r>
      <w:r w:rsidR="008D3FF0">
        <w:t xml:space="preserve"> agencies do not comply with the terms of the agreement</w:t>
      </w:r>
      <w:r w:rsidR="00D33731">
        <w:t>, along with increased risk in funding shortfalls fo</w:t>
      </w:r>
      <w:r w:rsidR="007F0E9F">
        <w:t xml:space="preserve">r service or program delivery. </w:t>
      </w:r>
      <w:r w:rsidR="00D33731">
        <w:t>If the terms cannot be negotiated to reflect what is achievable, the benefits of the agreement need to be weighed carefully against the potential for non-compliance.</w:t>
      </w:r>
    </w:p>
    <w:p w14:paraId="20127EA9" w14:textId="77777777" w:rsidR="00BB1D2E" w:rsidRDefault="00BB1D2E">
      <w:pPr>
        <w:rPr>
          <w:rFonts w:eastAsiaTheme="majorEastAsia" w:cstheme="majorBidi"/>
          <w:b/>
          <w:bCs/>
          <w:iCs/>
          <w:color w:val="606060"/>
          <w:sz w:val="28"/>
          <w:szCs w:val="28"/>
        </w:rPr>
      </w:pPr>
      <w:bookmarkStart w:id="12" w:name="_Ref501708805"/>
      <w:r>
        <w:br w:type="page"/>
      </w:r>
    </w:p>
    <w:p w14:paraId="6965C49B" w14:textId="68E17FB0" w:rsidR="00935349" w:rsidRDefault="00935349" w:rsidP="006C2318">
      <w:pPr>
        <w:pStyle w:val="Heading2"/>
        <w:ind w:left="851" w:hanging="860"/>
      </w:pPr>
      <w:bookmarkStart w:id="13" w:name="_Toc531871493"/>
      <w:r>
        <w:lastRenderedPageBreak/>
        <w:t>Development design principles</w:t>
      </w:r>
      <w:bookmarkEnd w:id="12"/>
      <w:bookmarkEnd w:id="13"/>
    </w:p>
    <w:p w14:paraId="00346CB8" w14:textId="72B020BC" w:rsidR="00EF5D60" w:rsidRDefault="00EF5D60" w:rsidP="00935349">
      <w:r>
        <w:t xml:space="preserve">Commonwealth funding agreements are to be consistent with the design principles agreed under the </w:t>
      </w:r>
      <w:r w:rsidR="000B7924">
        <w:t>IGA</w:t>
      </w:r>
      <w:r>
        <w:t xml:space="preserve">, and in accordance with </w:t>
      </w:r>
      <w:r w:rsidRPr="007F051B">
        <w:rPr>
          <w:b/>
        </w:rPr>
        <w:t>Appendix</w:t>
      </w:r>
      <w:r w:rsidR="0070721E">
        <w:rPr>
          <w:b/>
        </w:rPr>
        <w:t> </w:t>
      </w:r>
      <w:r w:rsidR="00135B9E" w:rsidRPr="007F051B">
        <w:rPr>
          <w:b/>
        </w:rPr>
        <w:t>D</w:t>
      </w:r>
      <w:r w:rsidR="009A0DD1">
        <w:t xml:space="preserve"> </w:t>
      </w:r>
      <w:r>
        <w:t>of the Treasurer’s Direction.</w:t>
      </w:r>
    </w:p>
    <w:p w14:paraId="763B6C5D" w14:textId="08DCA8DA" w:rsidR="00935349" w:rsidRDefault="00EF5D60" w:rsidP="00935349">
      <w:r>
        <w:t xml:space="preserve">Templates for all Commonwealth funding agreements are available </w:t>
      </w:r>
      <w:r w:rsidR="0098496B">
        <w:t>on</w:t>
      </w:r>
      <w:r>
        <w:t xml:space="preserve"> the </w:t>
      </w:r>
      <w:hyperlink r:id="rId19" w:history="1">
        <w:r w:rsidRPr="00AD67B0">
          <w:rPr>
            <w:rStyle w:val="Hyperlink"/>
          </w:rPr>
          <w:t>Council on Federa</w:t>
        </w:r>
        <w:r w:rsidR="00EB67DE" w:rsidRPr="00AD67B0">
          <w:rPr>
            <w:rStyle w:val="Hyperlink"/>
          </w:rPr>
          <w:t>l Financial Relations</w:t>
        </w:r>
      </w:hyperlink>
      <w:bookmarkStart w:id="14" w:name="_GoBack"/>
      <w:bookmarkEnd w:id="14"/>
      <w:r w:rsidR="00EB67DE">
        <w:t xml:space="preserve"> website. </w:t>
      </w:r>
      <w:r>
        <w:t>Agencies should refer to the templates and guidance material when devel</w:t>
      </w:r>
      <w:r w:rsidR="00A81F92">
        <w:t>oping or negotiating agreements</w:t>
      </w:r>
      <w:r w:rsidR="0098496B">
        <w:t>,</w:t>
      </w:r>
      <w:r w:rsidR="00A81F92">
        <w:t xml:space="preserve"> and ensure</w:t>
      </w:r>
      <w:r w:rsidR="00640966">
        <w:t xml:space="preserve"> the correct template is used and all mandatory clauses provided.</w:t>
      </w:r>
    </w:p>
    <w:p w14:paraId="60B91B5A" w14:textId="55CCAE4B" w:rsidR="00262F74" w:rsidRDefault="00262F74" w:rsidP="00935349">
      <w:r>
        <w:t xml:space="preserve">Key design principles for Commonwealth funding agreements set out under the </w:t>
      </w:r>
      <w:r w:rsidR="000B7924">
        <w:t>IGA</w:t>
      </w:r>
      <w:r>
        <w:t xml:space="preserve"> include:</w:t>
      </w:r>
    </w:p>
    <w:p w14:paraId="385B45C1" w14:textId="055E8C1A" w:rsidR="007F0E9F" w:rsidRDefault="00262F74" w:rsidP="00E34EE3">
      <w:pPr>
        <w:pStyle w:val="ListBullet"/>
        <w:numPr>
          <w:ilvl w:val="0"/>
          <w:numId w:val="17"/>
        </w:numPr>
      </w:pPr>
      <w:r w:rsidRPr="009A0DD1">
        <w:t>Commonwealth funding agreements</w:t>
      </w:r>
      <w:r>
        <w:t xml:space="preserve"> are to focus on the achievement of </w:t>
      </w:r>
      <w:r w:rsidR="00C46B69">
        <w:t xml:space="preserve">outputs and outcomes, and avoid the use of financial and other input </w:t>
      </w:r>
      <w:r w:rsidR="00B3453B">
        <w:t>controls, such as</w:t>
      </w:r>
      <w:r w:rsidR="007F0E9F">
        <w:t>:</w:t>
      </w:r>
    </w:p>
    <w:p w14:paraId="3C0E8517" w14:textId="2D8D383E" w:rsidR="0070721E" w:rsidRDefault="0070721E" w:rsidP="00E34EE3">
      <w:pPr>
        <w:pStyle w:val="ListBullet"/>
        <w:numPr>
          <w:ilvl w:val="1"/>
          <w:numId w:val="17"/>
        </w:numPr>
      </w:pPr>
      <w:r>
        <w:t>clauses requiring:</w:t>
      </w:r>
    </w:p>
    <w:p w14:paraId="208FD2D5" w14:textId="77777777" w:rsidR="007F0E9F" w:rsidRDefault="00EB67DE" w:rsidP="005B489B">
      <w:pPr>
        <w:pStyle w:val="ListBullet"/>
        <w:numPr>
          <w:ilvl w:val="2"/>
          <w:numId w:val="17"/>
        </w:numPr>
      </w:pPr>
      <w:r>
        <w:t>maintenance of effort</w:t>
      </w:r>
    </w:p>
    <w:p w14:paraId="4898076D" w14:textId="77777777" w:rsidR="007F0E9F" w:rsidRDefault="00EB67DE" w:rsidP="005B489B">
      <w:pPr>
        <w:pStyle w:val="ListBullet"/>
        <w:numPr>
          <w:ilvl w:val="2"/>
          <w:numId w:val="17"/>
        </w:numPr>
      </w:pPr>
      <w:r>
        <w:t>cost matching or sharing</w:t>
      </w:r>
    </w:p>
    <w:p w14:paraId="0B61B678" w14:textId="77777777" w:rsidR="007F0E9F" w:rsidRDefault="00EB67DE" w:rsidP="005B489B">
      <w:pPr>
        <w:pStyle w:val="ListBullet"/>
        <w:numPr>
          <w:ilvl w:val="2"/>
          <w:numId w:val="17"/>
        </w:numPr>
      </w:pPr>
      <w:r>
        <w:t>income and expenditure reporting</w:t>
      </w:r>
    </w:p>
    <w:p w14:paraId="649CE652" w14:textId="0DD8E43B" w:rsidR="0070721E" w:rsidRDefault="00EB67DE" w:rsidP="005B489B">
      <w:pPr>
        <w:pStyle w:val="ListBullet"/>
        <w:numPr>
          <w:ilvl w:val="2"/>
          <w:numId w:val="17"/>
        </w:numPr>
      </w:pPr>
      <w:r>
        <w:t>acquittals and auditing</w:t>
      </w:r>
    </w:p>
    <w:p w14:paraId="3EA1D337" w14:textId="4E2F6B7D" w:rsidR="007F0E9F" w:rsidRDefault="0070721E" w:rsidP="005B489B">
      <w:pPr>
        <w:pStyle w:val="ListBullet"/>
        <w:numPr>
          <w:ilvl w:val="2"/>
          <w:numId w:val="17"/>
        </w:numPr>
      </w:pPr>
      <w:r>
        <w:t>return of unspent funds or quarantine of savings</w:t>
      </w:r>
    </w:p>
    <w:p w14:paraId="43E03DF3" w14:textId="54B86940" w:rsidR="0070721E" w:rsidRDefault="0070721E" w:rsidP="00E34EE3">
      <w:pPr>
        <w:pStyle w:val="ListBullet"/>
        <w:numPr>
          <w:ilvl w:val="1"/>
          <w:numId w:val="17"/>
        </w:numPr>
      </w:pPr>
      <w:r>
        <w:t xml:space="preserve">clauses </w:t>
      </w:r>
      <w:r w:rsidR="00EB67DE">
        <w:t>prescribing</w:t>
      </w:r>
      <w:r w:rsidR="00DD5446">
        <w:t>:</w:t>
      </w:r>
    </w:p>
    <w:p w14:paraId="6130B29B" w14:textId="0CB57E34" w:rsidR="007F0E9F" w:rsidRDefault="00EB67DE" w:rsidP="005B489B">
      <w:pPr>
        <w:pStyle w:val="ListBullet"/>
        <w:numPr>
          <w:ilvl w:val="2"/>
          <w:numId w:val="17"/>
        </w:numPr>
      </w:pPr>
      <w:r>
        <w:t>how funds are to be spent</w:t>
      </w:r>
    </w:p>
    <w:p w14:paraId="63D3FD94" w14:textId="47752BBA" w:rsidR="007F0E9F" w:rsidRDefault="00DD5446" w:rsidP="005B489B">
      <w:pPr>
        <w:pStyle w:val="ListBullet"/>
        <w:numPr>
          <w:ilvl w:val="2"/>
          <w:numId w:val="17"/>
        </w:numPr>
      </w:pPr>
      <w:r>
        <w:t>procurement methods</w:t>
      </w:r>
    </w:p>
    <w:p w14:paraId="56B3F4A6" w14:textId="77777777" w:rsidR="00EB67DE" w:rsidRDefault="00EB67DE" w:rsidP="005B489B">
      <w:pPr>
        <w:pStyle w:val="ListBullet"/>
        <w:numPr>
          <w:ilvl w:val="2"/>
          <w:numId w:val="17"/>
        </w:numPr>
      </w:pPr>
      <w:r>
        <w:t>staffing arrangements and costs.</w:t>
      </w:r>
    </w:p>
    <w:p w14:paraId="50BD74FF" w14:textId="6240F50B" w:rsidR="00EF5D60" w:rsidRDefault="00643171" w:rsidP="00E34EE3">
      <w:pPr>
        <w:pStyle w:val="ListBullet"/>
        <w:numPr>
          <w:ilvl w:val="0"/>
          <w:numId w:val="17"/>
        </w:numPr>
      </w:pPr>
      <w:r>
        <w:t xml:space="preserve">NPA schedules, </w:t>
      </w:r>
      <w:r w:rsidR="009A0DD1">
        <w:t>IPs</w:t>
      </w:r>
      <w:r w:rsidR="00640966" w:rsidRPr="00640966">
        <w:t>,</w:t>
      </w:r>
      <w:r>
        <w:t xml:space="preserve"> and</w:t>
      </w:r>
      <w:r w:rsidR="00640966" w:rsidRPr="00640966">
        <w:t xml:space="preserve"> project plans </w:t>
      </w:r>
      <w:r w:rsidR="001523F6">
        <w:t>should be developed in conjunction with the overarching NPA at the time of developing the NPA</w:t>
      </w:r>
      <w:r w:rsidR="00EF5D60">
        <w:t xml:space="preserve">.  Where this is not possible, </w:t>
      </w:r>
      <w:r w:rsidR="009A0DD1">
        <w:t>these</w:t>
      </w:r>
      <w:r w:rsidR="00EF5D60">
        <w:t xml:space="preserve"> should be developed within six months of the NPA being signed.</w:t>
      </w:r>
    </w:p>
    <w:p w14:paraId="0F3E3BAC" w14:textId="5C0BE52D" w:rsidR="00A94C05" w:rsidRPr="00A94C05" w:rsidRDefault="00A94C05" w:rsidP="00E34EE3">
      <w:pPr>
        <w:pStyle w:val="ListBullet"/>
        <w:numPr>
          <w:ilvl w:val="0"/>
          <w:numId w:val="17"/>
        </w:numPr>
      </w:pPr>
      <w:r>
        <w:t xml:space="preserve">Where an NPA </w:t>
      </w:r>
      <w:r w:rsidR="00247CF2">
        <w:t xml:space="preserve">is </w:t>
      </w:r>
      <w:r>
        <w:t xml:space="preserve">within </w:t>
      </w:r>
      <w:r w:rsidR="00247CF2">
        <w:t xml:space="preserve">the </w:t>
      </w:r>
      <w:r>
        <w:t>scope of any nat</w:t>
      </w:r>
      <w:r w:rsidR="00247CF2">
        <w:t>ional agreement, the NPA</w:t>
      </w:r>
      <w:r>
        <w:t xml:space="preserve"> should link directly to the objectives, outcomes</w:t>
      </w:r>
      <w:r w:rsidR="001523F6">
        <w:t>,</w:t>
      </w:r>
      <w:r>
        <w:t xml:space="preserve"> and outputs of the national agreement.</w:t>
      </w:r>
    </w:p>
    <w:p w14:paraId="6183F193" w14:textId="5C68505E" w:rsidR="00D33731" w:rsidRDefault="004267B4" w:rsidP="006C2318">
      <w:pPr>
        <w:pStyle w:val="Heading3"/>
        <w:ind w:left="851" w:hanging="851"/>
      </w:pPr>
      <w:r>
        <w:t xml:space="preserve">Reducing Commonwealth prescription on </w:t>
      </w:r>
      <w:r w:rsidR="00D33731">
        <w:t>programs and service delivery</w:t>
      </w:r>
    </w:p>
    <w:p w14:paraId="1DD7882B" w14:textId="3C2E6754" w:rsidR="00D33731" w:rsidRDefault="00D33731" w:rsidP="00D33731">
      <w:r>
        <w:t xml:space="preserve">The states and territories have primary responsibility for service delivery in their jurisdictions. The principles of the </w:t>
      </w:r>
      <w:r w:rsidR="005C61E8">
        <w:t xml:space="preserve">IGA </w:t>
      </w:r>
      <w:r>
        <w:t>commit to reducing Commonwealth prescription on program or service delivery by the states and territories.</w:t>
      </w:r>
    </w:p>
    <w:p w14:paraId="708FA572" w14:textId="28E014D2" w:rsidR="00D33731" w:rsidRDefault="00D33731" w:rsidP="00D33731">
      <w:r>
        <w:t xml:space="preserve">Limitations on the </w:t>
      </w:r>
      <w:r w:rsidR="005C61E8">
        <w:t>NT</w:t>
      </w:r>
      <w:r w:rsidR="0070721E">
        <w:t> </w:t>
      </w:r>
      <w:r w:rsidR="005C61E8">
        <w:t>G</w:t>
      </w:r>
      <w:r w:rsidR="001514DA">
        <w:t>overnment</w:t>
      </w:r>
      <w:r w:rsidR="005C61E8">
        <w:t>’s</w:t>
      </w:r>
      <w:r>
        <w:t xml:space="preserve"> flexibility to deliver programs and services, such as directing how many doctors, police, or childcare workers are deployed and where the services should be based are inconsistent with the </w:t>
      </w:r>
      <w:r w:rsidR="005C61E8">
        <w:t>IGA</w:t>
      </w:r>
      <w:r>
        <w:t xml:space="preserve"> </w:t>
      </w:r>
      <w:r w:rsidR="000E4488">
        <w:t>principles,</w:t>
      </w:r>
      <w:r>
        <w:t xml:space="preserve"> and can compromise effective service delivery and outcomes. </w:t>
      </w:r>
      <w:r w:rsidR="00F53032">
        <w:t>Portfolio</w:t>
      </w:r>
      <w:r>
        <w:t xml:space="preserve"> agencies are best placed to determine how resources should be used to deliver programs and services most effectively in the </w:t>
      </w:r>
      <w:r w:rsidR="001514DA">
        <w:t>NT</w:t>
      </w:r>
      <w:r>
        <w:t xml:space="preserve">. Flexibility for place-based service provision and stakeholder involvement in design and delivery are particularly important given the demographics and geography of the </w:t>
      </w:r>
      <w:r w:rsidR="001514DA">
        <w:t>NT</w:t>
      </w:r>
      <w:r>
        <w:t>.</w:t>
      </w:r>
    </w:p>
    <w:p w14:paraId="51CAFFB9" w14:textId="7B4AA333" w:rsidR="00D33731" w:rsidRDefault="00EB67DE" w:rsidP="00D33731">
      <w:r>
        <w:t xml:space="preserve">Agreements should be consistent with </w:t>
      </w:r>
      <w:r w:rsidR="005C61E8">
        <w:t>NT</w:t>
      </w:r>
      <w:r w:rsidR="0070721E">
        <w:t> </w:t>
      </w:r>
      <w:r w:rsidR="005C61E8">
        <w:t>G</w:t>
      </w:r>
      <w:r w:rsidR="001514DA">
        <w:t>overnment’s</w:t>
      </w:r>
      <w:r>
        <w:t xml:space="preserve"> priorities and policies, otherwise they risk undermining programs and strategies already in place. For example, clauses requiring maintenance of effort and cost matching have </w:t>
      </w:r>
      <w:r w:rsidR="00F95EE0">
        <w:t>a</w:t>
      </w:r>
      <w:r>
        <w:t xml:space="preserve"> tendency to </w:t>
      </w:r>
      <w:r w:rsidR="009A0DD1">
        <w:t xml:space="preserve">detract </w:t>
      </w:r>
      <w:r>
        <w:t>from established priorities.</w:t>
      </w:r>
    </w:p>
    <w:p w14:paraId="355DA2D8" w14:textId="77777777" w:rsidR="00DD5446" w:rsidRDefault="00DD5446">
      <w:pPr>
        <w:rPr>
          <w:rFonts w:cs="Arial"/>
          <w:b/>
          <w:bCs/>
          <w:sz w:val="24"/>
          <w:szCs w:val="26"/>
        </w:rPr>
      </w:pPr>
      <w:r>
        <w:br w:type="page"/>
      </w:r>
    </w:p>
    <w:p w14:paraId="73C1390A" w14:textId="751B5A21" w:rsidR="00EB67DE" w:rsidRDefault="00EB67DE" w:rsidP="006C2318">
      <w:pPr>
        <w:pStyle w:val="Heading3"/>
        <w:ind w:left="851" w:hanging="851"/>
      </w:pPr>
      <w:r>
        <w:lastRenderedPageBreak/>
        <w:t>Clear accountability</w:t>
      </w:r>
    </w:p>
    <w:p w14:paraId="56B636DB" w14:textId="7963E385" w:rsidR="00EB67DE" w:rsidRDefault="00EB67DE" w:rsidP="00EB67DE">
      <w:r>
        <w:t>Agreement</w:t>
      </w:r>
      <w:r w:rsidR="00A45202">
        <w:t>s</w:t>
      </w:r>
      <w:r>
        <w:t xml:space="preserve"> should clearly define the roles and responsibilities of the parties to ensure greater accountability and transparency and enable coordination and integration of program areas. Where there is a change or shift in responsibility</w:t>
      </w:r>
      <w:r w:rsidR="009A0DD1">
        <w:t>,</w:t>
      </w:r>
      <w:r>
        <w:t xml:space="preserve"> transition arrangements should be provided along with clear timeframes for the transition and duration of the change and adequate resourcing.</w:t>
      </w:r>
    </w:p>
    <w:p w14:paraId="27636413" w14:textId="24B797D9" w:rsidR="00EB67DE" w:rsidRDefault="00EB67DE" w:rsidP="00EB67DE">
      <w:r>
        <w:t>Performance indicators shou</w:t>
      </w:r>
      <w:r w:rsidR="00F95EE0">
        <w:t xml:space="preserve">ld be meaningful, </w:t>
      </w:r>
      <w:r w:rsidR="000E4488">
        <w:t>measurable</w:t>
      </w:r>
      <w:r>
        <w:t xml:space="preserve"> and have credible links to outcomes, rather than simply measure inputs. Agreements should include review and evaluation provisions </w:t>
      </w:r>
      <w:r w:rsidR="009A0DD1">
        <w:t xml:space="preserve">to </w:t>
      </w:r>
      <w:r>
        <w:t>allow changes that will better align activity with objectives.</w:t>
      </w:r>
    </w:p>
    <w:p w14:paraId="2B02F1B0" w14:textId="3BD0BC28" w:rsidR="002C7C58" w:rsidRDefault="002C7C58" w:rsidP="006C2318">
      <w:pPr>
        <w:pStyle w:val="Heading3"/>
        <w:ind w:left="851" w:hanging="851"/>
      </w:pPr>
      <w:r>
        <w:t>Funding</w:t>
      </w:r>
      <w:r w:rsidR="00A45202">
        <w:t xml:space="preserve"> and payment schedules</w:t>
      </w:r>
    </w:p>
    <w:p w14:paraId="2AFEBD0A" w14:textId="77777777" w:rsidR="002C7C58" w:rsidRDefault="002C7C58" w:rsidP="002C7C58">
      <w:r>
        <w:t>Commonwealth funding agreements may:</w:t>
      </w:r>
    </w:p>
    <w:p w14:paraId="09A6E2C8" w14:textId="77777777" w:rsidR="002C7C58" w:rsidRDefault="002C7C58" w:rsidP="00E34EE3">
      <w:pPr>
        <w:pStyle w:val="ListParagraph"/>
        <w:numPr>
          <w:ilvl w:val="0"/>
          <w:numId w:val="8"/>
        </w:numPr>
      </w:pPr>
      <w:r>
        <w:t>include Commonwealth funding only, or a combination of Commonwealth and state and territory funding contributions</w:t>
      </w:r>
    </w:p>
    <w:p w14:paraId="6256C455" w14:textId="10F0FBEA" w:rsidR="002C7C58" w:rsidRDefault="002C7C58" w:rsidP="00E34EE3">
      <w:pPr>
        <w:pStyle w:val="ListParagraph"/>
        <w:numPr>
          <w:ilvl w:val="0"/>
          <w:numId w:val="8"/>
        </w:numPr>
      </w:pPr>
      <w:r>
        <w:t xml:space="preserve">include graduated performance benchmarks and partial payment arrangements, so the </w:t>
      </w:r>
      <w:r w:rsidR="005C61E8">
        <w:t>NT</w:t>
      </w:r>
      <w:r w:rsidR="004267B4">
        <w:t> </w:t>
      </w:r>
      <w:r>
        <w:t>G</w:t>
      </w:r>
      <w:r w:rsidR="001514DA">
        <w:t>overnment</w:t>
      </w:r>
      <w:r>
        <w:t xml:space="preserve"> </w:t>
      </w:r>
      <w:r w:rsidR="009A0DD1">
        <w:t xml:space="preserve">can </w:t>
      </w:r>
      <w:r>
        <w:t xml:space="preserve">receive </w:t>
      </w:r>
      <w:r w:rsidR="009A0DD1">
        <w:t xml:space="preserve">a </w:t>
      </w:r>
      <w:r>
        <w:t>proportion of total available funding for an activity where it has only partially achieved the agreed outcomes</w:t>
      </w:r>
    </w:p>
    <w:p w14:paraId="43014A32" w14:textId="3C228515" w:rsidR="002C7C58" w:rsidRDefault="002C7C58" w:rsidP="00E34EE3">
      <w:pPr>
        <w:pStyle w:val="ListParagraph"/>
        <w:numPr>
          <w:ilvl w:val="0"/>
          <w:numId w:val="8"/>
        </w:numPr>
      </w:pPr>
      <w:r>
        <w:t>be determined on a competitive bidding process</w:t>
      </w:r>
      <w:r w:rsidR="009A0DD1">
        <w:t xml:space="preserve"> </w:t>
      </w:r>
      <w:r w:rsidR="00F95EE0">
        <w:rPr>
          <w:b/>
        </w:rPr>
        <w:t>–</w:t>
      </w:r>
      <w:r w:rsidR="009A0DD1">
        <w:t xml:space="preserve"> a</w:t>
      </w:r>
      <w:r>
        <w:t xml:space="preserve">gencies must provide </w:t>
      </w:r>
      <w:r w:rsidR="00247CF2">
        <w:t>copies</w:t>
      </w:r>
      <w:r>
        <w:t xml:space="preserve"> of </w:t>
      </w:r>
      <w:r w:rsidR="004267B4">
        <w:t xml:space="preserve">any </w:t>
      </w:r>
      <w:r>
        <w:t xml:space="preserve">bids </w:t>
      </w:r>
      <w:r w:rsidR="004267B4">
        <w:t xml:space="preserve">made </w:t>
      </w:r>
      <w:r>
        <w:t>to central agencies.</w:t>
      </w:r>
    </w:p>
    <w:p w14:paraId="08CB73FD" w14:textId="4947CF62" w:rsidR="005C61E8" w:rsidRDefault="005C61E8" w:rsidP="005C61E8">
      <w:r>
        <w:t xml:space="preserve">Funding schedules must outline the type and timing of payments, relevant milestones or performance benchmarks to trigger payments and any financial contributions required of the </w:t>
      </w:r>
      <w:r w:rsidR="0098496B">
        <w:t>NT Government</w:t>
      </w:r>
      <w:r w:rsidR="009A0DD1">
        <w:t>.</w:t>
      </w:r>
    </w:p>
    <w:p w14:paraId="23882566" w14:textId="1717A101" w:rsidR="002C7C58" w:rsidRDefault="002C7C58" w:rsidP="002C7C58">
      <w:r>
        <w:t xml:space="preserve">Reward funding not required to be allocated to an agreed portfolio area is classified as untied </w:t>
      </w:r>
      <w:r w:rsidR="005C61E8">
        <w:t>NT</w:t>
      </w:r>
      <w:r w:rsidR="001514DA">
        <w:t> </w:t>
      </w:r>
      <w:r w:rsidR="005C61E8">
        <w:t>G</w:t>
      </w:r>
      <w:r w:rsidR="001514DA">
        <w:t>overnment</w:t>
      </w:r>
      <w:r w:rsidR="005C61E8">
        <w:t xml:space="preserve"> </w:t>
      </w:r>
      <w:r>
        <w:t>revenue.</w:t>
      </w:r>
      <w:r w:rsidR="009D0970">
        <w:t xml:space="preserve"> </w:t>
      </w:r>
      <w:r>
        <w:t>Where a Commonwealth funding agreement requires reward payments to be tied for a specific purpose, this should refer to the broad portfolio area rather than a specific program.</w:t>
      </w:r>
    </w:p>
    <w:p w14:paraId="390F8D9A" w14:textId="055AA7C3" w:rsidR="009D0970" w:rsidRDefault="009D0970" w:rsidP="006C2318">
      <w:pPr>
        <w:pStyle w:val="Heading3"/>
        <w:ind w:left="851" w:hanging="851"/>
      </w:pPr>
      <w:r>
        <w:t>Performance indicators and benchmarks</w:t>
      </w:r>
    </w:p>
    <w:p w14:paraId="24B814BB" w14:textId="77777777" w:rsidR="009D0970" w:rsidRDefault="009D0970" w:rsidP="009D0970">
      <w:r>
        <w:t>Performance indicators should be few in number and reflect the most relevant information to report progress in achieving the objectives of the Commonwealth funding agreement.</w:t>
      </w:r>
    </w:p>
    <w:p w14:paraId="44FFFDDC" w14:textId="2BC051AC" w:rsidR="009D0970" w:rsidRDefault="009D0970" w:rsidP="009D0970">
      <w:r>
        <w:t xml:space="preserve">All </w:t>
      </w:r>
      <w:r w:rsidR="00BD1B28">
        <w:t>NPAs</w:t>
      </w:r>
      <w:r w:rsidR="000E4488">
        <w:t xml:space="preserve">, </w:t>
      </w:r>
      <w:r w:rsidR="009A0DD1">
        <w:t>PAs</w:t>
      </w:r>
      <w:r w:rsidR="000E4488">
        <w:t xml:space="preserve"> and </w:t>
      </w:r>
      <w:r>
        <w:t xml:space="preserve">associated </w:t>
      </w:r>
      <w:r w:rsidR="009A0DD1">
        <w:t>IPs</w:t>
      </w:r>
      <w:r>
        <w:t xml:space="preserve"> </w:t>
      </w:r>
      <w:r w:rsidR="000E4488">
        <w:t>or</w:t>
      </w:r>
      <w:r>
        <w:t xml:space="preserve"> project plans are required to include a performance framework that specifies how progress towards objectives and outcomes or the achievement of project milestones will be measured.</w:t>
      </w:r>
    </w:p>
    <w:p w14:paraId="2BBAB60B" w14:textId="77777777" w:rsidR="009D0970" w:rsidRDefault="009D0970" w:rsidP="009D0970">
      <w:r>
        <w:t>Components of a performance framework may include:</w:t>
      </w:r>
    </w:p>
    <w:p w14:paraId="34E684A9" w14:textId="77777777" w:rsidR="009D0970" w:rsidRDefault="009D0970" w:rsidP="00E34EE3">
      <w:pPr>
        <w:pStyle w:val="ListParagraph"/>
        <w:numPr>
          <w:ilvl w:val="0"/>
          <w:numId w:val="10"/>
        </w:numPr>
      </w:pPr>
      <w:r>
        <w:t>a list of performance indicators</w:t>
      </w:r>
    </w:p>
    <w:p w14:paraId="0A7C17DF" w14:textId="13584B27" w:rsidR="009D0970" w:rsidRDefault="009D0970" w:rsidP="00E34EE3">
      <w:pPr>
        <w:pStyle w:val="ListParagraph"/>
        <w:numPr>
          <w:ilvl w:val="0"/>
          <w:numId w:val="10"/>
        </w:numPr>
      </w:pPr>
      <w:r>
        <w:t>information on the data collections used for quantitative indicators</w:t>
      </w:r>
    </w:p>
    <w:p w14:paraId="55AC7CA2" w14:textId="1EE6A27A" w:rsidR="009D0970" w:rsidRDefault="009D0970" w:rsidP="00E34EE3">
      <w:pPr>
        <w:pStyle w:val="ListParagraph"/>
        <w:numPr>
          <w:ilvl w:val="0"/>
          <w:numId w:val="10"/>
        </w:numPr>
      </w:pPr>
      <w:r>
        <w:t>the performance benchmarks or milestone</w:t>
      </w:r>
      <w:r w:rsidR="00BD1B28">
        <w:t>s on which payments are tied</w:t>
      </w:r>
    </w:p>
    <w:p w14:paraId="55363CA6" w14:textId="0EC225F6" w:rsidR="009D0970" w:rsidRDefault="009D0970" w:rsidP="00E34EE3">
      <w:pPr>
        <w:pStyle w:val="ListParagraph"/>
        <w:numPr>
          <w:ilvl w:val="0"/>
          <w:numId w:val="10"/>
        </w:numPr>
      </w:pPr>
      <w:r>
        <w:t>a timetable for the delivery of performance information to Australian</w:t>
      </w:r>
      <w:r w:rsidR="004267B4">
        <w:t> </w:t>
      </w:r>
      <w:r>
        <w:t>Government departments or third parties.</w:t>
      </w:r>
    </w:p>
    <w:p w14:paraId="1CC1986E" w14:textId="493716AC" w:rsidR="009D0970" w:rsidRDefault="009D0970" w:rsidP="009D0970">
      <w:r>
        <w:t xml:space="preserve">Performance indicators should be achievable in a </w:t>
      </w:r>
      <w:r w:rsidR="00BD1B28">
        <w:t>NT</w:t>
      </w:r>
      <w:r w:rsidR="001514DA">
        <w:t> </w:t>
      </w:r>
      <w:r w:rsidR="00BD1B28">
        <w:t>G</w:t>
      </w:r>
      <w:r w:rsidR="001514DA">
        <w:t>overnment</w:t>
      </w:r>
      <w:r w:rsidR="000E4488">
        <w:t xml:space="preserve"> context and</w:t>
      </w:r>
      <w:r>
        <w:t xml:space="preserve"> consistent with </w:t>
      </w:r>
      <w:r w:rsidR="000E4488">
        <w:t>performance indicators</w:t>
      </w:r>
      <w:r>
        <w:t xml:space="preserve"> </w:t>
      </w:r>
      <w:r w:rsidR="00BD1B28">
        <w:t>in</w:t>
      </w:r>
      <w:r w:rsidR="009A0DD1">
        <w:t xml:space="preserve"> the</w:t>
      </w:r>
      <w:r w:rsidR="00BD1B28">
        <w:t xml:space="preserve"> relevant </w:t>
      </w:r>
      <w:r w:rsidR="009A0DD1">
        <w:t>NA</w:t>
      </w:r>
      <w:r w:rsidR="00BD1B28">
        <w:t>.</w:t>
      </w:r>
    </w:p>
    <w:p w14:paraId="4060AC57" w14:textId="495BA4AD" w:rsidR="00BD1B28" w:rsidRDefault="00BD1B28" w:rsidP="009D0970">
      <w:r>
        <w:t xml:space="preserve">Performance indicators and benchmarks </w:t>
      </w:r>
      <w:r w:rsidR="008A107E">
        <w:t>must</w:t>
      </w:r>
      <w:r>
        <w:t xml:space="preserve"> not be input focused.</w:t>
      </w:r>
    </w:p>
    <w:p w14:paraId="33881E3F" w14:textId="62D0B61D" w:rsidR="00264EAE" w:rsidRDefault="00264EAE" w:rsidP="006C2318">
      <w:pPr>
        <w:pStyle w:val="Heading3"/>
        <w:ind w:left="851" w:hanging="851"/>
      </w:pPr>
      <w:r>
        <w:lastRenderedPageBreak/>
        <w:t>Financial implications and risks</w:t>
      </w:r>
    </w:p>
    <w:p w14:paraId="0BDAD5EA" w14:textId="798E37C0" w:rsidR="00BD1B28" w:rsidRPr="00BD1B28" w:rsidRDefault="00BD1B28" w:rsidP="00BD1B28">
      <w:r>
        <w:t xml:space="preserve">Agencies must assess the financial implications and risks of all draft Commonwealth funding agreements </w:t>
      </w:r>
      <w:r w:rsidR="009A0DD1">
        <w:t>when developing and negotiating draft agreements</w:t>
      </w:r>
      <w:r w:rsidR="005B0535">
        <w:t>,</w:t>
      </w:r>
      <w:r w:rsidR="009A0DD1">
        <w:t xml:space="preserve"> and when seeking </w:t>
      </w:r>
      <w:r w:rsidR="005B0535">
        <w:t>ministerial approval.</w:t>
      </w:r>
    </w:p>
    <w:p w14:paraId="61349100" w14:textId="6AADAFD6" w:rsidR="003B5045" w:rsidRDefault="00264EAE" w:rsidP="00197D7D">
      <w:r>
        <w:t xml:space="preserve">When reviewing draft Commonwealth funding agreements, agencies </w:t>
      </w:r>
      <w:r w:rsidR="008A107E">
        <w:t>must</w:t>
      </w:r>
      <w:r>
        <w:t xml:space="preserve"> refer to the range</w:t>
      </w:r>
      <w:r w:rsidR="00364F39">
        <w:t xml:space="preserve"> of issues outlined at </w:t>
      </w:r>
      <w:r w:rsidR="00364F39" w:rsidRPr="007F051B">
        <w:rPr>
          <w:b/>
        </w:rPr>
        <w:t>Appendix E</w:t>
      </w:r>
      <w:r>
        <w:t xml:space="preserve"> of the Treasurer’s Direction (such as </w:t>
      </w:r>
      <w:r w:rsidR="001A3933">
        <w:t>policy intent</w:t>
      </w:r>
      <w:r>
        <w:t xml:space="preserve">, financial, </w:t>
      </w:r>
      <w:r w:rsidR="001A3933">
        <w:t>reporting</w:t>
      </w:r>
      <w:r>
        <w:t xml:space="preserve"> and </w:t>
      </w:r>
      <w:r w:rsidR="001A3933">
        <w:t>performance</w:t>
      </w:r>
      <w:r>
        <w:t xml:space="preserve">) to frame analysis, and to ensure due consideration of issues from a </w:t>
      </w:r>
      <w:r w:rsidR="002734B6">
        <w:t xml:space="preserve">whole of government </w:t>
      </w:r>
      <w:r>
        <w:t>perspective.</w:t>
      </w:r>
    </w:p>
    <w:p w14:paraId="33CAE6A9" w14:textId="62602DEA" w:rsidR="0046419A" w:rsidRDefault="0046419A" w:rsidP="0046419A">
      <w:pPr>
        <w:pStyle w:val="Heading3"/>
      </w:pPr>
      <w:r>
        <w:t>Reporting obligations</w:t>
      </w:r>
    </w:p>
    <w:p w14:paraId="6304C6FC" w14:textId="77777777" w:rsidR="0046419A" w:rsidRDefault="0046419A" w:rsidP="0046419A">
      <w:r>
        <w:t>Reporting obligations in Commonwealth funding agreements are not to place undue administrative or compliance burden on the NT Government.</w:t>
      </w:r>
    </w:p>
    <w:p w14:paraId="4952AA7B" w14:textId="77777777" w:rsidR="0046419A" w:rsidRDefault="0046419A" w:rsidP="0046419A">
      <w:r>
        <w:t>Commonwealth funding agreements are also not to include financial reporting requirements, as there is a separate acquittal process coordinated by the DTF, Intergovernmental Relations unit.</w:t>
      </w:r>
    </w:p>
    <w:p w14:paraId="1F5D7B43" w14:textId="77777777" w:rsidR="0046419A" w:rsidRDefault="0046419A" w:rsidP="0046419A">
      <w:r>
        <w:t>The reporting requirements should not require in-depth reporting about service delivery arrangements. In general, project agreements are to have less onerous reporting requirements than NPAs. Existing forms of progress reports should be used if appropriate to avoid duplication.</w:t>
      </w:r>
    </w:p>
    <w:p w14:paraId="604E7F8C" w14:textId="77777777" w:rsidR="0046419A" w:rsidRDefault="0046419A" w:rsidP="0046419A">
      <w:r>
        <w:t>Performance reporting should be:</w:t>
      </w:r>
    </w:p>
    <w:p w14:paraId="3E7FFF44" w14:textId="427FF20A" w:rsidR="0046419A" w:rsidRDefault="0046419A" w:rsidP="0046419A">
      <w:pPr>
        <w:pStyle w:val="ListParagraph"/>
        <w:numPr>
          <w:ilvl w:val="0"/>
          <w:numId w:val="11"/>
        </w:numPr>
      </w:pPr>
      <w:r>
        <w:t>limited to the minimum amount of information necessary for the assessment of performance against the outcomes and objectives of the agreement</w:t>
      </w:r>
    </w:p>
    <w:p w14:paraId="4F70B2A3" w14:textId="41754126" w:rsidR="0046419A" w:rsidRDefault="0046419A" w:rsidP="0046419A">
      <w:pPr>
        <w:pStyle w:val="ListParagraph"/>
        <w:numPr>
          <w:ilvl w:val="0"/>
          <w:numId w:val="11"/>
        </w:numPr>
      </w:pPr>
      <w:r>
        <w:t>agreed by the accountable officer and chief financial officer, prior to being provided to the Australian</w:t>
      </w:r>
      <w:r w:rsidR="001A3933">
        <w:t> </w:t>
      </w:r>
      <w:r>
        <w:t>Government.</w:t>
      </w:r>
    </w:p>
    <w:p w14:paraId="3181F660" w14:textId="76D7ADB9" w:rsidR="0046419A" w:rsidRDefault="0046419A" w:rsidP="0046419A">
      <w:r>
        <w:t xml:space="preserve">Reporting cycles </w:t>
      </w:r>
      <w:r w:rsidR="000A7EFB">
        <w:t>must</w:t>
      </w:r>
      <w:r>
        <w:t xml:space="preserve"> be on a financial year basis (calendar year for the education sector), and in general, </w:t>
      </w:r>
      <w:r w:rsidR="000A7EFB">
        <w:t>must</w:t>
      </w:r>
      <w:r>
        <w:t xml:space="preserve"> not be more frequent than every six months.</w:t>
      </w:r>
    </w:p>
    <w:p w14:paraId="75C8E9DF" w14:textId="73CF1D35" w:rsidR="00D458CA" w:rsidRDefault="00D458CA" w:rsidP="00D458CA">
      <w:pPr>
        <w:pStyle w:val="Heading3"/>
      </w:pPr>
      <w:r>
        <w:t>Review provisions</w:t>
      </w:r>
    </w:p>
    <w:p w14:paraId="0917745D" w14:textId="77777777" w:rsidR="00D458CA" w:rsidRDefault="00D458CA" w:rsidP="00D458CA">
      <w:r>
        <w:t>Where a Commonwealth funding agreement is developed to deliver a significant reform initiative, the inclusion of a mid-term review provision may be warranted.</w:t>
      </w:r>
    </w:p>
    <w:p w14:paraId="63D7C5C3" w14:textId="77777777" w:rsidR="00D458CA" w:rsidRDefault="00D458CA" w:rsidP="00D458CA">
      <w:r>
        <w:t>A mid-term review should consider the achievement of objectives, outcomes and outputs as well as consistency with the design principles of the IGA. Mid-term reviews assist in identifying if remedial action is required to ensure agreed outcomes or outputs are achieved by the time the agreement expires.</w:t>
      </w:r>
    </w:p>
    <w:p w14:paraId="67CAA999" w14:textId="77777777" w:rsidR="00D458CA" w:rsidRDefault="00D458CA" w:rsidP="00D458CA">
      <w:r>
        <w:t>A final review may be warranted in addition to, or instead of, a mid-term review. Final reviews are to provide a means of assessing whether policy objectives and outcomes of Commonwealth funding agreements have been achieved, to inform decisions regarding the treatment of expiring agreements.</w:t>
      </w:r>
    </w:p>
    <w:p w14:paraId="0A8EBD3C" w14:textId="77777777" w:rsidR="0046419A" w:rsidRDefault="0046419A">
      <w:pPr>
        <w:rPr>
          <w:rFonts w:eastAsiaTheme="majorEastAsia" w:cstheme="majorBidi"/>
          <w:b/>
          <w:bCs/>
          <w:kern w:val="32"/>
          <w:sz w:val="32"/>
          <w:szCs w:val="32"/>
        </w:rPr>
      </w:pPr>
      <w:r>
        <w:br w:type="page"/>
      </w:r>
    </w:p>
    <w:p w14:paraId="790B5EA8" w14:textId="036310F8" w:rsidR="0017026C" w:rsidRDefault="0017026C" w:rsidP="001A3933">
      <w:pPr>
        <w:pStyle w:val="Heading1"/>
        <w:ind w:left="426" w:hanging="426"/>
      </w:pPr>
      <w:bookmarkStart w:id="15" w:name="_Toc531871494"/>
      <w:r>
        <w:lastRenderedPageBreak/>
        <w:t>Endorsement and approvals process</w:t>
      </w:r>
      <w:bookmarkEnd w:id="15"/>
    </w:p>
    <w:p w14:paraId="2BC85BAD" w14:textId="77777777" w:rsidR="00FE54E4" w:rsidRDefault="00540DD7" w:rsidP="0017026C">
      <w:r>
        <w:t>The type of</w:t>
      </w:r>
      <w:r w:rsidR="00FE54E4">
        <w:t xml:space="preserve"> Commonwealth funding agreement</w:t>
      </w:r>
      <w:r>
        <w:t xml:space="preserve"> along with an assessment of relevant factors will determine the e</w:t>
      </w:r>
      <w:r w:rsidR="00FE54E4">
        <w:t>ndorsement and approval process</w:t>
      </w:r>
      <w:r>
        <w:t xml:space="preserve"> </w:t>
      </w:r>
      <w:r w:rsidR="00FE54E4">
        <w:t>and who can sign the agreement.</w:t>
      </w:r>
    </w:p>
    <w:p w14:paraId="2FB91BCA" w14:textId="556A8986" w:rsidR="0017026C" w:rsidRDefault="00540DD7" w:rsidP="00B2209F">
      <w:pPr>
        <w:spacing w:after="120"/>
      </w:pPr>
      <w:r>
        <w:t xml:space="preserve">At a minimum, the factors to be considered include </w:t>
      </w:r>
      <w:r w:rsidR="00FE54E4">
        <w:t>whether</w:t>
      </w:r>
      <w:r>
        <w:t xml:space="preserve"> the Commonwealth funding agreement:</w:t>
      </w:r>
    </w:p>
    <w:p w14:paraId="587B2E05" w14:textId="3297E5DD" w:rsidR="00540DD7" w:rsidRDefault="00540DD7" w:rsidP="00B25AC8">
      <w:pPr>
        <w:pStyle w:val="NTGTableBulletList1"/>
        <w:spacing w:after="0"/>
      </w:pPr>
      <w:r>
        <w:t>relates to government strategic priorities, significant policy issues or proposals</w:t>
      </w:r>
    </w:p>
    <w:p w14:paraId="63BBB191" w14:textId="02030F2D" w:rsidR="00540DD7" w:rsidRDefault="00540DD7" w:rsidP="00B25AC8">
      <w:pPr>
        <w:pStyle w:val="NTGTableBulletList1"/>
        <w:spacing w:after="0"/>
      </w:pPr>
      <w:r>
        <w:t>is contentious</w:t>
      </w:r>
    </w:p>
    <w:p w14:paraId="085A0F21" w14:textId="5D0052DE" w:rsidR="00540DD7" w:rsidRDefault="00540DD7" w:rsidP="00B25AC8">
      <w:pPr>
        <w:pStyle w:val="NTGTableBulletList1"/>
        <w:spacing w:after="0"/>
      </w:pPr>
      <w:r>
        <w:t>is high risk</w:t>
      </w:r>
    </w:p>
    <w:p w14:paraId="4A69EEF0" w14:textId="439D4F64" w:rsidR="00540DD7" w:rsidRDefault="00540DD7" w:rsidP="00B25AC8">
      <w:pPr>
        <w:pStyle w:val="NTGTableBulletList1"/>
        <w:spacing w:after="0"/>
      </w:pPr>
      <w:r>
        <w:t>includes high value funding, including capital</w:t>
      </w:r>
    </w:p>
    <w:p w14:paraId="7077EBC8" w14:textId="2E3201FD" w:rsidR="00540DD7" w:rsidRDefault="00540DD7" w:rsidP="00B25AC8">
      <w:pPr>
        <w:pStyle w:val="NTGTableBulletList1"/>
        <w:spacing w:after="0"/>
      </w:pPr>
      <w:r>
        <w:t>has significant financial, reporting and or administrative implications</w:t>
      </w:r>
    </w:p>
    <w:p w14:paraId="453C1D04" w14:textId="27770945" w:rsidR="00540DD7" w:rsidRDefault="00540DD7" w:rsidP="00B25AC8">
      <w:pPr>
        <w:pStyle w:val="NTGTableBulletList1"/>
        <w:spacing w:after="0"/>
      </w:pPr>
      <w:r>
        <w:t xml:space="preserve">affects multiple </w:t>
      </w:r>
      <w:r w:rsidR="007A10A9">
        <w:t>NT</w:t>
      </w:r>
      <w:r w:rsidR="001A3933">
        <w:t> </w:t>
      </w:r>
      <w:r>
        <w:t>Government agencies</w:t>
      </w:r>
    </w:p>
    <w:p w14:paraId="4F831117" w14:textId="224564F9" w:rsidR="00540DD7" w:rsidRDefault="00540DD7" w:rsidP="00B25AC8">
      <w:pPr>
        <w:pStyle w:val="NTGTableBulletList1"/>
        <w:spacing w:after="0"/>
      </w:pPr>
      <w:r>
        <w:t>impacts state and territory relations</w:t>
      </w:r>
    </w:p>
    <w:p w14:paraId="3ABA907A" w14:textId="2CD1A74F" w:rsidR="00540DD7" w:rsidRDefault="00540DD7" w:rsidP="00B2209F">
      <w:pPr>
        <w:pStyle w:val="NTGTableBulletList1"/>
        <w:spacing w:after="120"/>
      </w:pPr>
      <w:r>
        <w:t>represents a new policy or service arrangement, and whether Cabinet has already endorsed the new policy or service arrangement presented in the agreement.</w:t>
      </w:r>
    </w:p>
    <w:p w14:paraId="3D10DC1C" w14:textId="5040849E" w:rsidR="00B2209F" w:rsidRDefault="00B2209F" w:rsidP="00B2209F">
      <w:pPr>
        <w:pStyle w:val="NTGTableBulletList1"/>
        <w:numPr>
          <w:ilvl w:val="0"/>
          <w:numId w:val="0"/>
        </w:numPr>
        <w:spacing w:after="120"/>
      </w:pPr>
      <w:r>
        <w:t>In general, the higher the risk, complexity</w:t>
      </w:r>
      <w:r w:rsidR="00F95EE0">
        <w:t xml:space="preserve"> </w:t>
      </w:r>
      <w:r>
        <w:t xml:space="preserve">or strategic importance of the funding agreement, the higher the level of endorsements and approvals </w:t>
      </w:r>
      <w:r w:rsidR="00F95EE0">
        <w:t>required</w:t>
      </w:r>
      <w:r>
        <w:t xml:space="preserve"> before the funding agreement can be signed-off.</w:t>
      </w:r>
    </w:p>
    <w:p w14:paraId="22039149" w14:textId="66426D4B" w:rsidR="002B3717" w:rsidRDefault="002B3717" w:rsidP="006C2318">
      <w:pPr>
        <w:pStyle w:val="Heading2"/>
        <w:ind w:left="851" w:hanging="851"/>
      </w:pPr>
      <w:bookmarkStart w:id="16" w:name="_Toc531871495"/>
      <w:r>
        <w:t>Whole of government initiatives</w:t>
      </w:r>
      <w:bookmarkEnd w:id="16"/>
    </w:p>
    <w:p w14:paraId="73217996" w14:textId="23D97932" w:rsidR="002B3717" w:rsidRDefault="002B3717" w:rsidP="002B3717">
      <w:r>
        <w:t>A Commonwealth funding agreement whole of government initiative refers to an agreement with the Australian</w:t>
      </w:r>
      <w:r w:rsidR="001A3933">
        <w:t> </w:t>
      </w:r>
      <w:r w:rsidR="00F95EE0">
        <w:t xml:space="preserve">Government that </w:t>
      </w:r>
      <w:r w:rsidR="00DD5446">
        <w:t xml:space="preserve">either </w:t>
      </w:r>
      <w:r>
        <w:t>involves more than one portfolio agency</w:t>
      </w:r>
      <w:r w:rsidR="00DD5446">
        <w:t xml:space="preserve">, represents a strategic risk, an investment opportunity, </w:t>
      </w:r>
      <w:r w:rsidR="001A3933">
        <w:t xml:space="preserve">or </w:t>
      </w:r>
      <w:r>
        <w:t xml:space="preserve">is of strategic importance to the </w:t>
      </w:r>
      <w:r w:rsidR="007A10A9">
        <w:t>NT</w:t>
      </w:r>
      <w:r w:rsidR="001A3933">
        <w:t> </w:t>
      </w:r>
      <w:r>
        <w:t>Government.</w:t>
      </w:r>
    </w:p>
    <w:p w14:paraId="19DE0E6C" w14:textId="357AC355" w:rsidR="002B3717" w:rsidRDefault="002B3717" w:rsidP="002B3717">
      <w:r>
        <w:t>These types of agreements tend to</w:t>
      </w:r>
      <w:r w:rsidR="006C2318">
        <w:t xml:space="preserve"> </w:t>
      </w:r>
      <w:r>
        <w:t xml:space="preserve">include high value funding, with significant financial implications. The involvement of multiple agencies and multilateral </w:t>
      </w:r>
      <w:r w:rsidR="006C2318">
        <w:t>focus adds to the agreement’s complexity.</w:t>
      </w:r>
    </w:p>
    <w:p w14:paraId="3A82CFAD" w14:textId="77777777" w:rsidR="006C2318" w:rsidRDefault="006C2318" w:rsidP="002B3717">
      <w:r>
        <w:t>As a result, all whole of government initiatives require Cabinet approval. The Cabinet submission is coordinated by the central agencies.</w:t>
      </w:r>
    </w:p>
    <w:p w14:paraId="41A47237" w14:textId="30CDB557" w:rsidR="006C2318" w:rsidRDefault="006C2318" w:rsidP="002B3717">
      <w:r>
        <w:t>Once approved by Cabinet, a whole of government initiative can only be signed by the Chief Minister.</w:t>
      </w:r>
    </w:p>
    <w:p w14:paraId="5F063787" w14:textId="77777777" w:rsidR="006C2318" w:rsidRDefault="006C2318" w:rsidP="006C2318">
      <w:pPr>
        <w:pStyle w:val="Heading2"/>
        <w:ind w:left="851" w:hanging="851"/>
      </w:pPr>
      <w:bookmarkStart w:id="17" w:name="_Toc531871496"/>
      <w:r>
        <w:t>Agency or sector specific agreements</w:t>
      </w:r>
      <w:bookmarkEnd w:id="17"/>
    </w:p>
    <w:p w14:paraId="660A2656" w14:textId="3CA868DA" w:rsidR="007F051B" w:rsidRPr="007F051B" w:rsidRDefault="007F051B" w:rsidP="007F051B">
      <w:r>
        <w:t>Agency or sector specific agreements refer to all other agreements with the Australian Government that are not whole of government initiatives.</w:t>
      </w:r>
    </w:p>
    <w:p w14:paraId="5EB2A08C" w14:textId="194EC2C9" w:rsidR="006C2318" w:rsidRDefault="006C2318" w:rsidP="006C2318">
      <w:pPr>
        <w:pStyle w:val="Heading3"/>
        <w:ind w:left="851" w:hanging="851"/>
      </w:pPr>
      <w:r>
        <w:t>National agreements, specific purpose payments and national partnership agreements</w:t>
      </w:r>
    </w:p>
    <w:p w14:paraId="5D8F6E14" w14:textId="3E646D97" w:rsidR="006C2318" w:rsidRDefault="00B2209F" w:rsidP="006C2318">
      <w:r>
        <w:t>For NAs, SPPs and NPAs, there are two possible endorsement and approval processes, as outlined in the Treasurer’s Direction and Appendix </w:t>
      </w:r>
      <w:r w:rsidR="0046419A">
        <w:t>B</w:t>
      </w:r>
      <w:r>
        <w:t xml:space="preserve"> of the Treasurer’s Direction:</w:t>
      </w:r>
    </w:p>
    <w:p w14:paraId="746BBD2A" w14:textId="58594EE8" w:rsidR="00B2209F" w:rsidRDefault="00B2209F" w:rsidP="00B2209F">
      <w:pPr>
        <w:pStyle w:val="ListParagraph"/>
        <w:numPr>
          <w:ilvl w:val="0"/>
          <w:numId w:val="45"/>
        </w:numPr>
        <w:ind w:left="284" w:hanging="284"/>
      </w:pPr>
      <w:r>
        <w:t>Chief</w:t>
      </w:r>
      <w:r w:rsidR="001A3933">
        <w:t> </w:t>
      </w:r>
      <w:r>
        <w:t>Minister and Treasurer</w:t>
      </w:r>
    </w:p>
    <w:p w14:paraId="24A73311" w14:textId="7534F205" w:rsidR="00B2209F" w:rsidRDefault="00F95EE0" w:rsidP="00B2209F">
      <w:pPr>
        <w:pStyle w:val="ListParagraph"/>
        <w:numPr>
          <w:ilvl w:val="0"/>
          <w:numId w:val="45"/>
        </w:numPr>
        <w:ind w:left="284" w:hanging="284"/>
      </w:pPr>
      <w:r>
        <w:t xml:space="preserve">or </w:t>
      </w:r>
      <w:r w:rsidR="00B2209F">
        <w:t>Cabinet.</w:t>
      </w:r>
    </w:p>
    <w:p w14:paraId="3224054D" w14:textId="187B604D" w:rsidR="00B2209F" w:rsidRDefault="00B2209F" w:rsidP="00B2209F">
      <w:r>
        <w:t>Central agencies will confirm with the portfolio agency the correct endorsement and approval process, as negotiations near finalisation. The portfolio agency is then responsible for preparing and seeking relevant endorsements and approvals.</w:t>
      </w:r>
    </w:p>
    <w:p w14:paraId="747844EE" w14:textId="6EFDFC95" w:rsidR="00B25AC8" w:rsidRDefault="00B25AC8" w:rsidP="00B2209F">
      <w:r>
        <w:t>Once approved, a NA, SPP, or NPA can only be signed by the Chief</w:t>
      </w:r>
      <w:r w:rsidR="001A3933">
        <w:t> </w:t>
      </w:r>
      <w:r>
        <w:t>Minister.</w:t>
      </w:r>
    </w:p>
    <w:p w14:paraId="0FA1C905" w14:textId="4A4E5090" w:rsidR="00B2209F" w:rsidRDefault="0046419A" w:rsidP="00B2209F">
      <w:pPr>
        <w:pStyle w:val="Heading3"/>
      </w:pPr>
      <w:r>
        <w:lastRenderedPageBreak/>
        <w:t>National partnership agreement schedules, implementation plans, project agreements and project plans</w:t>
      </w:r>
    </w:p>
    <w:p w14:paraId="62469EFE" w14:textId="20CFE1AF" w:rsidR="0046419A" w:rsidRDefault="0046419A" w:rsidP="0046419A">
      <w:r>
        <w:t xml:space="preserve">For NPA schedules, IPs, PAs, and project plans, there are three possible endorsement and approval processes, as outlined in the Treasurer’s Direction and </w:t>
      </w:r>
      <w:r w:rsidRPr="005B489B">
        <w:rPr>
          <w:b/>
        </w:rPr>
        <w:t>Appendix C</w:t>
      </w:r>
      <w:r>
        <w:t xml:space="preserve"> of the Treasurer’s</w:t>
      </w:r>
      <w:r w:rsidR="001A3933">
        <w:t> </w:t>
      </w:r>
      <w:r>
        <w:t>Direction:</w:t>
      </w:r>
    </w:p>
    <w:p w14:paraId="13E622B7" w14:textId="3C2B2374" w:rsidR="0046419A" w:rsidRDefault="00F95EE0" w:rsidP="0046419A">
      <w:pPr>
        <w:pStyle w:val="ListParagraph"/>
        <w:numPr>
          <w:ilvl w:val="0"/>
          <w:numId w:val="46"/>
        </w:numPr>
        <w:ind w:left="284" w:hanging="284"/>
      </w:pPr>
      <w:r>
        <w:t>Portfolio minister</w:t>
      </w:r>
    </w:p>
    <w:p w14:paraId="1FE8404B" w14:textId="33A93EDC" w:rsidR="0046419A" w:rsidRDefault="0046419A" w:rsidP="0046419A">
      <w:pPr>
        <w:pStyle w:val="ListParagraph"/>
        <w:numPr>
          <w:ilvl w:val="0"/>
          <w:numId w:val="46"/>
        </w:numPr>
        <w:ind w:left="284" w:hanging="284"/>
      </w:pPr>
      <w:r>
        <w:t>Chief</w:t>
      </w:r>
      <w:r w:rsidR="001A3933">
        <w:t> </w:t>
      </w:r>
      <w:r>
        <w:t>Minister and Treasurer</w:t>
      </w:r>
    </w:p>
    <w:p w14:paraId="5F5AF21E" w14:textId="3E19D1E4" w:rsidR="0046419A" w:rsidRDefault="00F95EE0" w:rsidP="0046419A">
      <w:pPr>
        <w:pStyle w:val="ListParagraph"/>
        <w:numPr>
          <w:ilvl w:val="0"/>
          <w:numId w:val="46"/>
        </w:numPr>
        <w:ind w:left="284" w:hanging="284"/>
      </w:pPr>
      <w:r>
        <w:t xml:space="preserve">or </w:t>
      </w:r>
      <w:r w:rsidR="0046419A">
        <w:t>Cabinet.</w:t>
      </w:r>
    </w:p>
    <w:p w14:paraId="112D5826" w14:textId="77777777" w:rsidR="0046419A" w:rsidRDefault="0046419A" w:rsidP="0046419A">
      <w:r>
        <w:t>Central agencies will confirm with the portfolio agency the correct endorsement and approval process, as negotiations near finalisation. The portfolio agency is then responsible for preparing and seeking relevant endorsements and approvals.</w:t>
      </w:r>
    </w:p>
    <w:p w14:paraId="296A42DB" w14:textId="6C9389BF" w:rsidR="00B25AC8" w:rsidRDefault="00B25AC8" w:rsidP="0046419A">
      <w:r>
        <w:t>Once approved, the portfolio minister can sign the funding agreement.</w:t>
      </w:r>
    </w:p>
    <w:p w14:paraId="5B3F7754" w14:textId="39DE283A" w:rsidR="00540DD7" w:rsidRDefault="00540DD7" w:rsidP="006C2318">
      <w:pPr>
        <w:pStyle w:val="Heading2"/>
        <w:ind w:left="851" w:hanging="851"/>
      </w:pPr>
      <w:bookmarkStart w:id="18" w:name="_Toc531871497"/>
      <w:r>
        <w:t>Ministerial correspondence</w:t>
      </w:r>
      <w:bookmarkEnd w:id="18"/>
    </w:p>
    <w:p w14:paraId="2608C79A" w14:textId="5B0BC283" w:rsidR="00540DD7" w:rsidRDefault="00B25AC8" w:rsidP="00540DD7">
      <w:r>
        <w:t xml:space="preserve">Correspondence seeking </w:t>
      </w:r>
      <w:r w:rsidR="001A3933">
        <w:t>m</w:t>
      </w:r>
      <w:r>
        <w:t xml:space="preserve">inisterial endorsements or approvals </w:t>
      </w:r>
      <w:r w:rsidR="00FE54E4">
        <w:t xml:space="preserve">should clearly explain the outcomes of the issues considered in </w:t>
      </w:r>
      <w:r w:rsidR="00FE54E4" w:rsidRPr="007F051B">
        <w:rPr>
          <w:b/>
        </w:rPr>
        <w:t>Appendix E</w:t>
      </w:r>
      <w:r w:rsidR="00FE54E4">
        <w:t>, along with any other issues identified during the development and negotiation process.</w:t>
      </w:r>
    </w:p>
    <w:p w14:paraId="133FDBE1" w14:textId="35081BF0" w:rsidR="00FE54E4" w:rsidRPr="00540DD7" w:rsidRDefault="00B25AC8" w:rsidP="00540DD7">
      <w:r>
        <w:t>It is recommended agencies implement standardised reporting procedures to capture the assessment of potential issues, as this assessment</w:t>
      </w:r>
      <w:r w:rsidR="00FE54E4">
        <w:t xml:space="preserve"> occurs well before </w:t>
      </w:r>
      <w:r w:rsidR="001A3933">
        <w:t>m</w:t>
      </w:r>
      <w:r w:rsidR="00FE54E4">
        <w:t>inisterial endor</w:t>
      </w:r>
      <w:r>
        <w:t>sements or approvals are sought</w:t>
      </w:r>
      <w:r w:rsidR="00FE54E4">
        <w:t xml:space="preserve">. </w:t>
      </w:r>
      <w:r>
        <w:t>This</w:t>
      </w:r>
      <w:r w:rsidR="00FE54E4">
        <w:t xml:space="preserve"> will </w:t>
      </w:r>
      <w:r>
        <w:t xml:space="preserve">then </w:t>
      </w:r>
      <w:r w:rsidR="00FE54E4">
        <w:t xml:space="preserve">help facilitate timely preparation of </w:t>
      </w:r>
      <w:r w:rsidR="001A3933">
        <w:t>m</w:t>
      </w:r>
      <w:r w:rsidR="00FE54E4">
        <w:t>inisterial correspondence.</w:t>
      </w:r>
    </w:p>
    <w:p w14:paraId="1883B693" w14:textId="443B3DA7" w:rsidR="0017026C" w:rsidRDefault="0017026C" w:rsidP="0017026C">
      <w:r>
        <w:br w:type="page"/>
      </w:r>
    </w:p>
    <w:p w14:paraId="2B06EDBF" w14:textId="6544B940" w:rsidR="003B5045" w:rsidRDefault="003B5045" w:rsidP="003B5045">
      <w:pPr>
        <w:pStyle w:val="Heading1"/>
      </w:pPr>
      <w:bookmarkStart w:id="19" w:name="_Toc531871498"/>
      <w:r>
        <w:lastRenderedPageBreak/>
        <w:t>Managing Commonwealth funding agreements</w:t>
      </w:r>
      <w:bookmarkEnd w:id="19"/>
    </w:p>
    <w:p w14:paraId="43DB9526" w14:textId="15EE502F" w:rsidR="003B5045" w:rsidRDefault="003B5045" w:rsidP="001A3933">
      <w:pPr>
        <w:pStyle w:val="Heading2"/>
        <w:ind w:left="851" w:hanging="860"/>
      </w:pPr>
      <w:bookmarkStart w:id="20" w:name="_Toc531871499"/>
      <w:r>
        <w:t>Funding and performance risks</w:t>
      </w:r>
      <w:bookmarkEnd w:id="20"/>
    </w:p>
    <w:p w14:paraId="59F5A7B2" w14:textId="13249B89" w:rsidR="003B5045" w:rsidRDefault="00E125A0" w:rsidP="003B5045">
      <w:r>
        <w:t>Portfolio</w:t>
      </w:r>
      <w:r w:rsidR="00D82C7D">
        <w:t xml:space="preserve"> agencies are required to advise c</w:t>
      </w:r>
      <w:r w:rsidR="003B5045">
        <w:t xml:space="preserve">entral agencies if funding </w:t>
      </w:r>
      <w:r w:rsidR="00D82C7D">
        <w:t>from a</w:t>
      </w:r>
      <w:r w:rsidR="003B5045">
        <w:t xml:space="preserve"> Commonwealth funding agreement is at risk due to failure to achieve perform</w:t>
      </w:r>
      <w:r w:rsidR="00D82C7D">
        <w:t xml:space="preserve">ance benchmarks or milestones. </w:t>
      </w:r>
      <w:r w:rsidR="003B5045">
        <w:t xml:space="preserve">This </w:t>
      </w:r>
      <w:r w:rsidR="00D82C7D">
        <w:t xml:space="preserve">enables central agencies to assess the impact at a </w:t>
      </w:r>
      <w:r w:rsidR="002734B6">
        <w:t>whole of government level</w:t>
      </w:r>
      <w:r w:rsidR="00DD15B8">
        <w:t xml:space="preserve"> </w:t>
      </w:r>
      <w:r w:rsidR="00D82C7D">
        <w:t>and</w:t>
      </w:r>
      <w:r w:rsidR="00B25AC8">
        <w:t>, if appropriate,</w:t>
      </w:r>
      <w:r w:rsidR="003B5045">
        <w:t xml:space="preserve"> </w:t>
      </w:r>
      <w:r w:rsidR="00D82C7D">
        <w:t xml:space="preserve">discuss </w:t>
      </w:r>
      <w:r w:rsidR="001A3933">
        <w:t xml:space="preserve">mitigation </w:t>
      </w:r>
      <w:r w:rsidR="003B5045">
        <w:t>strategies</w:t>
      </w:r>
      <w:r w:rsidR="00D82C7D">
        <w:t xml:space="preserve"> with </w:t>
      </w:r>
      <w:r>
        <w:t>portfolio</w:t>
      </w:r>
      <w:r w:rsidR="00D82C7D">
        <w:t xml:space="preserve"> agencies</w:t>
      </w:r>
      <w:r w:rsidR="003B5045">
        <w:t>.</w:t>
      </w:r>
    </w:p>
    <w:p w14:paraId="402F5026" w14:textId="75CC08E7" w:rsidR="003B5045" w:rsidRDefault="00D025CC" w:rsidP="003B5045">
      <w:r>
        <w:t xml:space="preserve">The financial risks associated with Commonwealth funding agreements lies with </w:t>
      </w:r>
      <w:r w:rsidR="00E125A0">
        <w:t>portfolio</w:t>
      </w:r>
      <w:r w:rsidR="00BB1D2E">
        <w:t xml:space="preserve"> agencies. </w:t>
      </w:r>
      <w:r>
        <w:t>Any f</w:t>
      </w:r>
      <w:r w:rsidR="003B5045">
        <w:t>unding shortfalls are to be met from within agencies</w:t>
      </w:r>
      <w:r w:rsidR="005B0535">
        <w:t>’</w:t>
      </w:r>
      <w:r w:rsidR="003B5045">
        <w:t xml:space="preserve"> resources</w:t>
      </w:r>
      <w:r>
        <w:t>, unless alternative arrangements have been approved by Cabinet.</w:t>
      </w:r>
    </w:p>
    <w:p w14:paraId="72229EA3" w14:textId="49FECC06" w:rsidR="00D025CC" w:rsidRDefault="00D025CC" w:rsidP="001A3933">
      <w:pPr>
        <w:pStyle w:val="Heading2"/>
        <w:ind w:left="851" w:hanging="860"/>
      </w:pPr>
      <w:bookmarkStart w:id="21" w:name="_Toc531871500"/>
      <w:r>
        <w:t>Reporting arrangements</w:t>
      </w:r>
      <w:bookmarkEnd w:id="21"/>
    </w:p>
    <w:p w14:paraId="6F8E67C0" w14:textId="7E6F85F9" w:rsidR="003F0146" w:rsidRDefault="00E125A0" w:rsidP="0046419A">
      <w:r>
        <w:t>Portfolio</w:t>
      </w:r>
      <w:r w:rsidR="007A3599">
        <w:t xml:space="preserve"> agencies are responsible for submitting required reports</w:t>
      </w:r>
      <w:r w:rsidR="007D70D5">
        <w:t xml:space="preserve"> to the Australian</w:t>
      </w:r>
      <w:r w:rsidR="001A3933">
        <w:t> </w:t>
      </w:r>
      <w:r w:rsidR="007D70D5">
        <w:t xml:space="preserve">Government. </w:t>
      </w:r>
    </w:p>
    <w:p w14:paraId="452F2749" w14:textId="0E23E58E" w:rsidR="003F0146" w:rsidRDefault="00C05DEC" w:rsidP="00D025CC">
      <w:r>
        <w:t>NT</w:t>
      </w:r>
      <w:r w:rsidR="001514DA">
        <w:t> </w:t>
      </w:r>
      <w:r>
        <w:t>G</w:t>
      </w:r>
      <w:r w:rsidR="001514DA">
        <w:t>overnment</w:t>
      </w:r>
      <w:r w:rsidR="005B0535">
        <w:t xml:space="preserve"> </w:t>
      </w:r>
      <w:r w:rsidR="003F0146">
        <w:t xml:space="preserve">expenditure of Commonwealth funding agreements is reported to the Commonwealth by </w:t>
      </w:r>
      <w:r w:rsidR="005B0535">
        <w:t>DTF</w:t>
      </w:r>
      <w:r w:rsidR="003F0146">
        <w:t>, consist</w:t>
      </w:r>
      <w:r w:rsidR="007D70D5">
        <w:t>ent</w:t>
      </w:r>
      <w:r w:rsidR="003F0146">
        <w:t xml:space="preserve"> with the acquittal process set out in the </w:t>
      </w:r>
      <w:r w:rsidR="000B7924">
        <w:t>IGA</w:t>
      </w:r>
      <w:r w:rsidR="005B0535">
        <w:t>.</w:t>
      </w:r>
    </w:p>
    <w:p w14:paraId="3D030325" w14:textId="19553B19" w:rsidR="003F0146" w:rsidRDefault="003F0146" w:rsidP="00D025CC">
      <w:r>
        <w:t xml:space="preserve">The </w:t>
      </w:r>
      <w:r w:rsidR="005B0535">
        <w:t>DTF</w:t>
      </w:r>
      <w:r>
        <w:t xml:space="preserve"> reports total annual expenditure for each Commonwealth funding agreement, generally within six months of the end of financial year, including </w:t>
      </w:r>
      <w:r w:rsidR="00C05DEC">
        <w:t>NT</w:t>
      </w:r>
      <w:r w:rsidR="001514DA">
        <w:t> </w:t>
      </w:r>
      <w:r w:rsidR="00C05DEC">
        <w:t>G</w:t>
      </w:r>
      <w:r w:rsidR="001514DA">
        <w:t>overnment</w:t>
      </w:r>
      <w:r w:rsidR="00C04B87">
        <w:t xml:space="preserve"> </w:t>
      </w:r>
      <w:r>
        <w:t>contributions.</w:t>
      </w:r>
      <w:r w:rsidR="00D458CA">
        <w:t xml:space="preserve"> This information is collected by DTF from portfolio agencies.</w:t>
      </w:r>
    </w:p>
    <w:p w14:paraId="379C844C" w14:textId="4576BBD4" w:rsidR="00F85BC6" w:rsidRDefault="00F85BC6" w:rsidP="001A3933">
      <w:pPr>
        <w:pStyle w:val="Heading2"/>
        <w:ind w:left="851" w:hanging="860"/>
      </w:pPr>
      <w:bookmarkStart w:id="22" w:name="_Toc531871501"/>
      <w:r>
        <w:t>Reviews</w:t>
      </w:r>
      <w:bookmarkEnd w:id="22"/>
    </w:p>
    <w:p w14:paraId="0A8C39FE" w14:textId="17738BEF" w:rsidR="00F85BC6" w:rsidRDefault="00F85BC6" w:rsidP="00F85BC6">
      <w:r>
        <w:t xml:space="preserve">The </w:t>
      </w:r>
      <w:r w:rsidR="00B25AC8">
        <w:t>Australian</w:t>
      </w:r>
      <w:r w:rsidR="001A3933">
        <w:t> </w:t>
      </w:r>
      <w:r w:rsidR="00B25AC8">
        <w:t>Government</w:t>
      </w:r>
      <w:r>
        <w:t xml:space="preserve"> is responsible for initiating reviews of Commonwealth funding agreements, in consultation with states and territories.</w:t>
      </w:r>
    </w:p>
    <w:p w14:paraId="482DDAA6" w14:textId="46CC07A5" w:rsidR="00F85BC6" w:rsidRDefault="00F85BC6" w:rsidP="00F85BC6">
      <w:r>
        <w:t>Final reviews of Commonwealth funding agreements</w:t>
      </w:r>
      <w:r w:rsidR="00BD0141">
        <w:t xml:space="preserve"> that deal with complex issues or include significant capital contributions should be completed at least 12</w:t>
      </w:r>
      <w:r w:rsidR="001A3933">
        <w:t> </w:t>
      </w:r>
      <w:r w:rsidR="00BD0141">
        <w:t>months prior to sc</w:t>
      </w:r>
      <w:r w:rsidR="00364F39">
        <w:t xml:space="preserve">heduled expiry. </w:t>
      </w:r>
      <w:r w:rsidR="00BD0141">
        <w:t>Reviews may be conducted independent of, or jointly by, the parties to the agreement.</w:t>
      </w:r>
    </w:p>
    <w:p w14:paraId="2229FBCE" w14:textId="5530925A" w:rsidR="00BD0141" w:rsidRDefault="00BD0141" w:rsidP="001A3933">
      <w:pPr>
        <w:pStyle w:val="Heading2"/>
        <w:ind w:left="851" w:hanging="860"/>
      </w:pPr>
      <w:bookmarkStart w:id="23" w:name="_Toc531871502"/>
      <w:r>
        <w:t>Expiring agreements</w:t>
      </w:r>
      <w:bookmarkEnd w:id="23"/>
    </w:p>
    <w:p w14:paraId="6E0493D1" w14:textId="7EDD4181" w:rsidR="008814A1" w:rsidRDefault="008814A1" w:rsidP="008814A1">
      <w:pPr>
        <w:spacing w:after="120"/>
      </w:pPr>
      <w:r>
        <w:t>Accountable officers should only engage with the Australian</w:t>
      </w:r>
      <w:r w:rsidR="001A3933">
        <w:t> </w:t>
      </w:r>
      <w:r>
        <w:t>Government to negotiate the arrangements for cessation, extension or renewal of Commonwealth funding agreements after consulting first with</w:t>
      </w:r>
      <w:r w:rsidR="00F95EE0">
        <w:t xml:space="preserve"> the</w:t>
      </w:r>
      <w:r>
        <w:t xml:space="preserve"> central agencies.</w:t>
      </w:r>
    </w:p>
    <w:p w14:paraId="3FADDE16" w14:textId="35359287" w:rsidR="00BD0141" w:rsidRDefault="001F54E0" w:rsidP="00BD0141">
      <w:r>
        <w:t>Consideration should be given to whether an expiring agreement will be renewed, if the associated programs will continue and</w:t>
      </w:r>
      <w:r w:rsidR="00F95EE0">
        <w:t>,</w:t>
      </w:r>
      <w:r>
        <w:t xml:space="preserve"> if so, how </w:t>
      </w:r>
      <w:r w:rsidR="009E7CC7">
        <w:t>would</w:t>
      </w:r>
      <w:r>
        <w:t xml:space="preserve"> </w:t>
      </w:r>
      <w:r w:rsidR="009E7CC7">
        <w:t>they</w:t>
      </w:r>
      <w:r>
        <w:t xml:space="preserve"> be funded?</w:t>
      </w:r>
    </w:p>
    <w:p w14:paraId="0C2DBA14" w14:textId="77777777" w:rsidR="001F54E0" w:rsidRDefault="001F54E0" w:rsidP="00BD0141">
      <w:r>
        <w:t>The Commonwealth or states and territories may decide to withdraw from a Commonwealth funding agreement at any stage, including prior to its scheduled expiry.</w:t>
      </w:r>
    </w:p>
    <w:p w14:paraId="51483AB3" w14:textId="0AEC1987" w:rsidR="001F54E0" w:rsidRDefault="001F54E0" w:rsidP="00BD0141">
      <w:r>
        <w:t xml:space="preserve">Agencies should develop exit strategies, with consideration of how future arrangements should be managed, including the impact of cessation </w:t>
      </w:r>
      <w:r w:rsidR="00F95EE0">
        <w:t>to</w:t>
      </w:r>
      <w:r>
        <w:t xml:space="preserve"> funding on continuing service provision, non</w:t>
      </w:r>
      <w:r w:rsidR="000830D0">
        <w:noBreakHyphen/>
      </w:r>
      <w:r>
        <w:t>government organisations and staffing levels.</w:t>
      </w:r>
    </w:p>
    <w:p w14:paraId="5B00D006" w14:textId="04F00DFC" w:rsidR="001F54E0" w:rsidRDefault="001F54E0" w:rsidP="001A3933">
      <w:pPr>
        <w:pStyle w:val="Heading2"/>
        <w:ind w:left="851" w:hanging="860"/>
      </w:pPr>
      <w:bookmarkStart w:id="24" w:name="_Toc531871503"/>
      <w:r>
        <w:t>Variation of agreements</w:t>
      </w:r>
      <w:bookmarkEnd w:id="24"/>
    </w:p>
    <w:p w14:paraId="49395EB4" w14:textId="4AC7C71D" w:rsidR="001F54E0" w:rsidRDefault="00D810CD" w:rsidP="001F54E0">
      <w:r>
        <w:t xml:space="preserve">Variations to Commonwealth funding agreements </w:t>
      </w:r>
      <w:r w:rsidR="002077D4">
        <w:t>should</w:t>
      </w:r>
      <w:r>
        <w:t xml:space="preserve"> only </w:t>
      </w:r>
      <w:r w:rsidR="002077D4">
        <w:t>occur</w:t>
      </w:r>
      <w:r>
        <w:t xml:space="preserve"> </w:t>
      </w:r>
      <w:r w:rsidR="009E5B0F">
        <w:t>because</w:t>
      </w:r>
      <w:r>
        <w:t xml:space="preserve"> of significant policy or performance measurement issues and must </w:t>
      </w:r>
      <w:r w:rsidR="002077D4">
        <w:t>comply with the requirements in the Treasurer’s</w:t>
      </w:r>
      <w:r w:rsidR="001A3933">
        <w:t> </w:t>
      </w:r>
      <w:r w:rsidR="002077D4">
        <w:t>Direction, including adhering</w:t>
      </w:r>
      <w:r w:rsidR="009E5B0F">
        <w:t xml:space="preserve"> to the design principles outlined </w:t>
      </w:r>
      <w:r w:rsidR="002077D4">
        <w:t xml:space="preserve">in </w:t>
      </w:r>
      <w:r w:rsidR="000830D0">
        <w:rPr>
          <w:b/>
        </w:rPr>
        <w:t>Appendix D</w:t>
      </w:r>
      <w:r w:rsidR="002077D4">
        <w:t>.</w:t>
      </w:r>
    </w:p>
    <w:p w14:paraId="38F30824" w14:textId="1E4D05CB" w:rsidR="009E5B0F" w:rsidRDefault="009E5B0F" w:rsidP="001F54E0">
      <w:r>
        <w:t xml:space="preserve">Variations to Commonwealth funding agreements should not be undertaken without </w:t>
      </w:r>
      <w:r w:rsidR="00F95EE0">
        <w:t>considering</w:t>
      </w:r>
      <w:r>
        <w:t xml:space="preserve"> the net benefits of </w:t>
      </w:r>
      <w:r w:rsidR="009E7CC7">
        <w:t>varying an agreement</w:t>
      </w:r>
      <w:r>
        <w:t xml:space="preserve"> compared to developing a new agreement.</w:t>
      </w:r>
    </w:p>
    <w:p w14:paraId="5E8C245E" w14:textId="5E5D0AB8" w:rsidR="009E5B0F" w:rsidRDefault="009E5B0F" w:rsidP="001A3933">
      <w:pPr>
        <w:pStyle w:val="Heading2"/>
        <w:ind w:left="851" w:hanging="860"/>
      </w:pPr>
      <w:bookmarkStart w:id="25" w:name="_Toc531871504"/>
      <w:r>
        <w:lastRenderedPageBreak/>
        <w:t>Performance audits</w:t>
      </w:r>
      <w:bookmarkEnd w:id="25"/>
    </w:p>
    <w:p w14:paraId="415C1B71" w14:textId="6B5DC58C" w:rsidR="009E5B0F" w:rsidRDefault="009E5B0F" w:rsidP="009E5B0F">
      <w:r>
        <w:t xml:space="preserve">The Australian National Audit Office (ANAO) is able to conduct performance audits on </w:t>
      </w:r>
      <w:r w:rsidR="00E125A0">
        <w:t>portfolio</w:t>
      </w:r>
      <w:r>
        <w:t xml:space="preserve"> agencies receiving Commonwealth funding under the </w:t>
      </w:r>
      <w:r w:rsidR="008E4DA5">
        <w:t>IGA</w:t>
      </w:r>
      <w:r>
        <w:t xml:space="preserve">, in accordance with the </w:t>
      </w:r>
      <w:r w:rsidRPr="002F351C">
        <w:rPr>
          <w:i/>
        </w:rPr>
        <w:t>Auditor</w:t>
      </w:r>
      <w:r w:rsidR="005B0535">
        <w:rPr>
          <w:i/>
        </w:rPr>
        <w:noBreakHyphen/>
      </w:r>
      <w:r w:rsidRPr="002F351C">
        <w:rPr>
          <w:i/>
        </w:rPr>
        <w:t>General</w:t>
      </w:r>
      <w:r w:rsidR="005B0535">
        <w:rPr>
          <w:i/>
        </w:rPr>
        <w:t> </w:t>
      </w:r>
      <w:r w:rsidRPr="002F351C">
        <w:rPr>
          <w:i/>
        </w:rPr>
        <w:t>Act 1997</w:t>
      </w:r>
      <w:r>
        <w:t>.</w:t>
      </w:r>
    </w:p>
    <w:p w14:paraId="05958A1B" w14:textId="7E76A876" w:rsidR="009E5B0F" w:rsidRDefault="009E5B0F" w:rsidP="009E5B0F">
      <w:r>
        <w:t>Performance audits involve the independent and objective assessm</w:t>
      </w:r>
      <w:r w:rsidR="00E125A0">
        <w:t xml:space="preserve">ent of a portfolio </w:t>
      </w:r>
      <w:r>
        <w:t>agency’s programs, policies, projects or activities for which Commonwea</w:t>
      </w:r>
      <w:r w:rsidR="002077D4">
        <w:t xml:space="preserve">lth funding has been provided. </w:t>
      </w:r>
      <w:r>
        <w:t>The audit can include consideration o</w:t>
      </w:r>
      <w:r w:rsidR="00F95EE0">
        <w:t>f cost minimisation, efficiency and</w:t>
      </w:r>
      <w:r>
        <w:t xml:space="preserve"> effectiveness</w:t>
      </w:r>
      <w:r w:rsidR="00C4303C">
        <w:t>,</w:t>
      </w:r>
      <w:r>
        <w:t xml:space="preserve"> and legislative and policy compliance.</w:t>
      </w:r>
    </w:p>
    <w:p w14:paraId="54DFEF4C" w14:textId="2AAF4782" w:rsidR="009E5B0F" w:rsidRDefault="009E5B0F" w:rsidP="00EC27F5">
      <w:r>
        <w:t xml:space="preserve">Initial consultation will generally take place with </w:t>
      </w:r>
      <w:r w:rsidR="005B0535">
        <w:t>DCM</w:t>
      </w:r>
      <w:r>
        <w:t xml:space="preserve">, the </w:t>
      </w:r>
      <w:r w:rsidR="0017026C">
        <w:t>NT</w:t>
      </w:r>
      <w:r w:rsidR="000830D0">
        <w:t> </w:t>
      </w:r>
      <w:r>
        <w:t xml:space="preserve">Auditor-General and the </w:t>
      </w:r>
      <w:r w:rsidR="00E125A0">
        <w:t>portfolio</w:t>
      </w:r>
      <w:r>
        <w:t xml:space="preserve"> agency in re</w:t>
      </w:r>
      <w:r w:rsidR="002077D4">
        <w:t xml:space="preserve">lation to any proposed audits. </w:t>
      </w:r>
      <w:r>
        <w:t xml:space="preserve">Where possible, the </w:t>
      </w:r>
      <w:r w:rsidR="0017026C">
        <w:t>NT</w:t>
      </w:r>
      <w:r w:rsidR="000830D0">
        <w:t> </w:t>
      </w:r>
      <w:r>
        <w:t>Auditor-General will ha</w:t>
      </w:r>
      <w:r w:rsidR="008814A1">
        <w:t>ve agreements flagged for audit</w:t>
      </w:r>
      <w:r>
        <w:t xml:space="preserve"> placed on the </w:t>
      </w:r>
      <w:r w:rsidR="0017026C">
        <w:t>NT</w:t>
      </w:r>
      <w:r>
        <w:t xml:space="preserve"> audit list.</w:t>
      </w:r>
    </w:p>
    <w:p w14:paraId="2DEC0702" w14:textId="20A3F395" w:rsidR="009E5B0F" w:rsidRDefault="009E5B0F" w:rsidP="009E5B0F">
      <w:r>
        <w:t xml:space="preserve">Performance audits will usually involve the commitment of resources by both the ANAO and the </w:t>
      </w:r>
      <w:r w:rsidR="00E125A0">
        <w:t>portfolio</w:t>
      </w:r>
      <w:r>
        <w:t xml:space="preserve"> agency being audited.</w:t>
      </w:r>
    </w:p>
    <w:p w14:paraId="52D5ADBE" w14:textId="215703BF" w:rsidR="009E5B0F" w:rsidRDefault="00D82C7D" w:rsidP="009E5B0F">
      <w:r>
        <w:t>A</w:t>
      </w:r>
      <w:r w:rsidR="009E5B0F">
        <w:t>udit report</w:t>
      </w:r>
      <w:r>
        <w:t>s (both draft and final)</w:t>
      </w:r>
      <w:r w:rsidR="009E5B0F">
        <w:t xml:space="preserve"> will be provided to the relevant </w:t>
      </w:r>
      <w:r w:rsidR="00E125A0">
        <w:t>portfolio</w:t>
      </w:r>
      <w:r w:rsidR="009E5B0F">
        <w:t xml:space="preserve"> agency and may be provided to the </w:t>
      </w:r>
      <w:r w:rsidR="0017026C">
        <w:t>NT</w:t>
      </w:r>
      <w:r w:rsidR="000830D0">
        <w:t> </w:t>
      </w:r>
      <w:r w:rsidR="002077D4">
        <w:t>Auditor-General for comment.</w:t>
      </w:r>
      <w:r w:rsidR="005F5547">
        <w:t xml:space="preserve"> Final </w:t>
      </w:r>
      <w:r w:rsidR="00B042A2">
        <w:t>report</w:t>
      </w:r>
      <w:r w:rsidR="005F5547">
        <w:t>s are</w:t>
      </w:r>
      <w:r w:rsidR="00B042A2">
        <w:t xml:space="preserve"> tabled in the Federal parliament and made publicly available.</w:t>
      </w:r>
    </w:p>
    <w:p w14:paraId="6A773FF1" w14:textId="22CED180" w:rsidR="003B5045" w:rsidRDefault="005C11ED" w:rsidP="009D0970">
      <w:hyperlink r:id="rId20" w:history="1">
        <w:r w:rsidR="005F5547" w:rsidRPr="00A6118B">
          <w:rPr>
            <w:rStyle w:val="Hyperlink"/>
          </w:rPr>
          <w:t>Guidelines</w:t>
        </w:r>
      </w:hyperlink>
      <w:r w:rsidR="005F5547">
        <w:t xml:space="preserve"> on the ANAO’s website may assist agencies when undertaking a performance audit.</w:t>
      </w:r>
    </w:p>
    <w:p w14:paraId="0D427D88" w14:textId="77777777" w:rsidR="00BA3A96" w:rsidRDefault="00BA3A96">
      <w:pPr>
        <w:rPr>
          <w:rFonts w:eastAsiaTheme="majorEastAsia" w:cstheme="majorBidi"/>
          <w:b/>
          <w:bCs/>
          <w:kern w:val="32"/>
          <w:sz w:val="32"/>
          <w:szCs w:val="32"/>
        </w:rPr>
      </w:pPr>
      <w:r>
        <w:br w:type="page"/>
      </w:r>
    </w:p>
    <w:p w14:paraId="1E118449" w14:textId="46CBA33F" w:rsidR="006B09A6" w:rsidRDefault="006B09A6" w:rsidP="000830D0">
      <w:pPr>
        <w:pStyle w:val="Heading1"/>
        <w:ind w:left="851" w:hanging="851"/>
      </w:pPr>
      <w:bookmarkStart w:id="26" w:name="_Toc531871505"/>
      <w:r>
        <w:lastRenderedPageBreak/>
        <w:t>Glossary</w:t>
      </w:r>
      <w:bookmarkEnd w:id="26"/>
    </w:p>
    <w:p w14:paraId="088A60AD" w14:textId="1B3E0E1A" w:rsidR="002077D4" w:rsidRPr="00D37110" w:rsidRDefault="002077D4" w:rsidP="00D37110">
      <w:pPr>
        <w:pStyle w:val="Heading4"/>
        <w:keepLines w:val="0"/>
        <w:spacing w:before="0" w:after="0"/>
        <w:rPr>
          <w:rFonts w:eastAsia="Calibri" w:cs="Times New Roman"/>
          <w:bCs w:val="0"/>
          <w:iCs w:val="0"/>
          <w:color w:val="auto"/>
        </w:rPr>
      </w:pPr>
      <w:bookmarkStart w:id="27" w:name="_Toc517087775"/>
      <w:r w:rsidRPr="00D37110">
        <w:rPr>
          <w:rFonts w:eastAsia="Calibri" w:cs="Times New Roman"/>
          <w:bCs w:val="0"/>
          <w:iCs w:val="0"/>
          <w:color w:val="auto"/>
        </w:rPr>
        <w:t>Agency or sector specific agreements</w:t>
      </w:r>
    </w:p>
    <w:p w14:paraId="3FAB74A3" w14:textId="22376EBC" w:rsidR="002077D4" w:rsidRPr="00330579" w:rsidRDefault="00B25AC8" w:rsidP="002077D4">
      <w:pPr>
        <w:rPr>
          <w:i/>
        </w:rPr>
      </w:pPr>
      <w:r>
        <w:t>A</w:t>
      </w:r>
      <w:r w:rsidR="002077D4" w:rsidRPr="002077D4">
        <w:t>ll other agreements with the Australian</w:t>
      </w:r>
      <w:r w:rsidR="000830D0">
        <w:t> </w:t>
      </w:r>
      <w:r w:rsidR="002077D4" w:rsidRPr="002077D4">
        <w:t>Government that are not whole of government initiatives.</w:t>
      </w:r>
    </w:p>
    <w:p w14:paraId="785EC6EE" w14:textId="71C5A127" w:rsidR="0073173D" w:rsidRPr="00D37110" w:rsidRDefault="00DD5446"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Bilateral agreement</w:t>
      </w:r>
    </w:p>
    <w:p w14:paraId="6702888D" w14:textId="65CA378C" w:rsidR="0073173D" w:rsidRPr="006A25E7" w:rsidRDefault="0073173D" w:rsidP="0073173D">
      <w:r>
        <w:t>An a</w:t>
      </w:r>
      <w:r w:rsidR="000830D0">
        <w:t>greement between the Australian </w:t>
      </w:r>
      <w:r>
        <w:t xml:space="preserve">Government and one state or territory. </w:t>
      </w:r>
    </w:p>
    <w:p w14:paraId="02A80A7B" w14:textId="1203EB23" w:rsidR="006B09A6" w:rsidRPr="00D37110" w:rsidRDefault="006B09A6"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 xml:space="preserve">Commonwealth </w:t>
      </w:r>
      <w:r w:rsidR="005E31AD" w:rsidRPr="00D37110">
        <w:rPr>
          <w:rFonts w:eastAsia="Calibri" w:cs="Times New Roman"/>
          <w:bCs w:val="0"/>
          <w:iCs w:val="0"/>
          <w:color w:val="auto"/>
        </w:rPr>
        <w:t>o</w:t>
      </w:r>
      <w:r w:rsidRPr="00D37110">
        <w:rPr>
          <w:rFonts w:eastAsia="Calibri" w:cs="Times New Roman"/>
          <w:bCs w:val="0"/>
          <w:iCs w:val="0"/>
          <w:color w:val="auto"/>
        </w:rPr>
        <w:t>wn</w:t>
      </w:r>
      <w:r w:rsidRPr="00D37110">
        <w:rPr>
          <w:rFonts w:eastAsia="Calibri" w:cs="Times New Roman"/>
          <w:bCs w:val="0"/>
          <w:iCs w:val="0"/>
          <w:color w:val="auto"/>
        </w:rPr>
        <w:noBreakHyphen/>
      </w:r>
      <w:r w:rsidR="005E31AD" w:rsidRPr="00D37110">
        <w:rPr>
          <w:rFonts w:eastAsia="Calibri" w:cs="Times New Roman"/>
          <w:bCs w:val="0"/>
          <w:iCs w:val="0"/>
          <w:color w:val="auto"/>
        </w:rPr>
        <w:t>p</w:t>
      </w:r>
      <w:r w:rsidRPr="00D37110">
        <w:rPr>
          <w:rFonts w:eastAsia="Calibri" w:cs="Times New Roman"/>
          <w:bCs w:val="0"/>
          <w:iCs w:val="0"/>
          <w:color w:val="auto"/>
        </w:rPr>
        <w:t xml:space="preserve">urpose </w:t>
      </w:r>
      <w:r w:rsidR="005E31AD" w:rsidRPr="00D37110">
        <w:rPr>
          <w:rFonts w:eastAsia="Calibri" w:cs="Times New Roman"/>
          <w:bCs w:val="0"/>
          <w:iCs w:val="0"/>
          <w:color w:val="auto"/>
        </w:rPr>
        <w:t>e</w:t>
      </w:r>
      <w:r w:rsidRPr="00D37110">
        <w:rPr>
          <w:rFonts w:eastAsia="Calibri" w:cs="Times New Roman"/>
          <w:bCs w:val="0"/>
          <w:iCs w:val="0"/>
          <w:color w:val="auto"/>
        </w:rPr>
        <w:t>xpenditure</w:t>
      </w:r>
      <w:r w:rsidR="00323087" w:rsidRPr="00D37110">
        <w:rPr>
          <w:rFonts w:eastAsia="Calibri" w:cs="Times New Roman"/>
          <w:bCs w:val="0"/>
          <w:iCs w:val="0"/>
          <w:color w:val="auto"/>
        </w:rPr>
        <w:t xml:space="preserve"> (COPE)</w:t>
      </w:r>
      <w:bookmarkEnd w:id="27"/>
    </w:p>
    <w:p w14:paraId="6440C4CD" w14:textId="348C4765" w:rsidR="006B09A6" w:rsidRPr="00330579" w:rsidRDefault="006B09A6" w:rsidP="006B09A6">
      <w:pPr>
        <w:rPr>
          <w:i/>
        </w:rPr>
      </w:pPr>
      <w:r w:rsidRPr="009E599E">
        <w:t xml:space="preserve">Expenditure by the Commonwealth in the conduct of its own general government sector activities, including for the purchase of goods and services and associated transfer payments. They are the only intergovernmental financial transfers not covered by the payment arrangements agreed </w:t>
      </w:r>
      <w:r w:rsidRPr="00330579">
        <w:t>under the</w:t>
      </w:r>
      <w:r w:rsidRPr="00330579">
        <w:rPr>
          <w:i/>
        </w:rPr>
        <w:t xml:space="preserve"> </w:t>
      </w:r>
      <w:r w:rsidR="00AF1E12">
        <w:rPr>
          <w:rStyle w:val="DTFItalic"/>
          <w:i w:val="0"/>
        </w:rPr>
        <w:t>IGA</w:t>
      </w:r>
      <w:r w:rsidRPr="00330579">
        <w:rPr>
          <w:rStyle w:val="DTFItalic"/>
          <w:i w:val="0"/>
        </w:rPr>
        <w:t>.</w:t>
      </w:r>
    </w:p>
    <w:p w14:paraId="6E5A6CEC" w14:textId="159ACBD9" w:rsidR="006B09A6" w:rsidRPr="00D37110" w:rsidRDefault="006B09A6" w:rsidP="00D37110">
      <w:pPr>
        <w:pStyle w:val="Heading4"/>
        <w:keepLines w:val="0"/>
        <w:spacing w:before="0" w:after="0"/>
        <w:rPr>
          <w:rFonts w:eastAsia="Calibri" w:cs="Times New Roman"/>
          <w:bCs w:val="0"/>
          <w:iCs w:val="0"/>
          <w:color w:val="auto"/>
        </w:rPr>
      </w:pPr>
      <w:bookmarkStart w:id="28" w:name="_Toc517087776"/>
      <w:r w:rsidRPr="00D37110">
        <w:rPr>
          <w:rFonts w:eastAsia="Calibri" w:cs="Times New Roman"/>
          <w:bCs w:val="0"/>
          <w:iCs w:val="0"/>
          <w:color w:val="auto"/>
        </w:rPr>
        <w:t xml:space="preserve">Implementation </w:t>
      </w:r>
      <w:r w:rsidR="00602E64" w:rsidRPr="00D37110">
        <w:rPr>
          <w:rFonts w:eastAsia="Calibri" w:cs="Times New Roman"/>
          <w:bCs w:val="0"/>
          <w:iCs w:val="0"/>
          <w:color w:val="auto"/>
        </w:rPr>
        <w:t>p</w:t>
      </w:r>
      <w:r w:rsidRPr="00D37110">
        <w:rPr>
          <w:rFonts w:eastAsia="Calibri" w:cs="Times New Roman"/>
          <w:bCs w:val="0"/>
          <w:iCs w:val="0"/>
          <w:color w:val="auto"/>
        </w:rPr>
        <w:t>lan</w:t>
      </w:r>
      <w:r w:rsidR="00323087" w:rsidRPr="00D37110">
        <w:rPr>
          <w:rFonts w:eastAsia="Calibri" w:cs="Times New Roman"/>
          <w:bCs w:val="0"/>
          <w:iCs w:val="0"/>
          <w:color w:val="auto"/>
        </w:rPr>
        <w:t xml:space="preserve"> (IP)</w:t>
      </w:r>
      <w:bookmarkEnd w:id="28"/>
    </w:p>
    <w:p w14:paraId="4F84A578" w14:textId="45B8DB28" w:rsidR="006B09A6" w:rsidRDefault="006B09A6" w:rsidP="009D0970">
      <w:r>
        <w:t xml:space="preserve">A bilateral </w:t>
      </w:r>
      <w:r w:rsidR="00330579">
        <w:t>a</w:t>
      </w:r>
      <w:r w:rsidRPr="0040027C">
        <w:t xml:space="preserve">greement associated with a </w:t>
      </w:r>
      <w:r w:rsidR="005B0535">
        <w:t>NPA</w:t>
      </w:r>
      <w:r w:rsidRPr="0040027C">
        <w:t xml:space="preserve"> </w:t>
      </w:r>
      <w:r w:rsidR="00D37110">
        <w:t>that</w:t>
      </w:r>
      <w:r w:rsidRPr="0040027C">
        <w:t xml:space="preserve"> provides additional detail as to how a jurisdiction intends to achieve the outcomes specified in the </w:t>
      </w:r>
      <w:r w:rsidR="005B0535">
        <w:t>NPA</w:t>
      </w:r>
      <w:r w:rsidRPr="0040027C">
        <w:t xml:space="preserve">. Not all </w:t>
      </w:r>
      <w:r w:rsidR="005B0535">
        <w:t>NPAs</w:t>
      </w:r>
      <w:r w:rsidRPr="0040027C">
        <w:t xml:space="preserve"> require </w:t>
      </w:r>
      <w:r w:rsidR="005B0535">
        <w:t>IPs</w:t>
      </w:r>
      <w:r w:rsidR="00EC27F5">
        <w:t>.</w:t>
      </w:r>
    </w:p>
    <w:p w14:paraId="658EDB6D" w14:textId="79DEBDE4" w:rsidR="00323087" w:rsidRPr="00D37110" w:rsidRDefault="00323087" w:rsidP="00D37110">
      <w:pPr>
        <w:pStyle w:val="Heading4"/>
        <w:keepLines w:val="0"/>
        <w:spacing w:before="0" w:after="0"/>
        <w:rPr>
          <w:rFonts w:eastAsia="Calibri" w:cs="Times New Roman"/>
          <w:bCs w:val="0"/>
          <w:iCs w:val="0"/>
          <w:color w:val="auto"/>
        </w:rPr>
      </w:pPr>
      <w:bookmarkStart w:id="29" w:name="_Toc517087777"/>
      <w:r w:rsidRPr="00D37110">
        <w:rPr>
          <w:rFonts w:eastAsia="Calibri" w:cs="Times New Roman"/>
          <w:bCs w:val="0"/>
          <w:iCs w:val="0"/>
          <w:color w:val="auto"/>
        </w:rPr>
        <w:t xml:space="preserve">Input </w:t>
      </w:r>
      <w:r w:rsidR="00EC27F5" w:rsidRPr="00D37110">
        <w:rPr>
          <w:rFonts w:eastAsia="Calibri" w:cs="Times New Roman"/>
          <w:bCs w:val="0"/>
          <w:iCs w:val="0"/>
          <w:color w:val="auto"/>
        </w:rPr>
        <w:t>c</w:t>
      </w:r>
      <w:r w:rsidRPr="00D37110">
        <w:rPr>
          <w:rFonts w:eastAsia="Calibri" w:cs="Times New Roman"/>
          <w:bCs w:val="0"/>
          <w:iCs w:val="0"/>
          <w:color w:val="auto"/>
        </w:rPr>
        <w:t>ontrol</w:t>
      </w:r>
      <w:bookmarkEnd w:id="29"/>
    </w:p>
    <w:p w14:paraId="457A2213" w14:textId="45179D13" w:rsidR="00323087" w:rsidRDefault="00323087" w:rsidP="00323087">
      <w:r w:rsidRPr="0040027C">
        <w:rPr>
          <w:color w:val="000000"/>
        </w:rPr>
        <w:t>A</w:t>
      </w:r>
      <w:r w:rsidRPr="0040027C">
        <w:t xml:space="preserve"> prescription on the manner in which an outcome and</w:t>
      </w:r>
      <w:r w:rsidR="00784629">
        <w:t xml:space="preserve"> </w:t>
      </w:r>
      <w:r w:rsidRPr="0040027C">
        <w:t xml:space="preserve">or output is delivered, or a prescription on reporting content that is inconsistent with the </w:t>
      </w:r>
      <w:r w:rsidR="00AF1E12">
        <w:t>IGA</w:t>
      </w:r>
      <w:r w:rsidRPr="0040027C">
        <w:t>, such as income and expenditure reporting or reporting on staffing arrangements and costs</w:t>
      </w:r>
      <w:r w:rsidR="00784629">
        <w:t>.</w:t>
      </w:r>
    </w:p>
    <w:p w14:paraId="3C5C8AA2" w14:textId="539DFB53" w:rsidR="00323087" w:rsidRPr="00D37110" w:rsidRDefault="00323087" w:rsidP="00D37110">
      <w:pPr>
        <w:pStyle w:val="Heading4"/>
        <w:keepLines w:val="0"/>
        <w:spacing w:before="0" w:after="0"/>
        <w:rPr>
          <w:rFonts w:eastAsia="Calibri" w:cs="Times New Roman"/>
          <w:bCs w:val="0"/>
          <w:iCs w:val="0"/>
          <w:color w:val="auto"/>
        </w:rPr>
      </w:pPr>
      <w:bookmarkStart w:id="30" w:name="_Toc517087778"/>
      <w:r w:rsidRPr="00D37110">
        <w:rPr>
          <w:rFonts w:eastAsia="Calibri" w:cs="Times New Roman"/>
          <w:bCs w:val="0"/>
          <w:iCs w:val="0"/>
          <w:color w:val="auto"/>
        </w:rPr>
        <w:t xml:space="preserve">Intergovernmental </w:t>
      </w:r>
      <w:r w:rsidR="00602E64" w:rsidRPr="00D37110">
        <w:rPr>
          <w:rFonts w:eastAsia="Calibri" w:cs="Times New Roman"/>
          <w:bCs w:val="0"/>
          <w:iCs w:val="0"/>
          <w:color w:val="auto"/>
        </w:rPr>
        <w:t>A</w:t>
      </w:r>
      <w:r w:rsidRPr="00D37110">
        <w:rPr>
          <w:rFonts w:eastAsia="Calibri" w:cs="Times New Roman"/>
          <w:bCs w:val="0"/>
          <w:iCs w:val="0"/>
          <w:color w:val="auto"/>
        </w:rPr>
        <w:t xml:space="preserve">greement on </w:t>
      </w:r>
      <w:r w:rsidR="00602E64" w:rsidRPr="00D37110">
        <w:rPr>
          <w:rFonts w:eastAsia="Calibri" w:cs="Times New Roman"/>
          <w:bCs w:val="0"/>
          <w:iCs w:val="0"/>
          <w:color w:val="auto"/>
        </w:rPr>
        <w:t>F</w:t>
      </w:r>
      <w:r w:rsidRPr="00D37110">
        <w:rPr>
          <w:rFonts w:eastAsia="Calibri" w:cs="Times New Roman"/>
          <w:bCs w:val="0"/>
          <w:iCs w:val="0"/>
          <w:color w:val="auto"/>
        </w:rPr>
        <w:t xml:space="preserve">ederal </w:t>
      </w:r>
      <w:r w:rsidR="00602E64" w:rsidRPr="00D37110">
        <w:rPr>
          <w:rFonts w:eastAsia="Calibri" w:cs="Times New Roman"/>
          <w:bCs w:val="0"/>
          <w:iCs w:val="0"/>
          <w:color w:val="auto"/>
        </w:rPr>
        <w:t>F</w:t>
      </w:r>
      <w:r w:rsidRPr="00D37110">
        <w:rPr>
          <w:rFonts w:eastAsia="Calibri" w:cs="Times New Roman"/>
          <w:bCs w:val="0"/>
          <w:iCs w:val="0"/>
          <w:color w:val="auto"/>
        </w:rPr>
        <w:t xml:space="preserve">inancial </w:t>
      </w:r>
      <w:r w:rsidR="00602E64" w:rsidRPr="00D37110">
        <w:rPr>
          <w:rFonts w:eastAsia="Calibri" w:cs="Times New Roman"/>
          <w:bCs w:val="0"/>
          <w:iCs w:val="0"/>
          <w:color w:val="auto"/>
        </w:rPr>
        <w:t>R</w:t>
      </w:r>
      <w:r w:rsidRPr="00D37110">
        <w:rPr>
          <w:rFonts w:eastAsia="Calibri" w:cs="Times New Roman"/>
          <w:bCs w:val="0"/>
          <w:iCs w:val="0"/>
          <w:color w:val="auto"/>
        </w:rPr>
        <w:t>elations</w:t>
      </w:r>
      <w:bookmarkEnd w:id="30"/>
      <w:r w:rsidR="005E31AD" w:rsidRPr="00D37110">
        <w:rPr>
          <w:rFonts w:eastAsia="Calibri" w:cs="Times New Roman"/>
          <w:bCs w:val="0"/>
          <w:iCs w:val="0"/>
          <w:color w:val="auto"/>
        </w:rPr>
        <w:t xml:space="preserve"> (IGA)</w:t>
      </w:r>
    </w:p>
    <w:p w14:paraId="61D27989" w14:textId="35F1AC88" w:rsidR="00323087" w:rsidRDefault="00323087" w:rsidP="00323087">
      <w:r>
        <w:t xml:space="preserve">A multilateral </w:t>
      </w:r>
      <w:r w:rsidR="00330579">
        <w:t>a</w:t>
      </w:r>
      <w:r>
        <w:t>greement providing</w:t>
      </w:r>
      <w:r w:rsidRPr="0040027C">
        <w:t xml:space="preserve"> the overarching framework for financial relations between the Commonwealth and the states and territories. It aims to improve the quality and effectiveness of government services by reducing Commonwealth prescriptions on service delivery, providing increased flexibility in the way </w:t>
      </w:r>
      <w:r>
        <w:t>states and territories</w:t>
      </w:r>
      <w:r w:rsidRPr="0040027C">
        <w:t xml:space="preserve"> deliver services to the Australian people. It also provides for clearer specification of the roles and responsibilities of each level of government and an improved focus on accountability for the achievement of outcomes.</w:t>
      </w:r>
      <w:r>
        <w:t xml:space="preserve"> </w:t>
      </w:r>
    </w:p>
    <w:p w14:paraId="195D55F5" w14:textId="75DA843E" w:rsidR="00323087" w:rsidRPr="00D37110" w:rsidRDefault="00323087" w:rsidP="00D37110">
      <w:pPr>
        <w:pStyle w:val="Heading4"/>
        <w:keepLines w:val="0"/>
        <w:spacing w:before="0" w:after="0"/>
        <w:rPr>
          <w:rFonts w:eastAsia="Calibri" w:cs="Times New Roman"/>
          <w:bCs w:val="0"/>
          <w:iCs w:val="0"/>
          <w:color w:val="auto"/>
        </w:rPr>
      </w:pPr>
      <w:bookmarkStart w:id="31" w:name="_Toc517087779"/>
      <w:r w:rsidRPr="00D37110">
        <w:rPr>
          <w:rFonts w:eastAsia="Calibri" w:cs="Times New Roman"/>
          <w:bCs w:val="0"/>
          <w:iCs w:val="0"/>
          <w:color w:val="auto"/>
        </w:rPr>
        <w:t>Milestone</w:t>
      </w:r>
      <w:bookmarkEnd w:id="31"/>
    </w:p>
    <w:p w14:paraId="547DE3B6" w14:textId="7C95A471" w:rsidR="00323087" w:rsidRDefault="00323087" w:rsidP="00323087">
      <w:r w:rsidRPr="0040027C">
        <w:t>An action or event marking completion of a project or phase of a project. These should be clearly defined, understandable in terms of achievement or non</w:t>
      </w:r>
      <w:r w:rsidRPr="0040027C">
        <w:noBreakHyphen/>
        <w:t>achievement, verifiable and not open to any subjectivity.</w:t>
      </w:r>
    </w:p>
    <w:p w14:paraId="0E0A7728" w14:textId="4263E9E3" w:rsidR="0073173D" w:rsidRPr="00D37110" w:rsidRDefault="000830D0"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Multilateral agreement</w:t>
      </w:r>
    </w:p>
    <w:p w14:paraId="3DE79991" w14:textId="6555B8F1" w:rsidR="000830D0" w:rsidRDefault="0073173D" w:rsidP="00323087">
      <w:r>
        <w:t>An agreement between the Australian</w:t>
      </w:r>
      <w:r w:rsidR="000830D0">
        <w:t> </w:t>
      </w:r>
      <w:r>
        <w:t>Government and two</w:t>
      </w:r>
      <w:r w:rsidR="000830D0">
        <w:t xml:space="preserve"> or more states or territories.</w:t>
      </w:r>
    </w:p>
    <w:p w14:paraId="5CA5BAA0" w14:textId="24A4D769" w:rsidR="00323087" w:rsidRPr="00D37110" w:rsidRDefault="00323087" w:rsidP="00D37110">
      <w:pPr>
        <w:pStyle w:val="Heading4"/>
        <w:keepLines w:val="0"/>
        <w:spacing w:before="0" w:after="0"/>
        <w:rPr>
          <w:rFonts w:eastAsia="Calibri" w:cs="Times New Roman"/>
          <w:bCs w:val="0"/>
          <w:iCs w:val="0"/>
          <w:color w:val="auto"/>
        </w:rPr>
      </w:pPr>
      <w:bookmarkStart w:id="32" w:name="_Toc517087780"/>
      <w:r w:rsidRPr="00D37110">
        <w:rPr>
          <w:rFonts w:eastAsia="Calibri" w:cs="Times New Roman"/>
          <w:bCs w:val="0"/>
          <w:iCs w:val="0"/>
          <w:color w:val="auto"/>
        </w:rPr>
        <w:t xml:space="preserve">National </w:t>
      </w:r>
      <w:r w:rsidR="00330579" w:rsidRPr="00D37110">
        <w:rPr>
          <w:rFonts w:eastAsia="Calibri" w:cs="Times New Roman"/>
          <w:bCs w:val="0"/>
          <w:iCs w:val="0"/>
          <w:color w:val="auto"/>
        </w:rPr>
        <w:t>a</w:t>
      </w:r>
      <w:r w:rsidRPr="00D37110">
        <w:rPr>
          <w:rFonts w:eastAsia="Calibri" w:cs="Times New Roman"/>
          <w:bCs w:val="0"/>
          <w:iCs w:val="0"/>
          <w:color w:val="auto"/>
        </w:rPr>
        <w:t>greement</w:t>
      </w:r>
      <w:r w:rsidR="000830D0" w:rsidRPr="00D37110">
        <w:rPr>
          <w:rFonts w:eastAsia="Calibri" w:cs="Times New Roman"/>
          <w:bCs w:val="0"/>
          <w:iCs w:val="0"/>
          <w:color w:val="auto"/>
        </w:rPr>
        <w:t xml:space="preserve">s </w:t>
      </w:r>
      <w:r w:rsidRPr="00D37110">
        <w:rPr>
          <w:rFonts w:eastAsia="Calibri" w:cs="Times New Roman"/>
          <w:bCs w:val="0"/>
          <w:iCs w:val="0"/>
          <w:color w:val="auto"/>
        </w:rPr>
        <w:t>(NA)</w:t>
      </w:r>
      <w:bookmarkEnd w:id="32"/>
    </w:p>
    <w:p w14:paraId="1908E3E1" w14:textId="04719AD6" w:rsidR="00DD5446" w:rsidRPr="00D37110" w:rsidRDefault="00323087" w:rsidP="00D37110">
      <w:r w:rsidRPr="0040027C">
        <w:t xml:space="preserve">Ongoing </w:t>
      </w:r>
      <w:r w:rsidR="005E31AD">
        <w:t>a</w:t>
      </w:r>
      <w:r w:rsidRPr="0040027C">
        <w:t xml:space="preserve">greements established under </w:t>
      </w:r>
      <w:r w:rsidRPr="00330579">
        <w:t>the</w:t>
      </w:r>
      <w:r w:rsidRPr="00330579">
        <w:rPr>
          <w:i/>
        </w:rPr>
        <w:t xml:space="preserve"> </w:t>
      </w:r>
      <w:r w:rsidR="00AF1E12">
        <w:rPr>
          <w:rStyle w:val="DTFItalic"/>
          <w:i w:val="0"/>
        </w:rPr>
        <w:t>IGA</w:t>
      </w:r>
      <w:r w:rsidRPr="00330579">
        <w:rPr>
          <w:i/>
        </w:rPr>
        <w:t xml:space="preserve">, </w:t>
      </w:r>
      <w:r w:rsidRPr="00330579">
        <w:t xml:space="preserve">guiding the </w:t>
      </w:r>
      <w:r w:rsidRPr="0040027C">
        <w:t xml:space="preserve">Commonwealth and the states and territories in the delivery of services across key sectors </w:t>
      </w:r>
      <w:r w:rsidRPr="00565C9A">
        <w:t xml:space="preserve">(healthcare, </w:t>
      </w:r>
      <w:r w:rsidRPr="0040027C">
        <w:t xml:space="preserve">education, skills and workforce development, disability services, affordable housing and Indigenous reform). </w:t>
      </w:r>
      <w:r w:rsidR="00784629">
        <w:t>NAs</w:t>
      </w:r>
      <w:r w:rsidRPr="0040027C">
        <w:t xml:space="preserve"> broadly define the objectives, outcomes, outputs and performance indicators for each sector, and clarify the roles and responsibilities of the parties.</w:t>
      </w:r>
      <w:bookmarkStart w:id="33" w:name="_Toc517087781"/>
    </w:p>
    <w:p w14:paraId="0EBE6E54" w14:textId="45C45BF7" w:rsidR="00323087" w:rsidRPr="00D37110" w:rsidRDefault="00323087"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 xml:space="preserve">National </w:t>
      </w:r>
      <w:r w:rsidR="00330579" w:rsidRPr="00D37110">
        <w:rPr>
          <w:rFonts w:eastAsia="Calibri" w:cs="Times New Roman"/>
          <w:bCs w:val="0"/>
          <w:iCs w:val="0"/>
          <w:color w:val="auto"/>
        </w:rPr>
        <w:t>p</w:t>
      </w:r>
      <w:r w:rsidRPr="00D37110">
        <w:rPr>
          <w:rFonts w:eastAsia="Calibri" w:cs="Times New Roman"/>
          <w:bCs w:val="0"/>
          <w:iCs w:val="0"/>
          <w:color w:val="auto"/>
        </w:rPr>
        <w:t xml:space="preserve">artnership </w:t>
      </w:r>
      <w:r w:rsidR="00330579" w:rsidRPr="00D37110">
        <w:rPr>
          <w:rFonts w:eastAsia="Calibri" w:cs="Times New Roman"/>
          <w:bCs w:val="0"/>
          <w:iCs w:val="0"/>
          <w:color w:val="auto"/>
        </w:rPr>
        <w:t>a</w:t>
      </w:r>
      <w:r w:rsidRPr="00D37110">
        <w:rPr>
          <w:rFonts w:eastAsia="Calibri" w:cs="Times New Roman"/>
          <w:bCs w:val="0"/>
          <w:iCs w:val="0"/>
          <w:color w:val="auto"/>
        </w:rPr>
        <w:t>greement</w:t>
      </w:r>
      <w:r w:rsidR="000830D0" w:rsidRPr="00D37110">
        <w:rPr>
          <w:rFonts w:eastAsia="Calibri" w:cs="Times New Roman"/>
          <w:bCs w:val="0"/>
          <w:iCs w:val="0"/>
          <w:color w:val="auto"/>
        </w:rPr>
        <w:t>s</w:t>
      </w:r>
      <w:r w:rsidRPr="00D37110">
        <w:rPr>
          <w:rFonts w:eastAsia="Calibri" w:cs="Times New Roman"/>
          <w:bCs w:val="0"/>
          <w:iCs w:val="0"/>
          <w:color w:val="auto"/>
        </w:rPr>
        <w:t xml:space="preserve"> (NPA)</w:t>
      </w:r>
      <w:bookmarkEnd w:id="33"/>
    </w:p>
    <w:p w14:paraId="2045CDDD" w14:textId="17DBEDA5" w:rsidR="00BA3A96" w:rsidRDefault="00323087">
      <w:pPr>
        <w:rPr>
          <w:color w:val="606060"/>
          <w:sz w:val="24"/>
        </w:rPr>
      </w:pPr>
      <w:r>
        <w:t xml:space="preserve">Time-limited </w:t>
      </w:r>
      <w:r w:rsidR="00330579">
        <w:t>a</w:t>
      </w:r>
      <w:r w:rsidRPr="0040027C">
        <w:t xml:space="preserve">greements established under the </w:t>
      </w:r>
      <w:r w:rsidR="00AF1E12">
        <w:rPr>
          <w:rStyle w:val="DTFItalic"/>
          <w:i w:val="0"/>
        </w:rPr>
        <w:t>IGA</w:t>
      </w:r>
      <w:r w:rsidRPr="006F7B3F">
        <w:rPr>
          <w:rStyle w:val="DTFItalic"/>
        </w:rPr>
        <w:t xml:space="preserve"> </w:t>
      </w:r>
      <w:r w:rsidR="00D37110">
        <w:t>that</w:t>
      </w:r>
      <w:r w:rsidRPr="0040027C">
        <w:t xml:space="preserve"> provide financial support from the Commonwealth to states and territories for the delivery of reforms, s</w:t>
      </w:r>
      <w:r w:rsidR="00D37110">
        <w:t xml:space="preserve">ervice delivery improvements </w:t>
      </w:r>
      <w:r w:rsidRPr="0040027C">
        <w:t xml:space="preserve">or projects of national importance. </w:t>
      </w:r>
      <w:r w:rsidR="00784629">
        <w:t>Payments under NPAs</w:t>
      </w:r>
      <w:r w:rsidR="000216C3">
        <w:t xml:space="preserve"> are </w:t>
      </w:r>
      <w:r w:rsidRPr="0040027C">
        <w:t>aligned with the achievement of outcomes and outputs, as measured through clearly specified per</w:t>
      </w:r>
      <w:r>
        <w:t xml:space="preserve">formance indicators within the </w:t>
      </w:r>
      <w:r w:rsidR="00602E64">
        <w:t>a</w:t>
      </w:r>
      <w:r w:rsidRPr="0040027C">
        <w:t>greement. They are not legally enforceable.</w:t>
      </w:r>
      <w:bookmarkStart w:id="34" w:name="_Toc517087782"/>
    </w:p>
    <w:p w14:paraId="6A1F8143" w14:textId="31D3AAA2" w:rsidR="00323087" w:rsidRPr="00D37110" w:rsidRDefault="00323087"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Schedule</w:t>
      </w:r>
      <w:bookmarkEnd w:id="34"/>
    </w:p>
    <w:p w14:paraId="0FCE7918" w14:textId="40F9BDDE" w:rsidR="00323087" w:rsidRDefault="00323087" w:rsidP="00323087">
      <w:r w:rsidRPr="0040027C">
        <w:t xml:space="preserve">An attachment to an </w:t>
      </w:r>
      <w:r w:rsidR="00602E64">
        <w:t>a</w:t>
      </w:r>
      <w:r w:rsidRPr="0040027C">
        <w:t>greement setting out additional detail</w:t>
      </w:r>
      <w:r w:rsidR="000216C3">
        <w:t>s</w:t>
      </w:r>
      <w:r w:rsidRPr="0040027C">
        <w:t xml:space="preserve">. Sometimes used to provide state-specific details similar to an </w:t>
      </w:r>
      <w:r w:rsidR="00784629">
        <w:t>IP</w:t>
      </w:r>
      <w:r w:rsidRPr="0040027C">
        <w:t>.</w:t>
      </w:r>
    </w:p>
    <w:p w14:paraId="525AD05C" w14:textId="47F5D56D" w:rsidR="00323087" w:rsidRPr="00D37110" w:rsidRDefault="00323087" w:rsidP="00D37110">
      <w:pPr>
        <w:pStyle w:val="Heading4"/>
        <w:keepLines w:val="0"/>
        <w:spacing w:before="0" w:after="0"/>
        <w:rPr>
          <w:rFonts w:eastAsia="Calibri" w:cs="Times New Roman"/>
          <w:bCs w:val="0"/>
          <w:iCs w:val="0"/>
          <w:color w:val="auto"/>
        </w:rPr>
      </w:pPr>
      <w:bookmarkStart w:id="35" w:name="_Toc517087783"/>
      <w:r w:rsidRPr="00D37110">
        <w:rPr>
          <w:rFonts w:eastAsia="Calibri" w:cs="Times New Roman"/>
          <w:bCs w:val="0"/>
          <w:iCs w:val="0"/>
          <w:color w:val="auto"/>
        </w:rPr>
        <w:lastRenderedPageBreak/>
        <w:t xml:space="preserve">Specific </w:t>
      </w:r>
      <w:r w:rsidR="00330579" w:rsidRPr="00D37110">
        <w:rPr>
          <w:rFonts w:eastAsia="Calibri" w:cs="Times New Roman"/>
          <w:bCs w:val="0"/>
          <w:iCs w:val="0"/>
          <w:color w:val="auto"/>
        </w:rPr>
        <w:t>p</w:t>
      </w:r>
      <w:r w:rsidRPr="00D37110">
        <w:rPr>
          <w:rFonts w:eastAsia="Calibri" w:cs="Times New Roman"/>
          <w:bCs w:val="0"/>
          <w:iCs w:val="0"/>
          <w:color w:val="auto"/>
        </w:rPr>
        <w:t xml:space="preserve">urpose </w:t>
      </w:r>
      <w:r w:rsidR="00330579" w:rsidRPr="00D37110">
        <w:rPr>
          <w:rFonts w:eastAsia="Calibri" w:cs="Times New Roman"/>
          <w:bCs w:val="0"/>
          <w:iCs w:val="0"/>
          <w:color w:val="auto"/>
        </w:rPr>
        <w:t>p</w:t>
      </w:r>
      <w:r w:rsidRPr="00D37110">
        <w:rPr>
          <w:rFonts w:eastAsia="Calibri" w:cs="Times New Roman"/>
          <w:bCs w:val="0"/>
          <w:iCs w:val="0"/>
          <w:color w:val="auto"/>
        </w:rPr>
        <w:t>ayment</w:t>
      </w:r>
      <w:bookmarkEnd w:id="35"/>
      <w:r w:rsidR="000216C3" w:rsidRPr="00D37110">
        <w:rPr>
          <w:rFonts w:eastAsia="Calibri" w:cs="Times New Roman"/>
          <w:bCs w:val="0"/>
          <w:iCs w:val="0"/>
          <w:color w:val="auto"/>
        </w:rPr>
        <w:t>s</w:t>
      </w:r>
      <w:r w:rsidR="007A66D2" w:rsidRPr="00D37110">
        <w:rPr>
          <w:rFonts w:eastAsia="Calibri" w:cs="Times New Roman"/>
          <w:bCs w:val="0"/>
          <w:iCs w:val="0"/>
          <w:color w:val="auto"/>
        </w:rPr>
        <w:t xml:space="preserve"> (SPP)</w:t>
      </w:r>
    </w:p>
    <w:p w14:paraId="21C1C97D" w14:textId="7327A16D" w:rsidR="00323087" w:rsidRDefault="00323087" w:rsidP="00323087">
      <w:r w:rsidRPr="0040027C">
        <w:t>Tied Commonwealth funding to the states and territories for use in providing government servi</w:t>
      </w:r>
      <w:r>
        <w:t>ces in key sectors. States and t</w:t>
      </w:r>
      <w:r w:rsidRPr="0040027C">
        <w:t xml:space="preserve">erritories are required to spend each </w:t>
      </w:r>
      <w:r w:rsidR="00784629">
        <w:t>SPP</w:t>
      </w:r>
      <w:r w:rsidRPr="0040027C">
        <w:t xml:space="preserve"> in the service</w:t>
      </w:r>
      <w:r w:rsidR="00D37110">
        <w:t xml:space="preserve"> sector relevant to the payment</w:t>
      </w:r>
      <w:r w:rsidRPr="0040027C">
        <w:t xml:space="preserve"> but they have full budget flexibility to allocate funds within that sector to achieve mutually agreed objectives set out in the relevant </w:t>
      </w:r>
      <w:r w:rsidR="00784629">
        <w:t>NA</w:t>
      </w:r>
      <w:r w:rsidRPr="0040027C">
        <w:t>.</w:t>
      </w:r>
    </w:p>
    <w:p w14:paraId="36FFA31E" w14:textId="339A38D8" w:rsidR="00C0562F" w:rsidRPr="00D37110" w:rsidRDefault="00C0562F" w:rsidP="00D37110">
      <w:pPr>
        <w:pStyle w:val="Heading4"/>
        <w:keepLines w:val="0"/>
        <w:spacing w:before="0" w:after="0"/>
        <w:rPr>
          <w:rFonts w:eastAsia="Calibri" w:cs="Times New Roman"/>
          <w:bCs w:val="0"/>
          <w:iCs w:val="0"/>
          <w:color w:val="auto"/>
        </w:rPr>
      </w:pPr>
      <w:bookmarkStart w:id="36" w:name="_Toc517087784"/>
      <w:r w:rsidRPr="00D37110">
        <w:rPr>
          <w:rFonts w:eastAsia="Calibri" w:cs="Times New Roman"/>
          <w:bCs w:val="0"/>
          <w:iCs w:val="0"/>
          <w:color w:val="auto"/>
        </w:rPr>
        <w:t>Outcomes</w:t>
      </w:r>
      <w:bookmarkEnd w:id="36"/>
    </w:p>
    <w:p w14:paraId="23291C60" w14:textId="5268D5F2" w:rsidR="00C0562F" w:rsidRDefault="00C0562F" w:rsidP="00323087">
      <w:r w:rsidRPr="0040027C">
        <w:t>The impact a government activity is expected to have on community wellbeing. Outcomes are specific goals for change and should be strategic, high-level and observable</w:t>
      </w:r>
      <w:r w:rsidR="00D37110">
        <w:t>,</w:t>
      </w:r>
      <w:r w:rsidRPr="0040027C">
        <w:t xml:space="preserve"> and expressed in clear, measurable and achievable terms.</w:t>
      </w:r>
    </w:p>
    <w:p w14:paraId="2F1BDA29" w14:textId="6081D475" w:rsidR="00C0562F" w:rsidRPr="00D37110" w:rsidRDefault="00C0562F" w:rsidP="00D37110">
      <w:pPr>
        <w:pStyle w:val="Heading4"/>
        <w:keepLines w:val="0"/>
        <w:spacing w:before="0" w:after="0"/>
        <w:rPr>
          <w:rFonts w:eastAsia="Calibri" w:cs="Times New Roman"/>
          <w:bCs w:val="0"/>
          <w:iCs w:val="0"/>
          <w:color w:val="auto"/>
        </w:rPr>
      </w:pPr>
      <w:bookmarkStart w:id="37" w:name="_Toc517087785"/>
      <w:r w:rsidRPr="00D37110">
        <w:rPr>
          <w:rFonts w:eastAsia="Calibri" w:cs="Times New Roman"/>
          <w:bCs w:val="0"/>
          <w:iCs w:val="0"/>
          <w:color w:val="auto"/>
        </w:rPr>
        <w:t>Outputs</w:t>
      </w:r>
      <w:bookmarkEnd w:id="37"/>
    </w:p>
    <w:p w14:paraId="63954920" w14:textId="77777777" w:rsidR="00C0562F" w:rsidRDefault="00C0562F" w:rsidP="00C0562F">
      <w:r w:rsidRPr="0040027C">
        <w:t>The projects or services being delivered by governments to achieve outcomes.</w:t>
      </w:r>
    </w:p>
    <w:p w14:paraId="6B9346F7" w14:textId="5A3DCA49" w:rsidR="00C0562F" w:rsidRPr="00D37110" w:rsidRDefault="00C0562F" w:rsidP="00D37110">
      <w:pPr>
        <w:pStyle w:val="Heading4"/>
        <w:keepLines w:val="0"/>
        <w:spacing w:before="0" w:after="0"/>
        <w:rPr>
          <w:rFonts w:eastAsia="Calibri" w:cs="Times New Roman"/>
          <w:bCs w:val="0"/>
          <w:iCs w:val="0"/>
          <w:color w:val="auto"/>
        </w:rPr>
      </w:pPr>
      <w:bookmarkStart w:id="38" w:name="_Toc517087786"/>
      <w:r w:rsidRPr="00D37110">
        <w:rPr>
          <w:rFonts w:eastAsia="Calibri" w:cs="Times New Roman"/>
          <w:bCs w:val="0"/>
          <w:iCs w:val="0"/>
          <w:color w:val="auto"/>
        </w:rPr>
        <w:t>Performance benchmark</w:t>
      </w:r>
      <w:bookmarkEnd w:id="38"/>
    </w:p>
    <w:p w14:paraId="5C6F1EED" w14:textId="2E0263C8" w:rsidR="00C0562F" w:rsidRDefault="00C0562F" w:rsidP="00323087">
      <w:r w:rsidRPr="0040027C">
        <w:t>Quantifiable changes in a performance indicator, usually expressed in respect of a period of time. Performance benchmarks should be few in number, objective and measurable.</w:t>
      </w:r>
    </w:p>
    <w:p w14:paraId="223944A7" w14:textId="746BCA77" w:rsidR="00C0562F" w:rsidRPr="00D37110" w:rsidRDefault="00C0562F" w:rsidP="00D37110">
      <w:pPr>
        <w:pStyle w:val="Heading4"/>
        <w:keepLines w:val="0"/>
        <w:spacing w:before="0" w:after="0"/>
        <w:rPr>
          <w:rFonts w:eastAsia="Calibri" w:cs="Times New Roman"/>
          <w:bCs w:val="0"/>
          <w:iCs w:val="0"/>
          <w:color w:val="auto"/>
        </w:rPr>
      </w:pPr>
      <w:bookmarkStart w:id="39" w:name="_Toc517087787"/>
      <w:r w:rsidRPr="00D37110">
        <w:rPr>
          <w:rFonts w:eastAsia="Calibri" w:cs="Times New Roman"/>
          <w:bCs w:val="0"/>
          <w:iCs w:val="0"/>
          <w:color w:val="auto"/>
        </w:rPr>
        <w:t>Performance indicator</w:t>
      </w:r>
      <w:bookmarkEnd w:id="39"/>
      <w:r w:rsidR="003078A7" w:rsidRPr="00D37110">
        <w:rPr>
          <w:rFonts w:eastAsia="Calibri" w:cs="Times New Roman"/>
          <w:bCs w:val="0"/>
          <w:iCs w:val="0"/>
          <w:color w:val="auto"/>
        </w:rPr>
        <w:t>s</w:t>
      </w:r>
    </w:p>
    <w:p w14:paraId="4292639E" w14:textId="2AAC1403" w:rsidR="00C0562F" w:rsidRDefault="00C0562F" w:rsidP="00323087">
      <w:r w:rsidRPr="0040027C">
        <w:t xml:space="preserve">Data </w:t>
      </w:r>
      <w:r w:rsidR="00D37110">
        <w:t>that</w:t>
      </w:r>
      <w:r w:rsidRPr="0040027C">
        <w:t xml:space="preserve"> informs the community about how governments are progressing towards achieving objectives, outcomes and outputs. Performance indicators should provide sufficient evidence to the community that funds are progressing towards</w:t>
      </w:r>
      <w:r w:rsidR="000216C3">
        <w:t xml:space="preserve"> or</w:t>
      </w:r>
      <w:r w:rsidRPr="0040027C">
        <w:t xml:space="preserve"> achiev</w:t>
      </w:r>
      <w:r w:rsidR="000216C3">
        <w:t xml:space="preserve">ing </w:t>
      </w:r>
      <w:r w:rsidRPr="0040027C">
        <w:t>desired outcomes and outputs.</w:t>
      </w:r>
    </w:p>
    <w:p w14:paraId="6A6D6934" w14:textId="54BA163C" w:rsidR="00C0562F" w:rsidRPr="00D37110" w:rsidRDefault="00C0562F" w:rsidP="00D37110">
      <w:pPr>
        <w:pStyle w:val="Heading4"/>
        <w:keepLines w:val="0"/>
        <w:spacing w:before="0" w:after="0"/>
        <w:rPr>
          <w:rFonts w:eastAsia="Calibri" w:cs="Times New Roman"/>
          <w:bCs w:val="0"/>
          <w:iCs w:val="0"/>
          <w:color w:val="auto"/>
        </w:rPr>
      </w:pPr>
      <w:bookmarkStart w:id="40" w:name="_Toc517087788"/>
      <w:r w:rsidRPr="00D37110">
        <w:rPr>
          <w:rFonts w:eastAsia="Calibri" w:cs="Times New Roman"/>
          <w:bCs w:val="0"/>
          <w:iCs w:val="0"/>
          <w:color w:val="auto"/>
        </w:rPr>
        <w:t xml:space="preserve">Project </w:t>
      </w:r>
      <w:r w:rsidR="00330579" w:rsidRPr="00D37110">
        <w:rPr>
          <w:rFonts w:eastAsia="Calibri" w:cs="Times New Roman"/>
          <w:bCs w:val="0"/>
          <w:iCs w:val="0"/>
          <w:color w:val="auto"/>
        </w:rPr>
        <w:t>a</w:t>
      </w:r>
      <w:r w:rsidRPr="00D37110">
        <w:rPr>
          <w:rFonts w:eastAsia="Calibri" w:cs="Times New Roman"/>
          <w:bCs w:val="0"/>
          <w:iCs w:val="0"/>
          <w:color w:val="auto"/>
        </w:rPr>
        <w:t>greement</w:t>
      </w:r>
      <w:bookmarkEnd w:id="40"/>
      <w:r w:rsidR="007A66D2" w:rsidRPr="00D37110">
        <w:rPr>
          <w:rFonts w:eastAsia="Calibri" w:cs="Times New Roman"/>
          <w:bCs w:val="0"/>
          <w:iCs w:val="0"/>
          <w:color w:val="auto"/>
        </w:rPr>
        <w:t xml:space="preserve"> (PA)</w:t>
      </w:r>
    </w:p>
    <w:p w14:paraId="1FB4D277" w14:textId="268888C3" w:rsidR="00C0562F" w:rsidRDefault="00C0562F" w:rsidP="00323087">
      <w:r w:rsidRPr="0040027C">
        <w:t xml:space="preserve">A simpler form of a </w:t>
      </w:r>
      <w:r w:rsidR="00784629">
        <w:t>NPA</w:t>
      </w:r>
      <w:r w:rsidRPr="0040027C">
        <w:t xml:space="preserve">, used where the project or payment is considered straightforward, low value or low risk. </w:t>
      </w:r>
      <w:r w:rsidR="00784629">
        <w:t>PAs</w:t>
      </w:r>
      <w:r w:rsidRPr="0040027C">
        <w:t xml:space="preserve"> typically include less detail, with fewer reporting requirements and payments than </w:t>
      </w:r>
      <w:r w:rsidR="00784629">
        <w:t>NPAs</w:t>
      </w:r>
      <w:r w:rsidRPr="0040027C">
        <w:t xml:space="preserve">. </w:t>
      </w:r>
      <w:r w:rsidR="00784629">
        <w:t>PAs</w:t>
      </w:r>
      <w:r w:rsidRPr="0040027C">
        <w:t xml:space="preserve"> do not require </w:t>
      </w:r>
      <w:r w:rsidR="00784629">
        <w:t>IPs</w:t>
      </w:r>
      <w:r w:rsidRPr="0040027C">
        <w:t xml:space="preserve">, but sometimes require a </w:t>
      </w:r>
      <w:r w:rsidR="00330579">
        <w:t>p</w:t>
      </w:r>
      <w:r w:rsidRPr="0040027C">
        <w:t xml:space="preserve">roject </w:t>
      </w:r>
      <w:r w:rsidR="00330579">
        <w:t>p</w:t>
      </w:r>
      <w:r w:rsidRPr="0040027C">
        <w:t xml:space="preserve">lan or </w:t>
      </w:r>
      <w:r w:rsidR="00330579">
        <w:t>s</w:t>
      </w:r>
      <w:r w:rsidRPr="0040027C">
        <w:t>chedule.</w:t>
      </w:r>
    </w:p>
    <w:p w14:paraId="337146A1" w14:textId="14E48695" w:rsidR="00C0562F" w:rsidRPr="00D37110" w:rsidRDefault="00C0562F" w:rsidP="00D37110">
      <w:pPr>
        <w:pStyle w:val="Heading4"/>
        <w:keepLines w:val="0"/>
        <w:spacing w:before="0" w:after="0"/>
        <w:rPr>
          <w:rFonts w:eastAsia="Calibri" w:cs="Times New Roman"/>
          <w:bCs w:val="0"/>
          <w:iCs w:val="0"/>
          <w:color w:val="auto"/>
        </w:rPr>
      </w:pPr>
      <w:bookmarkStart w:id="41" w:name="_Toc517087789"/>
      <w:r w:rsidRPr="00D37110">
        <w:rPr>
          <w:rFonts w:eastAsia="Calibri" w:cs="Times New Roman"/>
          <w:bCs w:val="0"/>
          <w:iCs w:val="0"/>
          <w:color w:val="auto"/>
        </w:rPr>
        <w:t xml:space="preserve">Project </w:t>
      </w:r>
      <w:r w:rsidR="00330579" w:rsidRPr="00D37110">
        <w:rPr>
          <w:rFonts w:eastAsia="Calibri" w:cs="Times New Roman"/>
          <w:bCs w:val="0"/>
          <w:iCs w:val="0"/>
          <w:color w:val="auto"/>
        </w:rPr>
        <w:t>p</w:t>
      </w:r>
      <w:r w:rsidRPr="00D37110">
        <w:rPr>
          <w:rFonts w:eastAsia="Calibri" w:cs="Times New Roman"/>
          <w:bCs w:val="0"/>
          <w:iCs w:val="0"/>
          <w:color w:val="auto"/>
        </w:rPr>
        <w:t>lan</w:t>
      </w:r>
      <w:bookmarkEnd w:id="41"/>
    </w:p>
    <w:p w14:paraId="48E6349D" w14:textId="048384F1" w:rsidR="00C0562F" w:rsidRDefault="00C0562F" w:rsidP="00323087">
      <w:r w:rsidRPr="0040027C">
        <w:t xml:space="preserve">Similar to an </w:t>
      </w:r>
      <w:r w:rsidR="00784629">
        <w:t>IP</w:t>
      </w:r>
      <w:r w:rsidR="004176AD">
        <w:t xml:space="preserve"> but </w:t>
      </w:r>
      <w:r w:rsidR="000216C3">
        <w:t xml:space="preserve">is </w:t>
      </w:r>
      <w:r w:rsidR="004176AD">
        <w:t xml:space="preserve">tied </w:t>
      </w:r>
      <w:r w:rsidR="00784629">
        <w:t>to</w:t>
      </w:r>
      <w:r w:rsidR="000216C3">
        <w:t xml:space="preserve"> an</w:t>
      </w:r>
      <w:r w:rsidR="00784629">
        <w:t xml:space="preserve"> </w:t>
      </w:r>
      <w:r w:rsidR="004176AD">
        <w:t xml:space="preserve">agreement associated with </w:t>
      </w:r>
      <w:r w:rsidR="000216C3">
        <w:t xml:space="preserve">a </w:t>
      </w:r>
      <w:r w:rsidR="004176AD">
        <w:t>capital project</w:t>
      </w:r>
      <w:r w:rsidRPr="0040027C">
        <w:t>.</w:t>
      </w:r>
      <w:r>
        <w:t xml:space="preserve"> </w:t>
      </w:r>
      <w:r w:rsidR="004176AD">
        <w:t>P</w:t>
      </w:r>
      <w:r>
        <w:t>roject plan</w:t>
      </w:r>
      <w:r w:rsidR="004176AD">
        <w:t>s</w:t>
      </w:r>
      <w:r w:rsidR="00AF1E12">
        <w:t xml:space="preserve"> are </w:t>
      </w:r>
      <w:r>
        <w:t>bilateral</w:t>
      </w:r>
      <w:r w:rsidR="002077D4">
        <w:t xml:space="preserve"> arrangements.</w:t>
      </w:r>
    </w:p>
    <w:p w14:paraId="2BAC7DC6" w14:textId="0EA4AD4F" w:rsidR="002077D4" w:rsidRPr="00D37110" w:rsidRDefault="002077D4" w:rsidP="00D37110">
      <w:pPr>
        <w:pStyle w:val="Heading4"/>
        <w:keepLines w:val="0"/>
        <w:spacing w:before="0" w:after="0"/>
        <w:rPr>
          <w:rFonts w:eastAsia="Calibri" w:cs="Times New Roman"/>
          <w:bCs w:val="0"/>
          <w:iCs w:val="0"/>
          <w:color w:val="auto"/>
        </w:rPr>
      </w:pPr>
      <w:r w:rsidRPr="00D37110">
        <w:rPr>
          <w:rFonts w:eastAsia="Calibri" w:cs="Times New Roman"/>
          <w:bCs w:val="0"/>
          <w:iCs w:val="0"/>
          <w:color w:val="auto"/>
        </w:rPr>
        <w:t>Whole of government initiative</w:t>
      </w:r>
    </w:p>
    <w:p w14:paraId="1361DB11" w14:textId="6AF4A2B6" w:rsidR="002077D4" w:rsidRDefault="00B25AC8" w:rsidP="002077D4">
      <w:r>
        <w:t>An</w:t>
      </w:r>
      <w:r w:rsidR="002077D4" w:rsidRPr="002077D4">
        <w:t xml:space="preserve"> agreement with the A</w:t>
      </w:r>
      <w:r>
        <w:t>ustralian</w:t>
      </w:r>
      <w:r w:rsidR="000216C3">
        <w:t> </w:t>
      </w:r>
      <w:r>
        <w:t>Government</w:t>
      </w:r>
      <w:r w:rsidR="002077D4" w:rsidRPr="002077D4">
        <w:t xml:space="preserve"> </w:t>
      </w:r>
      <w:r w:rsidR="00D37110">
        <w:t>that</w:t>
      </w:r>
      <w:r w:rsidR="002077D4" w:rsidRPr="002077D4">
        <w:t xml:space="preserve"> </w:t>
      </w:r>
      <w:r w:rsidR="00DD5446">
        <w:t xml:space="preserve">either </w:t>
      </w:r>
      <w:r w:rsidR="002077D4" w:rsidRPr="002077D4">
        <w:t>involves more than one portfolio agency</w:t>
      </w:r>
      <w:r w:rsidR="00DD5446">
        <w:t>,</w:t>
      </w:r>
      <w:r w:rsidR="000A7EFB">
        <w:t xml:space="preserve"> represents a strategic risk, a significant</w:t>
      </w:r>
      <w:r w:rsidR="00DD5446">
        <w:t xml:space="preserve"> investment opportunity, </w:t>
      </w:r>
      <w:r w:rsidR="002077D4" w:rsidRPr="002077D4">
        <w:t xml:space="preserve">is of strategic importance to the </w:t>
      </w:r>
      <w:r w:rsidR="0017026C">
        <w:t>NT</w:t>
      </w:r>
      <w:r w:rsidR="000216C3">
        <w:t> </w:t>
      </w:r>
      <w:r w:rsidR="002077D4" w:rsidRPr="002077D4">
        <w:t>Government.</w:t>
      </w:r>
    </w:p>
    <w:sectPr w:rsidR="002077D4" w:rsidSect="00C756B9">
      <w:headerReference w:type="default" r:id="rId21"/>
      <w:headerReference w:type="first" r:id="rId22"/>
      <w:foot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1D7E" w14:textId="77777777" w:rsidR="005C11ED" w:rsidRDefault="005C11ED" w:rsidP="00293A72">
      <w:r>
        <w:separator/>
      </w:r>
    </w:p>
  </w:endnote>
  <w:endnote w:type="continuationSeparator" w:id="0">
    <w:p w14:paraId="02878C66" w14:textId="77777777" w:rsidR="005C11ED" w:rsidRDefault="005C11E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DB0" w14:textId="77777777" w:rsidR="00F95EE0" w:rsidRPr="009A7587" w:rsidRDefault="005C11ED" w:rsidP="00434174">
    <w:pPr>
      <w:tabs>
        <w:tab w:val="right" w:pos="10206"/>
      </w:tabs>
      <w:spacing w:after="120"/>
      <w:ind w:left="-567" w:right="-568"/>
      <w:rPr>
        <w:sz w:val="16"/>
        <w:szCs w:val="16"/>
      </w:rPr>
    </w:pPr>
    <w:r>
      <w:pict w14:anchorId="2644BB7A">
        <v:rect id="_x0000_i1025" style="width:481.9pt;height:.5pt" o:hralign="center" o:hrstd="t" o:hrnoshade="t" o:hr="t" fillcolor="black [3213]" stroked="f"/>
      </w:pict>
    </w:r>
  </w:p>
  <w:p w14:paraId="1B4F8AFB" w14:textId="587F0E1B" w:rsidR="00F95EE0" w:rsidRPr="009568B9" w:rsidRDefault="00F95EE0"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Treasury and Finance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D32AE6">
      <w:rPr>
        <w:noProof/>
      </w:rPr>
      <w:t>9</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D32AE6">
      <w:rPr>
        <w:noProof/>
      </w:rPr>
      <w:t>17</w:t>
    </w:r>
    <w:r>
      <w:rPr>
        <w:noProof/>
      </w:rPr>
      <w:fldChar w:fldCharType="end"/>
    </w:r>
  </w:p>
  <w:p w14:paraId="55938457" w14:textId="77777777" w:rsidR="00F95EE0" w:rsidRPr="009568B9" w:rsidRDefault="005C11ED" w:rsidP="00434174">
    <w:pPr>
      <w:pStyle w:val="NTGFooterDateVersion"/>
      <w:ind w:left="-567"/>
    </w:pPr>
    <w:r>
      <w:fldChar w:fldCharType="begin"/>
    </w:r>
    <w:r>
      <w:instrText xml:space="preserve"> DOCPROPERTY  DocumentDate  \* MERGEFORMAT </w:instrText>
    </w:r>
    <w:r>
      <w:fldChar w:fldCharType="separate"/>
    </w:r>
    <w:r w:rsidR="00F95EE0">
      <w:t>7 December 2018</w:t>
    </w:r>
    <w:r>
      <w:fldChar w:fldCharType="end"/>
    </w:r>
    <w:r w:rsidR="00F95EE0" w:rsidRPr="009568B9">
      <w:t>, Version </w:t>
    </w:r>
    <w:r>
      <w:fldChar w:fldCharType="begin"/>
    </w:r>
    <w:r>
      <w:instrText xml:space="preserve"> DOCPROPERTY  VersionNo  \* MERGEFORMAT </w:instrText>
    </w:r>
    <w:r>
      <w:fldChar w:fldCharType="separate"/>
    </w:r>
    <w:r w:rsidR="00F95EE0">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95EE0" w:rsidRPr="002C6633" w14:paraId="0950AF5B" w14:textId="77777777" w:rsidTr="00B61936">
      <w:trPr>
        <w:cantSplit/>
        <w:trHeight w:hRule="exact" w:val="1400"/>
        <w:tblHeader/>
      </w:trPr>
      <w:tc>
        <w:tcPr>
          <w:tcW w:w="8505" w:type="dxa"/>
          <w:vAlign w:val="center"/>
        </w:tcPr>
        <w:p w14:paraId="6EBD74C0" w14:textId="77777777" w:rsidR="00F95EE0" w:rsidRPr="002C6633" w:rsidRDefault="00F95EE0"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Treasury and Finance</w:t>
          </w:r>
          <w:r>
            <w:rPr>
              <w:rStyle w:val="NTGFooterDepartmentNameChar"/>
            </w:rPr>
            <w:fldChar w:fldCharType="end"/>
          </w:r>
          <w:r w:rsidRPr="002C6633">
            <w:br/>
          </w:r>
        </w:p>
      </w:tc>
      <w:tc>
        <w:tcPr>
          <w:tcW w:w="2268" w:type="dxa"/>
          <w:vAlign w:val="center"/>
        </w:tcPr>
        <w:p w14:paraId="7534E561" w14:textId="77777777" w:rsidR="00F95EE0" w:rsidRPr="002C6633" w:rsidRDefault="00F95EE0" w:rsidP="00B61936">
          <w:pPr>
            <w:spacing w:after="0" w:line="252" w:lineRule="auto"/>
            <w:ind w:left="4"/>
            <w:jc w:val="right"/>
            <w:rPr>
              <w:rFonts w:cs="Arial"/>
              <w:sz w:val="20"/>
            </w:rPr>
          </w:pPr>
          <w:r w:rsidRPr="002C6633">
            <w:rPr>
              <w:rFonts w:cs="Arial"/>
              <w:noProof/>
              <w:sz w:val="20"/>
              <w:lang w:eastAsia="en-AU"/>
            </w:rPr>
            <w:drawing>
              <wp:inline distT="0" distB="0" distL="0" distR="0" wp14:anchorId="35D8EBB2" wp14:editId="5DD6E43A">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763E5EF" w14:textId="77777777" w:rsidR="00F95EE0" w:rsidRPr="002C6633" w:rsidRDefault="00F95EE0" w:rsidP="00410CF8">
    <w:pPr>
      <w:pStyle w:val="Footer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E4F3" w14:textId="77777777" w:rsidR="00F95EE0" w:rsidRPr="009A7587" w:rsidRDefault="005C11ED" w:rsidP="00A1061C">
    <w:pPr>
      <w:tabs>
        <w:tab w:val="right" w:pos="10206"/>
      </w:tabs>
      <w:spacing w:after="120"/>
      <w:ind w:left="-567" w:right="-568"/>
      <w:rPr>
        <w:sz w:val="16"/>
        <w:szCs w:val="16"/>
      </w:rPr>
    </w:pPr>
    <w:r>
      <w:pict w14:anchorId="17FE79BD">
        <v:rect id="_x0000_i1026" style="width:481.9pt;height:.5pt" o:hralign="center" o:hrstd="t" o:hrnoshade="t" o:hr="t" fillcolor="black [3213]" stroked="f"/>
      </w:pict>
    </w:r>
  </w:p>
  <w:p w14:paraId="31022E72" w14:textId="6A4D65AF" w:rsidR="00F95EE0" w:rsidRPr="009568B9" w:rsidRDefault="00F95EE0"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Treasury and Finance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p w14:paraId="3BBCA21B" w14:textId="77777777" w:rsidR="00F95EE0" w:rsidRPr="009568B9" w:rsidRDefault="005C11ED" w:rsidP="00A1061C">
    <w:pPr>
      <w:pStyle w:val="NTGFooterDateVersion"/>
      <w:ind w:left="-567"/>
    </w:pPr>
    <w:r>
      <w:fldChar w:fldCharType="begin"/>
    </w:r>
    <w:r>
      <w:instrText xml:space="preserve"> DOCPROPERTY  DocumentDate  \* MERGEFORMAT </w:instrText>
    </w:r>
    <w:r>
      <w:fldChar w:fldCharType="separate"/>
    </w:r>
    <w:r w:rsidR="00F95EE0">
      <w:t>19 December 2017</w:t>
    </w:r>
    <w:r>
      <w:fldChar w:fldCharType="end"/>
    </w:r>
    <w:r w:rsidR="00F95EE0" w:rsidRPr="009568B9">
      <w:t>, Version </w:t>
    </w:r>
    <w:r>
      <w:fldChar w:fldCharType="begin"/>
    </w:r>
    <w:r>
      <w:instrText xml:space="preserve"> DOCPROPERTY  VersionNo  \* MERGEFORMAT </w:instrText>
    </w:r>
    <w:r>
      <w:fldChar w:fldCharType="separate"/>
    </w:r>
    <w:r w:rsidR="00F95EE0">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3EA3" w14:textId="77777777" w:rsidR="00F95EE0" w:rsidRPr="00F6368A" w:rsidRDefault="00F95EE0" w:rsidP="00A24C50">
    <w:pPr>
      <w:pStyle w:val="Footer"/>
    </w:pPr>
  </w:p>
  <w:p w14:paraId="1E60D273" w14:textId="77777777" w:rsidR="00F95EE0" w:rsidRPr="00F6368A" w:rsidRDefault="00F95EE0"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11</w:t>
    </w:r>
    <w:r w:rsidRPr="00F6368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A159" w14:textId="77777777" w:rsidR="005C11ED" w:rsidRDefault="005C11ED" w:rsidP="00293A72">
      <w:r>
        <w:separator/>
      </w:r>
    </w:p>
  </w:footnote>
  <w:footnote w:type="continuationSeparator" w:id="0">
    <w:p w14:paraId="6EB9704A" w14:textId="77777777" w:rsidR="005C11ED" w:rsidRDefault="005C11ED" w:rsidP="00293A72">
      <w:r>
        <w:continuationSeparator/>
      </w:r>
    </w:p>
  </w:footnote>
  <w:footnote w:type="continuationNotice" w:id="1">
    <w:p w14:paraId="6BFC7A53" w14:textId="77777777" w:rsidR="005C11ED" w:rsidRPr="00FB5692" w:rsidRDefault="005C11ED" w:rsidP="00FB569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4514" w14:textId="77777777" w:rsidR="00F95EE0" w:rsidRDefault="00F95EE0"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F6C3" w14:textId="77777777" w:rsidR="00F95EE0" w:rsidRDefault="00F95EE0" w:rsidP="009616DF">
    <w:pPr>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33D7" w14:textId="77777777" w:rsidR="00F95EE0" w:rsidRDefault="00F95EE0" w:rsidP="00652E1F">
    <w:pPr>
      <w:pStyle w:val="Header"/>
      <w:tabs>
        <w:tab w:val="clear" w:pos="9026"/>
        <w:tab w:val="right" w:pos="10206"/>
      </w:tabs>
      <w:ind w:right="-568"/>
    </w:pPr>
    <w:r>
      <w:t>Document control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889E" w14:textId="77777777" w:rsidR="00F95EE0" w:rsidRDefault="00F95EE0"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EA7F" w14:textId="77777777" w:rsidR="00F95EE0" w:rsidRDefault="00F95EE0"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0A6B" w14:textId="77777777" w:rsidR="00F95EE0" w:rsidRPr="00274F1C" w:rsidRDefault="00F95EE0"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48E4" w14:textId="77777777" w:rsidR="00F95EE0" w:rsidRPr="00274F1C" w:rsidRDefault="005C11ED" w:rsidP="009568B9">
    <w:pPr>
      <w:pStyle w:val="Header"/>
      <w:tabs>
        <w:tab w:val="clear" w:pos="4513"/>
        <w:tab w:val="clear" w:pos="9026"/>
      </w:tabs>
      <w:ind w:right="-568"/>
    </w:pPr>
    <w:r>
      <w:fldChar w:fldCharType="begin"/>
    </w:r>
    <w:r>
      <w:instrText xml:space="preserve"> TITLE   \* MERGEFORMAT </w:instrText>
    </w:r>
    <w:r>
      <w:fldChar w:fldCharType="separate"/>
    </w:r>
    <w:r w:rsidR="00F95EE0">
      <w:t>Guidance document – Commonwealth funding agreements</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589" w14:textId="77777777" w:rsidR="00F95EE0" w:rsidRPr="00861DC3" w:rsidRDefault="00F95EE0" w:rsidP="00354E47">
    <w:pPr>
      <w:pStyle w:val="Header"/>
      <w:tabs>
        <w:tab w:val="clear" w:pos="4513"/>
        <w:tab w:val="clear" w:pos="9026"/>
      </w:tabs>
      <w:ind w:right="-285"/>
    </w:pPr>
    <w:r>
      <w:t>Policy</w:t>
    </w:r>
    <w:r w:rsidRPr="00861DC3">
      <w:t xml:space="preserve"> Name</w:t>
    </w:r>
  </w:p>
  <w:p w14:paraId="0DA19743" w14:textId="77777777" w:rsidR="00F95EE0" w:rsidRDefault="00F95EE0" w:rsidP="00354E47"/>
  <w:p w14:paraId="0B34AB8D" w14:textId="77777777" w:rsidR="00F95EE0" w:rsidRDefault="00F95EE0" w:rsidP="00354E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BE"/>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30F0990"/>
    <w:multiLevelType w:val="multilevel"/>
    <w:tmpl w:val="533A3626"/>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2" w15:restartNumberingAfterBreak="0">
    <w:nsid w:val="08D63D93"/>
    <w:multiLevelType w:val="multilevel"/>
    <w:tmpl w:val="BD7A8414"/>
    <w:numStyleLink w:val="NTGStandardList"/>
  </w:abstractNum>
  <w:abstractNum w:abstractNumId="3" w15:restartNumberingAfterBreak="0">
    <w:nsid w:val="0C327CD1"/>
    <w:multiLevelType w:val="hybridMultilevel"/>
    <w:tmpl w:val="7A3E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B55AC"/>
    <w:multiLevelType w:val="multilevel"/>
    <w:tmpl w:val="CC80E0EC"/>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 w15:restartNumberingAfterBreak="0">
    <w:nsid w:val="15C66FB0"/>
    <w:multiLevelType w:val="multilevel"/>
    <w:tmpl w:val="BD7A8414"/>
    <w:numStyleLink w:val="NTGStandardList"/>
  </w:abstractNum>
  <w:abstractNum w:abstractNumId="6" w15:restartNumberingAfterBreak="0">
    <w:nsid w:val="1F791B41"/>
    <w:multiLevelType w:val="multilevel"/>
    <w:tmpl w:val="533A3626"/>
    <w:numStyleLink w:val="NTGTableList"/>
  </w:abstractNum>
  <w:abstractNum w:abstractNumId="7" w15:restartNumberingAfterBreak="0">
    <w:nsid w:val="24C305A3"/>
    <w:multiLevelType w:val="multilevel"/>
    <w:tmpl w:val="4E6AC8F6"/>
    <w:numStyleLink w:val="NTGStandardNumList"/>
  </w:abstractNum>
  <w:abstractNum w:abstractNumId="8"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9196A8F"/>
    <w:multiLevelType w:val="multilevel"/>
    <w:tmpl w:val="BD7A8414"/>
    <w:numStyleLink w:val="NTGStandardList"/>
  </w:abstractNum>
  <w:abstractNum w:abstractNumId="10" w15:restartNumberingAfterBreak="0">
    <w:nsid w:val="324F2D83"/>
    <w:multiLevelType w:val="multilevel"/>
    <w:tmpl w:val="BD7A8414"/>
    <w:numStyleLink w:val="NTGStandardList"/>
  </w:abstractNum>
  <w:abstractNum w:abstractNumId="11"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2" w15:restartNumberingAfterBreak="0">
    <w:nsid w:val="426F70CC"/>
    <w:multiLevelType w:val="multilevel"/>
    <w:tmpl w:val="39746A98"/>
    <w:numStyleLink w:val="NTGTableNumList"/>
  </w:abstractNum>
  <w:abstractNum w:abstractNumId="1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DFB5AD3"/>
    <w:multiLevelType w:val="multilevel"/>
    <w:tmpl w:val="BD7A8414"/>
    <w:numStyleLink w:val="NTGStandardList"/>
  </w:abstractNum>
  <w:abstractNum w:abstractNumId="15" w15:restartNumberingAfterBreak="0">
    <w:nsid w:val="5190460B"/>
    <w:multiLevelType w:val="multilevel"/>
    <w:tmpl w:val="BD7A8414"/>
    <w:numStyleLink w:val="NTGStandardList"/>
  </w:abstractNum>
  <w:abstractNum w:abstractNumId="16" w15:restartNumberingAfterBreak="0">
    <w:nsid w:val="527F0907"/>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57BB6810"/>
    <w:multiLevelType w:val="multilevel"/>
    <w:tmpl w:val="BD7A8414"/>
    <w:numStyleLink w:val="NTGStandardList"/>
  </w:abstractNum>
  <w:abstractNum w:abstractNumId="18" w15:restartNumberingAfterBreak="0">
    <w:nsid w:val="58A75915"/>
    <w:multiLevelType w:val="multilevel"/>
    <w:tmpl w:val="BD7A8414"/>
    <w:numStyleLink w:val="NTGStandardList"/>
  </w:abstractNum>
  <w:abstractNum w:abstractNumId="19" w15:restartNumberingAfterBreak="0">
    <w:nsid w:val="593933FC"/>
    <w:multiLevelType w:val="multilevel"/>
    <w:tmpl w:val="BD7A8414"/>
    <w:numStyleLink w:val="NTGStandardList"/>
  </w:abstractNum>
  <w:abstractNum w:abstractNumId="20" w15:restartNumberingAfterBreak="0">
    <w:nsid w:val="62A65237"/>
    <w:multiLevelType w:val="multilevel"/>
    <w:tmpl w:val="0C78A7AC"/>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21" w15:restartNumberingAfterBreak="0">
    <w:nsid w:val="68BC3563"/>
    <w:multiLevelType w:val="multilevel"/>
    <w:tmpl w:val="BD7A8414"/>
    <w:numStyleLink w:val="NTGStandardList"/>
  </w:abstractNum>
  <w:abstractNum w:abstractNumId="22" w15:restartNumberingAfterBreak="0">
    <w:nsid w:val="68C640CA"/>
    <w:multiLevelType w:val="multilevel"/>
    <w:tmpl w:val="BD7A8414"/>
    <w:numStyleLink w:val="NTGStandardList"/>
  </w:abstractNum>
  <w:abstractNum w:abstractNumId="23" w15:restartNumberingAfterBreak="0">
    <w:nsid w:val="79CC6470"/>
    <w:multiLevelType w:val="multilevel"/>
    <w:tmpl w:val="B386C482"/>
    <w:lvl w:ilvl="0">
      <w:start w:val="1"/>
      <w:numFmt w:val="decimal"/>
      <w:pStyle w:val="Heading1"/>
      <w:lvlText w:val="%1"/>
      <w:lvlJc w:val="left"/>
      <w:pPr>
        <w:ind w:left="9788" w:hanging="432"/>
      </w:pPr>
      <w:rPr>
        <w:rFonts w:hint="default"/>
        <w:b/>
        <w:i w:val="0"/>
      </w:r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8"/>
  </w:num>
  <w:num w:numId="3">
    <w:abstractNumId w:val="13"/>
  </w:num>
  <w:num w:numId="4">
    <w:abstractNumId w:val="1"/>
  </w:num>
  <w:num w:numId="5">
    <w:abstractNumId w:val="11"/>
  </w:num>
  <w:num w:numId="6">
    <w:abstractNumId w:val="12"/>
  </w:num>
  <w:num w:numId="7">
    <w:abstractNumId w:val="6"/>
  </w:num>
  <w:num w:numId="8">
    <w:abstractNumId w:val="10"/>
  </w:num>
  <w:num w:numId="9">
    <w:abstractNumId w:val="7"/>
  </w:num>
  <w:num w:numId="10">
    <w:abstractNumId w:val="15"/>
  </w:num>
  <w:num w:numId="11">
    <w:abstractNumId w:val="22"/>
  </w:num>
  <w:num w:numId="12">
    <w:abstractNumId w:val="9"/>
  </w:num>
  <w:num w:numId="13">
    <w:abstractNumId w:val="14"/>
  </w:num>
  <w:num w:numId="14">
    <w:abstractNumId w:val="18"/>
  </w:num>
  <w:num w:numId="15">
    <w:abstractNumId w:val="5"/>
  </w:num>
  <w:num w:numId="16">
    <w:abstractNumId w:val="21"/>
  </w:num>
  <w:num w:numId="17">
    <w:abstractNumId w:val="17"/>
  </w:num>
  <w:num w:numId="18">
    <w:abstractNumId w:val="2"/>
  </w:num>
  <w:num w:numId="19">
    <w:abstractNumId w:val="4"/>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3"/>
  </w:num>
  <w:num w:numId="43">
    <w:abstractNumId w:val="0"/>
  </w:num>
  <w:num w:numId="44">
    <w:abstractNumId w:val="0"/>
  </w:num>
  <w:num w:numId="45">
    <w:abstractNumId w:val="19"/>
  </w:num>
  <w:num w:numId="46">
    <w:abstractNumId w:val="16"/>
  </w:num>
  <w:num w:numId="4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FF"/>
    <w:rsid w:val="000102B4"/>
    <w:rsid w:val="00010839"/>
    <w:rsid w:val="00010B68"/>
    <w:rsid w:val="00015B56"/>
    <w:rsid w:val="0001749F"/>
    <w:rsid w:val="00020249"/>
    <w:rsid w:val="00021422"/>
    <w:rsid w:val="000216C3"/>
    <w:rsid w:val="0002745F"/>
    <w:rsid w:val="00027D9F"/>
    <w:rsid w:val="00030C95"/>
    <w:rsid w:val="00031544"/>
    <w:rsid w:val="00031593"/>
    <w:rsid w:val="00043E30"/>
    <w:rsid w:val="000442F8"/>
    <w:rsid w:val="0005581E"/>
    <w:rsid w:val="00055BC6"/>
    <w:rsid w:val="000579A7"/>
    <w:rsid w:val="00064B73"/>
    <w:rsid w:val="00064E03"/>
    <w:rsid w:val="000659AD"/>
    <w:rsid w:val="00067F54"/>
    <w:rsid w:val="0007076E"/>
    <w:rsid w:val="00071D36"/>
    <w:rsid w:val="0007259C"/>
    <w:rsid w:val="000819DD"/>
    <w:rsid w:val="000830D0"/>
    <w:rsid w:val="000869B5"/>
    <w:rsid w:val="000A0C61"/>
    <w:rsid w:val="000A1ECF"/>
    <w:rsid w:val="000A55BC"/>
    <w:rsid w:val="000A7EFB"/>
    <w:rsid w:val="000B1DFF"/>
    <w:rsid w:val="000B580E"/>
    <w:rsid w:val="000B7924"/>
    <w:rsid w:val="000C21B3"/>
    <w:rsid w:val="000D601D"/>
    <w:rsid w:val="000D6D9E"/>
    <w:rsid w:val="000E39AC"/>
    <w:rsid w:val="000E3A0B"/>
    <w:rsid w:val="000E4488"/>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35B9E"/>
    <w:rsid w:val="00143725"/>
    <w:rsid w:val="0014538B"/>
    <w:rsid w:val="00146905"/>
    <w:rsid w:val="00150B00"/>
    <w:rsid w:val="001514DA"/>
    <w:rsid w:val="001517D8"/>
    <w:rsid w:val="001523F6"/>
    <w:rsid w:val="001621A8"/>
    <w:rsid w:val="001636FF"/>
    <w:rsid w:val="001638F6"/>
    <w:rsid w:val="0017026C"/>
    <w:rsid w:val="00174A2C"/>
    <w:rsid w:val="0017512B"/>
    <w:rsid w:val="0017601D"/>
    <w:rsid w:val="00177144"/>
    <w:rsid w:val="00184F9F"/>
    <w:rsid w:val="001908CB"/>
    <w:rsid w:val="00193398"/>
    <w:rsid w:val="00197D7D"/>
    <w:rsid w:val="001A2B7F"/>
    <w:rsid w:val="001A3933"/>
    <w:rsid w:val="001A76FF"/>
    <w:rsid w:val="001B00E6"/>
    <w:rsid w:val="001B2BB8"/>
    <w:rsid w:val="001C269D"/>
    <w:rsid w:val="001C3ED8"/>
    <w:rsid w:val="001C40CB"/>
    <w:rsid w:val="001D1F24"/>
    <w:rsid w:val="001D2B46"/>
    <w:rsid w:val="001D2E8A"/>
    <w:rsid w:val="001D3862"/>
    <w:rsid w:val="001D3D40"/>
    <w:rsid w:val="001D6766"/>
    <w:rsid w:val="001D705C"/>
    <w:rsid w:val="001E210A"/>
    <w:rsid w:val="001E2F4C"/>
    <w:rsid w:val="001E56E7"/>
    <w:rsid w:val="001E5ECE"/>
    <w:rsid w:val="001F139B"/>
    <w:rsid w:val="001F2613"/>
    <w:rsid w:val="001F4D1D"/>
    <w:rsid w:val="001F54E0"/>
    <w:rsid w:val="002075A2"/>
    <w:rsid w:val="002077D4"/>
    <w:rsid w:val="00210858"/>
    <w:rsid w:val="002213F4"/>
    <w:rsid w:val="002235AC"/>
    <w:rsid w:val="002258B7"/>
    <w:rsid w:val="0022771E"/>
    <w:rsid w:val="00232BF0"/>
    <w:rsid w:val="00233BF9"/>
    <w:rsid w:val="0024451B"/>
    <w:rsid w:val="00244D97"/>
    <w:rsid w:val="00246A27"/>
    <w:rsid w:val="00247CF2"/>
    <w:rsid w:val="00252C5D"/>
    <w:rsid w:val="00254570"/>
    <w:rsid w:val="00255F0F"/>
    <w:rsid w:val="00262F74"/>
    <w:rsid w:val="0026386D"/>
    <w:rsid w:val="00264EAE"/>
    <w:rsid w:val="00265121"/>
    <w:rsid w:val="00265DC9"/>
    <w:rsid w:val="0026692E"/>
    <w:rsid w:val="00267AD3"/>
    <w:rsid w:val="00272D80"/>
    <w:rsid w:val="002734B6"/>
    <w:rsid w:val="00274F1C"/>
    <w:rsid w:val="00275213"/>
    <w:rsid w:val="0027738B"/>
    <w:rsid w:val="00287CA3"/>
    <w:rsid w:val="002908B1"/>
    <w:rsid w:val="00293A72"/>
    <w:rsid w:val="00296617"/>
    <w:rsid w:val="00297A55"/>
    <w:rsid w:val="00297D97"/>
    <w:rsid w:val="002A008E"/>
    <w:rsid w:val="002A57F2"/>
    <w:rsid w:val="002B3717"/>
    <w:rsid w:val="002B4329"/>
    <w:rsid w:val="002B5C32"/>
    <w:rsid w:val="002C3C6A"/>
    <w:rsid w:val="002C4C59"/>
    <w:rsid w:val="002C6633"/>
    <w:rsid w:val="002C7C58"/>
    <w:rsid w:val="002D1DC9"/>
    <w:rsid w:val="002D216D"/>
    <w:rsid w:val="002D348C"/>
    <w:rsid w:val="002D385E"/>
    <w:rsid w:val="002E1818"/>
    <w:rsid w:val="002E3B83"/>
    <w:rsid w:val="002E4182"/>
    <w:rsid w:val="002E6C40"/>
    <w:rsid w:val="002F2885"/>
    <w:rsid w:val="002F3431"/>
    <w:rsid w:val="002F351C"/>
    <w:rsid w:val="00300680"/>
    <w:rsid w:val="003078A7"/>
    <w:rsid w:val="00310B65"/>
    <w:rsid w:val="00311DF6"/>
    <w:rsid w:val="00323087"/>
    <w:rsid w:val="00323EE7"/>
    <w:rsid w:val="0032424B"/>
    <w:rsid w:val="00330579"/>
    <w:rsid w:val="003366A7"/>
    <w:rsid w:val="00342283"/>
    <w:rsid w:val="0034463B"/>
    <w:rsid w:val="003454FD"/>
    <w:rsid w:val="00346921"/>
    <w:rsid w:val="0034713C"/>
    <w:rsid w:val="00347E38"/>
    <w:rsid w:val="00354E47"/>
    <w:rsid w:val="00354FE3"/>
    <w:rsid w:val="00362D35"/>
    <w:rsid w:val="00363465"/>
    <w:rsid w:val="00364F39"/>
    <w:rsid w:val="0036601D"/>
    <w:rsid w:val="003758FE"/>
    <w:rsid w:val="00375DE4"/>
    <w:rsid w:val="003825D3"/>
    <w:rsid w:val="00387390"/>
    <w:rsid w:val="00394AAF"/>
    <w:rsid w:val="003A1976"/>
    <w:rsid w:val="003B2E21"/>
    <w:rsid w:val="003B5045"/>
    <w:rsid w:val="003B78AD"/>
    <w:rsid w:val="003B7AD5"/>
    <w:rsid w:val="003C28E8"/>
    <w:rsid w:val="003C2B69"/>
    <w:rsid w:val="003C5418"/>
    <w:rsid w:val="003D1543"/>
    <w:rsid w:val="003D2E72"/>
    <w:rsid w:val="003D5DCE"/>
    <w:rsid w:val="003D6C25"/>
    <w:rsid w:val="003E36E9"/>
    <w:rsid w:val="003E609D"/>
    <w:rsid w:val="003F0015"/>
    <w:rsid w:val="003F0146"/>
    <w:rsid w:val="003F0BAA"/>
    <w:rsid w:val="00400524"/>
    <w:rsid w:val="0040077F"/>
    <w:rsid w:val="0040222A"/>
    <w:rsid w:val="00402946"/>
    <w:rsid w:val="00404201"/>
    <w:rsid w:val="004047BC"/>
    <w:rsid w:val="00404B85"/>
    <w:rsid w:val="00407CDD"/>
    <w:rsid w:val="00410CF8"/>
    <w:rsid w:val="00412C0B"/>
    <w:rsid w:val="00414931"/>
    <w:rsid w:val="0041607F"/>
    <w:rsid w:val="004176AD"/>
    <w:rsid w:val="004205FB"/>
    <w:rsid w:val="00420C06"/>
    <w:rsid w:val="0042197E"/>
    <w:rsid w:val="0042205C"/>
    <w:rsid w:val="00424620"/>
    <w:rsid w:val="004267B4"/>
    <w:rsid w:val="00426E25"/>
    <w:rsid w:val="00431A45"/>
    <w:rsid w:val="00431EDD"/>
    <w:rsid w:val="00434174"/>
    <w:rsid w:val="00437812"/>
    <w:rsid w:val="00445BD5"/>
    <w:rsid w:val="00452631"/>
    <w:rsid w:val="004569A0"/>
    <w:rsid w:val="004611EE"/>
    <w:rsid w:val="00463FFC"/>
    <w:rsid w:val="0046419A"/>
    <w:rsid w:val="004672E8"/>
    <w:rsid w:val="00473871"/>
    <w:rsid w:val="004809E5"/>
    <w:rsid w:val="00483567"/>
    <w:rsid w:val="004876CA"/>
    <w:rsid w:val="00487AD0"/>
    <w:rsid w:val="00494B8B"/>
    <w:rsid w:val="0049776E"/>
    <w:rsid w:val="004979B7"/>
    <w:rsid w:val="004A077E"/>
    <w:rsid w:val="004A097C"/>
    <w:rsid w:val="004A1318"/>
    <w:rsid w:val="004A5828"/>
    <w:rsid w:val="004A5AC6"/>
    <w:rsid w:val="004B1434"/>
    <w:rsid w:val="004B2208"/>
    <w:rsid w:val="004B45AC"/>
    <w:rsid w:val="004B56D0"/>
    <w:rsid w:val="004C7007"/>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40BAA"/>
    <w:rsid w:val="00540DD7"/>
    <w:rsid w:val="005476CA"/>
    <w:rsid w:val="00550AF5"/>
    <w:rsid w:val="00550F98"/>
    <w:rsid w:val="005518B2"/>
    <w:rsid w:val="00551D26"/>
    <w:rsid w:val="00552DC3"/>
    <w:rsid w:val="005570C9"/>
    <w:rsid w:val="0056302E"/>
    <w:rsid w:val="00563B18"/>
    <w:rsid w:val="005654B8"/>
    <w:rsid w:val="005666BC"/>
    <w:rsid w:val="0056691F"/>
    <w:rsid w:val="00574E3D"/>
    <w:rsid w:val="00576A68"/>
    <w:rsid w:val="005801A9"/>
    <w:rsid w:val="00580505"/>
    <w:rsid w:val="00582933"/>
    <w:rsid w:val="00584F5C"/>
    <w:rsid w:val="00586B87"/>
    <w:rsid w:val="00586E54"/>
    <w:rsid w:val="00592014"/>
    <w:rsid w:val="00592F52"/>
    <w:rsid w:val="00597C89"/>
    <w:rsid w:val="005A1BB1"/>
    <w:rsid w:val="005A5846"/>
    <w:rsid w:val="005A7A8F"/>
    <w:rsid w:val="005B0535"/>
    <w:rsid w:val="005B46D4"/>
    <w:rsid w:val="005B489B"/>
    <w:rsid w:val="005B4B80"/>
    <w:rsid w:val="005B5AC2"/>
    <w:rsid w:val="005B69F5"/>
    <w:rsid w:val="005B77FD"/>
    <w:rsid w:val="005C11ED"/>
    <w:rsid w:val="005C1413"/>
    <w:rsid w:val="005C57DE"/>
    <w:rsid w:val="005C61E8"/>
    <w:rsid w:val="005D269A"/>
    <w:rsid w:val="005E2F53"/>
    <w:rsid w:val="005E31AD"/>
    <w:rsid w:val="005E540C"/>
    <w:rsid w:val="005E6AF0"/>
    <w:rsid w:val="005F4704"/>
    <w:rsid w:val="005F5547"/>
    <w:rsid w:val="005F764E"/>
    <w:rsid w:val="005F7C4C"/>
    <w:rsid w:val="00602E64"/>
    <w:rsid w:val="0060545C"/>
    <w:rsid w:val="00611486"/>
    <w:rsid w:val="0062147A"/>
    <w:rsid w:val="006242B2"/>
    <w:rsid w:val="0062572E"/>
    <w:rsid w:val="00625C16"/>
    <w:rsid w:val="006260E5"/>
    <w:rsid w:val="006279A6"/>
    <w:rsid w:val="006304B7"/>
    <w:rsid w:val="00630CB2"/>
    <w:rsid w:val="00631EB0"/>
    <w:rsid w:val="006324C4"/>
    <w:rsid w:val="00634329"/>
    <w:rsid w:val="00640966"/>
    <w:rsid w:val="00640FC1"/>
    <w:rsid w:val="00643171"/>
    <w:rsid w:val="006436BA"/>
    <w:rsid w:val="00646617"/>
    <w:rsid w:val="006471CC"/>
    <w:rsid w:val="00650F5B"/>
    <w:rsid w:val="00652E1F"/>
    <w:rsid w:val="00654717"/>
    <w:rsid w:val="006621DD"/>
    <w:rsid w:val="00664D41"/>
    <w:rsid w:val="00671027"/>
    <w:rsid w:val="006719EA"/>
    <w:rsid w:val="0068187F"/>
    <w:rsid w:val="006833F8"/>
    <w:rsid w:val="00687540"/>
    <w:rsid w:val="006927B6"/>
    <w:rsid w:val="00694D69"/>
    <w:rsid w:val="006958D1"/>
    <w:rsid w:val="006A1065"/>
    <w:rsid w:val="006A44E8"/>
    <w:rsid w:val="006A769B"/>
    <w:rsid w:val="006B09A6"/>
    <w:rsid w:val="006B382E"/>
    <w:rsid w:val="006B3D31"/>
    <w:rsid w:val="006B7A4C"/>
    <w:rsid w:val="006C2318"/>
    <w:rsid w:val="006C391B"/>
    <w:rsid w:val="006C6EB8"/>
    <w:rsid w:val="006D3B70"/>
    <w:rsid w:val="006D420E"/>
    <w:rsid w:val="006D4508"/>
    <w:rsid w:val="006D475B"/>
    <w:rsid w:val="006D47EC"/>
    <w:rsid w:val="006D4B85"/>
    <w:rsid w:val="006D50A2"/>
    <w:rsid w:val="006D5C21"/>
    <w:rsid w:val="006D6C8C"/>
    <w:rsid w:val="006E2015"/>
    <w:rsid w:val="006F074D"/>
    <w:rsid w:val="006F18EB"/>
    <w:rsid w:val="006F5626"/>
    <w:rsid w:val="00704304"/>
    <w:rsid w:val="00704FDF"/>
    <w:rsid w:val="00705033"/>
    <w:rsid w:val="0070721E"/>
    <w:rsid w:val="0072107F"/>
    <w:rsid w:val="00722DDB"/>
    <w:rsid w:val="007256BE"/>
    <w:rsid w:val="0073173D"/>
    <w:rsid w:val="00734655"/>
    <w:rsid w:val="00736E66"/>
    <w:rsid w:val="0073786A"/>
    <w:rsid w:val="007408F5"/>
    <w:rsid w:val="00742D33"/>
    <w:rsid w:val="00751BE4"/>
    <w:rsid w:val="0075632B"/>
    <w:rsid w:val="007617E4"/>
    <w:rsid w:val="00762C0F"/>
    <w:rsid w:val="0076350D"/>
    <w:rsid w:val="00763ECE"/>
    <w:rsid w:val="0076484E"/>
    <w:rsid w:val="00764C50"/>
    <w:rsid w:val="00775AA2"/>
    <w:rsid w:val="007766EF"/>
    <w:rsid w:val="00784629"/>
    <w:rsid w:val="0079238B"/>
    <w:rsid w:val="00792CC2"/>
    <w:rsid w:val="00795399"/>
    <w:rsid w:val="007A10A9"/>
    <w:rsid w:val="007A3599"/>
    <w:rsid w:val="007A3E91"/>
    <w:rsid w:val="007A6554"/>
    <w:rsid w:val="007A66D2"/>
    <w:rsid w:val="007B1D83"/>
    <w:rsid w:val="007B2A4D"/>
    <w:rsid w:val="007B5415"/>
    <w:rsid w:val="007C2A8A"/>
    <w:rsid w:val="007C3C51"/>
    <w:rsid w:val="007C7ECC"/>
    <w:rsid w:val="007D1A0C"/>
    <w:rsid w:val="007D304A"/>
    <w:rsid w:val="007D461E"/>
    <w:rsid w:val="007D55DF"/>
    <w:rsid w:val="007D69F6"/>
    <w:rsid w:val="007D70D5"/>
    <w:rsid w:val="007D7594"/>
    <w:rsid w:val="007D7D16"/>
    <w:rsid w:val="007D7E7C"/>
    <w:rsid w:val="007E1AB8"/>
    <w:rsid w:val="007E3A16"/>
    <w:rsid w:val="007E4A26"/>
    <w:rsid w:val="007E7E3A"/>
    <w:rsid w:val="007F051B"/>
    <w:rsid w:val="007F0E9F"/>
    <w:rsid w:val="007F332F"/>
    <w:rsid w:val="00800CDB"/>
    <w:rsid w:val="008054B6"/>
    <w:rsid w:val="00806388"/>
    <w:rsid w:val="00806800"/>
    <w:rsid w:val="00812536"/>
    <w:rsid w:val="00821EA2"/>
    <w:rsid w:val="0082325A"/>
    <w:rsid w:val="008241F6"/>
    <w:rsid w:val="008249DC"/>
    <w:rsid w:val="0082601D"/>
    <w:rsid w:val="008313C4"/>
    <w:rsid w:val="00834F58"/>
    <w:rsid w:val="00835CB5"/>
    <w:rsid w:val="00840B05"/>
    <w:rsid w:val="00844732"/>
    <w:rsid w:val="00844809"/>
    <w:rsid w:val="00845863"/>
    <w:rsid w:val="0084657A"/>
    <w:rsid w:val="00850AA7"/>
    <w:rsid w:val="00855D46"/>
    <w:rsid w:val="008575BE"/>
    <w:rsid w:val="00861DC3"/>
    <w:rsid w:val="00862018"/>
    <w:rsid w:val="00865F2C"/>
    <w:rsid w:val="00870C10"/>
    <w:rsid w:val="00875B49"/>
    <w:rsid w:val="0087782D"/>
    <w:rsid w:val="00877C1A"/>
    <w:rsid w:val="008814A1"/>
    <w:rsid w:val="00884D72"/>
    <w:rsid w:val="00892CF2"/>
    <w:rsid w:val="0089705F"/>
    <w:rsid w:val="008A107E"/>
    <w:rsid w:val="008A4564"/>
    <w:rsid w:val="008A5871"/>
    <w:rsid w:val="008C1A71"/>
    <w:rsid w:val="008C1FC0"/>
    <w:rsid w:val="008D3FF0"/>
    <w:rsid w:val="008D442A"/>
    <w:rsid w:val="008D4775"/>
    <w:rsid w:val="008E4DA5"/>
    <w:rsid w:val="008F1983"/>
    <w:rsid w:val="008F3330"/>
    <w:rsid w:val="008F3628"/>
    <w:rsid w:val="008F7F52"/>
    <w:rsid w:val="009010B1"/>
    <w:rsid w:val="009036A6"/>
    <w:rsid w:val="0090565E"/>
    <w:rsid w:val="00907139"/>
    <w:rsid w:val="00915310"/>
    <w:rsid w:val="00933F01"/>
    <w:rsid w:val="0093401B"/>
    <w:rsid w:val="00935349"/>
    <w:rsid w:val="00936092"/>
    <w:rsid w:val="00950B1F"/>
    <w:rsid w:val="009530B1"/>
    <w:rsid w:val="009538CF"/>
    <w:rsid w:val="009568B9"/>
    <w:rsid w:val="009616DF"/>
    <w:rsid w:val="00964F84"/>
    <w:rsid w:val="0096514E"/>
    <w:rsid w:val="0096528F"/>
    <w:rsid w:val="00965661"/>
    <w:rsid w:val="00971B34"/>
    <w:rsid w:val="009763AB"/>
    <w:rsid w:val="0098496B"/>
    <w:rsid w:val="00990EDF"/>
    <w:rsid w:val="00991881"/>
    <w:rsid w:val="00993C8E"/>
    <w:rsid w:val="009A0DD1"/>
    <w:rsid w:val="009A0F29"/>
    <w:rsid w:val="009A25A1"/>
    <w:rsid w:val="009A58FE"/>
    <w:rsid w:val="009A7587"/>
    <w:rsid w:val="009B7DBD"/>
    <w:rsid w:val="009D0970"/>
    <w:rsid w:val="009D0EF7"/>
    <w:rsid w:val="009D3051"/>
    <w:rsid w:val="009D6559"/>
    <w:rsid w:val="009E175D"/>
    <w:rsid w:val="009E392B"/>
    <w:rsid w:val="009E4C7B"/>
    <w:rsid w:val="009E5B0F"/>
    <w:rsid w:val="009E7CC7"/>
    <w:rsid w:val="00A03BC2"/>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5202"/>
    <w:rsid w:val="00A45F95"/>
    <w:rsid w:val="00A46F78"/>
    <w:rsid w:val="00A50834"/>
    <w:rsid w:val="00A53808"/>
    <w:rsid w:val="00A6118B"/>
    <w:rsid w:val="00A6365C"/>
    <w:rsid w:val="00A76DCE"/>
    <w:rsid w:val="00A7746C"/>
    <w:rsid w:val="00A776D0"/>
    <w:rsid w:val="00A80DD2"/>
    <w:rsid w:val="00A81F92"/>
    <w:rsid w:val="00A833B4"/>
    <w:rsid w:val="00A916F1"/>
    <w:rsid w:val="00A925EC"/>
    <w:rsid w:val="00A94C05"/>
    <w:rsid w:val="00A9508D"/>
    <w:rsid w:val="00A95BEF"/>
    <w:rsid w:val="00AA0673"/>
    <w:rsid w:val="00AA4961"/>
    <w:rsid w:val="00AC279B"/>
    <w:rsid w:val="00AC3139"/>
    <w:rsid w:val="00AC710E"/>
    <w:rsid w:val="00AD55EA"/>
    <w:rsid w:val="00AD67B0"/>
    <w:rsid w:val="00AE0E74"/>
    <w:rsid w:val="00AE2104"/>
    <w:rsid w:val="00AE46CD"/>
    <w:rsid w:val="00AF113B"/>
    <w:rsid w:val="00AF1E12"/>
    <w:rsid w:val="00AF2EE7"/>
    <w:rsid w:val="00AF337E"/>
    <w:rsid w:val="00AF3FDB"/>
    <w:rsid w:val="00AF4C76"/>
    <w:rsid w:val="00AF6BF7"/>
    <w:rsid w:val="00AF7BB4"/>
    <w:rsid w:val="00B018AB"/>
    <w:rsid w:val="00B023A1"/>
    <w:rsid w:val="00B0265B"/>
    <w:rsid w:val="00B042A2"/>
    <w:rsid w:val="00B04D22"/>
    <w:rsid w:val="00B10664"/>
    <w:rsid w:val="00B17BCA"/>
    <w:rsid w:val="00B2209F"/>
    <w:rsid w:val="00B2231E"/>
    <w:rsid w:val="00B25AC8"/>
    <w:rsid w:val="00B27A5C"/>
    <w:rsid w:val="00B31014"/>
    <w:rsid w:val="00B343CC"/>
    <w:rsid w:val="00B3453B"/>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A3A96"/>
    <w:rsid w:val="00BA7675"/>
    <w:rsid w:val="00BB0AC8"/>
    <w:rsid w:val="00BB1011"/>
    <w:rsid w:val="00BB18BB"/>
    <w:rsid w:val="00BB1D2E"/>
    <w:rsid w:val="00BB2406"/>
    <w:rsid w:val="00BB548E"/>
    <w:rsid w:val="00BB6464"/>
    <w:rsid w:val="00BC1E0A"/>
    <w:rsid w:val="00BC6955"/>
    <w:rsid w:val="00BC73CC"/>
    <w:rsid w:val="00BD0141"/>
    <w:rsid w:val="00BD03DA"/>
    <w:rsid w:val="00BD14CE"/>
    <w:rsid w:val="00BD1B28"/>
    <w:rsid w:val="00BD1F84"/>
    <w:rsid w:val="00BE57AE"/>
    <w:rsid w:val="00BE5EDF"/>
    <w:rsid w:val="00BF5EB6"/>
    <w:rsid w:val="00C04B87"/>
    <w:rsid w:val="00C0562F"/>
    <w:rsid w:val="00C05DEC"/>
    <w:rsid w:val="00C11249"/>
    <w:rsid w:val="00C13505"/>
    <w:rsid w:val="00C21F80"/>
    <w:rsid w:val="00C35E66"/>
    <w:rsid w:val="00C40DBF"/>
    <w:rsid w:val="00C418E7"/>
    <w:rsid w:val="00C42979"/>
    <w:rsid w:val="00C4303C"/>
    <w:rsid w:val="00C43455"/>
    <w:rsid w:val="00C46B69"/>
    <w:rsid w:val="00C470A9"/>
    <w:rsid w:val="00C533F3"/>
    <w:rsid w:val="00C54170"/>
    <w:rsid w:val="00C62099"/>
    <w:rsid w:val="00C66231"/>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336"/>
    <w:rsid w:val="00CD4A6E"/>
    <w:rsid w:val="00CE6BAD"/>
    <w:rsid w:val="00D019B6"/>
    <w:rsid w:val="00D025CC"/>
    <w:rsid w:val="00D118D0"/>
    <w:rsid w:val="00D12B4B"/>
    <w:rsid w:val="00D1341E"/>
    <w:rsid w:val="00D168C1"/>
    <w:rsid w:val="00D211FA"/>
    <w:rsid w:val="00D23DDD"/>
    <w:rsid w:val="00D248DD"/>
    <w:rsid w:val="00D31094"/>
    <w:rsid w:val="00D32AE6"/>
    <w:rsid w:val="00D33731"/>
    <w:rsid w:val="00D37110"/>
    <w:rsid w:val="00D440C7"/>
    <w:rsid w:val="00D458CA"/>
    <w:rsid w:val="00D50356"/>
    <w:rsid w:val="00D60A3D"/>
    <w:rsid w:val="00D67441"/>
    <w:rsid w:val="00D750FA"/>
    <w:rsid w:val="00D77D62"/>
    <w:rsid w:val="00D810CD"/>
    <w:rsid w:val="00D82806"/>
    <w:rsid w:val="00D82C7D"/>
    <w:rsid w:val="00D92457"/>
    <w:rsid w:val="00D92A16"/>
    <w:rsid w:val="00D95499"/>
    <w:rsid w:val="00D975C0"/>
    <w:rsid w:val="00DA0997"/>
    <w:rsid w:val="00DA3ACE"/>
    <w:rsid w:val="00DB08B4"/>
    <w:rsid w:val="00DB152C"/>
    <w:rsid w:val="00DC24DD"/>
    <w:rsid w:val="00DC2D9A"/>
    <w:rsid w:val="00DC42E6"/>
    <w:rsid w:val="00DC5DD9"/>
    <w:rsid w:val="00DD090F"/>
    <w:rsid w:val="00DD15B8"/>
    <w:rsid w:val="00DD2A20"/>
    <w:rsid w:val="00DD36D1"/>
    <w:rsid w:val="00DD4952"/>
    <w:rsid w:val="00DD5446"/>
    <w:rsid w:val="00DF0487"/>
    <w:rsid w:val="00DF1E6E"/>
    <w:rsid w:val="00DF2E69"/>
    <w:rsid w:val="00DF43E8"/>
    <w:rsid w:val="00E0047C"/>
    <w:rsid w:val="00E04EE5"/>
    <w:rsid w:val="00E06EB2"/>
    <w:rsid w:val="00E125A0"/>
    <w:rsid w:val="00E15DAF"/>
    <w:rsid w:val="00E218F2"/>
    <w:rsid w:val="00E254B0"/>
    <w:rsid w:val="00E26295"/>
    <w:rsid w:val="00E2785C"/>
    <w:rsid w:val="00E33EE4"/>
    <w:rsid w:val="00E34EE3"/>
    <w:rsid w:val="00E36A00"/>
    <w:rsid w:val="00E42353"/>
    <w:rsid w:val="00E42488"/>
    <w:rsid w:val="00E5369B"/>
    <w:rsid w:val="00E566A9"/>
    <w:rsid w:val="00E6045E"/>
    <w:rsid w:val="00E61144"/>
    <w:rsid w:val="00E62BAF"/>
    <w:rsid w:val="00E74939"/>
    <w:rsid w:val="00E76D70"/>
    <w:rsid w:val="00E814C1"/>
    <w:rsid w:val="00E839C9"/>
    <w:rsid w:val="00E910F9"/>
    <w:rsid w:val="00EA2B27"/>
    <w:rsid w:val="00EA3B1A"/>
    <w:rsid w:val="00EA3D0F"/>
    <w:rsid w:val="00EA522A"/>
    <w:rsid w:val="00EB0889"/>
    <w:rsid w:val="00EB59A5"/>
    <w:rsid w:val="00EB67DE"/>
    <w:rsid w:val="00EB68DC"/>
    <w:rsid w:val="00EB79D1"/>
    <w:rsid w:val="00EC27F5"/>
    <w:rsid w:val="00EC30C1"/>
    <w:rsid w:val="00EC48C4"/>
    <w:rsid w:val="00EC59E3"/>
    <w:rsid w:val="00ED081D"/>
    <w:rsid w:val="00ED2A9D"/>
    <w:rsid w:val="00ED5D0D"/>
    <w:rsid w:val="00ED744E"/>
    <w:rsid w:val="00EE3AC1"/>
    <w:rsid w:val="00EE4419"/>
    <w:rsid w:val="00EF31EE"/>
    <w:rsid w:val="00EF5D60"/>
    <w:rsid w:val="00EF61D4"/>
    <w:rsid w:val="00F0057C"/>
    <w:rsid w:val="00F0343D"/>
    <w:rsid w:val="00F04113"/>
    <w:rsid w:val="00F04768"/>
    <w:rsid w:val="00F07F40"/>
    <w:rsid w:val="00F32A67"/>
    <w:rsid w:val="00F44C03"/>
    <w:rsid w:val="00F525E6"/>
    <w:rsid w:val="00F53032"/>
    <w:rsid w:val="00F5344D"/>
    <w:rsid w:val="00F53607"/>
    <w:rsid w:val="00F56C92"/>
    <w:rsid w:val="00F57D11"/>
    <w:rsid w:val="00F60011"/>
    <w:rsid w:val="00F6492F"/>
    <w:rsid w:val="00F64EC8"/>
    <w:rsid w:val="00F76412"/>
    <w:rsid w:val="00F8007B"/>
    <w:rsid w:val="00F85BC6"/>
    <w:rsid w:val="00F922E3"/>
    <w:rsid w:val="00F95EE0"/>
    <w:rsid w:val="00F967DC"/>
    <w:rsid w:val="00FA19E4"/>
    <w:rsid w:val="00FA2EAB"/>
    <w:rsid w:val="00FA6D3D"/>
    <w:rsid w:val="00FB3109"/>
    <w:rsid w:val="00FB5006"/>
    <w:rsid w:val="00FB542F"/>
    <w:rsid w:val="00FB5692"/>
    <w:rsid w:val="00FC27B0"/>
    <w:rsid w:val="00FC5A80"/>
    <w:rsid w:val="00FC6C12"/>
    <w:rsid w:val="00FD77DB"/>
    <w:rsid w:val="00FD79D4"/>
    <w:rsid w:val="00FE26F3"/>
    <w:rsid w:val="00FE54E4"/>
    <w:rsid w:val="00FE6996"/>
    <w:rsid w:val="00FF25E5"/>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2BAD"/>
  <w15:docId w15:val="{5909DB89-8523-43BD-B7BA-CD78E70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uiPriority w:val="1"/>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3401B"/>
    <w:pPr>
      <w:keepNext/>
      <w:keepLines/>
      <w:numPr>
        <w:ilvl w:val="1"/>
        <w:numId w:val="1"/>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3401B"/>
    <w:pPr>
      <w:keepNext/>
      <w:keepLines/>
      <w:numPr>
        <w:ilvl w:val="2"/>
        <w:numId w:val="1"/>
      </w:numPr>
      <w:spacing w:before="240"/>
      <w:outlineLvl w:val="2"/>
    </w:pPr>
    <w:rPr>
      <w:rFonts w:cs="Arial"/>
      <w:b/>
      <w:bCs/>
      <w:sz w:val="24"/>
      <w:szCs w:val="26"/>
    </w:rPr>
  </w:style>
  <w:style w:type="paragraph" w:styleId="Heading4">
    <w:name w:val="heading 4"/>
    <w:basedOn w:val="Normal"/>
    <w:next w:val="Normal"/>
    <w:link w:val="Heading4Char"/>
    <w:uiPriority w:val="1"/>
    <w:qFormat/>
    <w:rsid w:val="0093401B"/>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401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98496B"/>
    <w:pPr>
      <w:tabs>
        <w:tab w:val="left" w:pos="1134"/>
        <w:tab w:val="right" w:leader="dot" w:pos="9639"/>
      </w:tabs>
      <w:spacing w:after="60"/>
      <w:ind w:left="1701" w:hanging="1134"/>
      <w:contextualSpacing/>
    </w:pPr>
    <w:rPr>
      <w:rFonts w:eastAsiaTheme="minorEastAsia" w:cs="Arial"/>
      <w:noProof/>
      <w:lang w:eastAsia="en-AU"/>
    </w:rPr>
  </w:style>
  <w:style w:type="paragraph" w:styleId="TOC1">
    <w:name w:val="toc 1"/>
    <w:basedOn w:val="Normal"/>
    <w:next w:val="Normal"/>
    <w:uiPriority w:val="39"/>
    <w:rsid w:val="0098496B"/>
    <w:pPr>
      <w:tabs>
        <w:tab w:val="left" w:pos="567"/>
        <w:tab w:val="right" w:leader="dot" w:pos="9639"/>
      </w:tabs>
      <w:spacing w:before="120" w:after="60"/>
      <w:ind w:left="567" w:hanging="567"/>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aliases w:val="TD Table"/>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spacing w:after="120"/>
    </w:pPr>
  </w:style>
  <w:style w:type="paragraph" w:styleId="ListBullet">
    <w:name w:val="List Bullet"/>
    <w:basedOn w:val="Normal"/>
    <w:uiPriority w:val="99"/>
    <w:rsid w:val="00950B1F"/>
    <w:pPr>
      <w:spacing w:after="120"/>
    </w:pPr>
  </w:style>
  <w:style w:type="paragraph" w:styleId="ListBullet3">
    <w:name w:val="List Bullet 3"/>
    <w:basedOn w:val="Normal"/>
    <w:uiPriority w:val="99"/>
    <w:rsid w:val="00950B1F"/>
    <w:p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spacing w:after="120"/>
    </w:pPr>
  </w:style>
  <w:style w:type="paragraph" w:styleId="ListBullet5">
    <w:name w:val="List Bullet 5"/>
    <w:basedOn w:val="Normal"/>
    <w:uiPriority w:val="99"/>
    <w:rsid w:val="00950B1F"/>
  </w:style>
  <w:style w:type="paragraph" w:styleId="ListNumber">
    <w:name w:val="List Number"/>
    <w:basedOn w:val="Normal"/>
    <w:uiPriority w:val="99"/>
    <w:qFormat/>
    <w:rsid w:val="00950B1F"/>
    <w:pPr>
      <w:numPr>
        <w:numId w:val="9"/>
      </w:numPr>
      <w:spacing w:after="120"/>
    </w:pPr>
  </w:style>
  <w:style w:type="paragraph" w:styleId="ListNumber2">
    <w:name w:val="List Number 2"/>
    <w:basedOn w:val="Normal"/>
    <w:uiPriority w:val="99"/>
    <w:rsid w:val="00950B1F"/>
    <w:pPr>
      <w:numPr>
        <w:ilvl w:val="1"/>
        <w:numId w:val="9"/>
      </w:numPr>
      <w:spacing w:after="120"/>
    </w:pPr>
  </w:style>
  <w:style w:type="paragraph" w:styleId="ListNumber3">
    <w:name w:val="List Number 3"/>
    <w:basedOn w:val="Normal"/>
    <w:uiPriority w:val="99"/>
    <w:rsid w:val="00950B1F"/>
    <w:pPr>
      <w:numPr>
        <w:ilvl w:val="2"/>
        <w:numId w:val="9"/>
      </w:numPr>
      <w:spacing w:after="120"/>
    </w:pPr>
  </w:style>
  <w:style w:type="paragraph" w:styleId="ListNumber4">
    <w:name w:val="List Number 4"/>
    <w:basedOn w:val="Normal"/>
    <w:uiPriority w:val="99"/>
    <w:rsid w:val="00950B1F"/>
    <w:pPr>
      <w:numPr>
        <w:ilvl w:val="3"/>
        <w:numId w:val="9"/>
      </w:numPr>
      <w:spacing w:after="120"/>
    </w:pPr>
  </w:style>
  <w:style w:type="paragraph" w:styleId="ListNumber5">
    <w:name w:val="List Number 5"/>
    <w:basedOn w:val="Normal"/>
    <w:uiPriority w:val="99"/>
    <w:rsid w:val="00950B1F"/>
    <w:pPr>
      <w:numPr>
        <w:ilvl w:val="4"/>
        <w:numId w:val="9"/>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44"/>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character" w:styleId="CommentReference">
    <w:name w:val="annotation reference"/>
    <w:basedOn w:val="DefaultParagraphFont"/>
    <w:uiPriority w:val="99"/>
    <w:semiHidden/>
    <w:unhideWhenUsed/>
    <w:rsid w:val="007F0E9F"/>
    <w:rPr>
      <w:sz w:val="16"/>
      <w:szCs w:val="16"/>
    </w:rPr>
  </w:style>
  <w:style w:type="paragraph" w:styleId="CommentText">
    <w:name w:val="annotation text"/>
    <w:basedOn w:val="Normal"/>
    <w:link w:val="CommentTextChar"/>
    <w:uiPriority w:val="99"/>
    <w:semiHidden/>
    <w:unhideWhenUsed/>
    <w:rsid w:val="007F0E9F"/>
    <w:rPr>
      <w:sz w:val="20"/>
      <w:szCs w:val="20"/>
    </w:rPr>
  </w:style>
  <w:style w:type="character" w:customStyle="1" w:styleId="CommentTextChar">
    <w:name w:val="Comment Text Char"/>
    <w:basedOn w:val="DefaultParagraphFont"/>
    <w:link w:val="CommentText"/>
    <w:uiPriority w:val="99"/>
    <w:semiHidden/>
    <w:rsid w:val="007F0E9F"/>
    <w:rPr>
      <w:sz w:val="20"/>
      <w:szCs w:val="20"/>
    </w:rPr>
  </w:style>
  <w:style w:type="paragraph" w:styleId="CommentSubject">
    <w:name w:val="annotation subject"/>
    <w:basedOn w:val="CommentText"/>
    <w:next w:val="CommentText"/>
    <w:link w:val="CommentSubjectChar"/>
    <w:uiPriority w:val="99"/>
    <w:semiHidden/>
    <w:unhideWhenUsed/>
    <w:rsid w:val="007F0E9F"/>
    <w:rPr>
      <w:b/>
      <w:bCs/>
    </w:rPr>
  </w:style>
  <w:style w:type="character" w:customStyle="1" w:styleId="CommentSubjectChar">
    <w:name w:val="Comment Subject Char"/>
    <w:basedOn w:val="CommentTextChar"/>
    <w:link w:val="CommentSubject"/>
    <w:uiPriority w:val="99"/>
    <w:semiHidden/>
    <w:rsid w:val="007F0E9F"/>
    <w:rPr>
      <w:b/>
      <w:bCs/>
      <w:sz w:val="20"/>
      <w:szCs w:val="20"/>
    </w:rPr>
  </w:style>
  <w:style w:type="character" w:customStyle="1" w:styleId="DTFItalic">
    <w:name w:val="DTF Italic"/>
    <w:uiPriority w:val="1"/>
    <w:qFormat/>
    <w:rsid w:val="006B09A6"/>
    <w:rPr>
      <w:i/>
    </w:rPr>
  </w:style>
  <w:style w:type="character" w:customStyle="1" w:styleId="DTFStrong">
    <w:name w:val="DTF Strong"/>
    <w:uiPriority w:val="1"/>
    <w:qFormat/>
    <w:rsid w:val="006B09A6"/>
    <w:rPr>
      <w:b/>
    </w:rPr>
  </w:style>
  <w:style w:type="paragraph" w:customStyle="1" w:styleId="DTFTableText">
    <w:name w:val="DTF Table Text"/>
    <w:basedOn w:val="Normal"/>
    <w:qFormat/>
    <w:rsid w:val="006B09A6"/>
    <w:pPr>
      <w:tabs>
        <w:tab w:val="left" w:pos="709"/>
        <w:tab w:val="left" w:pos="1276"/>
        <w:tab w:val="left" w:pos="4536"/>
      </w:tabs>
      <w:spacing w:after="0"/>
    </w:pPr>
    <w:rPr>
      <w:rFonts w:eastAsia="Times New Roman" w:cs="Arial"/>
      <w:szCs w:val="20"/>
      <w:lang w:eastAsia="en-AU"/>
    </w:rPr>
  </w:style>
  <w:style w:type="character" w:styleId="FollowedHyperlink">
    <w:name w:val="FollowedHyperlink"/>
    <w:basedOn w:val="DefaultParagraphFont"/>
    <w:uiPriority w:val="99"/>
    <w:semiHidden/>
    <w:unhideWhenUsed/>
    <w:rsid w:val="00083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agnt.dcm@nt.gov.au"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dtf.intergovrelations@nt.gov.au" TargetMode="Externa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nao.gov.au/work/corporate/guide-to-conducting-performance-aud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federalfinancialrelations.gov.au/guide-drafting-new-agre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i\AppData\Local\Temp\Temp3_policy-template_24.zip\policy-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0D1BAA44D491D867B4972AD6582D6"/>
        <w:category>
          <w:name w:val="General"/>
          <w:gallery w:val="placeholder"/>
        </w:category>
        <w:types>
          <w:type w:val="bbPlcHdr"/>
        </w:types>
        <w:behaviors>
          <w:behavior w:val="content"/>
        </w:behaviors>
        <w:guid w:val="{70C28DD3-592B-46A4-9E44-36B1CEAF8FB3}"/>
      </w:docPartPr>
      <w:docPartBody>
        <w:p w:rsidR="00B4727A" w:rsidRDefault="00B4727A">
          <w:pPr>
            <w:pStyle w:val="54A0D1BAA44D491D867B4972AD6582D6"/>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7A"/>
    <w:rsid w:val="000256D8"/>
    <w:rsid w:val="00082D0A"/>
    <w:rsid w:val="002120B8"/>
    <w:rsid w:val="00293C1F"/>
    <w:rsid w:val="00293F8B"/>
    <w:rsid w:val="002E59AB"/>
    <w:rsid w:val="002E62BF"/>
    <w:rsid w:val="00535E21"/>
    <w:rsid w:val="006576A9"/>
    <w:rsid w:val="0067579F"/>
    <w:rsid w:val="00756044"/>
    <w:rsid w:val="007E7EA4"/>
    <w:rsid w:val="00837412"/>
    <w:rsid w:val="00861341"/>
    <w:rsid w:val="008D60D1"/>
    <w:rsid w:val="00AD41CC"/>
    <w:rsid w:val="00B4727A"/>
    <w:rsid w:val="00CD575E"/>
    <w:rsid w:val="00DA2A79"/>
    <w:rsid w:val="00E4308D"/>
    <w:rsid w:val="00F4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A0D1BAA44D491D867B4972AD6582D6">
    <w:name w:val="54A0D1BAA44D491D867B4972AD6582D6"/>
  </w:style>
  <w:style w:type="paragraph" w:customStyle="1" w:styleId="6A4F564640B74CE9BD1DA32F66398C50">
    <w:name w:val="6A4F564640B74CE9BD1DA32F66398C50"/>
    <w:rsid w:val="007E7EA4"/>
  </w:style>
  <w:style w:type="paragraph" w:customStyle="1" w:styleId="36EBD9F553CC4EAD8DE86E42C32EC0B9">
    <w:name w:val="36EBD9F553CC4EAD8DE86E42C32EC0B9"/>
    <w:rsid w:val="007E7EA4"/>
  </w:style>
  <w:style w:type="paragraph" w:customStyle="1" w:styleId="4E978DAE32AC44AF934AAA21FD90ABF2">
    <w:name w:val="4E978DAE32AC44AF934AAA21FD90ABF2"/>
    <w:rsid w:val="007E7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2139-4F92-4587-BDE4-CCAF6A9C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policy-template.dotm</Template>
  <TotalTime>0</TotalTime>
  <Pages>17</Pages>
  <Words>5044</Words>
  <Characters>29260</Characters>
  <Application>Microsoft Office Word</Application>
  <DocSecurity>0</DocSecurity>
  <Lines>696</Lines>
  <Paragraphs>413</Paragraphs>
  <ScaleCrop>false</ScaleCrop>
  <HeadingPairs>
    <vt:vector size="2" baseType="variant">
      <vt:variant>
        <vt:lpstr>Title</vt:lpstr>
      </vt:variant>
      <vt:variant>
        <vt:i4>1</vt:i4>
      </vt:variant>
    </vt:vector>
  </HeadingPairs>
  <TitlesOfParts>
    <vt:vector size="1" baseType="lpstr">
      <vt:lpstr>Guidance document – Commonwealth funding agreements</vt:lpstr>
    </vt:vector>
  </TitlesOfParts>
  <Company>Northern Territory Government</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 Commonwealth funding agreements</dc:title>
  <dc:subject/>
  <dc:creator>Donna Moore</dc:creator>
  <cp:keywords/>
  <dc:description/>
  <cp:lastModifiedBy>Shanya Bandara</cp:lastModifiedBy>
  <cp:revision>2</cp:revision>
  <cp:lastPrinted>2018-11-21T01:43:00Z</cp:lastPrinted>
  <dcterms:created xsi:type="dcterms:W3CDTF">2022-12-22T04:28:00Z</dcterms:created>
  <dcterms:modified xsi:type="dcterms:W3CDTF">2022-12-22T04:28:00Z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7 December 2018</vt:lpwstr>
  </property>
  <property fmtid="{D5CDD505-2E9C-101B-9397-08002B2CF9AE}" pid="3" name="VersionNo">
    <vt:lpwstr>1.0</vt:lpwstr>
  </property>
  <property fmtid="{D5CDD505-2E9C-101B-9397-08002B2CF9AE}" pid="4" name="DocumentAuthor">
    <vt:lpwstr>DTF Financial Policy</vt:lpwstr>
  </property>
  <property fmtid="{D5CDD505-2E9C-101B-9397-08002B2CF9AE}" pid="5" name="DepartmentName">
    <vt:lpwstr>Treasury and Finance</vt:lpwstr>
  </property>
  <property fmtid="{D5CDD505-2E9C-101B-9397-08002B2CF9AE}" pid="6" name="DepartmentOf">
    <vt:lpwstr>Department of </vt:lpwstr>
  </property>
</Properties>
</file>