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20AA" w14:textId="77777777" w:rsidR="00B14257" w:rsidRDefault="00B2229C" w:rsidP="00B2229C">
      <w:pPr>
        <w:pStyle w:val="Heading1"/>
        <w:spacing w:before="0"/>
      </w:pPr>
      <w:r>
        <w:t>Treasurer’s Directions (mandatory)</w:t>
      </w:r>
    </w:p>
    <w:tbl>
      <w:tblPr>
        <w:tblStyle w:val="NTGtable"/>
        <w:tblW w:w="10343" w:type="dxa"/>
        <w:tblLook w:val="04A0" w:firstRow="1" w:lastRow="0" w:firstColumn="1" w:lastColumn="0" w:noHBand="0" w:noVBand="1"/>
        <w:tblDescription w:val="Details about this Treasurer's Direction."/>
      </w:tblPr>
      <w:tblGrid>
        <w:gridCol w:w="1980"/>
        <w:gridCol w:w="8363"/>
      </w:tblGrid>
      <w:tr w:rsidR="00B2229C" w:rsidRPr="00D133F4" w14:paraId="44E73CF7" w14:textId="77777777" w:rsidTr="0087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7EABEA14" w14:textId="77777777" w:rsidR="00B2229C" w:rsidRPr="00343C61" w:rsidRDefault="00B2229C" w:rsidP="00B2229C">
            <w:pPr>
              <w:rPr>
                <w:bCs/>
              </w:rPr>
            </w:pPr>
            <w:r w:rsidRPr="00D133F4">
              <w:rPr>
                <w:bCs/>
              </w:rPr>
              <w:t>Purpose</w:t>
            </w:r>
          </w:p>
        </w:tc>
        <w:tc>
          <w:tcPr>
            <w:tcW w:w="8363" w:type="dxa"/>
            <w:shd w:val="clear" w:color="auto" w:fill="auto"/>
          </w:tcPr>
          <w:p w14:paraId="243FF6AE" w14:textId="7E26B5CE" w:rsidR="00B2229C" w:rsidRPr="00C34D02" w:rsidRDefault="0030372D" w:rsidP="00B22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4D02">
              <w:rPr>
                <w:b w:val="0"/>
                <w:bCs/>
              </w:rPr>
              <w:t>To detail the eligibility criteria and process for seeking a Treasurer’s Advance including the reporting obligations of an agency</w:t>
            </w:r>
          </w:p>
        </w:tc>
      </w:tr>
      <w:tr w:rsidR="0030372D" w:rsidRPr="00D133F4" w14:paraId="6CFFF4CE" w14:textId="77777777" w:rsidTr="00B2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761A9BB4" w14:textId="77777777" w:rsidR="0030372D" w:rsidRPr="00343C61" w:rsidRDefault="0030372D" w:rsidP="0030372D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Last reviewed</w:t>
            </w:r>
          </w:p>
        </w:tc>
        <w:tc>
          <w:tcPr>
            <w:tcW w:w="8363" w:type="dxa"/>
          </w:tcPr>
          <w:p w14:paraId="75D44FA2" w14:textId="37E6E34B" w:rsidR="0030372D" w:rsidRPr="00D133F4" w:rsidRDefault="0030372D" w:rsidP="00303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0AA">
              <w:t xml:space="preserve">Not applicable </w:t>
            </w:r>
          </w:p>
        </w:tc>
      </w:tr>
      <w:tr w:rsidR="0030372D" w:rsidRPr="00D133F4" w14:paraId="3B7D6971" w14:textId="77777777" w:rsidTr="00B22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325F85E3" w14:textId="77777777" w:rsidR="0030372D" w:rsidRPr="00343C61" w:rsidRDefault="0030372D" w:rsidP="0030372D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Operative date</w:t>
            </w:r>
          </w:p>
        </w:tc>
        <w:tc>
          <w:tcPr>
            <w:tcW w:w="8363" w:type="dxa"/>
            <w:shd w:val="clear" w:color="auto" w:fill="auto"/>
          </w:tcPr>
          <w:p w14:paraId="15A02378" w14:textId="356039EC" w:rsidR="0030372D" w:rsidRPr="00D133F4" w:rsidRDefault="00BB7ABB" w:rsidP="00303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March 2021</w:t>
            </w:r>
          </w:p>
        </w:tc>
      </w:tr>
      <w:tr w:rsidR="0030372D" w:rsidRPr="00D133F4" w14:paraId="1A2F46B4" w14:textId="77777777" w:rsidTr="00EB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5542EC64" w14:textId="77777777" w:rsidR="0030372D" w:rsidRPr="00343C61" w:rsidRDefault="0030372D" w:rsidP="0030372D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References</w:t>
            </w:r>
          </w:p>
        </w:tc>
        <w:tc>
          <w:tcPr>
            <w:tcW w:w="8363" w:type="dxa"/>
          </w:tcPr>
          <w:p w14:paraId="59313ED0" w14:textId="77777777" w:rsidR="0030372D" w:rsidRPr="00E711F0" w:rsidRDefault="0030372D" w:rsidP="0030372D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E711F0">
              <w:rPr>
                <w:rFonts w:ascii="Lato" w:hAnsi="Lato"/>
                <w:i/>
              </w:rPr>
              <w:t>Financial Management Act 1995</w:t>
            </w:r>
          </w:p>
          <w:p w14:paraId="5143990A" w14:textId="77777777" w:rsidR="0030372D" w:rsidRPr="00E711F0" w:rsidRDefault="0030372D" w:rsidP="0030372D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E711F0">
              <w:rPr>
                <w:rFonts w:ascii="Lato" w:hAnsi="Lato"/>
                <w:i/>
              </w:rPr>
              <w:t>Fiscal Integrity Transparency Act 2001</w:t>
            </w:r>
          </w:p>
          <w:p w14:paraId="6CB053D8" w14:textId="56A83709" w:rsidR="0030372D" w:rsidRPr="00B146E0" w:rsidRDefault="0030372D" w:rsidP="0030372D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B146E0">
              <w:rPr>
                <w:rFonts w:ascii="Lato" w:hAnsi="Lato"/>
              </w:rPr>
              <w:t>Tre</w:t>
            </w:r>
            <w:r w:rsidR="00BB7ABB">
              <w:rPr>
                <w:rFonts w:ascii="Lato" w:hAnsi="Lato"/>
              </w:rPr>
              <w:t>asurer’s Direction – Carryovers</w:t>
            </w:r>
          </w:p>
          <w:p w14:paraId="438D7184" w14:textId="77777777" w:rsidR="0030372D" w:rsidRPr="00B146E0" w:rsidRDefault="0030372D" w:rsidP="0030372D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B146E0">
              <w:rPr>
                <w:rFonts w:ascii="Lato" w:hAnsi="Lato"/>
              </w:rPr>
              <w:t>Treasurer’s Direction – Disaster recovery funding arrangements</w:t>
            </w:r>
          </w:p>
          <w:p w14:paraId="2448AC19" w14:textId="77777777" w:rsidR="0030372D" w:rsidRPr="000C30AA" w:rsidRDefault="0030372D" w:rsidP="0030372D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6E0">
              <w:rPr>
                <w:rFonts w:ascii="Lato" w:hAnsi="Lato"/>
              </w:rPr>
              <w:t>Guidance document – Treasurer’s Advance (</w:t>
            </w:r>
            <w:r w:rsidRPr="00B146E0">
              <w:rPr>
                <w:rFonts w:ascii="Lato" w:hAnsi="Lato"/>
                <w:b/>
              </w:rPr>
              <w:t>recommended to be read in conjunction with this Treasurer’s Direction</w:t>
            </w:r>
            <w:r w:rsidRPr="00B146E0">
              <w:rPr>
                <w:rFonts w:ascii="Lato" w:hAnsi="Lato"/>
              </w:rPr>
              <w:t>)</w:t>
            </w:r>
          </w:p>
          <w:p w14:paraId="08435562" w14:textId="568576F3" w:rsidR="0030372D" w:rsidRPr="00EB1FFC" w:rsidRDefault="0030372D" w:rsidP="0030372D">
            <w:pPr>
              <w:pStyle w:val="NTGTableBulletList1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</w:p>
        </w:tc>
      </w:tr>
    </w:tbl>
    <w:p w14:paraId="56EC6389" w14:textId="77777777" w:rsidR="0030372D" w:rsidRPr="000C30AA" w:rsidRDefault="0030372D" w:rsidP="0030372D">
      <w:pPr>
        <w:pStyle w:val="Heading1"/>
        <w:tabs>
          <w:tab w:val="left" w:pos="3465"/>
        </w:tabs>
        <w:spacing w:line="276" w:lineRule="auto"/>
        <w:ind w:left="432" w:hanging="432"/>
      </w:pPr>
      <w:r w:rsidRPr="000C30AA">
        <w:t>Scope</w:t>
      </w:r>
      <w:r w:rsidRPr="000C30AA">
        <w:tab/>
      </w:r>
    </w:p>
    <w:p w14:paraId="45B3516A" w14:textId="5491AD3B" w:rsidR="0030372D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 xml:space="preserve">This Treasurer’s Direction outlines the eligibility criteria and process for seeking Treasurer’s Advance. </w:t>
      </w:r>
    </w:p>
    <w:p w14:paraId="73AF9A74" w14:textId="3EB52F20" w:rsidR="00AC76ED" w:rsidRPr="000C30AA" w:rsidRDefault="00AC76ED" w:rsidP="00EC0239">
      <w:pPr>
        <w:pStyle w:val="ListNumber"/>
        <w:numPr>
          <w:ilvl w:val="0"/>
          <w:numId w:val="45"/>
        </w:numPr>
        <w:ind w:left="357" w:hanging="357"/>
      </w:pPr>
      <w:r>
        <w:t xml:space="preserve">This </w:t>
      </w:r>
      <w:r w:rsidRPr="000C30AA">
        <w:t>Treasurer’s Direction</w:t>
      </w:r>
      <w:r>
        <w:t xml:space="preserve"> is only applicable to agencies excluding government business divisions.</w:t>
      </w:r>
    </w:p>
    <w:p w14:paraId="0B4736C3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>Definition</w:t>
      </w:r>
    </w:p>
    <w:p w14:paraId="460C95DB" w14:textId="00D3591E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 xml:space="preserve">Treasurer’s Advance is an appropriation purpose of that name, as specified in the </w:t>
      </w:r>
      <w:r w:rsidRPr="00E711F0">
        <w:rPr>
          <w:i/>
        </w:rPr>
        <w:t>Appropriation Act</w:t>
      </w:r>
      <w:r w:rsidRPr="000C30AA">
        <w:t xml:space="preserve">, which provides a limited pool of funds in each budget to meet one-off unexpected </w:t>
      </w:r>
      <w:r w:rsidR="007C3FA3">
        <w:t>expenses</w:t>
      </w:r>
      <w:r w:rsidRPr="000C30AA">
        <w:t xml:space="preserve"> that arise during the financial year and are substantial enough to warrant additional appropriation.</w:t>
      </w:r>
    </w:p>
    <w:p w14:paraId="6BDDC32E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>Eligibility criteria for Treasurer’s Advance</w:t>
      </w:r>
    </w:p>
    <w:p w14:paraId="3595A6A2" w14:textId="6035D515" w:rsidR="0030372D" w:rsidRPr="00EC0239" w:rsidRDefault="0030372D" w:rsidP="00EC0239">
      <w:pPr>
        <w:pStyle w:val="ListNumber"/>
        <w:numPr>
          <w:ilvl w:val="0"/>
          <w:numId w:val="45"/>
        </w:numPr>
        <w:ind w:left="357" w:hanging="357"/>
      </w:pPr>
      <w:bookmarkStart w:id="0" w:name="_Ref66779212"/>
      <w:r w:rsidRPr="00EC0239">
        <w:t xml:space="preserve">Prior to submitting a request </w:t>
      </w:r>
      <w:r w:rsidR="005C5B6E" w:rsidRPr="00EC0239">
        <w:t>to access</w:t>
      </w:r>
      <w:r w:rsidRPr="00EC0239">
        <w:t xml:space="preserve"> Treasurer’s Advance, an </w:t>
      </w:r>
      <w:r w:rsidR="007C3FA3">
        <w:t>accountable officer</w:t>
      </w:r>
      <w:r w:rsidRPr="00EC0239">
        <w:t xml:space="preserve"> must:</w:t>
      </w:r>
      <w:bookmarkEnd w:id="0"/>
    </w:p>
    <w:p w14:paraId="79743C3C" w14:textId="1527EB89" w:rsidR="004E2313" w:rsidRPr="00EC0239" w:rsidRDefault="0030372D" w:rsidP="00EC0239">
      <w:pPr>
        <w:pStyle w:val="ListNumber"/>
        <w:numPr>
          <w:ilvl w:val="1"/>
          <w:numId w:val="45"/>
        </w:numPr>
        <w:ind w:left="851"/>
      </w:pPr>
      <w:r w:rsidRPr="00EC0239">
        <w:t xml:space="preserve">assess </w:t>
      </w:r>
      <w:r w:rsidR="007C3FA3">
        <w:t>expenses</w:t>
      </w:r>
      <w:r w:rsidRPr="00EC0239">
        <w:t xml:space="preserve"> or activity against the eligibility criteria outlined in paragraphs </w:t>
      </w:r>
      <w:r w:rsidR="00E91152">
        <w:fldChar w:fldCharType="begin"/>
      </w:r>
      <w:r w:rsidR="00E91152">
        <w:instrText xml:space="preserve"> REF _Ref66780075 \r \h </w:instrText>
      </w:r>
      <w:r w:rsidR="00E91152">
        <w:fldChar w:fldCharType="separate"/>
      </w:r>
      <w:r w:rsidR="00F25A28">
        <w:t>5</w:t>
      </w:r>
      <w:r w:rsidR="00E91152">
        <w:fldChar w:fldCharType="end"/>
      </w:r>
      <w:r w:rsidRPr="00EC0239">
        <w:t xml:space="preserve"> and </w:t>
      </w:r>
      <w:r w:rsidR="00E91152">
        <w:fldChar w:fldCharType="begin"/>
      </w:r>
      <w:r w:rsidR="00E91152">
        <w:instrText xml:space="preserve"> REF _Ref66780082 \r \h </w:instrText>
      </w:r>
      <w:r w:rsidR="00E91152">
        <w:fldChar w:fldCharType="separate"/>
      </w:r>
      <w:r w:rsidR="00F25A28">
        <w:t>6</w:t>
      </w:r>
      <w:r w:rsidR="00E91152">
        <w:fldChar w:fldCharType="end"/>
      </w:r>
    </w:p>
    <w:p w14:paraId="4926767C" w14:textId="5FB62D6A" w:rsidR="0030372D" w:rsidRPr="000C30AA" w:rsidRDefault="004E2313" w:rsidP="00EC0239">
      <w:pPr>
        <w:pStyle w:val="ListNumber"/>
        <w:numPr>
          <w:ilvl w:val="1"/>
          <w:numId w:val="45"/>
        </w:numPr>
        <w:ind w:left="851"/>
      </w:pPr>
      <w:r w:rsidRPr="00EC0239">
        <w:t xml:space="preserve">conduct an assessment to determine if </w:t>
      </w:r>
      <w:r w:rsidR="007C3FA3">
        <w:t>expenses</w:t>
      </w:r>
      <w:r w:rsidRPr="00EC0239">
        <w:t xml:space="preserve"> can be met from within existing resources.</w:t>
      </w:r>
    </w:p>
    <w:p w14:paraId="7C642779" w14:textId="6B9F2A94" w:rsidR="0030372D" w:rsidRPr="00EC0239" w:rsidRDefault="007C3FA3" w:rsidP="00EC0239">
      <w:pPr>
        <w:pStyle w:val="ListNumber"/>
        <w:numPr>
          <w:ilvl w:val="0"/>
          <w:numId w:val="45"/>
        </w:numPr>
        <w:ind w:left="357" w:hanging="357"/>
      </w:pPr>
      <w:bookmarkStart w:id="1" w:name="_Ref66780075"/>
      <w:r>
        <w:t>To be eligible for a Treasurer’s Advance, expenses must either be:</w:t>
      </w:r>
      <w:bookmarkEnd w:id="1"/>
    </w:p>
    <w:p w14:paraId="294B4226" w14:textId="77999EA2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 xml:space="preserve">extraordinary </w:t>
      </w:r>
      <w:r w:rsidR="007C3FA3">
        <w:t>and</w:t>
      </w:r>
      <w:r w:rsidRPr="000C30AA">
        <w:t xml:space="preserve"> one-off in nature </w:t>
      </w:r>
    </w:p>
    <w:p w14:paraId="47356294" w14:textId="2D786B26" w:rsidR="0030372D" w:rsidRPr="000C30AA" w:rsidRDefault="00BB7ABB" w:rsidP="007C3FA3">
      <w:pPr>
        <w:pStyle w:val="ListNumber"/>
        <w:numPr>
          <w:ilvl w:val="1"/>
          <w:numId w:val="45"/>
        </w:numPr>
        <w:ind w:left="851"/>
      </w:pPr>
      <w:r>
        <w:t xml:space="preserve">or </w:t>
      </w:r>
      <w:r w:rsidR="0030372D" w:rsidRPr="000C30AA">
        <w:t>a major unforeseen or natural disaster event (See Treasurer’s Direction – Disaster recovery funding arrangements)</w:t>
      </w:r>
      <w:r w:rsidR="00EC0239">
        <w:t>.</w:t>
      </w:r>
    </w:p>
    <w:p w14:paraId="66139923" w14:textId="1FAB780C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bookmarkStart w:id="2" w:name="_Ref66780082"/>
      <w:r w:rsidRPr="000C30AA">
        <w:t xml:space="preserve">Pursuant to paragraph </w:t>
      </w:r>
      <w:r w:rsidR="00E91152">
        <w:fldChar w:fldCharType="begin"/>
      </w:r>
      <w:r w:rsidR="00E91152">
        <w:instrText xml:space="preserve"> REF _Ref66780075 \r \h </w:instrText>
      </w:r>
      <w:r w:rsidR="00E91152">
        <w:fldChar w:fldCharType="separate"/>
      </w:r>
      <w:r w:rsidR="00F25A28">
        <w:t>5</w:t>
      </w:r>
      <w:r w:rsidR="00E91152">
        <w:fldChar w:fldCharType="end"/>
      </w:r>
      <w:r w:rsidRPr="000C30AA">
        <w:t xml:space="preserve">, expenses are not eligible for Treasurer’s Advance if they </w:t>
      </w:r>
      <w:r w:rsidR="007C3FA3">
        <w:t>are either</w:t>
      </w:r>
      <w:r w:rsidRPr="000C30AA">
        <w:t>:</w:t>
      </w:r>
      <w:bookmarkEnd w:id="2"/>
    </w:p>
    <w:p w14:paraId="18E6B799" w14:textId="6FED6BB2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recurr</w:t>
      </w:r>
      <w:r w:rsidR="00BB7ABB">
        <w:t>ing</w:t>
      </w:r>
      <w:r w:rsidRPr="000C30AA">
        <w:t xml:space="preserve"> or ongoing in nature</w:t>
      </w:r>
    </w:p>
    <w:p w14:paraId="661E20ED" w14:textId="18BE05FA" w:rsidR="0030372D" w:rsidRPr="000C30AA" w:rsidRDefault="007C3FA3" w:rsidP="00EC0239">
      <w:pPr>
        <w:pStyle w:val="ListNumber"/>
        <w:numPr>
          <w:ilvl w:val="1"/>
          <w:numId w:val="45"/>
        </w:numPr>
        <w:ind w:left="851"/>
      </w:pPr>
      <w:r>
        <w:t xml:space="preserve">or </w:t>
      </w:r>
      <w:r w:rsidR="0030372D" w:rsidRPr="000C30AA">
        <w:t>form part of the normal operations of the agency.</w:t>
      </w:r>
    </w:p>
    <w:p w14:paraId="2CE214B7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lastRenderedPageBreak/>
        <w:t xml:space="preserve">Seeking Treasurer’s Advance </w:t>
      </w:r>
    </w:p>
    <w:p w14:paraId="78418A8B" w14:textId="5B9ACABB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bookmarkStart w:id="3" w:name="_Ref66780721"/>
      <w:r w:rsidRPr="000C30AA">
        <w:t xml:space="preserve">An accountable officer may, through their portfolio minister, seek approval from the Treasurer for additional appropriation (Treasurer’s Advance) for the current financial year, where expenses meet </w:t>
      </w:r>
      <w:r w:rsidR="007C3FA3">
        <w:t xml:space="preserve">the </w:t>
      </w:r>
      <w:r w:rsidRPr="000C30AA">
        <w:t xml:space="preserve">eligibility criteria outlined in paragraph </w:t>
      </w:r>
      <w:r w:rsidR="00E91152">
        <w:fldChar w:fldCharType="begin"/>
      </w:r>
      <w:r w:rsidR="00E91152">
        <w:instrText xml:space="preserve"> REF _Ref66780075 \r \h </w:instrText>
      </w:r>
      <w:r w:rsidR="00E91152">
        <w:fldChar w:fldCharType="separate"/>
      </w:r>
      <w:r w:rsidR="00F25A28">
        <w:t>5</w:t>
      </w:r>
      <w:r w:rsidR="00E91152">
        <w:fldChar w:fldCharType="end"/>
      </w:r>
      <w:r w:rsidRPr="000C30AA">
        <w:t xml:space="preserve"> and where </w:t>
      </w:r>
      <w:r w:rsidR="007C3FA3">
        <w:t>expenses</w:t>
      </w:r>
      <w:r w:rsidRPr="000C30AA">
        <w:t xml:space="preserve"> are unable to be met from within existing resources.</w:t>
      </w:r>
      <w:bookmarkEnd w:id="3"/>
      <w:r w:rsidRPr="000C30AA">
        <w:t xml:space="preserve"> </w:t>
      </w:r>
    </w:p>
    <w:p w14:paraId="056CDD14" w14:textId="71A37BDA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Pursuant to paragraph</w:t>
      </w:r>
      <w:r w:rsidR="00F25A28">
        <w:t xml:space="preserve"> </w:t>
      </w:r>
      <w:r w:rsidR="00F25A28">
        <w:fldChar w:fldCharType="begin"/>
      </w:r>
      <w:r w:rsidR="00F25A28">
        <w:instrText xml:space="preserve"> REF _Ref66780721 \r \h </w:instrText>
      </w:r>
      <w:r w:rsidR="00F25A28">
        <w:fldChar w:fldCharType="separate"/>
      </w:r>
      <w:r w:rsidR="00F25A28">
        <w:t>7</w:t>
      </w:r>
      <w:r w:rsidR="00F25A28">
        <w:fldChar w:fldCharType="end"/>
      </w:r>
      <w:r w:rsidRPr="000C30AA">
        <w:t>, Treasurer’s Advance must be sought prior to 31 May, unless otherwise agreed with the Department of Treasury and Finance.</w:t>
      </w:r>
    </w:p>
    <w:p w14:paraId="3C69EF01" w14:textId="77777777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 xml:space="preserve">All requests for Treasurer’s Advance must, at a minimum, include the following information: </w:t>
      </w:r>
    </w:p>
    <w:p w14:paraId="4702CFAE" w14:textId="0F7BCDB0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 xml:space="preserve">reason for the request, including how it meets eligibility criteria outlined in paragraph </w:t>
      </w:r>
      <w:r w:rsidR="00F25A28">
        <w:fldChar w:fldCharType="begin"/>
      </w:r>
      <w:r w:rsidR="00F25A28">
        <w:instrText xml:space="preserve"> REF _Ref66780075 \r \h </w:instrText>
      </w:r>
      <w:r w:rsidR="00F25A28">
        <w:fldChar w:fldCharType="separate"/>
      </w:r>
      <w:r w:rsidR="00F25A28">
        <w:t>5</w:t>
      </w:r>
      <w:r w:rsidR="00F25A28">
        <w:fldChar w:fldCharType="end"/>
      </w:r>
      <w:r w:rsidRPr="000C30AA">
        <w:t xml:space="preserve"> </w:t>
      </w:r>
    </w:p>
    <w:p w14:paraId="51E629A4" w14:textId="7777777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amount of Treasurer’s Advance sought</w:t>
      </w:r>
    </w:p>
    <w:p w14:paraId="05D853D8" w14:textId="418DD006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 xml:space="preserve">demonstration of why the agency is unable to identify savings or fund </w:t>
      </w:r>
      <w:r w:rsidR="007C3FA3">
        <w:t>expenses</w:t>
      </w:r>
      <w:r w:rsidR="007C3FA3" w:rsidRPr="000C30AA">
        <w:t xml:space="preserve"> </w:t>
      </w:r>
      <w:r w:rsidRPr="000C30AA">
        <w:t xml:space="preserve">from within existing resources </w:t>
      </w:r>
    </w:p>
    <w:p w14:paraId="57154216" w14:textId="293B984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details of funding previously approved by the Treasurer or Cabinet for the activity for which Treasurer’s Advance is being sought</w:t>
      </w:r>
      <w:r w:rsidR="00AC76ED">
        <w:t>, where applicable</w:t>
      </w:r>
      <w:r w:rsidRPr="000C30AA">
        <w:t>.</w:t>
      </w:r>
    </w:p>
    <w:p w14:paraId="65951DCE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 xml:space="preserve">Treasurer’s approval </w:t>
      </w:r>
    </w:p>
    <w:p w14:paraId="24A5638B" w14:textId="599CAF8D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The Treasurer has absolute discretion to approve or not approve any e</w:t>
      </w:r>
      <w:r w:rsidR="00E711F0">
        <w:t>xpenditure item for Treasurer’s </w:t>
      </w:r>
      <w:r w:rsidRPr="000C30AA">
        <w:t xml:space="preserve">Advance. </w:t>
      </w:r>
    </w:p>
    <w:p w14:paraId="77E8A110" w14:textId="1BB387CD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Where an</w:t>
      </w:r>
      <w:r w:rsidR="007C3FA3">
        <w:t xml:space="preserve"> expense</w:t>
      </w:r>
      <w:r w:rsidRPr="000C30AA">
        <w:t xml:space="preserve"> meets</w:t>
      </w:r>
      <w:r w:rsidR="007C3FA3">
        <w:t xml:space="preserve"> the</w:t>
      </w:r>
      <w:r w:rsidRPr="000C30AA">
        <w:t xml:space="preserve"> eligibility criteria outlined in paragraph </w:t>
      </w:r>
      <w:r w:rsidR="00F25A28">
        <w:fldChar w:fldCharType="begin"/>
      </w:r>
      <w:r w:rsidR="00F25A28">
        <w:instrText xml:space="preserve"> REF _Ref66780075 \r \h </w:instrText>
      </w:r>
      <w:r w:rsidR="00F25A28">
        <w:fldChar w:fldCharType="separate"/>
      </w:r>
      <w:r w:rsidR="00F25A28">
        <w:t>5</w:t>
      </w:r>
      <w:r w:rsidR="00F25A28">
        <w:fldChar w:fldCharType="end"/>
      </w:r>
      <w:r w:rsidRPr="000C30AA">
        <w:t xml:space="preserve"> and is absorbed from within existing resources, an accountable officer may identify </w:t>
      </w:r>
      <w:r w:rsidR="007C3FA3">
        <w:t>these expenses</w:t>
      </w:r>
      <w:r w:rsidRPr="000C30AA">
        <w:t xml:space="preserve"> in the agency’s carryover request in accordance with </w:t>
      </w:r>
      <w:r w:rsidR="007C3FA3">
        <w:t>Treasurer’s Direction</w:t>
      </w:r>
      <w:r w:rsidRPr="000C30AA">
        <w:t xml:space="preserve"> – Carryover, </w:t>
      </w:r>
      <w:r w:rsidR="007C3FA3">
        <w:t>for consideration</w:t>
      </w:r>
      <w:r w:rsidRPr="000C30AA">
        <w:t xml:space="preserve"> as part of the assessment of </w:t>
      </w:r>
      <w:r w:rsidR="007C3FA3">
        <w:t>the</w:t>
      </w:r>
      <w:r w:rsidRPr="000C30AA">
        <w:t xml:space="preserve"> agency’s carryover request. </w:t>
      </w:r>
    </w:p>
    <w:p w14:paraId="3277CD49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 xml:space="preserve">Unused Treasurer’s Advance </w:t>
      </w:r>
    </w:p>
    <w:p w14:paraId="390B47B5" w14:textId="77777777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An accountable officer is not permitted to use Treasurer’s Advance for a purpose other than that for which it is approved, without prior written approval from the Treasurer.</w:t>
      </w:r>
    </w:p>
    <w:p w14:paraId="00CAAA99" w14:textId="77777777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The Treasurer may request an agency to return and write back any unutilised Treasurer’s Advance to the Central Holding Authority.</w:t>
      </w:r>
    </w:p>
    <w:p w14:paraId="79FF59C3" w14:textId="1FD4A528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 xml:space="preserve">Actual </w:t>
      </w:r>
      <w:r w:rsidR="007C3FA3">
        <w:t>expenses</w:t>
      </w:r>
      <w:r w:rsidR="007C3FA3" w:rsidRPr="000C30AA">
        <w:t xml:space="preserve"> </w:t>
      </w:r>
      <w:r w:rsidRPr="000C30AA">
        <w:t xml:space="preserve">exceed approved Treasurer’s Advance </w:t>
      </w:r>
    </w:p>
    <w:p w14:paraId="54239828" w14:textId="6148E399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bookmarkStart w:id="4" w:name="_Ref66780813"/>
      <w:r w:rsidRPr="000C30AA">
        <w:t>Where actual costs for an activity exceed approved Treasurer’s Advance, an accountable officer must notify the Department of Treasury and Finance</w:t>
      </w:r>
      <w:r w:rsidR="00BB7ABB">
        <w:t xml:space="preserve"> as soon as practicable</w:t>
      </w:r>
      <w:r w:rsidRPr="000C30AA">
        <w:t xml:space="preserve"> and identify additional costs as part of the agency’s carryover request in accord</w:t>
      </w:r>
      <w:r w:rsidR="007C3FA3">
        <w:t>ance with Treasurer’s Direction</w:t>
      </w:r>
      <w:r w:rsidRPr="000C30AA">
        <w:t xml:space="preserve"> – Carryover.</w:t>
      </w:r>
      <w:bookmarkEnd w:id="4"/>
    </w:p>
    <w:p w14:paraId="749127BF" w14:textId="4EFB6BCA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Pursuant to paragraph</w:t>
      </w:r>
      <w:r w:rsidR="00F25A28">
        <w:t xml:space="preserve"> </w:t>
      </w:r>
      <w:r w:rsidR="00F25A28">
        <w:fldChar w:fldCharType="begin"/>
      </w:r>
      <w:r w:rsidR="00F25A28">
        <w:instrText xml:space="preserve"> REF _Ref66780813 \r \h </w:instrText>
      </w:r>
      <w:r w:rsidR="00F25A28">
        <w:fldChar w:fldCharType="separate"/>
      </w:r>
      <w:r w:rsidR="00F25A28">
        <w:t>14</w:t>
      </w:r>
      <w:r w:rsidR="00F25A28">
        <w:fldChar w:fldCharType="end"/>
      </w:r>
      <w:r w:rsidRPr="000C30AA">
        <w:t xml:space="preserve">, the notification to the Department of Treasury and Finance must include, at a minimum, the following information: </w:t>
      </w:r>
    </w:p>
    <w:p w14:paraId="7FAEB5D5" w14:textId="7777777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total expenses incurred on the activity</w:t>
      </w:r>
    </w:p>
    <w:p w14:paraId="6C82987F" w14:textId="4828EFA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sufficient documentation to support total expenses incurred on</w:t>
      </w:r>
      <w:r w:rsidR="00E711F0">
        <w:t xml:space="preserve"> the</w:t>
      </w:r>
      <w:r w:rsidRPr="000C30AA">
        <w:t xml:space="preserve"> activity.</w:t>
      </w:r>
    </w:p>
    <w:p w14:paraId="69214488" w14:textId="77777777" w:rsidR="0030372D" w:rsidRPr="000C30AA" w:rsidRDefault="0030372D" w:rsidP="0030372D">
      <w:pPr>
        <w:pStyle w:val="Heading1"/>
        <w:ind w:left="432" w:hanging="432"/>
      </w:pPr>
      <w:r w:rsidRPr="000C30AA">
        <w:lastRenderedPageBreak/>
        <w:t xml:space="preserve">Recordkeeping </w:t>
      </w:r>
    </w:p>
    <w:p w14:paraId="1BB2CCEF" w14:textId="77777777" w:rsidR="007C3FA3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An accountable officer must</w:t>
      </w:r>
      <w:r w:rsidR="007C3FA3">
        <w:t>:</w:t>
      </w:r>
    </w:p>
    <w:p w14:paraId="3C4F141C" w14:textId="735621FD" w:rsidR="0030372D" w:rsidRPr="000C30AA" w:rsidRDefault="0030372D" w:rsidP="007C3FA3">
      <w:pPr>
        <w:pStyle w:val="ListNumber"/>
        <w:numPr>
          <w:ilvl w:val="1"/>
          <w:numId w:val="45"/>
        </w:numPr>
        <w:ind w:left="851"/>
      </w:pPr>
      <w:r w:rsidRPr="000C30AA">
        <w:t>keep appropriate documentation to support a claim for Treasurer’s Advance, including c</w:t>
      </w:r>
      <w:r w:rsidR="007C3FA3">
        <w:t>ost estimates used in a request</w:t>
      </w:r>
    </w:p>
    <w:p w14:paraId="40C355EE" w14:textId="7E509E92" w:rsidR="0030372D" w:rsidRPr="000C30AA" w:rsidRDefault="0030372D" w:rsidP="007C3FA3">
      <w:pPr>
        <w:pStyle w:val="ListNumber"/>
        <w:numPr>
          <w:ilvl w:val="1"/>
          <w:numId w:val="45"/>
        </w:numPr>
        <w:ind w:left="851"/>
      </w:pPr>
      <w:r w:rsidRPr="000C30AA">
        <w:t>retain</w:t>
      </w:r>
      <w:r w:rsidR="007C3FA3">
        <w:t xml:space="preserve"> such</w:t>
      </w:r>
      <w:r w:rsidRPr="000C30AA">
        <w:t xml:space="preserve"> records for the specified minimum period, in accordance with the agency’s records disposal schedule. </w:t>
      </w:r>
    </w:p>
    <w:p w14:paraId="20C46A8C" w14:textId="77777777" w:rsidR="0030372D" w:rsidRPr="000C30AA" w:rsidRDefault="0030372D" w:rsidP="0030372D">
      <w:pPr>
        <w:pStyle w:val="Heading1"/>
        <w:spacing w:line="276" w:lineRule="auto"/>
        <w:ind w:left="432" w:hanging="432"/>
      </w:pPr>
      <w:r w:rsidRPr="000C30AA">
        <w:t xml:space="preserve">Reporting </w:t>
      </w:r>
    </w:p>
    <w:p w14:paraId="2A384398" w14:textId="77777777" w:rsidR="0030372D" w:rsidRPr="000C30AA" w:rsidRDefault="0030372D" w:rsidP="00EC0239">
      <w:pPr>
        <w:pStyle w:val="ListNumber"/>
        <w:numPr>
          <w:ilvl w:val="0"/>
          <w:numId w:val="45"/>
        </w:numPr>
        <w:ind w:left="357" w:hanging="357"/>
      </w:pPr>
      <w:r w:rsidRPr="000C30AA">
        <w:t>The following information must be published in the whole of government Treasurer’s Annual Financial Report each financial year:</w:t>
      </w:r>
    </w:p>
    <w:p w14:paraId="4B85E3AD" w14:textId="7777777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>a list of approved Treasurer’s Advance items</w:t>
      </w:r>
    </w:p>
    <w:p w14:paraId="6A7C4C4C" w14:textId="7777777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 xml:space="preserve">purpose of each Treasurer’s Advance item </w:t>
      </w:r>
    </w:p>
    <w:p w14:paraId="3D87E164" w14:textId="77777777" w:rsidR="0030372D" w:rsidRPr="000C30AA" w:rsidRDefault="0030372D" w:rsidP="00EC0239">
      <w:pPr>
        <w:pStyle w:val="ListNumber"/>
        <w:numPr>
          <w:ilvl w:val="1"/>
          <w:numId w:val="45"/>
        </w:numPr>
        <w:ind w:left="851"/>
      </w:pPr>
      <w:r w:rsidRPr="000C30AA">
        <w:t xml:space="preserve">amount of Treasurer’s Advance approved for each purpose. </w:t>
      </w:r>
    </w:p>
    <w:p w14:paraId="40E1D2C3" w14:textId="23658633" w:rsidR="00667C4A" w:rsidRDefault="0030372D" w:rsidP="003C57B8">
      <w:pPr>
        <w:pStyle w:val="ListNumber"/>
        <w:numPr>
          <w:ilvl w:val="0"/>
          <w:numId w:val="45"/>
        </w:numPr>
        <w:ind w:left="357" w:hanging="357"/>
      </w:pPr>
      <w:r w:rsidRPr="000C30AA">
        <w:t>Upon request, an accountable officer must provide the Department of Treasury and Finance with a copy of documentation that supports the cost estimates used in seeking Treasurer’s Advance, spend incurred to date relating to approved Treasurer’s Advance and any other rele</w:t>
      </w:r>
      <w:r w:rsidR="003C57B8">
        <w:t>vant information as necessary.</w:t>
      </w:r>
      <w:bookmarkStart w:id="5" w:name="_GoBack"/>
      <w:bookmarkEnd w:id="5"/>
    </w:p>
    <w:p w14:paraId="0C3CC149" w14:textId="1C288F17" w:rsidR="00D133F4" w:rsidRDefault="00D133F4" w:rsidP="00343C61">
      <w:pPr>
        <w:pStyle w:val="Heading1"/>
      </w:pPr>
      <w:r>
        <w:t>Change history</w:t>
      </w:r>
    </w:p>
    <w:tbl>
      <w:tblPr>
        <w:tblStyle w:val="NTGtable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418"/>
        <w:gridCol w:w="2805"/>
        <w:gridCol w:w="2976"/>
        <w:gridCol w:w="3202"/>
      </w:tblGrid>
      <w:tr w:rsidR="00667C4A" w:rsidRPr="003A2424" w14:paraId="234D6C84" w14:textId="77777777" w:rsidTr="0034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8" w:type="dxa"/>
          </w:tcPr>
          <w:p w14:paraId="12DE696D" w14:textId="77777777" w:rsidR="00667C4A" w:rsidRPr="00667C4A" w:rsidRDefault="00667C4A" w:rsidP="00667C4A">
            <w:r w:rsidRPr="0008622A">
              <w:t>Version</w:t>
            </w:r>
          </w:p>
        </w:tc>
        <w:tc>
          <w:tcPr>
            <w:tcW w:w="2805" w:type="dxa"/>
          </w:tcPr>
          <w:p w14:paraId="797F3AE2" w14:textId="77777777" w:rsidR="00667C4A" w:rsidRPr="00667C4A" w:rsidRDefault="00667C4A" w:rsidP="00667C4A">
            <w:r w:rsidRPr="0008622A">
              <w:t>Date</w:t>
            </w:r>
          </w:p>
        </w:tc>
        <w:tc>
          <w:tcPr>
            <w:tcW w:w="2976" w:type="dxa"/>
          </w:tcPr>
          <w:p w14:paraId="2102EA76" w14:textId="77777777" w:rsidR="00667C4A" w:rsidRPr="00667C4A" w:rsidRDefault="00667C4A" w:rsidP="00667C4A">
            <w:r w:rsidRPr="0008622A">
              <w:t>Author</w:t>
            </w:r>
          </w:p>
        </w:tc>
        <w:tc>
          <w:tcPr>
            <w:tcW w:w="3202" w:type="dxa"/>
          </w:tcPr>
          <w:p w14:paraId="07E97C2D" w14:textId="77777777" w:rsidR="00667C4A" w:rsidRPr="00667C4A" w:rsidRDefault="00667C4A" w:rsidP="00667C4A">
            <w:r w:rsidRPr="0008622A">
              <w:t>Change details</w:t>
            </w:r>
          </w:p>
        </w:tc>
      </w:tr>
      <w:tr w:rsidR="00667C4A" w:rsidRPr="003A2424" w14:paraId="1530D9BE" w14:textId="77777777" w:rsidTr="00667C4A">
        <w:tc>
          <w:tcPr>
            <w:tcW w:w="1418" w:type="dxa"/>
          </w:tcPr>
          <w:p w14:paraId="6C48D732" w14:textId="77777777" w:rsidR="00667C4A" w:rsidRDefault="00667C4A" w:rsidP="00667C4A">
            <w:pPr>
              <w:spacing w:before="60" w:after="60"/>
            </w:pPr>
            <w:r>
              <w:t>1.0</w:t>
            </w:r>
          </w:p>
        </w:tc>
        <w:tc>
          <w:tcPr>
            <w:tcW w:w="2805" w:type="dxa"/>
          </w:tcPr>
          <w:p w14:paraId="417491CD" w14:textId="2240143A" w:rsidR="00667C4A" w:rsidRDefault="00E91152" w:rsidP="00667C4A">
            <w:pPr>
              <w:spacing w:before="60" w:after="60"/>
            </w:pPr>
            <w:r>
              <w:t>March 2021</w:t>
            </w:r>
          </w:p>
        </w:tc>
        <w:tc>
          <w:tcPr>
            <w:tcW w:w="2976" w:type="dxa"/>
          </w:tcPr>
          <w:p w14:paraId="300A2A09" w14:textId="77777777" w:rsidR="00667C4A" w:rsidRDefault="00667C4A" w:rsidP="00667C4A">
            <w:pPr>
              <w:spacing w:before="60" w:after="60"/>
            </w:pPr>
            <w:r>
              <w:t>DTF Financial Policy</w:t>
            </w:r>
          </w:p>
        </w:tc>
        <w:tc>
          <w:tcPr>
            <w:tcW w:w="3202" w:type="dxa"/>
          </w:tcPr>
          <w:p w14:paraId="10FB5677" w14:textId="77777777" w:rsidR="00667C4A" w:rsidRPr="003A2424" w:rsidRDefault="00667C4A" w:rsidP="00667C4A">
            <w:pPr>
              <w:spacing w:before="60" w:after="60"/>
            </w:pPr>
            <w:r w:rsidRPr="003A2424">
              <w:t>Initial version</w:t>
            </w:r>
          </w:p>
        </w:tc>
      </w:tr>
    </w:tbl>
    <w:p w14:paraId="6D5B78C5" w14:textId="77777777" w:rsidR="00667C4A" w:rsidRDefault="00667C4A" w:rsidP="0041647A">
      <w:pPr>
        <w:pStyle w:val="ListNumber"/>
      </w:pPr>
    </w:p>
    <w:sectPr w:rsidR="00667C4A" w:rsidSect="00B222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671B" w14:textId="77777777" w:rsidR="006E7B90" w:rsidRDefault="006E7B90" w:rsidP="007332FF">
      <w:r>
        <w:separator/>
      </w:r>
    </w:p>
  </w:endnote>
  <w:endnote w:type="continuationSeparator" w:id="0">
    <w:p w14:paraId="19C4FD41" w14:textId="77777777" w:rsidR="006E7B90" w:rsidRDefault="006E7B9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38F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42504FE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16F005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E2DCF99" w14:textId="77777777" w:rsidR="001E2157" w:rsidRPr="00CE6614" w:rsidRDefault="001E2157" w:rsidP="001E215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March 2021 </w:t>
          </w:r>
          <w:r w:rsidRPr="00CE6614">
            <w:rPr>
              <w:rStyle w:val="PageNumber"/>
            </w:rPr>
            <w:t xml:space="preserve">| Version </w:t>
          </w:r>
          <w:r>
            <w:rPr>
              <w:rStyle w:val="PageNumber"/>
            </w:rPr>
            <w:t>1.0</w:t>
          </w:r>
        </w:p>
        <w:p w14:paraId="134BF5E5" w14:textId="6E873850" w:rsidR="00CA36A0" w:rsidRPr="00AC4488" w:rsidRDefault="00D47DC7" w:rsidP="001E215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C57B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C57B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="001E2157">
            <w:rPr>
              <w:rStyle w:val="PageNumber"/>
            </w:rPr>
            <w:t xml:space="preserve"> </w:t>
          </w:r>
        </w:p>
      </w:tc>
    </w:tr>
  </w:tbl>
  <w:p w14:paraId="7B3D63F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4E0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C4EDE5A" w14:textId="77777777" w:rsidTr="00B2229C">
      <w:trPr>
        <w:cantSplit/>
        <w:trHeight w:hRule="exact" w:val="1000"/>
      </w:trPr>
      <w:tc>
        <w:tcPr>
          <w:tcW w:w="7767" w:type="dxa"/>
          <w:vAlign w:val="bottom"/>
        </w:tcPr>
        <w:p w14:paraId="586E2E7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5F8A568" w14:textId="2A012287" w:rsidR="00D47DC7" w:rsidRPr="00CE6614" w:rsidRDefault="001E215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March 2021 </w:t>
          </w:r>
          <w:r w:rsidR="00D47DC7" w:rsidRPr="00CE6614">
            <w:rPr>
              <w:rStyle w:val="PageNumber"/>
            </w:rPr>
            <w:t xml:space="preserve">| Version </w:t>
          </w:r>
          <w:r w:rsidR="00B2229C">
            <w:rPr>
              <w:rStyle w:val="PageNumber"/>
            </w:rPr>
            <w:t>1.0</w:t>
          </w:r>
        </w:p>
        <w:p w14:paraId="7EEE4006" w14:textId="0588B92C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C57B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C57B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51B1DB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8B50E5F" wp14:editId="64F53497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8B4EE60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B91B" w14:textId="77777777" w:rsidR="006E7B90" w:rsidRDefault="006E7B90" w:rsidP="007332FF">
      <w:r>
        <w:separator/>
      </w:r>
    </w:p>
  </w:footnote>
  <w:footnote w:type="continuationSeparator" w:id="0">
    <w:p w14:paraId="12E82A30" w14:textId="77777777" w:rsidR="006E7B90" w:rsidRDefault="006E7B9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23EA" w14:textId="2D120027" w:rsidR="00983000" w:rsidRPr="00162207" w:rsidRDefault="006E7B9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3FA3">
          <w:t>Treasurer’s Direction – Treasurer’s Advance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9961E1D" w14:textId="3CF2CD94" w:rsidR="00E54F9E" w:rsidRDefault="009930E8" w:rsidP="00435082">
        <w:pPr>
          <w:pStyle w:val="Title"/>
        </w:pPr>
        <w:r>
          <w:rPr>
            <w:rStyle w:val="TitleChar"/>
          </w:rPr>
          <w:t>Treasurer’s Direction – Treasurer’s Advance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8501AC"/>
    <w:multiLevelType w:val="hybridMultilevel"/>
    <w:tmpl w:val="8954C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E846B26"/>
    <w:multiLevelType w:val="hybridMultilevel"/>
    <w:tmpl w:val="BECE5D9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3AC0BD5"/>
    <w:multiLevelType w:val="multilevel"/>
    <w:tmpl w:val="39746A98"/>
    <w:styleLink w:val="NTGTableNum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18B4474"/>
    <w:multiLevelType w:val="multilevel"/>
    <w:tmpl w:val="B7FCADA4"/>
    <w:lvl w:ilvl="0">
      <w:start w:val="44"/>
      <w:numFmt w:val="decimal"/>
      <w:lvlText w:val="%1."/>
      <w:lvlJc w:val="left"/>
      <w:pPr>
        <w:ind w:left="68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19"/>
        </w:tabs>
        <w:ind w:left="97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77"/>
        </w:tabs>
        <w:ind w:left="1333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40"/>
        </w:tabs>
        <w:ind w:left="16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91"/>
        </w:tabs>
        <w:ind w:left="204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8"/>
        </w:tabs>
        <w:ind w:left="240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05"/>
        </w:tabs>
        <w:ind w:left="2761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63"/>
        </w:tabs>
        <w:ind w:left="3118" w:hanging="357"/>
      </w:pPr>
      <w:rPr>
        <w:rFonts w:hint="default"/>
      </w:rPr>
    </w:lvl>
  </w:abstractNum>
  <w:abstractNum w:abstractNumId="26" w15:restartNumberingAfterBreak="0">
    <w:nsid w:val="426F70CC"/>
    <w:multiLevelType w:val="multilevel"/>
    <w:tmpl w:val="39746A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461D0C8A"/>
    <w:multiLevelType w:val="multilevel"/>
    <w:tmpl w:val="39746A98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49580111"/>
    <w:multiLevelType w:val="hybridMultilevel"/>
    <w:tmpl w:val="70F6EA0C"/>
    <w:lvl w:ilvl="0" w:tplc="0C090019">
      <w:start w:val="1"/>
      <w:numFmt w:val="lowerLetter"/>
      <w:lvlText w:val="%1."/>
      <w:lvlJc w:val="left"/>
      <w:pPr>
        <w:ind w:left="1117" w:hanging="360"/>
      </w:pPr>
    </w:lvl>
    <w:lvl w:ilvl="1" w:tplc="0C09001B">
      <w:start w:val="1"/>
      <w:numFmt w:val="lowerRoman"/>
      <w:lvlText w:val="%2."/>
      <w:lvlJc w:val="right"/>
      <w:pPr>
        <w:ind w:left="1837" w:hanging="360"/>
      </w:pPr>
    </w:lvl>
    <w:lvl w:ilvl="2" w:tplc="0C09001B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507BEE"/>
    <w:multiLevelType w:val="hybridMultilevel"/>
    <w:tmpl w:val="B022931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5EE5AD0"/>
    <w:multiLevelType w:val="multilevel"/>
    <w:tmpl w:val="0C78A7AC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A4835F6"/>
    <w:multiLevelType w:val="multilevel"/>
    <w:tmpl w:val="B7FCADA4"/>
    <w:lvl w:ilvl="0">
      <w:start w:val="44"/>
      <w:numFmt w:val="decimal"/>
      <w:lvlText w:val="%1."/>
      <w:lvlJc w:val="left"/>
      <w:pPr>
        <w:ind w:left="68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19"/>
        </w:tabs>
        <w:ind w:left="97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77"/>
        </w:tabs>
        <w:ind w:left="1333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40"/>
        </w:tabs>
        <w:ind w:left="16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91"/>
        </w:tabs>
        <w:ind w:left="204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8"/>
        </w:tabs>
        <w:ind w:left="240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05"/>
        </w:tabs>
        <w:ind w:left="2761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63"/>
        </w:tabs>
        <w:ind w:left="3118" w:hanging="357"/>
      </w:pPr>
      <w:rPr>
        <w:rFonts w:hint="default"/>
      </w:rPr>
    </w:lvl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12D4400"/>
    <w:multiLevelType w:val="hybridMultilevel"/>
    <w:tmpl w:val="8D5C6B7C"/>
    <w:lvl w:ilvl="0" w:tplc="0C09000F">
      <w:start w:val="1"/>
      <w:numFmt w:val="decimal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641E23C5"/>
    <w:multiLevelType w:val="hybridMultilevel"/>
    <w:tmpl w:val="3FDC6BEE"/>
    <w:lvl w:ilvl="0" w:tplc="F56244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72EE678B"/>
    <w:multiLevelType w:val="hybridMultilevel"/>
    <w:tmpl w:val="21DA2A3A"/>
    <w:lvl w:ilvl="0" w:tplc="0C090019">
      <w:start w:val="1"/>
      <w:numFmt w:val="lowerLetter"/>
      <w:lvlText w:val="%1."/>
      <w:lvlJc w:val="left"/>
      <w:pPr>
        <w:ind w:left="1193" w:hanging="360"/>
      </w:pPr>
    </w:lvl>
    <w:lvl w:ilvl="1" w:tplc="0C090019" w:tentative="1">
      <w:start w:val="1"/>
      <w:numFmt w:val="lowerLetter"/>
      <w:lvlText w:val="%2."/>
      <w:lvlJc w:val="left"/>
      <w:pPr>
        <w:ind w:left="1913" w:hanging="360"/>
      </w:pPr>
    </w:lvl>
    <w:lvl w:ilvl="2" w:tplc="0C09001B" w:tentative="1">
      <w:start w:val="1"/>
      <w:numFmt w:val="lowerRoman"/>
      <w:lvlText w:val="%3."/>
      <w:lvlJc w:val="right"/>
      <w:pPr>
        <w:ind w:left="2633" w:hanging="180"/>
      </w:pPr>
    </w:lvl>
    <w:lvl w:ilvl="3" w:tplc="0C09000F" w:tentative="1">
      <w:start w:val="1"/>
      <w:numFmt w:val="decimal"/>
      <w:lvlText w:val="%4."/>
      <w:lvlJc w:val="left"/>
      <w:pPr>
        <w:ind w:left="3353" w:hanging="360"/>
      </w:pPr>
    </w:lvl>
    <w:lvl w:ilvl="4" w:tplc="0C090019" w:tentative="1">
      <w:start w:val="1"/>
      <w:numFmt w:val="lowerLetter"/>
      <w:lvlText w:val="%5."/>
      <w:lvlJc w:val="left"/>
      <w:pPr>
        <w:ind w:left="4073" w:hanging="360"/>
      </w:pPr>
    </w:lvl>
    <w:lvl w:ilvl="5" w:tplc="0C09001B" w:tentative="1">
      <w:start w:val="1"/>
      <w:numFmt w:val="lowerRoman"/>
      <w:lvlText w:val="%6."/>
      <w:lvlJc w:val="right"/>
      <w:pPr>
        <w:ind w:left="4793" w:hanging="180"/>
      </w:pPr>
    </w:lvl>
    <w:lvl w:ilvl="6" w:tplc="0C09000F" w:tentative="1">
      <w:start w:val="1"/>
      <w:numFmt w:val="decimal"/>
      <w:lvlText w:val="%7."/>
      <w:lvlJc w:val="left"/>
      <w:pPr>
        <w:ind w:left="5513" w:hanging="360"/>
      </w:pPr>
    </w:lvl>
    <w:lvl w:ilvl="7" w:tplc="0C090019" w:tentative="1">
      <w:start w:val="1"/>
      <w:numFmt w:val="lowerLetter"/>
      <w:lvlText w:val="%8."/>
      <w:lvlJc w:val="left"/>
      <w:pPr>
        <w:ind w:left="6233" w:hanging="360"/>
      </w:pPr>
    </w:lvl>
    <w:lvl w:ilvl="8" w:tplc="0C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6" w15:restartNumberingAfterBreak="0">
    <w:nsid w:val="735C7057"/>
    <w:multiLevelType w:val="multilevel"/>
    <w:tmpl w:val="022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7FBC1511"/>
    <w:multiLevelType w:val="multilevel"/>
    <w:tmpl w:val="F3EE93D8"/>
    <w:lvl w:ilvl="0">
      <w:start w:val="1"/>
      <w:numFmt w:val="decimal"/>
      <w:lvlText w:val="%1."/>
      <w:lvlJc w:val="left"/>
      <w:pPr>
        <w:ind w:left="1022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49"/>
  </w:num>
  <w:num w:numId="4">
    <w:abstractNumId w:val="31"/>
  </w:num>
  <w:num w:numId="5">
    <w:abstractNumId w:val="18"/>
  </w:num>
  <w:num w:numId="6">
    <w:abstractNumId w:val="9"/>
  </w:num>
  <w:num w:numId="7">
    <w:abstractNumId w:val="34"/>
  </w:num>
  <w:num w:numId="8">
    <w:abstractNumId w:val="17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51"/>
  </w:num>
  <w:num w:numId="14">
    <w:abstractNumId w:val="27"/>
  </w:num>
  <w:num w:numId="15">
    <w:abstractNumId w:val="46"/>
  </w:num>
  <w:num w:numId="16">
    <w:abstractNumId w:val="28"/>
  </w:num>
  <w:num w:numId="17">
    <w:abstractNumId w:val="25"/>
  </w:num>
  <w:num w:numId="18">
    <w:abstractNumId w:val="5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51"/>
  </w:num>
  <w:num w:numId="21">
    <w:abstractNumId w:val="45"/>
  </w:num>
  <w:num w:numId="22">
    <w:abstractNumId w:val="51"/>
  </w:num>
  <w:num w:numId="23">
    <w:abstractNumId w:val="51"/>
  </w:num>
  <w:num w:numId="24">
    <w:abstractNumId w:val="51"/>
  </w:num>
  <w:num w:numId="25">
    <w:abstractNumId w:val="51"/>
  </w:num>
  <w:num w:numId="26">
    <w:abstractNumId w:val="51"/>
  </w:num>
  <w:num w:numId="27">
    <w:abstractNumId w:val="51"/>
  </w:num>
  <w:num w:numId="28">
    <w:abstractNumId w:val="51"/>
  </w:num>
  <w:num w:numId="29">
    <w:abstractNumId w:val="51"/>
  </w:num>
  <w:num w:numId="30">
    <w:abstractNumId w:val="51"/>
  </w:num>
  <w:num w:numId="31">
    <w:abstractNumId w:val="51"/>
  </w:num>
  <w:num w:numId="32">
    <w:abstractNumId w:val="51"/>
  </w:num>
  <w:num w:numId="33">
    <w:abstractNumId w:val="5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1"/>
  </w:num>
  <w:num w:numId="37">
    <w:abstractNumId w:val="51"/>
  </w:num>
  <w:num w:numId="38">
    <w:abstractNumId w:val="51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39"/>
  </w:num>
  <w:num w:numId="42">
    <w:abstractNumId w:val="51"/>
  </w:num>
  <w:num w:numId="43">
    <w:abstractNumId w:val="22"/>
  </w:num>
  <w:num w:numId="44">
    <w:abstractNumId w:val="26"/>
  </w:num>
  <w:num w:numId="45">
    <w:abstractNumId w:val="43"/>
  </w:num>
  <w:num w:numId="46">
    <w:abstractNumId w:val="30"/>
  </w:num>
  <w:num w:numId="4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5647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675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157"/>
    <w:rsid w:val="001F59E6"/>
    <w:rsid w:val="00203F1C"/>
    <w:rsid w:val="00206936"/>
    <w:rsid w:val="00206C6F"/>
    <w:rsid w:val="00206FBD"/>
    <w:rsid w:val="00207746"/>
    <w:rsid w:val="00222347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2D"/>
    <w:rsid w:val="003037F9"/>
    <w:rsid w:val="0030583E"/>
    <w:rsid w:val="00307FE1"/>
    <w:rsid w:val="003164BA"/>
    <w:rsid w:val="003258E6"/>
    <w:rsid w:val="003335F2"/>
    <w:rsid w:val="00342283"/>
    <w:rsid w:val="00343A87"/>
    <w:rsid w:val="00343C61"/>
    <w:rsid w:val="00344A36"/>
    <w:rsid w:val="003456F4"/>
    <w:rsid w:val="0034756F"/>
    <w:rsid w:val="00347FB6"/>
    <w:rsid w:val="003504FD"/>
    <w:rsid w:val="00350881"/>
    <w:rsid w:val="00357D55"/>
    <w:rsid w:val="00363513"/>
    <w:rsid w:val="003652E2"/>
    <w:rsid w:val="003657E5"/>
    <w:rsid w:val="0036589C"/>
    <w:rsid w:val="00371312"/>
    <w:rsid w:val="00371DC7"/>
    <w:rsid w:val="00374880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C57B8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647A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1792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1E4"/>
    <w:rsid w:val="004C6C39"/>
    <w:rsid w:val="004D075F"/>
    <w:rsid w:val="004D1B76"/>
    <w:rsid w:val="004D344E"/>
    <w:rsid w:val="004D464A"/>
    <w:rsid w:val="004E019E"/>
    <w:rsid w:val="004E06EC"/>
    <w:rsid w:val="004E0A3F"/>
    <w:rsid w:val="004E2313"/>
    <w:rsid w:val="004E2CB7"/>
    <w:rsid w:val="004F016A"/>
    <w:rsid w:val="004F11A9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76670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5B6E"/>
    <w:rsid w:val="005E144D"/>
    <w:rsid w:val="005E1500"/>
    <w:rsid w:val="005E3A43"/>
    <w:rsid w:val="005F0B17"/>
    <w:rsid w:val="005F4309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67C4A"/>
    <w:rsid w:val="006719EA"/>
    <w:rsid w:val="00671F13"/>
    <w:rsid w:val="0067400A"/>
    <w:rsid w:val="006847AD"/>
    <w:rsid w:val="0069114B"/>
    <w:rsid w:val="006944C1"/>
    <w:rsid w:val="006A756A"/>
    <w:rsid w:val="006B39E1"/>
    <w:rsid w:val="006C0EC2"/>
    <w:rsid w:val="006D66F7"/>
    <w:rsid w:val="006E7B90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6967"/>
    <w:rsid w:val="00730B9B"/>
    <w:rsid w:val="0073182E"/>
    <w:rsid w:val="007332FF"/>
    <w:rsid w:val="007408F5"/>
    <w:rsid w:val="00740B93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FA3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DEB"/>
    <w:rsid w:val="00823022"/>
    <w:rsid w:val="0082634E"/>
    <w:rsid w:val="008313C4"/>
    <w:rsid w:val="00835434"/>
    <w:rsid w:val="008358C0"/>
    <w:rsid w:val="00835FEE"/>
    <w:rsid w:val="00842838"/>
    <w:rsid w:val="00854EC1"/>
    <w:rsid w:val="0085797F"/>
    <w:rsid w:val="00861DC3"/>
    <w:rsid w:val="00867019"/>
    <w:rsid w:val="00872EF1"/>
    <w:rsid w:val="008735A9"/>
    <w:rsid w:val="008765D1"/>
    <w:rsid w:val="00877BC5"/>
    <w:rsid w:val="00877D20"/>
    <w:rsid w:val="00881C48"/>
    <w:rsid w:val="00885B80"/>
    <w:rsid w:val="00885C30"/>
    <w:rsid w:val="00885E9B"/>
    <w:rsid w:val="00887468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17DC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1789"/>
    <w:rsid w:val="00983000"/>
    <w:rsid w:val="009870FA"/>
    <w:rsid w:val="009921C3"/>
    <w:rsid w:val="009930E8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02B8"/>
    <w:rsid w:val="00A567EE"/>
    <w:rsid w:val="00A70DD8"/>
    <w:rsid w:val="00A76790"/>
    <w:rsid w:val="00A85D0C"/>
    <w:rsid w:val="00A925EC"/>
    <w:rsid w:val="00A929AA"/>
    <w:rsid w:val="00A92B6B"/>
    <w:rsid w:val="00AA541E"/>
    <w:rsid w:val="00AC76ED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46E0"/>
    <w:rsid w:val="00B15754"/>
    <w:rsid w:val="00B16002"/>
    <w:rsid w:val="00B2046E"/>
    <w:rsid w:val="00B20E8B"/>
    <w:rsid w:val="00B2229C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B7ABB"/>
    <w:rsid w:val="00BC1BB8"/>
    <w:rsid w:val="00BC4EE4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4D02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33F4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DED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11F0"/>
    <w:rsid w:val="00E75451"/>
    <w:rsid w:val="00E75EA9"/>
    <w:rsid w:val="00E76AD6"/>
    <w:rsid w:val="00E770C4"/>
    <w:rsid w:val="00E84C5A"/>
    <w:rsid w:val="00E861DB"/>
    <w:rsid w:val="00E908F1"/>
    <w:rsid w:val="00E91152"/>
    <w:rsid w:val="00E93406"/>
    <w:rsid w:val="00E956C5"/>
    <w:rsid w:val="00E95C39"/>
    <w:rsid w:val="00EA0DB9"/>
    <w:rsid w:val="00EA2C39"/>
    <w:rsid w:val="00EB0A3C"/>
    <w:rsid w:val="00EB0A96"/>
    <w:rsid w:val="00EB1FFC"/>
    <w:rsid w:val="00EB77F9"/>
    <w:rsid w:val="00EC023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5A28"/>
    <w:rsid w:val="00F30AE1"/>
    <w:rsid w:val="00F45DD3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7C25"/>
  <w15:docId w15:val="{22F9874C-A076-40BE-A698-59605C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qFormat/>
    <w:rsid w:val="008765D1"/>
    <w:p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numbering" w:customStyle="1" w:styleId="NTGStandardNumList">
    <w:name w:val="NTG Standard Num List"/>
    <w:uiPriority w:val="99"/>
    <w:rsid w:val="00B2229C"/>
    <w:pPr>
      <w:numPr>
        <w:numId w:val="9"/>
      </w:numPr>
    </w:pPr>
  </w:style>
  <w:style w:type="paragraph" w:customStyle="1" w:styleId="NTGTableBulletList1">
    <w:name w:val="NTG Table Bullet List 1"/>
    <w:semiHidden/>
    <w:qFormat/>
    <w:rsid w:val="00B2229C"/>
    <w:pPr>
      <w:numPr>
        <w:numId w:val="1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B2229C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B2229C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B2229C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B2229C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B2229C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B2229C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B2229C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B2229C"/>
    <w:pPr>
      <w:numPr>
        <w:ilvl w:val="8"/>
      </w:numPr>
    </w:pPr>
  </w:style>
  <w:style w:type="numbering" w:customStyle="1" w:styleId="NTGTableList">
    <w:name w:val="NTG Table List"/>
    <w:uiPriority w:val="99"/>
    <w:rsid w:val="00B2229C"/>
    <w:pPr>
      <w:numPr>
        <w:numId w:val="10"/>
      </w:numPr>
    </w:pPr>
  </w:style>
  <w:style w:type="paragraph" w:customStyle="1" w:styleId="NTGTableNumList1">
    <w:name w:val="NTG Table Num List 1"/>
    <w:semiHidden/>
    <w:qFormat/>
    <w:rsid w:val="00820DEB"/>
    <w:pPr>
      <w:numPr>
        <w:numId w:val="14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820DEB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820DEB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820DEB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820DEB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820DEB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820DEB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820DEB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820DEB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2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DE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DEB"/>
    <w:rPr>
      <w:sz w:val="20"/>
      <w:szCs w:val="20"/>
    </w:rPr>
  </w:style>
  <w:style w:type="table" w:customStyle="1" w:styleId="NTGTable0">
    <w:name w:val="NTG Table"/>
    <w:basedOn w:val="TableGrid"/>
    <w:uiPriority w:val="99"/>
    <w:rsid w:val="00667C4A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Revision">
    <w:name w:val="Revision"/>
    <w:hidden/>
    <w:uiPriority w:val="99"/>
    <w:semiHidden/>
    <w:rsid w:val="00D133F4"/>
    <w:pPr>
      <w:spacing w:after="0"/>
    </w:pPr>
    <w:rPr>
      <w:rFonts w:ascii="Lato" w:hAnsi="Lato"/>
    </w:rPr>
  </w:style>
  <w:style w:type="numbering" w:customStyle="1" w:styleId="NTGTableNumList">
    <w:name w:val="NTG Table Num List"/>
    <w:uiPriority w:val="99"/>
    <w:rsid w:val="0030372D"/>
    <w:pPr>
      <w:numPr>
        <w:numId w:val="43"/>
      </w:numPr>
    </w:pPr>
  </w:style>
  <w:style w:type="paragraph" w:customStyle="1" w:styleId="DTFBodyText">
    <w:name w:val="DTF Body Text"/>
    <w:basedOn w:val="Normal"/>
    <w:link w:val="DTFBodyTextChar"/>
    <w:qFormat/>
    <w:rsid w:val="0030372D"/>
    <w:pPr>
      <w:tabs>
        <w:tab w:val="left" w:pos="709"/>
        <w:tab w:val="left" w:pos="1276"/>
        <w:tab w:val="left" w:pos="4536"/>
      </w:tabs>
    </w:pPr>
    <w:rPr>
      <w:rFonts w:ascii="Arial" w:eastAsia="Times New Roman" w:hAnsi="Arial" w:cs="Arial"/>
      <w:szCs w:val="20"/>
      <w:lang w:eastAsia="en-AU"/>
    </w:rPr>
  </w:style>
  <w:style w:type="character" w:customStyle="1" w:styleId="DTFBodyTextChar">
    <w:name w:val="DTF Body Text Char"/>
    <w:basedOn w:val="DefaultParagraphFont"/>
    <w:link w:val="DTFBodyText"/>
    <w:rsid w:val="0030372D"/>
    <w:rPr>
      <w:rFonts w:eastAsia="Times New Roman"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BDE14-4144-4F37-A961-85618998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 – Treasurer’s Advance</vt:lpstr>
    </vt:vector>
  </TitlesOfParts>
  <Company>TREASURY AND FINANCE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 – Treasurer’s Advance</dc:title>
  <dc:creator>Department of Treasury and Finance</dc:creator>
  <cp:lastModifiedBy>Andrea Ruske</cp:lastModifiedBy>
  <cp:revision>3</cp:revision>
  <cp:lastPrinted>2021-03-16T00:20:00Z</cp:lastPrinted>
  <dcterms:created xsi:type="dcterms:W3CDTF">2021-04-06T07:27:00Z</dcterms:created>
  <dcterms:modified xsi:type="dcterms:W3CDTF">2021-04-06T07:27:00Z</dcterms:modified>
</cp:coreProperties>
</file>