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b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ragraph">
              <wp:posOffset>2645155</wp:posOffset>
            </wp:positionV>
            <wp:extent cx="7552269" cy="5447663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269" cy="5447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1F5F"/>
        </w:rPr>
        <w:t>Mineral</w:t>
      </w:r>
      <w:r>
        <w:rPr>
          <w:b/>
          <w:color w:val="1F1F5F"/>
          <w:spacing w:val="-38"/>
        </w:rPr>
        <w:t> </w:t>
      </w:r>
      <w:r>
        <w:rPr>
          <w:b/>
          <w:color w:val="1F1F5F"/>
        </w:rPr>
        <w:t>Royalty</w:t>
      </w:r>
      <w:r>
        <w:rPr>
          <w:b/>
          <w:color w:val="1F1F5F"/>
          <w:spacing w:val="-37"/>
        </w:rPr>
        <w:t> </w:t>
      </w:r>
      <w:r>
        <w:rPr>
          <w:b/>
          <w:color w:val="1F1F5F"/>
        </w:rPr>
        <w:t>Act</w:t>
      </w:r>
      <w:r>
        <w:rPr>
          <w:b/>
          <w:color w:val="1F1F5F"/>
          <w:spacing w:val="-38"/>
        </w:rPr>
        <w:t> </w:t>
      </w:r>
      <w:r>
        <w:rPr>
          <w:b/>
          <w:color w:val="1F1F5F"/>
        </w:rPr>
        <w:t>1982:</w:t>
      </w:r>
      <w:r>
        <w:rPr>
          <w:b/>
          <w:color w:val="1F1F5F"/>
          <w:spacing w:val="-37"/>
        </w:rPr>
        <w:t> </w:t>
      </w:r>
      <w:r>
        <w:rPr>
          <w:b/>
          <w:color w:val="1F1F5F"/>
        </w:rPr>
        <w:t>Royalty Guideline - RG-MRA-007: Capital recognition deduction factors</w:t>
      </w: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rPr>
          <w:rFonts w:ascii="Lato Semibold"/>
          <w:b/>
          <w:sz w:val="20"/>
        </w:rPr>
      </w:pPr>
    </w:p>
    <w:p>
      <w:pPr>
        <w:pStyle w:val="BodyText"/>
        <w:spacing w:before="199"/>
        <w:rPr>
          <w:rFonts w:ascii="Lato Semibold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5474970</wp:posOffset>
            </wp:positionH>
            <wp:positionV relativeFrom="paragraph">
              <wp:posOffset>294004</wp:posOffset>
            </wp:positionV>
            <wp:extent cx="1549596" cy="552926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596" cy="552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Lato Semibold"/>
          <w:sz w:val="20"/>
        </w:rPr>
        <w:sectPr>
          <w:type w:val="continuous"/>
          <w:pgSz w:w="11910" w:h="16840"/>
          <w:pgMar w:top="1160" w:bottom="280" w:left="0" w:right="0"/>
        </w:sectPr>
      </w:pPr>
    </w:p>
    <w:p>
      <w:pPr>
        <w:pStyle w:val="BodyText"/>
        <w:spacing w:before="12"/>
        <w:rPr>
          <w:rFonts w:ascii="Lato Semibold"/>
          <w:b/>
          <w:sz w:val="9"/>
        </w:rPr>
      </w:pPr>
    </w:p>
    <w:tbl>
      <w:tblPr>
        <w:tblW w:w="0" w:type="auto"/>
        <w:jc w:val="left"/>
        <w:tblInd w:w="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9"/>
        <w:gridCol w:w="7934"/>
      </w:tblGrid>
      <w:tr>
        <w:trPr>
          <w:trHeight w:val="606" w:hRule="atLeast"/>
        </w:trPr>
        <w:tc>
          <w:tcPr>
            <w:tcW w:w="2419" w:type="dxa"/>
            <w:tcBorders>
              <w:top w:val="single" w:sz="4" w:space="0" w:color="1F1F5F"/>
            </w:tcBorders>
            <w:shd w:val="clear" w:color="auto" w:fill="1F1F5F"/>
          </w:tcPr>
          <w:p>
            <w:pPr>
              <w:pStyle w:val="TableParagraph"/>
              <w:spacing w:before="58"/>
              <w:ind w:left="11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Document</w:t>
            </w:r>
            <w:r>
              <w:rPr>
                <w:b/>
                <w:color w:val="FFFFFF"/>
                <w:spacing w:val="-7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title</w:t>
            </w:r>
          </w:p>
        </w:tc>
        <w:tc>
          <w:tcPr>
            <w:tcW w:w="7934" w:type="dxa"/>
            <w:tcBorders>
              <w:top w:val="single" w:sz="4" w:space="0" w:color="1F1F5F"/>
              <w:left w:val="single" w:sz="4" w:space="0" w:color="1F1F5F"/>
              <w:right w:val="single" w:sz="4" w:space="0" w:color="1F1F5F"/>
            </w:tcBorders>
          </w:tcPr>
          <w:p>
            <w:pPr>
              <w:pStyle w:val="TableParagraph"/>
              <w:spacing w:before="39"/>
              <w:ind w:left="103" w:right="1207" w:hanging="1"/>
              <w:rPr>
                <w:sz w:val="22"/>
              </w:rPr>
            </w:pPr>
            <w:r>
              <w:rPr>
                <w:sz w:val="22"/>
              </w:rPr>
              <w:t>Mineral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Royalty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1982: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Royalty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Guideline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RG-MRA-007: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Capital recognition deduction factors</w:t>
            </w:r>
          </w:p>
        </w:tc>
      </w:tr>
      <w:tr>
        <w:trPr>
          <w:trHeight w:val="384" w:hRule="atLeast"/>
        </w:trPr>
        <w:tc>
          <w:tcPr>
            <w:tcW w:w="2419" w:type="dxa"/>
            <w:shd w:val="clear" w:color="auto" w:fill="1F1F5F"/>
          </w:tcPr>
          <w:p>
            <w:pPr>
              <w:pStyle w:val="TableParagraph"/>
              <w:spacing w:before="59"/>
              <w:ind w:left="11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Contact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details</w:t>
            </w:r>
          </w:p>
        </w:tc>
        <w:tc>
          <w:tcPr>
            <w:tcW w:w="7934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>
            <w:pPr>
              <w:pStyle w:val="TableParagraph"/>
              <w:spacing w:before="59"/>
              <w:ind w:left="103"/>
              <w:rPr>
                <w:sz w:val="22"/>
              </w:rPr>
            </w:pPr>
            <w:r>
              <w:rPr>
                <w:sz w:val="22"/>
              </w:rPr>
              <w:t>Territory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Revenue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Office,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Department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Treasury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Finance</w:t>
            </w:r>
          </w:p>
        </w:tc>
      </w:tr>
      <w:tr>
        <w:trPr>
          <w:trHeight w:val="384" w:hRule="atLeast"/>
        </w:trPr>
        <w:tc>
          <w:tcPr>
            <w:tcW w:w="2419" w:type="dxa"/>
            <w:shd w:val="clear" w:color="auto" w:fill="1F1F5F"/>
          </w:tcPr>
          <w:p>
            <w:pPr>
              <w:pStyle w:val="TableParagraph"/>
              <w:spacing w:before="59"/>
              <w:ind w:left="11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Date</w:t>
            </w:r>
            <w:r>
              <w:rPr>
                <w:b/>
                <w:color w:val="FFFFFF"/>
                <w:spacing w:val="-2"/>
                <w:sz w:val="22"/>
              </w:rPr>
              <w:t> approved</w:t>
            </w:r>
          </w:p>
        </w:tc>
        <w:tc>
          <w:tcPr>
            <w:tcW w:w="7934" w:type="dxa"/>
            <w:tcBorders>
              <w:left w:val="single" w:sz="4" w:space="0" w:color="1F1F5F"/>
              <w:right w:val="single" w:sz="4" w:space="0" w:color="1F1F5F"/>
            </w:tcBorders>
          </w:tcPr>
          <w:p>
            <w:pPr>
              <w:pStyle w:val="TableParagraph"/>
              <w:spacing w:before="59"/>
              <w:ind w:left="103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2024</w:t>
            </w:r>
          </w:p>
        </w:tc>
      </w:tr>
      <w:tr>
        <w:trPr>
          <w:trHeight w:val="383" w:hRule="atLeast"/>
        </w:trPr>
        <w:tc>
          <w:tcPr>
            <w:tcW w:w="2419" w:type="dxa"/>
            <w:tcBorders>
              <w:bottom w:val="single" w:sz="4" w:space="0" w:color="000000"/>
            </w:tcBorders>
            <w:shd w:val="clear" w:color="auto" w:fill="1F1F5F"/>
          </w:tcPr>
          <w:p>
            <w:pPr>
              <w:pStyle w:val="TableParagraph"/>
              <w:spacing w:before="59"/>
              <w:ind w:left="11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Document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review</w:t>
            </w:r>
          </w:p>
        </w:tc>
        <w:tc>
          <w:tcPr>
            <w:tcW w:w="7934" w:type="dxa"/>
            <w:tcBorders>
              <w:left w:val="single" w:sz="4" w:space="0" w:color="1F1F5F"/>
              <w:bottom w:val="single" w:sz="4" w:space="0" w:color="000000"/>
              <w:right w:val="single" w:sz="4" w:space="0" w:color="1F1F5F"/>
            </w:tcBorders>
            <w:shd w:val="clear" w:color="auto" w:fill="D9D9D9"/>
          </w:tcPr>
          <w:p>
            <w:pPr>
              <w:pStyle w:val="TableParagraph"/>
              <w:spacing w:before="59"/>
              <w:ind w:left="103"/>
              <w:rPr>
                <w:sz w:val="22"/>
              </w:rPr>
            </w:pP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required</w:t>
            </w:r>
          </w:p>
        </w:tc>
      </w:tr>
    </w:tbl>
    <w:p>
      <w:pPr>
        <w:pStyle w:val="BodyText"/>
        <w:spacing w:before="20"/>
        <w:rPr>
          <w:rFonts w:ascii="Lato Semibold"/>
          <w:b/>
          <w:sz w:val="20"/>
        </w:rPr>
      </w:pPr>
    </w:p>
    <w:tbl>
      <w:tblPr>
        <w:tblW w:w="0" w:type="auto"/>
        <w:jc w:val="left"/>
        <w:tblInd w:w="804" w:type="dxa"/>
        <w:tblBorders>
          <w:top w:val="single" w:sz="4" w:space="0" w:color="1F1F5F"/>
          <w:left w:val="single" w:sz="4" w:space="0" w:color="1F1F5F"/>
          <w:bottom w:val="single" w:sz="4" w:space="0" w:color="1F1F5F"/>
          <w:right w:val="single" w:sz="4" w:space="0" w:color="1F1F5F"/>
          <w:insideH w:val="single" w:sz="4" w:space="0" w:color="1F1F5F"/>
          <w:insideV w:val="single" w:sz="4" w:space="0" w:color="1F1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4181"/>
        <w:gridCol w:w="2585"/>
        <w:gridCol w:w="2587"/>
      </w:tblGrid>
      <w:tr>
        <w:trPr>
          <w:trHeight w:val="399" w:hRule="atLeast"/>
        </w:trPr>
        <w:tc>
          <w:tcPr>
            <w:tcW w:w="989" w:type="dxa"/>
            <w:vMerge w:val="restart"/>
            <w:tcBorders>
              <w:top w:val="nil"/>
              <w:bottom w:val="nil"/>
            </w:tcBorders>
            <w:shd w:val="clear" w:color="auto" w:fill="1F1F5F"/>
          </w:tcPr>
          <w:p>
            <w:pPr>
              <w:pStyle w:val="TableParagraph"/>
              <w:spacing w:before="200"/>
              <w:ind w:left="0"/>
              <w:rPr>
                <w:rFonts w:ascii="Lato Semibold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Version</w:t>
            </w:r>
          </w:p>
        </w:tc>
        <w:tc>
          <w:tcPr>
            <w:tcW w:w="4181" w:type="dxa"/>
            <w:vMerge w:val="restart"/>
            <w:tcBorders>
              <w:top w:val="nil"/>
              <w:bottom w:val="nil"/>
            </w:tcBorders>
            <w:shd w:val="clear" w:color="auto" w:fill="1F1F5F"/>
          </w:tcPr>
          <w:p>
            <w:pPr>
              <w:pStyle w:val="TableParagraph"/>
              <w:spacing w:before="200"/>
              <w:ind w:left="0"/>
              <w:rPr>
                <w:rFonts w:ascii="Lato Semibold"/>
                <w:b/>
                <w:sz w:val="22"/>
              </w:rPr>
            </w:pPr>
          </w:p>
          <w:p>
            <w:pPr>
              <w:pStyle w:val="TableParagraph"/>
              <w:spacing w:before="0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Issued</w:t>
            </w:r>
          </w:p>
        </w:tc>
        <w:tc>
          <w:tcPr>
            <w:tcW w:w="5172" w:type="dxa"/>
            <w:gridSpan w:val="2"/>
            <w:tcBorders>
              <w:top w:val="nil"/>
              <w:bottom w:val="nil"/>
            </w:tcBorders>
            <w:shd w:val="clear" w:color="auto" w:fill="1F1F5F"/>
          </w:tcPr>
          <w:p>
            <w:pPr>
              <w:pStyle w:val="TableParagraph"/>
              <w:spacing w:before="71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Dates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2"/>
                <w:sz w:val="22"/>
              </w:rPr>
              <w:t> effect</w:t>
            </w:r>
          </w:p>
        </w:tc>
      </w:tr>
      <w:tr>
        <w:trPr>
          <w:trHeight w:val="390" w:hRule="atLeast"/>
        </w:trPr>
        <w:tc>
          <w:tcPr>
            <w:tcW w:w="989" w:type="dxa"/>
            <w:vMerge/>
            <w:tcBorders>
              <w:top w:val="nil"/>
              <w:bottom w:val="nil"/>
            </w:tcBorders>
            <w:shd w:val="clear" w:color="auto" w:fill="1F1F5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1" w:type="dxa"/>
            <w:vMerge/>
            <w:tcBorders>
              <w:top w:val="nil"/>
              <w:bottom w:val="nil"/>
            </w:tcBorders>
            <w:shd w:val="clear" w:color="auto" w:fill="1F1F5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5" w:type="dxa"/>
            <w:tcBorders>
              <w:top w:val="nil"/>
              <w:bottom w:val="nil"/>
              <w:right w:val="nil"/>
            </w:tcBorders>
            <w:shd w:val="clear" w:color="auto" w:fill="1F1F5F"/>
          </w:tcPr>
          <w:p>
            <w:pPr>
              <w:pStyle w:val="TableParagraph"/>
              <w:spacing w:before="65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From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</w:tcBorders>
            <w:shd w:val="clear" w:color="auto" w:fill="1F1F5F"/>
          </w:tcPr>
          <w:p>
            <w:pPr>
              <w:pStyle w:val="TableParagraph"/>
              <w:spacing w:before="65"/>
              <w:ind w:left="112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To</w:t>
            </w:r>
          </w:p>
        </w:tc>
      </w:tr>
      <w:tr>
        <w:trPr>
          <w:trHeight w:val="343" w:hRule="atLeast"/>
        </w:trPr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1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August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2011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August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2011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2012</w:t>
            </w:r>
          </w:p>
        </w:tc>
      </w:tr>
      <w:tr>
        <w:trPr>
          <w:trHeight w:val="343" w:hRule="atLeast"/>
        </w:trPr>
        <w:tc>
          <w:tcPr>
            <w:tcW w:w="98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18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2012</w:t>
            </w: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2012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2012</w:t>
            </w:r>
          </w:p>
        </w:tc>
      </w:tr>
      <w:tr>
        <w:trPr>
          <w:trHeight w:val="345" w:hRule="atLeast"/>
        </w:trPr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1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2012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2012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2013</w:t>
            </w:r>
          </w:p>
        </w:tc>
      </w:tr>
      <w:tr>
        <w:trPr>
          <w:trHeight w:val="343" w:hRule="atLeast"/>
        </w:trPr>
        <w:tc>
          <w:tcPr>
            <w:tcW w:w="98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18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2013</w:t>
            </w: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2013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2013</w:t>
            </w:r>
          </w:p>
        </w:tc>
      </w:tr>
      <w:tr>
        <w:trPr>
          <w:trHeight w:val="343" w:hRule="atLeast"/>
        </w:trPr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41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2013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2013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2014</w:t>
            </w:r>
          </w:p>
        </w:tc>
      </w:tr>
      <w:tr>
        <w:trPr>
          <w:trHeight w:val="345" w:hRule="atLeast"/>
        </w:trPr>
        <w:tc>
          <w:tcPr>
            <w:tcW w:w="98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18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2014</w:t>
            </w: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2014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2014</w:t>
            </w:r>
          </w:p>
        </w:tc>
      </w:tr>
      <w:tr>
        <w:trPr>
          <w:trHeight w:val="343" w:hRule="atLeast"/>
        </w:trPr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1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2014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2014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2015</w:t>
            </w:r>
          </w:p>
        </w:tc>
      </w:tr>
      <w:tr>
        <w:trPr>
          <w:trHeight w:val="343" w:hRule="atLeast"/>
        </w:trPr>
        <w:tc>
          <w:tcPr>
            <w:tcW w:w="98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418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2015</w:t>
            </w: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2015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2015</w:t>
            </w:r>
          </w:p>
        </w:tc>
      </w:tr>
      <w:tr>
        <w:trPr>
          <w:trHeight w:val="345" w:hRule="atLeast"/>
        </w:trPr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41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2015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2015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2016</w:t>
            </w:r>
          </w:p>
        </w:tc>
      </w:tr>
      <w:tr>
        <w:trPr>
          <w:trHeight w:val="343" w:hRule="atLeast"/>
        </w:trPr>
        <w:tc>
          <w:tcPr>
            <w:tcW w:w="98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18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2016</w:t>
            </w: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2016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2016</w:t>
            </w:r>
          </w:p>
        </w:tc>
      </w:tr>
      <w:tr>
        <w:trPr>
          <w:trHeight w:val="343" w:hRule="atLeast"/>
        </w:trPr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41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2016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2016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2017</w:t>
            </w:r>
          </w:p>
        </w:tc>
      </w:tr>
      <w:tr>
        <w:trPr>
          <w:trHeight w:val="345" w:hRule="atLeast"/>
        </w:trPr>
        <w:tc>
          <w:tcPr>
            <w:tcW w:w="98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418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2017</w:t>
            </w: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2017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2017</w:t>
            </w:r>
          </w:p>
        </w:tc>
      </w:tr>
      <w:tr>
        <w:trPr>
          <w:trHeight w:val="343" w:hRule="atLeast"/>
        </w:trPr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41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2017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2017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2018</w:t>
            </w:r>
          </w:p>
        </w:tc>
      </w:tr>
      <w:tr>
        <w:trPr>
          <w:trHeight w:val="343" w:hRule="atLeast"/>
        </w:trPr>
        <w:tc>
          <w:tcPr>
            <w:tcW w:w="98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418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2018</w:t>
            </w: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2018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2018</w:t>
            </w:r>
          </w:p>
        </w:tc>
      </w:tr>
      <w:tr>
        <w:trPr>
          <w:trHeight w:val="345" w:hRule="atLeast"/>
        </w:trPr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41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2018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2018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2019</w:t>
            </w:r>
          </w:p>
        </w:tc>
      </w:tr>
      <w:tr>
        <w:trPr>
          <w:trHeight w:val="343" w:hRule="atLeast"/>
        </w:trPr>
        <w:tc>
          <w:tcPr>
            <w:tcW w:w="98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418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2019</w:t>
            </w: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2019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2019</w:t>
            </w:r>
          </w:p>
        </w:tc>
      </w:tr>
      <w:tr>
        <w:trPr>
          <w:trHeight w:val="343" w:hRule="atLeast"/>
        </w:trPr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41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2019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2019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2020</w:t>
            </w:r>
          </w:p>
        </w:tc>
      </w:tr>
      <w:tr>
        <w:trPr>
          <w:trHeight w:val="345" w:hRule="atLeast"/>
        </w:trPr>
        <w:tc>
          <w:tcPr>
            <w:tcW w:w="98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418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2020</w:t>
            </w: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2020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2020</w:t>
            </w:r>
          </w:p>
        </w:tc>
      </w:tr>
      <w:tr>
        <w:trPr>
          <w:trHeight w:val="343" w:hRule="atLeast"/>
        </w:trPr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41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2020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2020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2021</w:t>
            </w:r>
          </w:p>
        </w:tc>
      </w:tr>
      <w:tr>
        <w:trPr>
          <w:trHeight w:val="343" w:hRule="atLeast"/>
        </w:trPr>
        <w:tc>
          <w:tcPr>
            <w:tcW w:w="98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418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2021</w:t>
            </w: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2021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2021</w:t>
            </w:r>
          </w:p>
        </w:tc>
      </w:tr>
      <w:tr>
        <w:trPr>
          <w:trHeight w:val="345" w:hRule="atLeast"/>
        </w:trPr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41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2021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2021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2022</w:t>
            </w:r>
          </w:p>
        </w:tc>
      </w:tr>
      <w:tr>
        <w:trPr>
          <w:trHeight w:val="343" w:hRule="atLeast"/>
        </w:trPr>
        <w:tc>
          <w:tcPr>
            <w:tcW w:w="98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418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2022</w:t>
            </w: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2022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2022</w:t>
            </w:r>
          </w:p>
        </w:tc>
      </w:tr>
      <w:tr>
        <w:trPr>
          <w:trHeight w:val="343" w:hRule="atLeast"/>
        </w:trPr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41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2022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2022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345" w:hRule="atLeast"/>
        </w:trPr>
        <w:tc>
          <w:tcPr>
            <w:tcW w:w="98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418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343" w:hRule="atLeast"/>
        </w:trPr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41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2023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2023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</w:tc>
      </w:tr>
      <w:tr>
        <w:trPr>
          <w:trHeight w:val="343" w:hRule="atLeast"/>
        </w:trPr>
        <w:tc>
          <w:tcPr>
            <w:tcW w:w="98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4181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2585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258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2024</w:t>
            </w:r>
          </w:p>
        </w:tc>
      </w:tr>
      <w:tr>
        <w:trPr>
          <w:trHeight w:val="345" w:hRule="atLeast"/>
        </w:trPr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418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258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July </w:t>
            </w: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25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Current</w:t>
            </w:r>
          </w:p>
        </w:tc>
      </w:tr>
    </w:tbl>
    <w:p>
      <w:pPr>
        <w:spacing w:after="0"/>
        <w:rPr>
          <w:sz w:val="22"/>
        </w:rPr>
        <w:sectPr>
          <w:headerReference w:type="default" r:id="rId7"/>
          <w:footerReference w:type="default" r:id="rId8"/>
          <w:pgSz w:w="11910" w:h="16840"/>
          <w:pgMar w:header="792" w:footer="1429" w:top="1160" w:bottom="1620" w:left="0" w:right="0"/>
          <w:pgNumType w:start="2"/>
        </w:sectPr>
      </w:pPr>
    </w:p>
    <w:p>
      <w:pPr>
        <w:pStyle w:val="BodyText"/>
        <w:spacing w:before="7"/>
        <w:rPr>
          <w:rFonts w:ascii="Lato Semibold"/>
          <w:b/>
          <w:sz w:val="9"/>
        </w:rPr>
      </w:pPr>
    </w:p>
    <w:tbl>
      <w:tblPr>
        <w:tblW w:w="0" w:type="auto"/>
        <w:jc w:val="left"/>
        <w:tblInd w:w="804" w:type="dxa"/>
        <w:tblBorders>
          <w:top w:val="single" w:sz="4" w:space="0" w:color="1F1F5F"/>
          <w:left w:val="single" w:sz="4" w:space="0" w:color="1F1F5F"/>
          <w:bottom w:val="single" w:sz="4" w:space="0" w:color="1F1F5F"/>
          <w:right w:val="single" w:sz="4" w:space="0" w:color="1F1F5F"/>
          <w:insideH w:val="single" w:sz="4" w:space="0" w:color="1F1F5F"/>
          <w:insideV w:val="single" w:sz="4" w:space="0" w:color="1F1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8362"/>
      </w:tblGrid>
      <w:tr>
        <w:trPr>
          <w:trHeight w:val="393" w:hRule="atLeast"/>
        </w:trPr>
        <w:tc>
          <w:tcPr>
            <w:tcW w:w="1980" w:type="dxa"/>
            <w:tcBorders>
              <w:top w:val="nil"/>
              <w:bottom w:val="nil"/>
            </w:tcBorders>
            <w:shd w:val="clear" w:color="auto" w:fill="1F1F5F"/>
          </w:tcPr>
          <w:p>
            <w:pPr>
              <w:pStyle w:val="TableParagraph"/>
              <w:spacing w:before="68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Acronyms</w:t>
            </w:r>
          </w:p>
        </w:tc>
        <w:tc>
          <w:tcPr>
            <w:tcW w:w="8362" w:type="dxa"/>
            <w:tcBorders>
              <w:top w:val="nil"/>
              <w:bottom w:val="nil"/>
            </w:tcBorders>
            <w:shd w:val="clear" w:color="auto" w:fill="1F1F5F"/>
          </w:tcPr>
          <w:p>
            <w:pPr>
              <w:pStyle w:val="TableParagraph"/>
              <w:spacing w:before="68"/>
              <w:ind w:left="10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Full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form</w:t>
            </w:r>
          </w:p>
        </w:tc>
      </w:tr>
      <w:tr>
        <w:trPr>
          <w:trHeight w:val="343" w:hRule="atLeast"/>
        </w:trPr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CRD</w:t>
            </w:r>
          </w:p>
        </w:tc>
        <w:tc>
          <w:tcPr>
            <w:tcW w:w="8362" w:type="dxa"/>
            <w:tcBorders>
              <w:top w:val="nil"/>
              <w:bottom w:val="nil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Capital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recognition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deduction</w:t>
            </w:r>
          </w:p>
        </w:tc>
      </w:tr>
      <w:tr>
        <w:trPr>
          <w:trHeight w:val="345" w:hRule="atLeast"/>
        </w:trPr>
        <w:tc>
          <w:tcPr>
            <w:tcW w:w="198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ECAE</w:t>
            </w:r>
          </w:p>
        </w:tc>
        <w:tc>
          <w:tcPr>
            <w:tcW w:w="836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Eligible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capital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assets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expenditure</w:t>
            </w:r>
          </w:p>
        </w:tc>
      </w:tr>
      <w:tr>
        <w:trPr>
          <w:trHeight w:val="342" w:hRule="atLeast"/>
        </w:trPr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MRA</w:t>
            </w:r>
          </w:p>
        </w:tc>
        <w:tc>
          <w:tcPr>
            <w:tcW w:w="8362" w:type="dxa"/>
            <w:tcBorders>
              <w:top w:val="nil"/>
            </w:tcBorders>
          </w:tcPr>
          <w:p>
            <w:pPr>
              <w:pStyle w:val="TableParagraph"/>
              <w:ind w:left="105"/>
              <w:rPr>
                <w:i/>
                <w:sz w:val="22"/>
              </w:rPr>
            </w:pPr>
            <w:r>
              <w:rPr>
                <w:i/>
                <w:sz w:val="22"/>
              </w:rPr>
              <w:t>Mineral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Royalty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Act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pacing w:val="-4"/>
                <w:sz w:val="22"/>
              </w:rPr>
              <w:t>1982</w:t>
            </w:r>
          </w:p>
        </w:tc>
      </w:tr>
    </w:tbl>
    <w:p>
      <w:pPr>
        <w:pStyle w:val="BodyText"/>
        <w:spacing w:before="54"/>
        <w:rPr>
          <w:rFonts w:ascii="Lato Semibold"/>
          <w:b/>
          <w:sz w:val="36"/>
        </w:rPr>
      </w:pPr>
    </w:p>
    <w:p>
      <w:pPr>
        <w:spacing w:before="1"/>
        <w:ind w:left="794" w:right="0" w:firstLine="0"/>
        <w:jc w:val="left"/>
        <w:rPr>
          <w:rFonts w:ascii="Lato Semibold"/>
          <w:b/>
          <w:sz w:val="36"/>
        </w:rPr>
      </w:pPr>
      <w:r>
        <w:rPr>
          <w:rFonts w:ascii="Lato Semibold"/>
          <w:b/>
          <w:color w:val="1F1F5F"/>
          <w:spacing w:val="-2"/>
          <w:sz w:val="36"/>
        </w:rPr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1112" w:val="right" w:leader="dot"/>
            </w:tabs>
          </w:pPr>
          <w:hyperlink w:history="true" w:anchor="_bookmark0">
            <w:r>
              <w:rPr>
                <w:spacing w:val="-2"/>
              </w:rPr>
              <w:t>Purpose</w:t>
            </w:r>
            <w:r>
              <w:rPr/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1"/>
            <w:tabs>
              <w:tab w:pos="11112" w:val="right" w:leader="dot"/>
            </w:tabs>
            <w:spacing w:before="120"/>
          </w:pPr>
          <w:hyperlink w:history="true" w:anchor="_bookmark1">
            <w:r>
              <w:rPr>
                <w:spacing w:val="-2"/>
              </w:rPr>
              <w:t>Introduction</w:t>
            </w:r>
            <w:r>
              <w:rPr/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1"/>
            <w:tabs>
              <w:tab w:pos="11112" w:val="right" w:leader="dot"/>
            </w:tabs>
            <w:spacing w:before="120"/>
          </w:pPr>
          <w:hyperlink w:history="true" w:anchor="_bookmark2">
            <w:r>
              <w:rPr/>
              <w:t>Factors</w:t>
            </w:r>
            <w:r>
              <w:rPr>
                <w:spacing w:val="-7"/>
              </w:rPr>
              <w:t> </w:t>
            </w:r>
            <w:r>
              <w:rPr/>
              <w:t>to</w:t>
            </w:r>
            <w:r>
              <w:rPr>
                <w:spacing w:val="-4"/>
              </w:rPr>
              <w:t> </w:t>
            </w:r>
            <w:r>
              <w:rPr/>
              <w:t>be</w:t>
            </w:r>
            <w:r>
              <w:rPr>
                <w:spacing w:val="-4"/>
              </w:rPr>
              <w:t> </w:t>
            </w:r>
            <w:r>
              <w:rPr/>
              <w:t>used</w:t>
            </w:r>
            <w:r>
              <w:rPr>
                <w:spacing w:val="-4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calculating</w:t>
            </w:r>
            <w:r>
              <w:rPr>
                <w:spacing w:val="-3"/>
              </w:rPr>
              <w:t> </w:t>
            </w:r>
            <w:r>
              <w:rPr/>
              <w:t>CRD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periods</w:t>
            </w:r>
            <w:r>
              <w:rPr>
                <w:spacing w:val="-5"/>
              </w:rPr>
              <w:t> </w:t>
            </w:r>
            <w:r>
              <w:rPr/>
              <w:t>during</w:t>
            </w:r>
            <w:r>
              <w:rPr>
                <w:spacing w:val="-2"/>
              </w:rPr>
              <w:t> </w:t>
            </w:r>
            <w:r>
              <w:rPr/>
              <w:t>which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factors</w:t>
            </w:r>
            <w:r>
              <w:rPr>
                <w:spacing w:val="-4"/>
              </w:rPr>
              <w:t> apply</w:t>
            </w:r>
            <w:r>
              <w:rPr/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1"/>
            <w:tabs>
              <w:tab w:pos="11112" w:val="right" w:leader="dot"/>
            </w:tabs>
          </w:pPr>
          <w:hyperlink w:history="true" w:anchor="_bookmark3">
            <w:r>
              <w:rPr/>
              <w:t>MRA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publications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</w:sdtContent>
    </w:sdt>
    <w:p>
      <w:pPr>
        <w:pStyle w:val="BodyText"/>
        <w:rPr>
          <w:b/>
        </w:rPr>
      </w:pPr>
    </w:p>
    <w:p>
      <w:pPr>
        <w:pStyle w:val="BodyText"/>
        <w:spacing w:before="78"/>
        <w:rPr>
          <w:b/>
        </w:rPr>
      </w:pPr>
    </w:p>
    <w:p>
      <w:pPr>
        <w:pStyle w:val="Heading1"/>
        <w:spacing w:before="0"/>
        <w:rPr>
          <w:b/>
        </w:rPr>
      </w:pPr>
      <w:bookmarkStart w:name="Purpose" w:id="1"/>
      <w:bookmarkEnd w:id="1"/>
      <w:r>
        <w:rPr/>
      </w:r>
      <w:bookmarkStart w:name="_bookmark0" w:id="2"/>
      <w:bookmarkEnd w:id="2"/>
      <w:r>
        <w:rPr/>
      </w:r>
      <w:r>
        <w:rPr>
          <w:b/>
          <w:color w:val="1F1F5F"/>
          <w:spacing w:val="-2"/>
        </w:rPr>
        <w:t>Purpose</w:t>
      </w:r>
    </w:p>
    <w:p>
      <w:pPr>
        <w:pStyle w:val="ListParagraph"/>
        <w:numPr>
          <w:ilvl w:val="0"/>
          <w:numId w:val="1"/>
        </w:numPr>
        <w:tabs>
          <w:tab w:pos="1219" w:val="left" w:leader="none"/>
        </w:tabs>
        <w:spacing w:line="240" w:lineRule="auto" w:before="199" w:after="0"/>
        <w:ind w:left="1219" w:right="856" w:hanging="425"/>
        <w:jc w:val="left"/>
        <w:rPr>
          <w:sz w:val="22"/>
        </w:rPr>
      </w:pPr>
      <w:r>
        <w:rPr>
          <w:sz w:val="22"/>
        </w:rPr>
        <w:t>This guideline</w:t>
      </w:r>
      <w:r>
        <w:rPr>
          <w:spacing w:val="-1"/>
          <w:sz w:val="22"/>
        </w:rPr>
        <w:t> </w:t>
      </w:r>
      <w:r>
        <w:rPr>
          <w:sz w:val="22"/>
        </w:rPr>
        <w:t>announces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capital recognition</w:t>
      </w:r>
      <w:r>
        <w:rPr>
          <w:spacing w:val="-2"/>
          <w:sz w:val="22"/>
        </w:rPr>
        <w:t> </w:t>
      </w:r>
      <w:r>
        <w:rPr>
          <w:sz w:val="22"/>
        </w:rPr>
        <w:t>deduction (CRD) factors</w:t>
      </w:r>
      <w:r>
        <w:rPr>
          <w:spacing w:val="-1"/>
          <w:sz w:val="22"/>
        </w:rPr>
        <w:t> </w:t>
      </w:r>
      <w:r>
        <w:rPr>
          <w:sz w:val="22"/>
        </w:rPr>
        <w:t>and the</w:t>
      </w:r>
      <w:r>
        <w:rPr>
          <w:spacing w:val="-1"/>
          <w:sz w:val="22"/>
        </w:rPr>
        <w:t> </w:t>
      </w:r>
      <w:r>
        <w:rPr>
          <w:sz w:val="22"/>
        </w:rPr>
        <w:t>period</w:t>
      </w:r>
      <w:r>
        <w:rPr>
          <w:spacing w:val="-1"/>
          <w:sz w:val="22"/>
        </w:rPr>
        <w:t> </w:t>
      </w:r>
      <w:r>
        <w:rPr>
          <w:sz w:val="22"/>
        </w:rPr>
        <w:t>during which they apply for the purpose of sections 4C(2) and (6) of the </w:t>
      </w:r>
      <w:r>
        <w:rPr>
          <w:i/>
          <w:sz w:val="22"/>
        </w:rPr>
        <w:t>Mineral Royalty Act 1982 </w:t>
      </w:r>
      <w:r>
        <w:rPr>
          <w:sz w:val="22"/>
        </w:rPr>
        <w:t>(the MRA). This guideline</w:t>
      </w:r>
      <w:r>
        <w:rPr>
          <w:spacing w:val="-2"/>
          <w:sz w:val="22"/>
        </w:rPr>
        <w:t> </w:t>
      </w:r>
      <w:r>
        <w:rPr>
          <w:sz w:val="22"/>
        </w:rPr>
        <w:t>also</w:t>
      </w:r>
      <w:r>
        <w:rPr>
          <w:spacing w:val="-3"/>
          <w:sz w:val="22"/>
        </w:rPr>
        <w:t> </w:t>
      </w:r>
      <w:r>
        <w:rPr>
          <w:sz w:val="22"/>
        </w:rPr>
        <w:t>explains</w:t>
      </w:r>
      <w:r>
        <w:rPr>
          <w:spacing w:val="-2"/>
          <w:sz w:val="22"/>
        </w:rPr>
        <w:t> </w:t>
      </w:r>
      <w:r>
        <w:rPr>
          <w:sz w:val="22"/>
        </w:rPr>
        <w:t>how</w:t>
      </w:r>
      <w:r>
        <w:rPr>
          <w:spacing w:val="-1"/>
          <w:sz w:val="22"/>
        </w:rPr>
        <w:t> </w:t>
      </w:r>
      <w:r>
        <w:rPr>
          <w:sz w:val="22"/>
        </w:rPr>
        <w:t>CRD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determined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purposes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 MRA,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 read</w:t>
      </w:r>
      <w:r>
        <w:rPr>
          <w:spacing w:val="-4"/>
          <w:sz w:val="22"/>
        </w:rPr>
        <w:t> </w:t>
      </w:r>
      <w:r>
        <w:rPr>
          <w:sz w:val="22"/>
        </w:rPr>
        <w:t>in conjunction with Royalty Guideline RG-MRA-006: </w:t>
      </w:r>
      <w:r>
        <w:rPr>
          <w:i/>
          <w:sz w:val="22"/>
        </w:rPr>
        <w:t>Capital recognition deduction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1219" w:val="left" w:leader="none"/>
        </w:tabs>
        <w:spacing w:line="240" w:lineRule="auto" w:before="120" w:after="0"/>
        <w:ind w:left="1219" w:right="0" w:hanging="425"/>
        <w:jc w:val="left"/>
        <w:rPr>
          <w:sz w:val="22"/>
        </w:rPr>
      </w:pP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guideline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issued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Secretary</w:t>
      </w:r>
      <w:r>
        <w:rPr>
          <w:spacing w:val="-3"/>
          <w:sz w:val="22"/>
        </w:rPr>
        <w:t> </w:t>
      </w:r>
      <w:r>
        <w:rPr>
          <w:sz w:val="22"/>
        </w:rPr>
        <w:t>under</w:t>
      </w:r>
      <w:r>
        <w:rPr>
          <w:spacing w:val="-6"/>
          <w:sz w:val="22"/>
        </w:rPr>
        <w:t> </w:t>
      </w:r>
      <w:r>
        <w:rPr>
          <w:sz w:val="22"/>
        </w:rPr>
        <w:t>section</w:t>
      </w:r>
      <w:r>
        <w:rPr>
          <w:spacing w:val="-3"/>
          <w:sz w:val="22"/>
        </w:rPr>
        <w:t> </w:t>
      </w:r>
      <w:r>
        <w:rPr>
          <w:sz w:val="22"/>
        </w:rPr>
        <w:t>4E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MRA.</w:t>
      </w:r>
    </w:p>
    <w:p>
      <w:pPr>
        <w:pStyle w:val="Heading1"/>
        <w:rPr>
          <w:b/>
        </w:rPr>
      </w:pPr>
      <w:bookmarkStart w:name="Introduction" w:id="3"/>
      <w:bookmarkEnd w:id="3"/>
      <w:r>
        <w:rPr/>
      </w:r>
      <w:bookmarkStart w:name="_bookmark1" w:id="4"/>
      <w:bookmarkEnd w:id="4"/>
      <w:r>
        <w:rPr/>
      </w:r>
      <w:r>
        <w:rPr>
          <w:b/>
          <w:color w:val="1F1F5F"/>
          <w:spacing w:val="-2"/>
        </w:rPr>
        <w:t>Introduction</w:t>
      </w:r>
    </w:p>
    <w:p>
      <w:pPr>
        <w:pStyle w:val="ListParagraph"/>
        <w:numPr>
          <w:ilvl w:val="0"/>
          <w:numId w:val="1"/>
        </w:numPr>
        <w:tabs>
          <w:tab w:pos="1219" w:val="left" w:leader="none"/>
        </w:tabs>
        <w:spacing w:line="240" w:lineRule="auto" w:before="198" w:after="0"/>
        <w:ind w:left="1219" w:right="860" w:hanging="425"/>
        <w:jc w:val="both"/>
        <w:rPr>
          <w:sz w:val="22"/>
        </w:rPr>
      </w:pP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detailed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Royalty</w:t>
      </w:r>
      <w:r>
        <w:rPr>
          <w:spacing w:val="-5"/>
          <w:sz w:val="22"/>
        </w:rPr>
        <w:t> </w:t>
      </w:r>
      <w:r>
        <w:rPr>
          <w:sz w:val="22"/>
        </w:rPr>
        <w:t>Guideline</w:t>
      </w:r>
      <w:r>
        <w:rPr>
          <w:spacing w:val="-4"/>
          <w:sz w:val="22"/>
        </w:rPr>
        <w:t> </w:t>
      </w:r>
      <w:r>
        <w:rPr>
          <w:sz w:val="22"/>
        </w:rPr>
        <w:t>RG-MRA-006:</w:t>
      </w:r>
      <w:r>
        <w:rPr>
          <w:spacing w:val="-2"/>
          <w:sz w:val="22"/>
        </w:rPr>
        <w:t> </w:t>
      </w:r>
      <w:r>
        <w:rPr>
          <w:i/>
          <w:sz w:val="22"/>
        </w:rPr>
        <w:t>Capital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recognition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deduction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CRD</w:t>
      </w:r>
      <w:r>
        <w:rPr>
          <w:spacing w:val="-5"/>
          <w:sz w:val="22"/>
        </w:rPr>
        <w:t> </w:t>
      </w:r>
      <w:r>
        <w:rPr>
          <w:sz w:val="22"/>
        </w:rPr>
        <w:t>must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determined as follows:</w:t>
      </w:r>
    </w:p>
    <w:p>
      <w:pPr>
        <w:pStyle w:val="ListParagraph"/>
        <w:numPr>
          <w:ilvl w:val="1"/>
          <w:numId w:val="1"/>
        </w:numPr>
        <w:tabs>
          <w:tab w:pos="1642" w:val="left" w:leader="none"/>
          <w:tab w:pos="1644" w:val="left" w:leader="none"/>
        </w:tabs>
        <w:spacing w:line="240" w:lineRule="auto" w:before="120" w:after="0"/>
        <w:ind w:left="1644" w:right="1167" w:hanging="425"/>
        <w:jc w:val="both"/>
        <w:rPr>
          <w:sz w:val="22"/>
        </w:rPr>
      </w:pPr>
      <w:r>
        <w:rPr>
          <w:sz w:val="22"/>
        </w:rPr>
        <w:t>CRD is a fraction of each</w:t>
      </w:r>
      <w:r>
        <w:rPr>
          <w:spacing w:val="-3"/>
          <w:sz w:val="22"/>
        </w:rPr>
        <w:t> </w:t>
      </w:r>
      <w:r>
        <w:rPr>
          <w:sz w:val="22"/>
        </w:rPr>
        <w:t>item of ‘eligible capital assets expenditure’ (ECAE) actually used on a production</w:t>
      </w:r>
      <w:r>
        <w:rPr>
          <w:spacing w:val="-4"/>
          <w:sz w:val="22"/>
        </w:rPr>
        <w:t> </w:t>
      </w:r>
      <w:r>
        <w:rPr>
          <w:sz w:val="22"/>
        </w:rPr>
        <w:t>unit,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purposes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 operations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production</w:t>
      </w:r>
      <w:r>
        <w:rPr>
          <w:spacing w:val="-2"/>
          <w:sz w:val="22"/>
        </w:rPr>
        <w:t> </w:t>
      </w:r>
      <w:r>
        <w:rPr>
          <w:sz w:val="22"/>
        </w:rPr>
        <w:t>unit,</w:t>
      </w:r>
      <w:r>
        <w:rPr>
          <w:spacing w:val="-6"/>
          <w:sz w:val="22"/>
        </w:rPr>
        <w:t> </w:t>
      </w:r>
      <w:r>
        <w:rPr>
          <w:sz w:val="22"/>
        </w:rPr>
        <w:t>during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whole or part of a six-month period of a royalty year.</w:t>
      </w:r>
    </w:p>
    <w:p>
      <w:pPr>
        <w:pStyle w:val="ListParagraph"/>
        <w:numPr>
          <w:ilvl w:val="1"/>
          <w:numId w:val="1"/>
        </w:numPr>
        <w:tabs>
          <w:tab w:pos="1641" w:val="left" w:leader="none"/>
          <w:tab w:pos="1644" w:val="left" w:leader="none"/>
        </w:tabs>
        <w:spacing w:line="240" w:lineRule="auto" w:before="202" w:after="0"/>
        <w:ind w:left="1644" w:right="1274" w:hanging="426"/>
        <w:jc w:val="left"/>
        <w:rPr>
          <w:sz w:val="22"/>
        </w:rPr>
      </w:pPr>
      <w:r>
        <w:rPr>
          <w:sz w:val="22"/>
        </w:rPr>
        <w:t>The fraction, known as the CRD factor, is published or announced from time-to-time by the Secretary,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applies</w:t>
      </w:r>
      <w:r>
        <w:rPr>
          <w:spacing w:val="-3"/>
          <w:sz w:val="22"/>
        </w:rPr>
        <w:t> </w:t>
      </w:r>
      <w:r>
        <w:rPr>
          <w:sz w:val="22"/>
        </w:rPr>
        <w:t>retrospectively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period</w:t>
      </w:r>
      <w:r>
        <w:rPr>
          <w:spacing w:val="-3"/>
          <w:sz w:val="22"/>
        </w:rPr>
        <w:t> </w:t>
      </w:r>
      <w:r>
        <w:rPr>
          <w:sz w:val="22"/>
        </w:rPr>
        <w:t>specified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announcement</w:t>
      </w:r>
      <w:r>
        <w:rPr>
          <w:spacing w:val="-4"/>
          <w:sz w:val="22"/>
        </w:rPr>
        <w:t> </w:t>
      </w:r>
      <w:r>
        <w:rPr>
          <w:sz w:val="22"/>
        </w:rPr>
        <w:t>(being</w:t>
      </w:r>
      <w:r>
        <w:rPr>
          <w:spacing w:val="-3"/>
          <w:sz w:val="22"/>
        </w:rPr>
        <w:t> </w:t>
      </w:r>
      <w:r>
        <w:rPr>
          <w:sz w:val="22"/>
        </w:rPr>
        <w:t>six months before the announcement).</w:t>
      </w:r>
    </w:p>
    <w:p>
      <w:pPr>
        <w:pStyle w:val="ListParagraph"/>
        <w:numPr>
          <w:ilvl w:val="1"/>
          <w:numId w:val="1"/>
        </w:numPr>
        <w:tabs>
          <w:tab w:pos="1642" w:val="left" w:leader="none"/>
          <w:tab w:pos="1644" w:val="left" w:leader="none"/>
        </w:tabs>
        <w:spacing w:line="240" w:lineRule="auto" w:before="199" w:after="0"/>
        <w:ind w:left="1644" w:right="1036" w:hanging="425"/>
        <w:jc w:val="left"/>
        <w:rPr>
          <w:sz w:val="22"/>
        </w:rPr>
      </w:pPr>
      <w:r>
        <w:rPr>
          <w:sz w:val="22"/>
        </w:rPr>
        <w:t>The Secretary</w:t>
      </w:r>
      <w:r>
        <w:rPr>
          <w:spacing w:val="-2"/>
          <w:sz w:val="22"/>
        </w:rPr>
        <w:t> </w:t>
      </w:r>
      <w:r>
        <w:rPr>
          <w:sz w:val="22"/>
        </w:rPr>
        <w:t>determines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CRD</w:t>
      </w:r>
      <w:r>
        <w:rPr>
          <w:spacing w:val="-1"/>
          <w:sz w:val="22"/>
        </w:rPr>
        <w:t> </w:t>
      </w:r>
      <w:r>
        <w:rPr>
          <w:sz w:val="22"/>
        </w:rPr>
        <w:t>factor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converting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given</w:t>
      </w:r>
      <w:r>
        <w:rPr>
          <w:spacing w:val="-4"/>
          <w:sz w:val="22"/>
        </w:rPr>
        <w:t> </w:t>
      </w:r>
      <w:r>
        <w:rPr>
          <w:sz w:val="22"/>
        </w:rPr>
        <w:t>present</w:t>
      </w:r>
      <w:r>
        <w:rPr>
          <w:spacing w:val="-1"/>
          <w:sz w:val="22"/>
        </w:rPr>
        <w:t> </w:t>
      </w:r>
      <w:r>
        <w:rPr>
          <w:sz w:val="22"/>
        </w:rPr>
        <w:t>value capital</w:t>
      </w:r>
      <w:r>
        <w:rPr>
          <w:spacing w:val="-3"/>
          <w:sz w:val="22"/>
        </w:rPr>
        <w:t> </w:t>
      </w:r>
      <w:r>
        <w:rPr>
          <w:sz w:val="22"/>
        </w:rPr>
        <w:t>sum into</w:t>
      </w:r>
      <w:r>
        <w:rPr>
          <w:spacing w:val="-4"/>
          <w:sz w:val="22"/>
        </w:rPr>
        <w:t> </w:t>
      </w:r>
      <w:r>
        <w:rPr>
          <w:sz w:val="22"/>
        </w:rPr>
        <w:t>a series of semi-annual annuities at a prescribed rate of interest.</w:t>
      </w:r>
    </w:p>
    <w:p>
      <w:pPr>
        <w:pStyle w:val="ListParagraph"/>
        <w:numPr>
          <w:ilvl w:val="1"/>
          <w:numId w:val="1"/>
        </w:numPr>
        <w:tabs>
          <w:tab w:pos="1642" w:val="left" w:leader="none"/>
          <w:tab w:pos="1644" w:val="left" w:leader="none"/>
        </w:tabs>
        <w:spacing w:line="240" w:lineRule="auto" w:before="199" w:after="0"/>
        <w:ind w:left="1644" w:right="1029" w:hanging="425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implicit</w:t>
      </w:r>
      <w:r>
        <w:rPr>
          <w:spacing w:val="-2"/>
          <w:sz w:val="22"/>
        </w:rPr>
        <w:t> </w:t>
      </w:r>
      <w:r>
        <w:rPr>
          <w:sz w:val="22"/>
        </w:rPr>
        <w:t>interest</w:t>
      </w:r>
      <w:r>
        <w:rPr>
          <w:spacing w:val="-2"/>
          <w:sz w:val="22"/>
        </w:rPr>
        <w:t> </w:t>
      </w:r>
      <w:r>
        <w:rPr>
          <w:sz w:val="22"/>
        </w:rPr>
        <w:t>rate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10-year</w:t>
      </w:r>
      <w:r>
        <w:rPr>
          <w:spacing w:val="-6"/>
          <w:sz w:val="22"/>
        </w:rPr>
        <w:t> </w:t>
      </w:r>
      <w:r>
        <w:rPr>
          <w:sz w:val="22"/>
        </w:rPr>
        <w:t>bond</w:t>
      </w:r>
      <w:r>
        <w:rPr>
          <w:spacing w:val="-1"/>
          <w:sz w:val="22"/>
        </w:rPr>
        <w:t> </w:t>
      </w:r>
      <w:r>
        <w:rPr>
          <w:sz w:val="22"/>
        </w:rPr>
        <w:t>rate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Australian</w:t>
      </w:r>
      <w:r>
        <w:rPr>
          <w:spacing w:val="-5"/>
          <w:sz w:val="22"/>
        </w:rPr>
        <w:t> </w:t>
      </w:r>
      <w:r>
        <w:rPr>
          <w:sz w:val="22"/>
        </w:rPr>
        <w:t>Government</w:t>
      </w:r>
      <w:r>
        <w:rPr>
          <w:spacing w:val="-2"/>
          <w:sz w:val="22"/>
        </w:rPr>
        <w:t> </w:t>
      </w:r>
      <w:r>
        <w:rPr>
          <w:sz w:val="22"/>
        </w:rPr>
        <w:t>Securities,</w:t>
      </w:r>
      <w:r>
        <w:rPr>
          <w:spacing w:val="-4"/>
          <w:sz w:val="22"/>
        </w:rPr>
        <w:t> </w:t>
      </w:r>
      <w:r>
        <w:rPr>
          <w:sz w:val="22"/>
        </w:rPr>
        <w:t>uplifted by 2%.</w:t>
      </w:r>
    </w:p>
    <w:p>
      <w:pPr>
        <w:pStyle w:val="ListParagraph"/>
        <w:numPr>
          <w:ilvl w:val="1"/>
          <w:numId w:val="1"/>
        </w:numPr>
        <w:tabs>
          <w:tab w:pos="1642" w:val="left" w:leader="none"/>
          <w:tab w:pos="1644" w:val="left" w:leader="none"/>
        </w:tabs>
        <w:spacing w:line="240" w:lineRule="auto" w:before="202" w:after="0"/>
        <w:ind w:left="1644" w:right="1202" w:hanging="425"/>
        <w:jc w:val="left"/>
        <w:rPr>
          <w:sz w:val="22"/>
        </w:rPr>
      </w:pPr>
      <w:r>
        <w:rPr>
          <w:sz w:val="22"/>
        </w:rPr>
        <w:t>Each item of ECAE is allocated a period of years over which a CRD will be allowed. This will generally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aligned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i/>
          <w:sz w:val="22"/>
        </w:rPr>
        <w:t>Income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Tax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Assessment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Act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1936 </w:t>
      </w:r>
      <w:r>
        <w:rPr>
          <w:sz w:val="22"/>
        </w:rPr>
        <w:t>periods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depreciation.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CRD on ECAE is claimed over a period of three, five or 10 years, in accordance with the capital</w:t>
      </w:r>
    </w:p>
    <w:p>
      <w:pPr>
        <w:spacing w:before="0"/>
        <w:ind w:left="1644" w:right="0" w:firstLine="0"/>
        <w:jc w:val="left"/>
        <w:rPr>
          <w:i/>
          <w:sz w:val="22"/>
        </w:rPr>
      </w:pPr>
      <w:r>
        <w:rPr>
          <w:sz w:val="22"/>
        </w:rPr>
        <w:t>deduction</w:t>
      </w:r>
      <w:r>
        <w:rPr>
          <w:spacing w:val="-4"/>
          <w:sz w:val="22"/>
        </w:rPr>
        <w:t> </w:t>
      </w:r>
      <w:r>
        <w:rPr>
          <w:sz w:val="22"/>
        </w:rPr>
        <w:t>life</w:t>
      </w:r>
      <w:r>
        <w:rPr>
          <w:spacing w:val="-3"/>
          <w:sz w:val="22"/>
        </w:rPr>
        <w:t> </w:t>
      </w:r>
      <w:r>
        <w:rPr>
          <w:sz w:val="22"/>
        </w:rPr>
        <w:t>schedule</w:t>
      </w:r>
      <w:r>
        <w:rPr>
          <w:spacing w:val="-3"/>
          <w:sz w:val="22"/>
        </w:rPr>
        <w:t> </w:t>
      </w:r>
      <w:r>
        <w:rPr>
          <w:sz w:val="22"/>
        </w:rPr>
        <w:t>set</w:t>
      </w:r>
      <w:r>
        <w:rPr>
          <w:spacing w:val="-1"/>
          <w:sz w:val="22"/>
        </w:rPr>
        <w:t> </w:t>
      </w:r>
      <w:r>
        <w:rPr>
          <w:sz w:val="22"/>
        </w:rPr>
        <w:t>out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paragraphs</w:t>
      </w:r>
      <w:r>
        <w:rPr>
          <w:spacing w:val="-1"/>
          <w:sz w:val="22"/>
        </w:rPr>
        <w:t> </w:t>
      </w:r>
      <w:r>
        <w:rPr>
          <w:sz w:val="22"/>
        </w:rPr>
        <w:t>37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38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Royalty</w:t>
      </w:r>
      <w:r>
        <w:rPr>
          <w:spacing w:val="-4"/>
          <w:sz w:val="22"/>
        </w:rPr>
        <w:t> </w:t>
      </w:r>
      <w:r>
        <w:rPr>
          <w:sz w:val="22"/>
        </w:rPr>
        <w:t>Guideline</w:t>
      </w:r>
      <w:r>
        <w:rPr>
          <w:spacing w:val="-3"/>
          <w:sz w:val="22"/>
        </w:rPr>
        <w:t> </w:t>
      </w:r>
      <w:r>
        <w:rPr>
          <w:sz w:val="22"/>
        </w:rPr>
        <w:t>RG-MRA-006:</w:t>
      </w:r>
      <w:r>
        <w:rPr>
          <w:spacing w:val="-6"/>
          <w:sz w:val="22"/>
        </w:rPr>
        <w:t> </w:t>
      </w:r>
      <w:r>
        <w:rPr>
          <w:i/>
          <w:sz w:val="22"/>
        </w:rPr>
        <w:t>Capital</w:t>
      </w:r>
      <w:r>
        <w:rPr>
          <w:i/>
          <w:sz w:val="22"/>
        </w:rPr>
        <w:t> recognition deduction.</w:t>
      </w:r>
    </w:p>
    <w:p>
      <w:pPr>
        <w:pStyle w:val="ListParagraph"/>
        <w:numPr>
          <w:ilvl w:val="1"/>
          <w:numId w:val="1"/>
        </w:numPr>
        <w:tabs>
          <w:tab w:pos="1641" w:val="left" w:leader="none"/>
          <w:tab w:pos="1643" w:val="left" w:leader="none"/>
        </w:tabs>
        <w:spacing w:line="240" w:lineRule="auto" w:before="200" w:after="0"/>
        <w:ind w:left="1643" w:right="990" w:hanging="425"/>
        <w:jc w:val="left"/>
        <w:rPr>
          <w:sz w:val="22"/>
        </w:rPr>
      </w:pP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respect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each</w:t>
      </w:r>
      <w:r>
        <w:rPr>
          <w:spacing w:val="-2"/>
          <w:sz w:val="22"/>
        </w:rPr>
        <w:t> </w:t>
      </w:r>
      <w:r>
        <w:rPr>
          <w:sz w:val="22"/>
        </w:rPr>
        <w:t>item of</w:t>
      </w:r>
      <w:r>
        <w:rPr>
          <w:spacing w:val="-2"/>
          <w:sz w:val="22"/>
        </w:rPr>
        <w:t> </w:t>
      </w:r>
      <w:r>
        <w:rPr>
          <w:sz w:val="22"/>
        </w:rPr>
        <w:t>ECAE,</w:t>
      </w:r>
      <w:r>
        <w:rPr>
          <w:spacing w:val="-1"/>
          <w:sz w:val="22"/>
        </w:rPr>
        <w:t> </w:t>
      </w:r>
      <w:r>
        <w:rPr>
          <w:sz w:val="22"/>
        </w:rPr>
        <w:t>CRD</w:t>
      </w:r>
      <w:r>
        <w:rPr>
          <w:spacing w:val="-1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allowable</w:t>
      </w:r>
      <w:r>
        <w:rPr>
          <w:spacing w:val="-3"/>
          <w:sz w:val="22"/>
        </w:rPr>
        <w:t> </w:t>
      </w:r>
      <w:r>
        <w:rPr>
          <w:sz w:val="22"/>
        </w:rPr>
        <w:t>deduction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period not</w:t>
      </w:r>
      <w:r>
        <w:rPr>
          <w:spacing w:val="-4"/>
          <w:sz w:val="22"/>
        </w:rPr>
        <w:t> </w:t>
      </w:r>
      <w:r>
        <w:rPr>
          <w:sz w:val="22"/>
        </w:rPr>
        <w:t>exceeding</w:t>
      </w:r>
      <w:r>
        <w:rPr>
          <w:spacing w:val="-1"/>
          <w:sz w:val="22"/>
        </w:rPr>
        <w:t> </w:t>
      </w:r>
      <w:r>
        <w:rPr>
          <w:sz w:val="22"/>
        </w:rPr>
        <w:t>the period outlined in paragraph 3(5) above, whether that period is a period of uninterrupted use or the sum of fractional periods of use.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92" w:footer="1429" w:top="1160" w:bottom="1620" w:left="0" w:right="0"/>
        </w:sectPr>
      </w:pPr>
    </w:p>
    <w:p>
      <w:pPr>
        <w:pStyle w:val="ListParagraph"/>
        <w:numPr>
          <w:ilvl w:val="1"/>
          <w:numId w:val="1"/>
        </w:numPr>
        <w:tabs>
          <w:tab w:pos="1642" w:val="left" w:leader="none"/>
          <w:tab w:pos="1644" w:val="left" w:leader="none"/>
        </w:tabs>
        <w:spacing w:line="240" w:lineRule="auto" w:before="119" w:after="0"/>
        <w:ind w:left="1644" w:right="849" w:hanging="425"/>
        <w:jc w:val="left"/>
        <w:rPr>
          <w:sz w:val="22"/>
        </w:rPr>
      </w:pPr>
      <w:r>
        <w:rPr>
          <w:sz w:val="22"/>
        </w:rPr>
        <w:t>Where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item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ECAE</w:t>
      </w:r>
      <w:r>
        <w:rPr>
          <w:spacing w:val="-3"/>
          <w:sz w:val="22"/>
        </w:rPr>
        <w:t> </w:t>
      </w:r>
      <w:r>
        <w:rPr>
          <w:sz w:val="22"/>
        </w:rPr>
        <w:t>is sold</w:t>
      </w:r>
      <w:r>
        <w:rPr>
          <w:spacing w:val="-1"/>
          <w:sz w:val="22"/>
        </w:rPr>
        <w:t> </w:t>
      </w:r>
      <w:r>
        <w:rPr>
          <w:sz w:val="22"/>
        </w:rPr>
        <w:t>independently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production</w:t>
      </w:r>
      <w:r>
        <w:rPr>
          <w:spacing w:val="-3"/>
          <w:sz w:val="22"/>
        </w:rPr>
        <w:t> </w:t>
      </w:r>
      <w:r>
        <w:rPr>
          <w:sz w:val="22"/>
        </w:rPr>
        <w:t>unit for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value</w:t>
      </w:r>
      <w:r>
        <w:rPr>
          <w:spacing w:val="-2"/>
          <w:sz w:val="22"/>
        </w:rPr>
        <w:t> </w:t>
      </w:r>
      <w:r>
        <w:rPr>
          <w:sz w:val="22"/>
        </w:rPr>
        <w:t>different from</w:t>
      </w:r>
      <w:r>
        <w:rPr>
          <w:spacing w:val="-2"/>
          <w:sz w:val="22"/>
        </w:rPr>
        <w:t> </w:t>
      </w:r>
      <w:r>
        <w:rPr>
          <w:sz w:val="22"/>
        </w:rPr>
        <w:t>its written-down value, and such sale is at arm’s length, the difference is recognised in determining gross realisation, for the purpose of calculating royalty liability.</w:t>
      </w:r>
    </w:p>
    <w:p>
      <w:pPr>
        <w:pStyle w:val="ListParagraph"/>
        <w:numPr>
          <w:ilvl w:val="0"/>
          <w:numId w:val="1"/>
        </w:numPr>
        <w:tabs>
          <w:tab w:pos="1219" w:val="left" w:leader="none"/>
        </w:tabs>
        <w:spacing w:line="240" w:lineRule="auto" w:before="199" w:after="0"/>
        <w:ind w:left="1219" w:right="975" w:hanging="425"/>
        <w:jc w:val="left"/>
        <w:rPr>
          <w:sz w:val="22"/>
        </w:rPr>
      </w:pPr>
      <w:r>
        <w:rPr>
          <w:sz w:val="22"/>
        </w:rPr>
        <w:t>The announcement of the factors to be used in calculating CRD and the period during which the factors will</w:t>
      </w:r>
      <w:r>
        <w:rPr>
          <w:spacing w:val="-2"/>
          <w:sz w:val="22"/>
        </w:rPr>
        <w:t> </w:t>
      </w:r>
      <w:r>
        <w:rPr>
          <w:sz w:val="22"/>
        </w:rPr>
        <w:t>apply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generally</w:t>
      </w:r>
      <w:r>
        <w:rPr>
          <w:spacing w:val="-4"/>
          <w:sz w:val="22"/>
        </w:rPr>
        <w:t> </w:t>
      </w:r>
      <w:r>
        <w:rPr>
          <w:sz w:val="22"/>
        </w:rPr>
        <w:t>made within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week</w:t>
      </w:r>
      <w:r>
        <w:rPr>
          <w:spacing w:val="-4"/>
          <w:sz w:val="22"/>
        </w:rPr>
        <w:t> </w:t>
      </w:r>
      <w:r>
        <w:rPr>
          <w:sz w:val="22"/>
        </w:rPr>
        <w:t>after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end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each</w:t>
      </w:r>
      <w:r>
        <w:rPr>
          <w:spacing w:val="-1"/>
          <w:sz w:val="22"/>
        </w:rPr>
        <w:t> </w:t>
      </w:r>
      <w:r>
        <w:rPr>
          <w:sz w:val="22"/>
        </w:rPr>
        <w:t>six-month</w:t>
      </w:r>
      <w:r>
        <w:rPr>
          <w:spacing w:val="-3"/>
          <w:sz w:val="22"/>
        </w:rPr>
        <w:t> </w:t>
      </w:r>
      <w:r>
        <w:rPr>
          <w:sz w:val="22"/>
        </w:rPr>
        <w:t>period. This</w:t>
      </w:r>
      <w:r>
        <w:rPr>
          <w:spacing w:val="-2"/>
          <w:sz w:val="22"/>
        </w:rPr>
        <w:t> </w:t>
      </w:r>
      <w:r>
        <w:rPr>
          <w:sz w:val="22"/>
        </w:rPr>
        <w:t>allows royalty payers sufficient time to determine their royalty liabilities. In default of the Secretary making an</w:t>
      </w:r>
      <w:r>
        <w:rPr>
          <w:spacing w:val="-2"/>
          <w:sz w:val="22"/>
        </w:rPr>
        <w:t> </w:t>
      </w:r>
      <w:r>
        <w:rPr>
          <w:sz w:val="22"/>
        </w:rPr>
        <w:t>announcement</w:t>
      </w:r>
      <w:r>
        <w:rPr>
          <w:spacing w:val="-1"/>
          <w:sz w:val="22"/>
        </w:rPr>
        <w:t> </w:t>
      </w:r>
      <w:r>
        <w:rPr>
          <w:sz w:val="22"/>
        </w:rPr>
        <w:t>within</w:t>
      </w:r>
      <w:r>
        <w:rPr>
          <w:spacing w:val="-7"/>
          <w:sz w:val="22"/>
        </w:rPr>
        <w:t> </w:t>
      </w:r>
      <w:r>
        <w:rPr>
          <w:sz w:val="22"/>
        </w:rPr>
        <w:t>12</w:t>
      </w:r>
      <w:r>
        <w:rPr>
          <w:spacing w:val="-2"/>
          <w:sz w:val="22"/>
        </w:rPr>
        <w:t> </w:t>
      </w:r>
      <w:r>
        <w:rPr>
          <w:sz w:val="22"/>
        </w:rPr>
        <w:t>months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most</w:t>
      </w:r>
      <w:r>
        <w:rPr>
          <w:spacing w:val="-4"/>
          <w:sz w:val="22"/>
        </w:rPr>
        <w:t> </w:t>
      </w:r>
      <w:r>
        <w:rPr>
          <w:sz w:val="22"/>
        </w:rPr>
        <w:t>recent</w:t>
      </w:r>
      <w:r>
        <w:rPr>
          <w:spacing w:val="-4"/>
          <w:sz w:val="22"/>
        </w:rPr>
        <w:t> </w:t>
      </w:r>
      <w:r>
        <w:rPr>
          <w:sz w:val="22"/>
        </w:rPr>
        <w:t>announcement,</w:t>
      </w:r>
      <w:r>
        <w:rPr>
          <w:spacing w:val="-3"/>
          <w:sz w:val="22"/>
        </w:rPr>
        <w:t> </w:t>
      </w:r>
      <w:r>
        <w:rPr>
          <w:sz w:val="22"/>
        </w:rPr>
        <w:t>the factors</w:t>
      </w:r>
      <w:r>
        <w:rPr>
          <w:spacing w:val="-3"/>
          <w:sz w:val="22"/>
        </w:rPr>
        <w:t> </w:t>
      </w:r>
      <w:r>
        <w:rPr>
          <w:sz w:val="22"/>
        </w:rPr>
        <w:t>announced in</w:t>
      </w:r>
      <w:r>
        <w:rPr>
          <w:spacing w:val="-4"/>
          <w:sz w:val="22"/>
        </w:rPr>
        <w:t> </w:t>
      </w:r>
      <w:r>
        <w:rPr>
          <w:sz w:val="22"/>
        </w:rPr>
        <w:t>the most recent announcement shall continue to apply for the next consecutive six-month periods until the Secretary makes a new announcement of the factors and periods.</w:t>
      </w:r>
    </w:p>
    <w:p>
      <w:pPr>
        <w:pStyle w:val="ListParagraph"/>
        <w:numPr>
          <w:ilvl w:val="0"/>
          <w:numId w:val="1"/>
        </w:numPr>
        <w:tabs>
          <w:tab w:pos="1219" w:val="left" w:leader="none"/>
        </w:tabs>
        <w:spacing w:line="240" w:lineRule="auto" w:before="120" w:after="0"/>
        <w:ind w:left="1219" w:right="961" w:hanging="425"/>
        <w:jc w:val="left"/>
        <w:rPr>
          <w:sz w:val="22"/>
        </w:rPr>
      </w:pPr>
      <w:r>
        <w:rPr>
          <w:sz w:val="22"/>
        </w:rPr>
        <w:t>Announcements of the factors to be used in calculating CRD and the</w:t>
      </w:r>
      <w:r>
        <w:rPr>
          <w:spacing w:val="-1"/>
          <w:sz w:val="22"/>
        </w:rPr>
        <w:t> </w:t>
      </w:r>
      <w:r>
        <w:rPr>
          <w:sz w:val="22"/>
        </w:rPr>
        <w:t>period during which they</w:t>
      </w:r>
      <w:r>
        <w:rPr>
          <w:spacing w:val="-1"/>
          <w:sz w:val="22"/>
        </w:rPr>
        <w:t> </w:t>
      </w:r>
      <w:r>
        <w:rPr>
          <w:sz w:val="22"/>
        </w:rPr>
        <w:t>apply 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made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 form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guideline,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extent that it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capable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being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guideline in</w:t>
      </w:r>
      <w:r>
        <w:rPr>
          <w:spacing w:val="-3"/>
          <w:sz w:val="22"/>
        </w:rPr>
        <w:t> </w:t>
      </w:r>
      <w:r>
        <w:rPr>
          <w:sz w:val="22"/>
        </w:rPr>
        <w:t>terms</w:t>
      </w:r>
      <w:r>
        <w:rPr>
          <w:spacing w:val="-2"/>
          <w:sz w:val="22"/>
        </w:rPr>
        <w:t> </w:t>
      </w:r>
      <w:r>
        <w:rPr>
          <w:sz w:val="22"/>
        </w:rPr>
        <w:t>of section 4E of the MRA, for the purposes of the MRA, and will be made publicly available on the Territory Revenue Office website, </w:t>
      </w:r>
      <w:hyperlink r:id="rId9">
        <w:r>
          <w:rPr>
            <w:color w:val="0562C1"/>
            <w:sz w:val="22"/>
            <w:u w:val="single" w:color="0562C1"/>
          </w:rPr>
          <w:t>www.revenue.nt.gov.au</w:t>
        </w:r>
        <w:r>
          <w:rPr>
            <w:sz w:val="22"/>
            <w:u w:val="none"/>
          </w:rPr>
          <w:t>.</w:t>
        </w:r>
      </w:hyperlink>
    </w:p>
    <w:p>
      <w:pPr>
        <w:spacing w:before="241"/>
        <w:ind w:left="794" w:right="799" w:firstLine="0"/>
        <w:jc w:val="left"/>
        <w:rPr>
          <w:rFonts w:ascii="Lato Semibold"/>
          <w:b/>
          <w:sz w:val="36"/>
        </w:rPr>
      </w:pPr>
      <w:bookmarkStart w:name="Factors to be used in calculating capita" w:id="5"/>
      <w:bookmarkEnd w:id="5"/>
      <w:r>
        <w:rPr/>
      </w:r>
      <w:bookmarkStart w:name="_bookmark2" w:id="6"/>
      <w:bookmarkEnd w:id="6"/>
      <w:r>
        <w:rPr/>
      </w:r>
      <w:r>
        <w:rPr>
          <w:rFonts w:ascii="Lato Semibold"/>
          <w:b/>
          <w:color w:val="1F1F5F"/>
          <w:sz w:val="36"/>
        </w:rPr>
        <w:t>Factors</w:t>
      </w:r>
      <w:r>
        <w:rPr>
          <w:rFonts w:ascii="Lato Semibold"/>
          <w:b/>
          <w:color w:val="1F1F5F"/>
          <w:spacing w:val="-11"/>
          <w:sz w:val="36"/>
        </w:rPr>
        <w:t> </w:t>
      </w:r>
      <w:r>
        <w:rPr>
          <w:rFonts w:ascii="Lato Semibold"/>
          <w:b/>
          <w:color w:val="1F1F5F"/>
          <w:sz w:val="36"/>
        </w:rPr>
        <w:t>to</w:t>
      </w:r>
      <w:r>
        <w:rPr>
          <w:rFonts w:ascii="Lato Semibold"/>
          <w:b/>
          <w:color w:val="1F1F5F"/>
          <w:spacing w:val="-9"/>
          <w:sz w:val="36"/>
        </w:rPr>
        <w:t> </w:t>
      </w:r>
      <w:r>
        <w:rPr>
          <w:rFonts w:ascii="Lato Semibold"/>
          <w:b/>
          <w:color w:val="1F1F5F"/>
          <w:sz w:val="36"/>
        </w:rPr>
        <w:t>be</w:t>
      </w:r>
      <w:r>
        <w:rPr>
          <w:rFonts w:ascii="Lato Semibold"/>
          <w:b/>
          <w:color w:val="1F1F5F"/>
          <w:spacing w:val="-9"/>
          <w:sz w:val="36"/>
        </w:rPr>
        <w:t> </w:t>
      </w:r>
      <w:r>
        <w:rPr>
          <w:rFonts w:ascii="Lato Semibold"/>
          <w:b/>
          <w:color w:val="1F1F5F"/>
          <w:sz w:val="36"/>
        </w:rPr>
        <w:t>used</w:t>
      </w:r>
      <w:r>
        <w:rPr>
          <w:rFonts w:ascii="Lato Semibold"/>
          <w:b/>
          <w:color w:val="1F1F5F"/>
          <w:spacing w:val="-9"/>
          <w:sz w:val="36"/>
        </w:rPr>
        <w:t> </w:t>
      </w:r>
      <w:r>
        <w:rPr>
          <w:rFonts w:ascii="Lato Semibold"/>
          <w:b/>
          <w:color w:val="1F1F5F"/>
          <w:sz w:val="36"/>
        </w:rPr>
        <w:t>in</w:t>
      </w:r>
      <w:r>
        <w:rPr>
          <w:rFonts w:ascii="Lato Semibold"/>
          <w:b/>
          <w:color w:val="1F1F5F"/>
          <w:spacing w:val="-11"/>
          <w:sz w:val="36"/>
        </w:rPr>
        <w:t> </w:t>
      </w:r>
      <w:r>
        <w:rPr>
          <w:rFonts w:ascii="Lato Semibold"/>
          <w:b/>
          <w:color w:val="1F1F5F"/>
          <w:sz w:val="36"/>
        </w:rPr>
        <w:t>calculating</w:t>
      </w:r>
      <w:r>
        <w:rPr>
          <w:rFonts w:ascii="Lato Semibold"/>
          <w:b/>
          <w:color w:val="1F1F5F"/>
          <w:spacing w:val="-9"/>
          <w:sz w:val="36"/>
        </w:rPr>
        <w:t> </w:t>
      </w:r>
      <w:r>
        <w:rPr>
          <w:rFonts w:ascii="Lato Semibold"/>
          <w:b/>
          <w:color w:val="1F1F5F"/>
          <w:sz w:val="36"/>
        </w:rPr>
        <w:t>capital</w:t>
      </w:r>
      <w:r>
        <w:rPr>
          <w:rFonts w:ascii="Lato Semibold"/>
          <w:b/>
          <w:color w:val="1F1F5F"/>
          <w:spacing w:val="-9"/>
          <w:sz w:val="36"/>
        </w:rPr>
        <w:t> </w:t>
      </w:r>
      <w:r>
        <w:rPr>
          <w:rFonts w:ascii="Lato Semibold"/>
          <w:b/>
          <w:color w:val="1F1F5F"/>
          <w:sz w:val="36"/>
        </w:rPr>
        <w:t>recognition</w:t>
      </w:r>
      <w:r>
        <w:rPr>
          <w:rFonts w:ascii="Lato Semibold"/>
          <w:b/>
          <w:color w:val="1F1F5F"/>
          <w:spacing w:val="-11"/>
          <w:sz w:val="36"/>
        </w:rPr>
        <w:t> </w:t>
      </w:r>
      <w:r>
        <w:rPr>
          <w:rFonts w:ascii="Lato Semibold"/>
          <w:b/>
          <w:color w:val="1F1F5F"/>
          <w:sz w:val="36"/>
        </w:rPr>
        <w:t>deduction and the periods during which the factors apply</w:t>
      </w:r>
    </w:p>
    <w:p>
      <w:pPr>
        <w:pStyle w:val="ListParagraph"/>
        <w:numPr>
          <w:ilvl w:val="0"/>
          <w:numId w:val="1"/>
        </w:numPr>
        <w:tabs>
          <w:tab w:pos="1219" w:val="left" w:leader="none"/>
        </w:tabs>
        <w:spacing w:line="240" w:lineRule="auto" w:before="198" w:after="0"/>
        <w:ind w:left="1219" w:right="1111" w:hanging="425"/>
        <w:jc w:val="left"/>
        <w:rPr>
          <w:sz w:val="22"/>
        </w:rPr>
      </w:pPr>
      <w:r>
        <w:rPr>
          <w:sz w:val="22"/>
        </w:rPr>
        <w:t>The factors,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periods</w:t>
      </w:r>
      <w:r>
        <w:rPr>
          <w:spacing w:val="-6"/>
          <w:sz w:val="22"/>
        </w:rPr>
        <w:t> </w:t>
      </w:r>
      <w:r>
        <w:rPr>
          <w:sz w:val="22"/>
        </w:rPr>
        <w:t>during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the factors</w:t>
      </w:r>
      <w:r>
        <w:rPr>
          <w:spacing w:val="-6"/>
          <w:sz w:val="22"/>
        </w:rPr>
        <w:t> </w:t>
      </w:r>
      <w:r>
        <w:rPr>
          <w:sz w:val="22"/>
        </w:rPr>
        <w:t>apply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period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years</w:t>
      </w:r>
      <w:r>
        <w:rPr>
          <w:spacing w:val="-3"/>
          <w:sz w:val="22"/>
        </w:rPr>
        <w:t> </w:t>
      </w:r>
      <w:r>
        <w:rPr>
          <w:sz w:val="22"/>
        </w:rPr>
        <w:t>over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CRD will be allowable to be taken into account for the purposes of calculating CRD, are presented in</w:t>
      </w:r>
      <w:r>
        <w:rPr>
          <w:spacing w:val="80"/>
          <w:sz w:val="22"/>
        </w:rPr>
        <w:t> </w:t>
      </w:r>
      <w:r>
        <w:rPr>
          <w:sz w:val="22"/>
        </w:rPr>
        <w:t>this table.</w:t>
      </w: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2"/>
        <w:gridCol w:w="2369"/>
        <w:gridCol w:w="2369"/>
        <w:gridCol w:w="2367"/>
      </w:tblGrid>
      <w:tr>
        <w:trPr>
          <w:trHeight w:val="518" w:hRule="atLeast"/>
        </w:trPr>
        <w:tc>
          <w:tcPr>
            <w:tcW w:w="2782" w:type="dxa"/>
            <w:vMerge w:val="restart"/>
            <w:tcBorders>
              <w:left w:val="single" w:sz="4" w:space="0" w:color="1F1F5F"/>
              <w:right w:val="single" w:sz="4" w:space="0" w:color="1F1F5F"/>
            </w:tcBorders>
            <w:shd w:val="clear" w:color="auto" w:fill="1F1F5F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106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CRD</w:t>
            </w:r>
            <w:r>
              <w:rPr>
                <w:b/>
                <w:color w:val="FFFFFF"/>
                <w:spacing w:val="-2"/>
                <w:sz w:val="22"/>
              </w:rPr>
              <w:t> period</w:t>
            </w:r>
          </w:p>
        </w:tc>
        <w:tc>
          <w:tcPr>
            <w:tcW w:w="7105" w:type="dxa"/>
            <w:gridSpan w:val="3"/>
            <w:tcBorders>
              <w:left w:val="single" w:sz="4" w:space="0" w:color="1F1F5F"/>
              <w:right w:val="single" w:sz="4" w:space="0" w:color="1F1F5F"/>
            </w:tcBorders>
            <w:shd w:val="clear" w:color="auto" w:fill="1F1F5F"/>
          </w:tcPr>
          <w:p>
            <w:pPr>
              <w:pStyle w:val="TableParagraph"/>
              <w:spacing w:before="126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Factors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by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period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years</w:t>
            </w:r>
          </w:p>
        </w:tc>
      </w:tr>
      <w:tr>
        <w:trPr>
          <w:trHeight w:val="499" w:hRule="atLeast"/>
        </w:trPr>
        <w:tc>
          <w:tcPr>
            <w:tcW w:w="2782" w:type="dxa"/>
            <w:vMerge/>
            <w:tcBorders>
              <w:top w:val="nil"/>
              <w:left w:val="single" w:sz="4" w:space="0" w:color="1F1F5F"/>
              <w:right w:val="single" w:sz="4" w:space="0" w:color="1F1F5F"/>
            </w:tcBorders>
            <w:shd w:val="clear" w:color="auto" w:fill="1F1F5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1F1F5F"/>
          </w:tcPr>
          <w:p>
            <w:pPr>
              <w:pStyle w:val="TableParagraph"/>
              <w:spacing w:before="116"/>
              <w:ind w:left="6" w:right="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3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years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1F1F5F"/>
          </w:tcPr>
          <w:p>
            <w:pPr>
              <w:pStyle w:val="TableParagraph"/>
              <w:spacing w:before="116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5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years</w:t>
            </w:r>
          </w:p>
        </w:tc>
        <w:tc>
          <w:tcPr>
            <w:tcW w:w="2367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1F1F5F"/>
          </w:tcPr>
          <w:p>
            <w:pPr>
              <w:pStyle w:val="TableParagraph"/>
              <w:spacing w:before="116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10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years</w:t>
            </w:r>
          </w:p>
        </w:tc>
      </w:tr>
      <w:tr>
        <w:trPr>
          <w:trHeight w:val="455" w:hRule="atLeast"/>
        </w:trPr>
        <w:tc>
          <w:tcPr>
            <w:tcW w:w="2782" w:type="dxa"/>
            <w:tcBorders>
              <w:left w:val="single" w:sz="4" w:space="0" w:color="1F1F5F"/>
              <w:right w:val="single" w:sz="4" w:space="0" w:color="1F1F5F"/>
            </w:tcBorders>
          </w:tcPr>
          <w:p>
            <w:pPr>
              <w:pStyle w:val="TableParagraph"/>
              <w:spacing w:before="95"/>
              <w:ind w:left="10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 </w:t>
            </w: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</w:tcPr>
          <w:p>
            <w:pPr>
              <w:pStyle w:val="TableParagraph"/>
              <w:spacing w:before="95"/>
              <w:ind w:left="6" w:right="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0.18520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</w:tcPr>
          <w:p>
            <w:pPr>
              <w:pStyle w:val="TableParagraph"/>
              <w:spacing w:before="95"/>
              <w:ind w:left="6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0.11782</w:t>
            </w:r>
          </w:p>
        </w:tc>
        <w:tc>
          <w:tcPr>
            <w:tcW w:w="2367" w:type="dxa"/>
            <w:tcBorders>
              <w:left w:val="single" w:sz="4" w:space="0" w:color="1F1F5F"/>
              <w:right w:val="single" w:sz="4" w:space="0" w:color="1F1F5F"/>
            </w:tcBorders>
          </w:tcPr>
          <w:p>
            <w:pPr>
              <w:pStyle w:val="TableParagraph"/>
              <w:spacing w:before="95"/>
              <w:ind w:left="4" w:right="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0.06783</w:t>
            </w:r>
          </w:p>
        </w:tc>
      </w:tr>
      <w:tr>
        <w:trPr>
          <w:trHeight w:val="763" w:hRule="atLeast"/>
        </w:trPr>
        <w:tc>
          <w:tcPr>
            <w:tcW w:w="2782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>
            <w:pPr>
              <w:pStyle w:val="TableParagraph"/>
              <w:spacing w:before="95"/>
              <w:ind w:left="10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Dec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2023</w:t>
            </w:r>
          </w:p>
          <w:p>
            <w:pPr>
              <w:pStyle w:val="TableParagraph"/>
              <w:spacing w:before="43"/>
              <w:ind w:left="10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 </w:t>
            </w:r>
            <w:r>
              <w:rPr>
                <w:spacing w:val="-4"/>
                <w:sz w:val="22"/>
              </w:rPr>
              <w:t>2023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>
            <w:pPr>
              <w:pStyle w:val="TableParagraph"/>
              <w:spacing w:before="95"/>
              <w:ind w:left="772"/>
              <w:rPr>
                <w:sz w:val="22"/>
              </w:rPr>
            </w:pPr>
            <w:r>
              <w:rPr>
                <w:spacing w:val="-2"/>
                <w:sz w:val="22"/>
              </w:rPr>
              <w:t>0.18551</w:t>
            </w:r>
          </w:p>
          <w:p>
            <w:pPr>
              <w:pStyle w:val="TableParagraph"/>
              <w:spacing w:before="43"/>
              <w:ind w:left="772"/>
              <w:rPr>
                <w:sz w:val="22"/>
              </w:rPr>
            </w:pPr>
            <w:r>
              <w:rPr>
                <w:spacing w:val="-2"/>
                <w:sz w:val="22"/>
              </w:rPr>
              <w:t>0.18337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>
            <w:pPr>
              <w:pStyle w:val="TableParagraph"/>
              <w:spacing w:before="95"/>
              <w:ind w:left="774"/>
              <w:rPr>
                <w:sz w:val="22"/>
              </w:rPr>
            </w:pPr>
            <w:r>
              <w:rPr>
                <w:spacing w:val="-2"/>
                <w:sz w:val="22"/>
              </w:rPr>
              <w:t>0.11812</w:t>
            </w:r>
          </w:p>
          <w:p>
            <w:pPr>
              <w:pStyle w:val="TableParagraph"/>
              <w:spacing w:before="43"/>
              <w:ind w:left="774"/>
              <w:rPr>
                <w:sz w:val="22"/>
              </w:rPr>
            </w:pPr>
            <w:r>
              <w:rPr>
                <w:spacing w:val="-2"/>
                <w:sz w:val="22"/>
              </w:rPr>
              <w:t>0.11603</w:t>
            </w:r>
          </w:p>
        </w:tc>
        <w:tc>
          <w:tcPr>
            <w:tcW w:w="2367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>
            <w:pPr>
              <w:pStyle w:val="TableParagraph"/>
              <w:spacing w:before="95"/>
              <w:ind w:left="771"/>
              <w:rPr>
                <w:sz w:val="22"/>
              </w:rPr>
            </w:pPr>
            <w:r>
              <w:rPr>
                <w:spacing w:val="-2"/>
                <w:sz w:val="22"/>
              </w:rPr>
              <w:t>0.06815</w:t>
            </w:r>
          </w:p>
          <w:p>
            <w:pPr>
              <w:pStyle w:val="TableParagraph"/>
              <w:spacing w:before="43"/>
              <w:ind w:left="771"/>
              <w:rPr>
                <w:sz w:val="22"/>
              </w:rPr>
            </w:pPr>
            <w:r>
              <w:rPr>
                <w:spacing w:val="-2"/>
                <w:sz w:val="22"/>
              </w:rPr>
              <w:t>0.06597</w:t>
            </w:r>
          </w:p>
        </w:tc>
      </w:tr>
      <w:tr>
        <w:trPr>
          <w:trHeight w:val="760" w:hRule="atLeast"/>
        </w:trPr>
        <w:tc>
          <w:tcPr>
            <w:tcW w:w="2782" w:type="dxa"/>
            <w:tcBorders>
              <w:left w:val="single" w:sz="4" w:space="0" w:color="1F1F5F"/>
              <w:right w:val="single" w:sz="4" w:space="0" w:color="1F1F5F"/>
            </w:tcBorders>
          </w:tcPr>
          <w:p>
            <w:pPr>
              <w:pStyle w:val="TableParagraph"/>
              <w:spacing w:before="95"/>
              <w:ind w:left="10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Dec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2022</w:t>
            </w:r>
          </w:p>
          <w:p>
            <w:pPr>
              <w:pStyle w:val="TableParagraph"/>
              <w:spacing w:before="40"/>
              <w:ind w:left="10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 </w:t>
            </w:r>
            <w:r>
              <w:rPr>
                <w:spacing w:val="-4"/>
                <w:sz w:val="22"/>
              </w:rPr>
              <w:t>2022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</w:tcPr>
          <w:p>
            <w:pPr>
              <w:pStyle w:val="TableParagraph"/>
              <w:spacing w:before="95"/>
              <w:ind w:left="772"/>
              <w:rPr>
                <w:sz w:val="22"/>
              </w:rPr>
            </w:pPr>
            <w:r>
              <w:rPr>
                <w:spacing w:val="-2"/>
                <w:sz w:val="22"/>
              </w:rPr>
              <w:t>0.18342</w:t>
            </w:r>
          </w:p>
          <w:p>
            <w:pPr>
              <w:pStyle w:val="TableParagraph"/>
              <w:spacing w:before="40"/>
              <w:ind w:left="772"/>
              <w:rPr>
                <w:sz w:val="22"/>
              </w:rPr>
            </w:pPr>
            <w:r>
              <w:rPr>
                <w:spacing w:val="-2"/>
                <w:sz w:val="22"/>
              </w:rPr>
              <w:t>0.18091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</w:tcPr>
          <w:p>
            <w:pPr>
              <w:pStyle w:val="TableParagraph"/>
              <w:spacing w:before="95"/>
              <w:ind w:left="774"/>
              <w:rPr>
                <w:sz w:val="22"/>
              </w:rPr>
            </w:pPr>
            <w:r>
              <w:rPr>
                <w:spacing w:val="-2"/>
                <w:sz w:val="22"/>
              </w:rPr>
              <w:t>0.11609</w:t>
            </w:r>
          </w:p>
          <w:p>
            <w:pPr>
              <w:pStyle w:val="TableParagraph"/>
              <w:spacing w:before="40"/>
              <w:ind w:left="774"/>
              <w:rPr>
                <w:sz w:val="22"/>
              </w:rPr>
            </w:pPr>
            <w:r>
              <w:rPr>
                <w:spacing w:val="-2"/>
                <w:sz w:val="22"/>
              </w:rPr>
              <w:t>0.11363</w:t>
            </w:r>
          </w:p>
        </w:tc>
        <w:tc>
          <w:tcPr>
            <w:tcW w:w="2367" w:type="dxa"/>
            <w:tcBorders>
              <w:left w:val="single" w:sz="4" w:space="0" w:color="1F1F5F"/>
              <w:right w:val="single" w:sz="4" w:space="0" w:color="1F1F5F"/>
            </w:tcBorders>
          </w:tcPr>
          <w:p>
            <w:pPr>
              <w:pStyle w:val="TableParagraph"/>
              <w:spacing w:before="95"/>
              <w:ind w:left="771"/>
              <w:rPr>
                <w:sz w:val="22"/>
              </w:rPr>
            </w:pPr>
            <w:r>
              <w:rPr>
                <w:spacing w:val="-2"/>
                <w:sz w:val="22"/>
              </w:rPr>
              <w:t>0.06603</w:t>
            </w:r>
          </w:p>
          <w:p>
            <w:pPr>
              <w:pStyle w:val="TableParagraph"/>
              <w:spacing w:before="40"/>
              <w:ind w:left="771"/>
              <w:rPr>
                <w:sz w:val="22"/>
              </w:rPr>
            </w:pPr>
            <w:r>
              <w:rPr>
                <w:spacing w:val="-2"/>
                <w:sz w:val="22"/>
              </w:rPr>
              <w:t>0.06351</w:t>
            </w:r>
          </w:p>
        </w:tc>
      </w:tr>
      <w:tr>
        <w:trPr>
          <w:trHeight w:val="763" w:hRule="atLeast"/>
        </w:trPr>
        <w:tc>
          <w:tcPr>
            <w:tcW w:w="2782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>
            <w:pPr>
              <w:pStyle w:val="TableParagraph"/>
              <w:spacing w:before="95"/>
              <w:ind w:left="10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Dec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2021</w:t>
            </w:r>
          </w:p>
          <w:p>
            <w:pPr>
              <w:pStyle w:val="TableParagraph"/>
              <w:spacing w:before="43"/>
              <w:ind w:left="10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 </w:t>
            </w:r>
            <w:r>
              <w:rPr>
                <w:spacing w:val="-4"/>
                <w:sz w:val="22"/>
              </w:rPr>
              <w:t>2021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>
            <w:pPr>
              <w:pStyle w:val="TableParagraph"/>
              <w:spacing w:before="95"/>
              <w:ind w:left="772"/>
              <w:rPr>
                <w:sz w:val="22"/>
              </w:rPr>
            </w:pPr>
            <w:r>
              <w:rPr>
                <w:spacing w:val="-2"/>
                <w:sz w:val="22"/>
              </w:rPr>
              <w:t>0.17690</w:t>
            </w:r>
          </w:p>
          <w:p>
            <w:pPr>
              <w:pStyle w:val="TableParagraph"/>
              <w:spacing w:before="43"/>
              <w:ind w:left="772"/>
              <w:rPr>
                <w:sz w:val="22"/>
              </w:rPr>
            </w:pPr>
            <w:r>
              <w:rPr>
                <w:spacing w:val="-2"/>
                <w:sz w:val="22"/>
              </w:rPr>
              <w:t>0.17698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>
            <w:pPr>
              <w:pStyle w:val="TableParagraph"/>
              <w:spacing w:before="95"/>
              <w:ind w:left="774"/>
              <w:rPr>
                <w:sz w:val="22"/>
              </w:rPr>
            </w:pPr>
            <w:r>
              <w:rPr>
                <w:spacing w:val="-2"/>
                <w:sz w:val="22"/>
              </w:rPr>
              <w:t>0.10977</w:t>
            </w:r>
          </w:p>
          <w:p>
            <w:pPr>
              <w:pStyle w:val="TableParagraph"/>
              <w:spacing w:before="43"/>
              <w:ind w:left="774"/>
              <w:rPr>
                <w:sz w:val="22"/>
              </w:rPr>
            </w:pPr>
            <w:r>
              <w:rPr>
                <w:spacing w:val="-2"/>
                <w:sz w:val="22"/>
              </w:rPr>
              <w:t>0.10983</w:t>
            </w:r>
          </w:p>
        </w:tc>
        <w:tc>
          <w:tcPr>
            <w:tcW w:w="2367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>
            <w:pPr>
              <w:pStyle w:val="TableParagraph"/>
              <w:spacing w:before="95"/>
              <w:ind w:left="771"/>
              <w:rPr>
                <w:sz w:val="22"/>
              </w:rPr>
            </w:pPr>
            <w:r>
              <w:rPr>
                <w:spacing w:val="-2"/>
                <w:sz w:val="22"/>
              </w:rPr>
              <w:t>0.05958</w:t>
            </w:r>
          </w:p>
          <w:p>
            <w:pPr>
              <w:pStyle w:val="TableParagraph"/>
              <w:spacing w:before="43"/>
              <w:ind w:left="771"/>
              <w:rPr>
                <w:sz w:val="22"/>
              </w:rPr>
            </w:pPr>
            <w:r>
              <w:rPr>
                <w:spacing w:val="-2"/>
                <w:sz w:val="22"/>
              </w:rPr>
              <w:t>0.05965</w:t>
            </w:r>
          </w:p>
        </w:tc>
      </w:tr>
      <w:tr>
        <w:trPr>
          <w:trHeight w:val="760" w:hRule="atLeast"/>
        </w:trPr>
        <w:tc>
          <w:tcPr>
            <w:tcW w:w="2782" w:type="dxa"/>
            <w:tcBorders>
              <w:left w:val="single" w:sz="4" w:space="0" w:color="1F1F5F"/>
              <w:right w:val="single" w:sz="4" w:space="0" w:color="1F1F5F"/>
            </w:tcBorders>
          </w:tcPr>
          <w:p>
            <w:pPr>
              <w:pStyle w:val="TableParagraph"/>
              <w:spacing w:before="95"/>
              <w:ind w:left="10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Dec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2020</w:t>
            </w:r>
          </w:p>
          <w:p>
            <w:pPr>
              <w:pStyle w:val="TableParagraph"/>
              <w:spacing w:before="40"/>
              <w:ind w:left="10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 </w:t>
            </w:r>
            <w:r>
              <w:rPr>
                <w:spacing w:val="-4"/>
                <w:sz w:val="22"/>
              </w:rPr>
              <w:t>2020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</w:tcPr>
          <w:p>
            <w:pPr>
              <w:pStyle w:val="TableParagraph"/>
              <w:spacing w:before="95"/>
              <w:ind w:left="772"/>
              <w:rPr>
                <w:sz w:val="22"/>
              </w:rPr>
            </w:pPr>
            <w:r>
              <w:rPr>
                <w:spacing w:val="-2"/>
                <w:sz w:val="22"/>
              </w:rPr>
              <w:t>0.17520</w:t>
            </w:r>
          </w:p>
          <w:p>
            <w:pPr>
              <w:pStyle w:val="TableParagraph"/>
              <w:spacing w:before="40"/>
              <w:ind w:left="772"/>
              <w:rPr>
                <w:sz w:val="22"/>
              </w:rPr>
            </w:pPr>
            <w:r>
              <w:rPr>
                <w:spacing w:val="-2"/>
                <w:sz w:val="22"/>
              </w:rPr>
              <w:t>0.17537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</w:tcPr>
          <w:p>
            <w:pPr>
              <w:pStyle w:val="TableParagraph"/>
              <w:spacing w:before="95"/>
              <w:ind w:left="774"/>
              <w:rPr>
                <w:sz w:val="22"/>
              </w:rPr>
            </w:pPr>
            <w:r>
              <w:rPr>
                <w:spacing w:val="-2"/>
                <w:sz w:val="22"/>
              </w:rPr>
              <w:t>0.10812</w:t>
            </w:r>
          </w:p>
          <w:p>
            <w:pPr>
              <w:pStyle w:val="TableParagraph"/>
              <w:spacing w:before="40"/>
              <w:ind w:left="774"/>
              <w:rPr>
                <w:sz w:val="22"/>
              </w:rPr>
            </w:pPr>
            <w:r>
              <w:rPr>
                <w:spacing w:val="-2"/>
                <w:sz w:val="22"/>
              </w:rPr>
              <w:t>0.10829</w:t>
            </w:r>
          </w:p>
        </w:tc>
        <w:tc>
          <w:tcPr>
            <w:tcW w:w="2367" w:type="dxa"/>
            <w:tcBorders>
              <w:left w:val="single" w:sz="4" w:space="0" w:color="1F1F5F"/>
              <w:right w:val="single" w:sz="4" w:space="0" w:color="1F1F5F"/>
            </w:tcBorders>
          </w:tcPr>
          <w:p>
            <w:pPr>
              <w:pStyle w:val="TableParagraph"/>
              <w:spacing w:before="95"/>
              <w:ind w:left="772"/>
              <w:rPr>
                <w:sz w:val="22"/>
              </w:rPr>
            </w:pPr>
            <w:r>
              <w:rPr>
                <w:spacing w:val="-2"/>
                <w:sz w:val="22"/>
              </w:rPr>
              <w:t>0.05792</w:t>
            </w:r>
          </w:p>
          <w:p>
            <w:pPr>
              <w:pStyle w:val="TableParagraph"/>
              <w:spacing w:before="40"/>
              <w:ind w:left="772"/>
              <w:rPr>
                <w:sz w:val="22"/>
              </w:rPr>
            </w:pPr>
            <w:r>
              <w:rPr>
                <w:spacing w:val="-2"/>
                <w:sz w:val="22"/>
              </w:rPr>
              <w:t>0.05810</w:t>
            </w:r>
          </w:p>
        </w:tc>
      </w:tr>
      <w:tr>
        <w:trPr>
          <w:trHeight w:val="763" w:hRule="atLeast"/>
        </w:trPr>
        <w:tc>
          <w:tcPr>
            <w:tcW w:w="2782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>
            <w:pPr>
              <w:pStyle w:val="TableParagraph"/>
              <w:spacing w:before="95"/>
              <w:ind w:left="10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Dec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2019</w:t>
            </w:r>
          </w:p>
          <w:p>
            <w:pPr>
              <w:pStyle w:val="TableParagraph"/>
              <w:spacing w:before="43"/>
              <w:ind w:left="10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 </w:t>
            </w:r>
            <w:r>
              <w:rPr>
                <w:spacing w:val="-4"/>
                <w:sz w:val="22"/>
              </w:rPr>
              <w:t>2019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>
            <w:pPr>
              <w:pStyle w:val="TableParagraph"/>
              <w:spacing w:before="95"/>
              <w:ind w:left="772"/>
              <w:rPr>
                <w:sz w:val="22"/>
              </w:rPr>
            </w:pPr>
            <w:r>
              <w:rPr>
                <w:spacing w:val="-2"/>
                <w:sz w:val="22"/>
              </w:rPr>
              <w:t>0.17586</w:t>
            </w:r>
          </w:p>
          <w:p>
            <w:pPr>
              <w:pStyle w:val="TableParagraph"/>
              <w:spacing w:before="43"/>
              <w:ind w:left="772"/>
              <w:rPr>
                <w:sz w:val="22"/>
              </w:rPr>
            </w:pPr>
            <w:r>
              <w:rPr>
                <w:spacing w:val="-2"/>
                <w:sz w:val="22"/>
              </w:rPr>
              <w:t>0.17815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>
            <w:pPr>
              <w:pStyle w:val="TableParagraph"/>
              <w:spacing w:before="95"/>
              <w:ind w:left="774"/>
              <w:rPr>
                <w:sz w:val="22"/>
              </w:rPr>
            </w:pPr>
            <w:r>
              <w:rPr>
                <w:spacing w:val="-2"/>
                <w:sz w:val="22"/>
              </w:rPr>
              <w:t>0.10876</w:t>
            </w:r>
          </w:p>
          <w:p>
            <w:pPr>
              <w:pStyle w:val="TableParagraph"/>
              <w:spacing w:before="43"/>
              <w:ind w:left="774"/>
              <w:rPr>
                <w:sz w:val="22"/>
              </w:rPr>
            </w:pPr>
            <w:r>
              <w:rPr>
                <w:spacing w:val="-2"/>
                <w:sz w:val="22"/>
              </w:rPr>
              <w:t>0.11097</w:t>
            </w:r>
          </w:p>
        </w:tc>
        <w:tc>
          <w:tcPr>
            <w:tcW w:w="2367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>
            <w:pPr>
              <w:pStyle w:val="TableParagraph"/>
              <w:spacing w:before="95"/>
              <w:ind w:left="771"/>
              <w:rPr>
                <w:sz w:val="22"/>
              </w:rPr>
            </w:pPr>
            <w:r>
              <w:rPr>
                <w:spacing w:val="-2"/>
                <w:sz w:val="22"/>
              </w:rPr>
              <w:t>0.05857</w:t>
            </w:r>
          </w:p>
          <w:p>
            <w:pPr>
              <w:pStyle w:val="TableParagraph"/>
              <w:spacing w:before="43"/>
              <w:ind w:left="771"/>
              <w:rPr>
                <w:sz w:val="22"/>
              </w:rPr>
            </w:pPr>
            <w:r>
              <w:rPr>
                <w:spacing w:val="-2"/>
                <w:sz w:val="22"/>
              </w:rPr>
              <w:t>0.06080</w:t>
            </w:r>
          </w:p>
        </w:tc>
      </w:tr>
      <w:tr>
        <w:trPr>
          <w:trHeight w:val="760" w:hRule="atLeast"/>
        </w:trPr>
        <w:tc>
          <w:tcPr>
            <w:tcW w:w="2782" w:type="dxa"/>
            <w:tcBorders>
              <w:left w:val="single" w:sz="4" w:space="0" w:color="1F1F5F"/>
              <w:right w:val="single" w:sz="4" w:space="0" w:color="1F1F5F"/>
            </w:tcBorders>
          </w:tcPr>
          <w:p>
            <w:pPr>
              <w:pStyle w:val="TableParagraph"/>
              <w:spacing w:before="95"/>
              <w:ind w:left="10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Dec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2018</w:t>
            </w:r>
          </w:p>
          <w:p>
            <w:pPr>
              <w:pStyle w:val="TableParagraph"/>
              <w:spacing w:before="40"/>
              <w:ind w:left="10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 </w:t>
            </w:r>
            <w:r>
              <w:rPr>
                <w:spacing w:val="-4"/>
                <w:sz w:val="22"/>
              </w:rPr>
              <w:t>2018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</w:tcPr>
          <w:p>
            <w:pPr>
              <w:pStyle w:val="TableParagraph"/>
              <w:spacing w:before="95"/>
              <w:ind w:left="772"/>
              <w:rPr>
                <w:sz w:val="22"/>
              </w:rPr>
            </w:pPr>
            <w:r>
              <w:rPr>
                <w:spacing w:val="-2"/>
                <w:sz w:val="22"/>
              </w:rPr>
              <w:t>0.18038</w:t>
            </w:r>
          </w:p>
          <w:p>
            <w:pPr>
              <w:pStyle w:val="TableParagraph"/>
              <w:spacing w:before="40"/>
              <w:ind w:left="772"/>
              <w:rPr>
                <w:sz w:val="22"/>
              </w:rPr>
            </w:pPr>
            <w:r>
              <w:rPr>
                <w:spacing w:val="-2"/>
                <w:sz w:val="22"/>
              </w:rPr>
              <w:t>0.18082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</w:tcPr>
          <w:p>
            <w:pPr>
              <w:pStyle w:val="TableParagraph"/>
              <w:spacing w:before="95"/>
              <w:ind w:left="774"/>
              <w:rPr>
                <w:sz w:val="22"/>
              </w:rPr>
            </w:pPr>
            <w:r>
              <w:rPr>
                <w:spacing w:val="-2"/>
                <w:sz w:val="22"/>
              </w:rPr>
              <w:t>0.11312</w:t>
            </w:r>
          </w:p>
          <w:p>
            <w:pPr>
              <w:pStyle w:val="TableParagraph"/>
              <w:spacing w:before="40"/>
              <w:ind w:left="774"/>
              <w:rPr>
                <w:sz w:val="22"/>
              </w:rPr>
            </w:pPr>
            <w:r>
              <w:rPr>
                <w:spacing w:val="-2"/>
                <w:sz w:val="22"/>
              </w:rPr>
              <w:t>0.11355</w:t>
            </w:r>
          </w:p>
        </w:tc>
        <w:tc>
          <w:tcPr>
            <w:tcW w:w="2367" w:type="dxa"/>
            <w:tcBorders>
              <w:left w:val="single" w:sz="4" w:space="0" w:color="1F1F5F"/>
              <w:right w:val="single" w:sz="4" w:space="0" w:color="1F1F5F"/>
            </w:tcBorders>
          </w:tcPr>
          <w:p>
            <w:pPr>
              <w:pStyle w:val="TableParagraph"/>
              <w:spacing w:before="95"/>
              <w:ind w:left="772"/>
              <w:rPr>
                <w:sz w:val="22"/>
              </w:rPr>
            </w:pPr>
            <w:r>
              <w:rPr>
                <w:spacing w:val="-2"/>
                <w:sz w:val="22"/>
              </w:rPr>
              <w:t>0.06298</w:t>
            </w:r>
          </w:p>
          <w:p>
            <w:pPr>
              <w:pStyle w:val="TableParagraph"/>
              <w:spacing w:before="40"/>
              <w:ind w:left="772"/>
              <w:rPr>
                <w:sz w:val="22"/>
              </w:rPr>
            </w:pPr>
            <w:r>
              <w:rPr>
                <w:spacing w:val="-2"/>
                <w:sz w:val="22"/>
              </w:rPr>
              <w:t>0.06342</w:t>
            </w:r>
          </w:p>
        </w:tc>
      </w:tr>
      <w:tr>
        <w:trPr>
          <w:trHeight w:val="763" w:hRule="atLeast"/>
        </w:trPr>
        <w:tc>
          <w:tcPr>
            <w:tcW w:w="2782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>
            <w:pPr>
              <w:pStyle w:val="TableParagraph"/>
              <w:spacing w:before="95"/>
              <w:ind w:left="10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Dec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2017</w:t>
            </w:r>
          </w:p>
          <w:p>
            <w:pPr>
              <w:pStyle w:val="TableParagraph"/>
              <w:spacing w:before="43"/>
              <w:ind w:left="10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 </w:t>
            </w:r>
            <w:r>
              <w:rPr>
                <w:spacing w:val="-4"/>
                <w:sz w:val="22"/>
              </w:rPr>
              <w:t>2017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>
            <w:pPr>
              <w:pStyle w:val="TableParagraph"/>
              <w:spacing w:before="95"/>
              <w:ind w:left="772"/>
              <w:rPr>
                <w:sz w:val="22"/>
              </w:rPr>
            </w:pPr>
            <w:r>
              <w:rPr>
                <w:spacing w:val="-2"/>
                <w:sz w:val="22"/>
              </w:rPr>
              <w:t>0.18048</w:t>
            </w:r>
          </w:p>
          <w:p>
            <w:pPr>
              <w:pStyle w:val="TableParagraph"/>
              <w:spacing w:before="43"/>
              <w:ind w:left="772"/>
              <w:rPr>
                <w:sz w:val="22"/>
              </w:rPr>
            </w:pPr>
            <w:r>
              <w:rPr>
                <w:spacing w:val="-2"/>
                <w:sz w:val="22"/>
              </w:rPr>
              <w:t>0.18044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>
            <w:pPr>
              <w:pStyle w:val="TableParagraph"/>
              <w:spacing w:before="95"/>
              <w:ind w:left="774"/>
              <w:rPr>
                <w:sz w:val="22"/>
              </w:rPr>
            </w:pPr>
            <w:r>
              <w:rPr>
                <w:spacing w:val="-2"/>
                <w:sz w:val="22"/>
              </w:rPr>
              <w:t>0.11322</w:t>
            </w:r>
          </w:p>
          <w:p>
            <w:pPr>
              <w:pStyle w:val="TableParagraph"/>
              <w:spacing w:before="43"/>
              <w:ind w:left="774"/>
              <w:rPr>
                <w:sz w:val="22"/>
              </w:rPr>
            </w:pPr>
            <w:r>
              <w:rPr>
                <w:spacing w:val="-2"/>
                <w:sz w:val="22"/>
              </w:rPr>
              <w:t>0.11318</w:t>
            </w:r>
          </w:p>
        </w:tc>
        <w:tc>
          <w:tcPr>
            <w:tcW w:w="2367" w:type="dxa"/>
            <w:tcBorders>
              <w:left w:val="single" w:sz="4" w:space="0" w:color="1F1F5F"/>
              <w:right w:val="single" w:sz="4" w:space="0" w:color="1F1F5F"/>
            </w:tcBorders>
            <w:shd w:val="clear" w:color="auto" w:fill="D9D9D9"/>
          </w:tcPr>
          <w:p>
            <w:pPr>
              <w:pStyle w:val="TableParagraph"/>
              <w:spacing w:before="95"/>
              <w:ind w:left="771"/>
              <w:rPr>
                <w:sz w:val="22"/>
              </w:rPr>
            </w:pPr>
            <w:r>
              <w:rPr>
                <w:spacing w:val="-2"/>
                <w:sz w:val="22"/>
              </w:rPr>
              <w:t>0.06308</w:t>
            </w:r>
          </w:p>
          <w:p>
            <w:pPr>
              <w:pStyle w:val="TableParagraph"/>
              <w:spacing w:before="43"/>
              <w:ind w:left="771"/>
              <w:rPr>
                <w:sz w:val="22"/>
              </w:rPr>
            </w:pPr>
            <w:r>
              <w:rPr>
                <w:spacing w:val="-2"/>
                <w:sz w:val="22"/>
              </w:rPr>
              <w:t>0.06304</w:t>
            </w:r>
          </w:p>
        </w:tc>
      </w:tr>
      <w:tr>
        <w:trPr>
          <w:trHeight w:val="763" w:hRule="atLeast"/>
        </w:trPr>
        <w:tc>
          <w:tcPr>
            <w:tcW w:w="2782" w:type="dxa"/>
            <w:tcBorders>
              <w:left w:val="single" w:sz="4" w:space="0" w:color="1F1F5F"/>
              <w:right w:val="single" w:sz="4" w:space="0" w:color="1F1F5F"/>
            </w:tcBorders>
          </w:tcPr>
          <w:p>
            <w:pPr>
              <w:pStyle w:val="TableParagraph"/>
              <w:spacing w:before="95"/>
              <w:ind w:left="10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Dec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2016</w:t>
            </w:r>
          </w:p>
          <w:p>
            <w:pPr>
              <w:pStyle w:val="TableParagraph"/>
              <w:spacing w:before="40"/>
              <w:ind w:left="10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 </w:t>
            </w:r>
            <w:r>
              <w:rPr>
                <w:spacing w:val="-4"/>
                <w:sz w:val="22"/>
              </w:rPr>
              <w:t>2016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</w:tcPr>
          <w:p>
            <w:pPr>
              <w:pStyle w:val="TableParagraph"/>
              <w:spacing w:before="95"/>
              <w:ind w:left="772"/>
              <w:rPr>
                <w:sz w:val="22"/>
              </w:rPr>
            </w:pPr>
            <w:r>
              <w:rPr>
                <w:spacing w:val="-2"/>
                <w:sz w:val="22"/>
              </w:rPr>
              <w:t>0.17915</w:t>
            </w:r>
          </w:p>
          <w:p>
            <w:pPr>
              <w:pStyle w:val="TableParagraph"/>
              <w:spacing w:before="40"/>
              <w:ind w:left="772"/>
              <w:rPr>
                <w:sz w:val="22"/>
              </w:rPr>
            </w:pPr>
            <w:r>
              <w:rPr>
                <w:spacing w:val="-2"/>
                <w:sz w:val="22"/>
              </w:rPr>
              <w:t>0.17988</w:t>
            </w:r>
          </w:p>
        </w:tc>
        <w:tc>
          <w:tcPr>
            <w:tcW w:w="2369" w:type="dxa"/>
            <w:tcBorders>
              <w:left w:val="single" w:sz="4" w:space="0" w:color="1F1F5F"/>
              <w:right w:val="single" w:sz="4" w:space="0" w:color="1F1F5F"/>
            </w:tcBorders>
          </w:tcPr>
          <w:p>
            <w:pPr>
              <w:pStyle w:val="TableParagraph"/>
              <w:spacing w:before="95"/>
              <w:ind w:left="774"/>
              <w:rPr>
                <w:sz w:val="22"/>
              </w:rPr>
            </w:pPr>
            <w:r>
              <w:rPr>
                <w:spacing w:val="-2"/>
                <w:sz w:val="22"/>
              </w:rPr>
              <w:t>0.11193</w:t>
            </w:r>
          </w:p>
          <w:p>
            <w:pPr>
              <w:pStyle w:val="TableParagraph"/>
              <w:spacing w:before="40"/>
              <w:ind w:left="774"/>
              <w:rPr>
                <w:sz w:val="22"/>
              </w:rPr>
            </w:pPr>
            <w:r>
              <w:rPr>
                <w:spacing w:val="-2"/>
                <w:sz w:val="22"/>
              </w:rPr>
              <w:t>0.11264</w:t>
            </w:r>
          </w:p>
        </w:tc>
        <w:tc>
          <w:tcPr>
            <w:tcW w:w="2367" w:type="dxa"/>
            <w:tcBorders>
              <w:left w:val="single" w:sz="4" w:space="0" w:color="1F1F5F"/>
              <w:right w:val="single" w:sz="4" w:space="0" w:color="1F1F5F"/>
            </w:tcBorders>
          </w:tcPr>
          <w:p>
            <w:pPr>
              <w:pStyle w:val="TableParagraph"/>
              <w:spacing w:before="95"/>
              <w:ind w:left="772"/>
              <w:rPr>
                <w:sz w:val="22"/>
              </w:rPr>
            </w:pPr>
            <w:r>
              <w:rPr>
                <w:spacing w:val="-2"/>
                <w:sz w:val="22"/>
              </w:rPr>
              <w:t>0.06177</w:t>
            </w:r>
          </w:p>
          <w:p>
            <w:pPr>
              <w:pStyle w:val="TableParagraph"/>
              <w:spacing w:before="40"/>
              <w:ind w:left="772"/>
              <w:rPr>
                <w:sz w:val="22"/>
              </w:rPr>
            </w:pPr>
            <w:r>
              <w:rPr>
                <w:spacing w:val="-2"/>
                <w:sz w:val="22"/>
              </w:rPr>
              <w:t>0.06249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792" w:footer="1429" w:top="1160" w:bottom="1660" w:left="0" w:right="0"/>
        </w:sectPr>
      </w:pP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1226" w:type="dxa"/>
        <w:tblBorders>
          <w:top w:val="single" w:sz="4" w:space="0" w:color="1F1F5F"/>
          <w:left w:val="single" w:sz="4" w:space="0" w:color="1F1F5F"/>
          <w:bottom w:val="single" w:sz="4" w:space="0" w:color="1F1F5F"/>
          <w:right w:val="single" w:sz="4" w:space="0" w:color="1F1F5F"/>
          <w:insideH w:val="single" w:sz="4" w:space="0" w:color="1F1F5F"/>
          <w:insideV w:val="single" w:sz="4" w:space="0" w:color="1F1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2"/>
        <w:gridCol w:w="2369"/>
        <w:gridCol w:w="2369"/>
        <w:gridCol w:w="2367"/>
      </w:tblGrid>
      <w:tr>
        <w:trPr>
          <w:trHeight w:val="518" w:hRule="atLeast"/>
        </w:trPr>
        <w:tc>
          <w:tcPr>
            <w:tcW w:w="2782" w:type="dxa"/>
            <w:vMerge w:val="restart"/>
            <w:tcBorders>
              <w:top w:val="nil"/>
              <w:bottom w:val="nil"/>
            </w:tcBorders>
            <w:shd w:val="clear" w:color="auto" w:fill="1F1F5F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104"/>
              <w:ind w:left="0"/>
              <w:rPr>
                <w:sz w:val="22"/>
              </w:rPr>
            </w:pPr>
          </w:p>
          <w:p>
            <w:pPr>
              <w:pStyle w:val="TableParagraph"/>
              <w:spacing w:before="0"/>
              <w:ind w:left="105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CRD</w:t>
            </w:r>
            <w:r>
              <w:rPr>
                <w:b/>
                <w:color w:val="FFFFFF"/>
                <w:spacing w:val="-2"/>
                <w:sz w:val="22"/>
              </w:rPr>
              <w:t> period</w:t>
            </w:r>
          </w:p>
        </w:tc>
        <w:tc>
          <w:tcPr>
            <w:tcW w:w="7105" w:type="dxa"/>
            <w:gridSpan w:val="3"/>
            <w:tcBorders>
              <w:top w:val="nil"/>
              <w:bottom w:val="nil"/>
            </w:tcBorders>
            <w:shd w:val="clear" w:color="auto" w:fill="1F1F5F"/>
          </w:tcPr>
          <w:p>
            <w:pPr>
              <w:pStyle w:val="TableParagraph"/>
              <w:spacing w:before="126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Factors</w:t>
            </w:r>
            <w:r>
              <w:rPr>
                <w:b/>
                <w:color w:val="FFFFFF"/>
                <w:spacing w:val="-5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by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period</w:t>
            </w:r>
            <w:r>
              <w:rPr>
                <w:b/>
                <w:color w:val="FFFFFF"/>
                <w:spacing w:val="-4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of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years</w:t>
            </w:r>
          </w:p>
        </w:tc>
      </w:tr>
      <w:tr>
        <w:trPr>
          <w:trHeight w:val="496" w:hRule="atLeast"/>
        </w:trPr>
        <w:tc>
          <w:tcPr>
            <w:tcW w:w="2782" w:type="dxa"/>
            <w:vMerge/>
            <w:tcBorders>
              <w:top w:val="nil"/>
              <w:bottom w:val="nil"/>
            </w:tcBorders>
            <w:shd w:val="clear" w:color="auto" w:fill="1F1F5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1F1F5F"/>
          </w:tcPr>
          <w:p>
            <w:pPr>
              <w:pStyle w:val="TableParagraph"/>
              <w:spacing w:before="114"/>
              <w:ind w:left="6" w:right="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3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years</w:t>
            </w: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1F1F5F"/>
          </w:tcPr>
          <w:p>
            <w:pPr>
              <w:pStyle w:val="TableParagraph"/>
              <w:spacing w:before="114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5</w:t>
            </w:r>
            <w:r>
              <w:rPr>
                <w:b/>
                <w:color w:val="FFFFFF"/>
                <w:spacing w:val="-2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years</w:t>
            </w:r>
          </w:p>
        </w:tc>
        <w:tc>
          <w:tcPr>
            <w:tcW w:w="2367" w:type="dxa"/>
            <w:tcBorders>
              <w:top w:val="nil"/>
              <w:bottom w:val="nil"/>
            </w:tcBorders>
            <w:shd w:val="clear" w:color="auto" w:fill="1F1F5F"/>
          </w:tcPr>
          <w:p>
            <w:pPr>
              <w:pStyle w:val="TableParagraph"/>
              <w:spacing w:before="114"/>
              <w:ind w:left="76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10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years</w:t>
            </w:r>
          </w:p>
        </w:tc>
      </w:tr>
      <w:tr>
        <w:trPr>
          <w:trHeight w:val="763" w:hRule="atLeast"/>
        </w:trPr>
        <w:tc>
          <w:tcPr>
            <w:tcW w:w="2782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95"/>
              <w:ind w:left="10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Dec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2015</w:t>
            </w:r>
          </w:p>
          <w:p>
            <w:pPr>
              <w:pStyle w:val="TableParagraph"/>
              <w:spacing w:before="40"/>
              <w:ind w:left="10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 </w:t>
            </w:r>
            <w:r>
              <w:rPr>
                <w:spacing w:val="-4"/>
                <w:sz w:val="22"/>
              </w:rPr>
              <w:t>2015</w:t>
            </w: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95"/>
              <w:ind w:left="772"/>
              <w:rPr>
                <w:sz w:val="22"/>
              </w:rPr>
            </w:pPr>
            <w:r>
              <w:rPr>
                <w:spacing w:val="-2"/>
                <w:sz w:val="22"/>
              </w:rPr>
              <w:t>0.18086</w:t>
            </w:r>
          </w:p>
          <w:p>
            <w:pPr>
              <w:pStyle w:val="TableParagraph"/>
              <w:spacing w:before="40"/>
              <w:ind w:left="772"/>
              <w:rPr>
                <w:sz w:val="22"/>
              </w:rPr>
            </w:pPr>
            <w:r>
              <w:rPr>
                <w:spacing w:val="-2"/>
                <w:sz w:val="22"/>
              </w:rPr>
              <w:t>0.18048</w:t>
            </w:r>
          </w:p>
        </w:tc>
        <w:tc>
          <w:tcPr>
            <w:tcW w:w="2369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95"/>
              <w:ind w:left="774"/>
              <w:rPr>
                <w:sz w:val="22"/>
              </w:rPr>
            </w:pPr>
            <w:r>
              <w:rPr>
                <w:spacing w:val="-2"/>
                <w:sz w:val="22"/>
              </w:rPr>
              <w:t>0.11359</w:t>
            </w:r>
          </w:p>
          <w:p>
            <w:pPr>
              <w:pStyle w:val="TableParagraph"/>
              <w:spacing w:before="40"/>
              <w:ind w:left="774"/>
              <w:rPr>
                <w:sz w:val="22"/>
              </w:rPr>
            </w:pPr>
            <w:r>
              <w:rPr>
                <w:spacing w:val="-2"/>
                <w:sz w:val="22"/>
              </w:rPr>
              <w:t>0.11323</w:t>
            </w:r>
          </w:p>
        </w:tc>
        <w:tc>
          <w:tcPr>
            <w:tcW w:w="236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95"/>
              <w:ind w:left="771"/>
              <w:rPr>
                <w:sz w:val="22"/>
              </w:rPr>
            </w:pPr>
            <w:r>
              <w:rPr>
                <w:spacing w:val="-2"/>
                <w:sz w:val="22"/>
              </w:rPr>
              <w:t>0.06346</w:t>
            </w:r>
          </w:p>
          <w:p>
            <w:pPr>
              <w:pStyle w:val="TableParagraph"/>
              <w:spacing w:before="40"/>
              <w:ind w:left="771"/>
              <w:rPr>
                <w:sz w:val="22"/>
              </w:rPr>
            </w:pPr>
            <w:r>
              <w:rPr>
                <w:spacing w:val="-2"/>
                <w:sz w:val="22"/>
              </w:rPr>
              <w:t>0.06309</w:t>
            </w:r>
          </w:p>
        </w:tc>
      </w:tr>
      <w:tr>
        <w:trPr>
          <w:trHeight w:val="760" w:hRule="atLeast"/>
        </w:trPr>
        <w:tc>
          <w:tcPr>
            <w:tcW w:w="2782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92"/>
              <w:ind w:left="10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Dec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2014</w:t>
            </w:r>
          </w:p>
          <w:p>
            <w:pPr>
              <w:pStyle w:val="TableParagraph"/>
              <w:spacing w:before="43"/>
              <w:ind w:left="10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Jun </w:t>
            </w:r>
            <w:r>
              <w:rPr>
                <w:spacing w:val="-4"/>
                <w:sz w:val="22"/>
              </w:rPr>
              <w:t>2014</w:t>
            </w:r>
          </w:p>
        </w:tc>
        <w:tc>
          <w:tcPr>
            <w:tcW w:w="2369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92"/>
              <w:ind w:left="772"/>
              <w:rPr>
                <w:sz w:val="22"/>
              </w:rPr>
            </w:pPr>
            <w:r>
              <w:rPr>
                <w:spacing w:val="-2"/>
                <w:sz w:val="22"/>
              </w:rPr>
              <w:t>0.18256</w:t>
            </w:r>
          </w:p>
          <w:p>
            <w:pPr>
              <w:pStyle w:val="TableParagraph"/>
              <w:spacing w:before="43"/>
              <w:ind w:left="772"/>
              <w:rPr>
                <w:sz w:val="22"/>
              </w:rPr>
            </w:pPr>
            <w:r>
              <w:rPr>
                <w:spacing w:val="-2"/>
                <w:sz w:val="22"/>
              </w:rPr>
              <w:t>0.18454</w:t>
            </w:r>
          </w:p>
        </w:tc>
        <w:tc>
          <w:tcPr>
            <w:tcW w:w="2369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92"/>
              <w:ind w:left="774"/>
              <w:rPr>
                <w:sz w:val="22"/>
              </w:rPr>
            </w:pPr>
            <w:r>
              <w:rPr>
                <w:spacing w:val="-2"/>
                <w:sz w:val="22"/>
              </w:rPr>
              <w:t>0.11523</w:t>
            </w:r>
          </w:p>
          <w:p>
            <w:pPr>
              <w:pStyle w:val="TableParagraph"/>
              <w:spacing w:before="43"/>
              <w:ind w:left="774"/>
              <w:rPr>
                <w:sz w:val="22"/>
              </w:rPr>
            </w:pPr>
            <w:r>
              <w:rPr>
                <w:spacing w:val="-2"/>
                <w:sz w:val="22"/>
              </w:rPr>
              <w:t>0.11718</w:t>
            </w:r>
          </w:p>
        </w:tc>
        <w:tc>
          <w:tcPr>
            <w:tcW w:w="2367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92"/>
              <w:ind w:left="772"/>
              <w:rPr>
                <w:sz w:val="22"/>
              </w:rPr>
            </w:pPr>
            <w:r>
              <w:rPr>
                <w:spacing w:val="-2"/>
                <w:sz w:val="22"/>
              </w:rPr>
              <w:t>0.06515</w:t>
            </w:r>
          </w:p>
          <w:p>
            <w:pPr>
              <w:pStyle w:val="TableParagraph"/>
              <w:spacing w:before="43"/>
              <w:ind w:left="772"/>
              <w:rPr>
                <w:sz w:val="22"/>
              </w:rPr>
            </w:pPr>
            <w:r>
              <w:rPr>
                <w:spacing w:val="-2"/>
                <w:sz w:val="22"/>
              </w:rPr>
              <w:t>0.06717</w:t>
            </w:r>
          </w:p>
        </w:tc>
      </w:tr>
    </w:tbl>
    <w:p>
      <w:pPr>
        <w:pStyle w:val="Heading1"/>
        <w:spacing w:before="246"/>
        <w:rPr>
          <w:b/>
        </w:rPr>
      </w:pPr>
      <w:bookmarkStart w:name="MRA publications" w:id="7"/>
      <w:bookmarkEnd w:id="7"/>
      <w:r>
        <w:rPr/>
      </w:r>
      <w:bookmarkStart w:name="_bookmark3" w:id="8"/>
      <w:bookmarkEnd w:id="8"/>
      <w:r>
        <w:rPr/>
      </w:r>
      <w:r>
        <w:rPr>
          <w:b/>
          <w:color w:val="1F1F5F"/>
        </w:rPr>
        <w:t>MRA</w:t>
      </w:r>
      <w:r>
        <w:rPr>
          <w:b/>
          <w:color w:val="1F1F5F"/>
          <w:spacing w:val="-13"/>
        </w:rPr>
        <w:t> </w:t>
      </w:r>
      <w:r>
        <w:rPr>
          <w:b/>
          <w:color w:val="1F1F5F"/>
          <w:spacing w:val="-2"/>
        </w:rPr>
        <w:t>publications</w:t>
      </w:r>
    </w:p>
    <w:p>
      <w:pPr>
        <w:pStyle w:val="ListParagraph"/>
        <w:numPr>
          <w:ilvl w:val="0"/>
          <w:numId w:val="1"/>
        </w:numPr>
        <w:tabs>
          <w:tab w:pos="1218" w:val="left" w:leader="none"/>
        </w:tabs>
        <w:spacing w:line="240" w:lineRule="auto" w:before="201" w:after="0"/>
        <w:ind w:left="1218" w:right="1032" w:hanging="425"/>
        <w:jc w:val="left"/>
        <w:rPr>
          <w:sz w:val="22"/>
        </w:rPr>
      </w:pPr>
      <w:r>
        <w:rPr>
          <w:sz w:val="22"/>
        </w:rPr>
        <w:t>Royalty</w:t>
      </w:r>
      <w:r>
        <w:rPr>
          <w:spacing w:val="-4"/>
          <w:sz w:val="22"/>
        </w:rPr>
        <w:t> </w:t>
      </w:r>
      <w:r>
        <w:rPr>
          <w:sz w:val="22"/>
        </w:rPr>
        <w:t>Guideline</w:t>
      </w:r>
      <w:r>
        <w:rPr>
          <w:spacing w:val="-3"/>
          <w:sz w:val="22"/>
        </w:rPr>
        <w:t> </w:t>
      </w:r>
      <w:r>
        <w:rPr>
          <w:sz w:val="22"/>
        </w:rPr>
        <w:t>RG-MRA-001:</w:t>
      </w:r>
      <w:r>
        <w:rPr>
          <w:spacing w:val="-1"/>
          <w:sz w:val="22"/>
        </w:rPr>
        <w:t> </w:t>
      </w:r>
      <w:r>
        <w:rPr>
          <w:i/>
          <w:sz w:val="22"/>
        </w:rPr>
        <w:t>MRA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guidelines 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advance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opinions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sets</w:t>
      </w:r>
      <w:r>
        <w:rPr>
          <w:spacing w:val="-1"/>
          <w:sz w:val="22"/>
        </w:rPr>
        <w:t> </w:t>
      </w:r>
      <w:r>
        <w:rPr>
          <w:sz w:val="22"/>
        </w:rPr>
        <w:t>out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4"/>
          <w:sz w:val="22"/>
        </w:rPr>
        <w:t> </w:t>
      </w:r>
      <w:r>
        <w:rPr>
          <w:sz w:val="22"/>
        </w:rPr>
        <w:t>on the guideline system, is incorporated into and read as one with this guideline.</w:t>
      </w:r>
    </w:p>
    <w:p>
      <w:pPr>
        <w:pStyle w:val="BodyText"/>
        <w:spacing w:before="2"/>
        <w:rPr>
          <w:sz w:val="11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515391</wp:posOffset>
            </wp:positionH>
            <wp:positionV relativeFrom="paragraph">
              <wp:posOffset>100947</wp:posOffset>
            </wp:positionV>
            <wp:extent cx="1504188" cy="1163954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188" cy="1163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8"/>
        <w:ind w:left="794" w:right="0" w:firstLine="0"/>
        <w:jc w:val="left"/>
        <w:rPr>
          <w:sz w:val="20"/>
        </w:rPr>
      </w:pPr>
      <w:r>
        <w:rPr>
          <w:sz w:val="20"/>
        </w:rPr>
        <w:t>Sarah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Rummery</w:t>
      </w:r>
    </w:p>
    <w:p>
      <w:pPr>
        <w:spacing w:before="120"/>
        <w:ind w:left="794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SECRETARY</w:t>
      </w:r>
    </w:p>
    <w:p>
      <w:pPr>
        <w:spacing w:before="120"/>
        <w:ind w:left="794" w:right="0" w:firstLine="0"/>
        <w:jc w:val="left"/>
        <w:rPr>
          <w:sz w:val="20"/>
        </w:rPr>
      </w:pPr>
      <w:r>
        <w:rPr>
          <w:sz w:val="20"/>
        </w:rPr>
        <w:t>Date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issue:</w:t>
      </w:r>
      <w:r>
        <w:rPr>
          <w:spacing w:val="45"/>
          <w:sz w:val="20"/>
        </w:rPr>
        <w:t> </w:t>
      </w:r>
      <w:r>
        <w:rPr>
          <w:sz w:val="20"/>
        </w:rPr>
        <w:t>9</w:t>
      </w:r>
      <w:r>
        <w:rPr>
          <w:spacing w:val="-3"/>
          <w:sz w:val="20"/>
        </w:rPr>
        <w:t> </w:t>
      </w:r>
      <w:r>
        <w:rPr>
          <w:sz w:val="20"/>
        </w:rPr>
        <w:t>July</w:t>
      </w:r>
      <w:r>
        <w:rPr>
          <w:spacing w:val="-1"/>
          <w:sz w:val="20"/>
        </w:rPr>
        <w:t> </w:t>
      </w:r>
      <w:r>
        <w:rPr>
          <w:spacing w:val="-4"/>
          <w:sz w:val="20"/>
        </w:rPr>
        <w:t>2024</w:t>
      </w: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8"/>
        <w:gridCol w:w="6705"/>
      </w:tblGrid>
      <w:tr>
        <w:trPr>
          <w:trHeight w:val="472" w:hRule="atLeast"/>
        </w:trPr>
        <w:tc>
          <w:tcPr>
            <w:tcW w:w="10333" w:type="dxa"/>
            <w:gridSpan w:val="2"/>
            <w:tcBorders>
              <w:top w:val="single" w:sz="4" w:space="0" w:color="333399"/>
              <w:bottom w:val="single" w:sz="4" w:space="0" w:color="333399"/>
            </w:tcBorders>
          </w:tcPr>
          <w:p>
            <w:pPr>
              <w:pStyle w:val="TableParagraph"/>
              <w:spacing w:before="117"/>
              <w:ind w:left="14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information,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Territory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Revenue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Office</w:t>
            </w:r>
          </w:p>
        </w:tc>
      </w:tr>
      <w:tr>
        <w:trPr>
          <w:trHeight w:val="1074" w:hRule="atLeast"/>
        </w:trPr>
        <w:tc>
          <w:tcPr>
            <w:tcW w:w="3628" w:type="dxa"/>
            <w:tcBorders>
              <w:top w:val="single" w:sz="4" w:space="0" w:color="333399"/>
              <w:bottom w:val="single" w:sz="4" w:space="0" w:color="333399"/>
            </w:tcBorders>
          </w:tcPr>
          <w:p>
            <w:pPr>
              <w:pStyle w:val="TableParagraph"/>
              <w:spacing w:before="116"/>
              <w:ind w:left="14"/>
              <w:rPr>
                <w:sz w:val="20"/>
              </w:rPr>
            </w:pPr>
            <w:r>
              <w:rPr>
                <w:sz w:val="20"/>
              </w:rPr>
              <w:t>GPO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Box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1974</w:t>
            </w:r>
          </w:p>
          <w:p>
            <w:pPr>
              <w:pStyle w:val="TableParagraph"/>
              <w:spacing w:before="60"/>
              <w:ind w:left="14"/>
              <w:rPr>
                <w:sz w:val="20"/>
              </w:rPr>
            </w:pPr>
            <w:r>
              <w:rPr>
                <w:sz w:val="20"/>
              </w:rPr>
              <w:t>Darwin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0801</w:t>
            </w:r>
          </w:p>
          <w:p>
            <w:pPr>
              <w:pStyle w:val="TableParagraph"/>
              <w:spacing w:before="60"/>
              <w:ind w:left="14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9"/>
                <w:sz w:val="20"/>
              </w:rPr>
              <w:t> </w:t>
            </w:r>
            <w:hyperlink r:id="rId11">
              <w:r>
                <w:rPr>
                  <w:color w:val="0562C1"/>
                  <w:spacing w:val="-2"/>
                  <w:sz w:val="20"/>
                  <w:u w:val="single" w:color="0562C1"/>
                </w:rPr>
                <w:t>ntrevenue@nt.gov.au</w:t>
              </w:r>
            </w:hyperlink>
          </w:p>
        </w:tc>
        <w:tc>
          <w:tcPr>
            <w:tcW w:w="6705" w:type="dxa"/>
            <w:tcBorders>
              <w:top w:val="single" w:sz="4" w:space="0" w:color="333399"/>
              <w:bottom w:val="single" w:sz="4" w:space="0" w:color="333399"/>
            </w:tcBorders>
          </w:tcPr>
          <w:p>
            <w:pPr>
              <w:pStyle w:val="TableParagraph"/>
              <w:spacing w:before="116"/>
              <w:ind w:left="1159"/>
              <w:rPr>
                <w:sz w:val="20"/>
              </w:rPr>
            </w:pPr>
            <w:r>
              <w:rPr>
                <w:sz w:val="20"/>
              </w:rPr>
              <w:t>Phone: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1300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305</w:t>
            </w:r>
            <w:r>
              <w:rPr>
                <w:spacing w:val="-5"/>
                <w:sz w:val="20"/>
              </w:rPr>
              <w:t> 353</w:t>
            </w:r>
          </w:p>
          <w:p>
            <w:pPr>
              <w:pStyle w:val="TableParagraph"/>
              <w:spacing w:before="60"/>
              <w:ind w:left="1159"/>
              <w:rPr>
                <w:sz w:val="20"/>
              </w:rPr>
            </w:pPr>
            <w:r>
              <w:rPr>
                <w:sz w:val="20"/>
              </w:rPr>
              <w:t>Website:</w:t>
            </w:r>
            <w:r>
              <w:rPr>
                <w:spacing w:val="-8"/>
                <w:sz w:val="20"/>
              </w:rPr>
              <w:t> </w:t>
            </w:r>
            <w:hyperlink r:id="rId9">
              <w:r>
                <w:rPr>
                  <w:color w:val="0562C1"/>
                  <w:spacing w:val="-2"/>
                  <w:sz w:val="20"/>
                  <w:u w:val="single" w:color="0562C1"/>
                </w:rPr>
                <w:t>www.revenue.nt.gov.au</w:t>
              </w:r>
            </w:hyperlink>
          </w:p>
        </w:tc>
      </w:tr>
    </w:tbl>
    <w:sectPr>
      <w:pgSz w:w="11910" w:h="16840"/>
      <w:pgMar w:header="792" w:footer="1429" w:top="1160" w:bottom="166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ato">
    <w:altName w:val="Lato"/>
    <w:charset w:val="0"/>
    <w:family w:val="swiss"/>
    <w:pitch w:val="variable"/>
  </w:font>
  <w:font w:name="Lato Semibold">
    <w:altName w:val="Lato Semibold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91552">
              <wp:simplePos x="0" y="0"/>
              <wp:positionH relativeFrom="page">
                <wp:posOffset>504444</wp:posOffset>
              </wp:positionH>
              <wp:positionV relativeFrom="page">
                <wp:posOffset>9633191</wp:posOffset>
              </wp:positionV>
              <wp:extent cx="6551930" cy="635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65519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51930" h="6350">
                            <a:moveTo>
                              <a:pt x="6551676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6551676" y="6108"/>
                            </a:lnTo>
                            <a:lnTo>
                              <a:pt x="655167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9.720001pt;margin-top:758.518982pt;width:515.88pt;height:.481pt;mso-position-horizontal-relative:page;mso-position-vertical-relative:page;z-index:-16124928" id="docshape2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92064">
              <wp:simplePos x="0" y="0"/>
              <wp:positionH relativeFrom="page">
                <wp:posOffset>491744</wp:posOffset>
              </wp:positionH>
              <wp:positionV relativeFrom="page">
                <wp:posOffset>9725700</wp:posOffset>
              </wp:positionV>
              <wp:extent cx="2306320" cy="45974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306320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Department</w:t>
                          </w:r>
                          <w:r>
                            <w:rPr>
                              <w:spacing w:val="-9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of</w:t>
                          </w:r>
                          <w:r>
                            <w:rPr>
                              <w:spacing w:val="-8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z w:val="19"/>
                            </w:rPr>
                            <w:t>TREASURY</w:t>
                          </w:r>
                          <w:r>
                            <w:rPr>
                              <w:b/>
                              <w:spacing w:val="-9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z w:val="19"/>
                            </w:rPr>
                            <w:t>AND</w:t>
                          </w:r>
                          <w:r>
                            <w:rPr>
                              <w:b/>
                              <w:spacing w:val="-8"/>
                              <w:sz w:val="19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9"/>
                            </w:rPr>
                            <w:t>FINANCE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9</w:t>
                          </w:r>
                          <w:r>
                            <w:rPr>
                              <w:spacing w:val="-6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July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2024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|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Version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> 27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z w:val="19"/>
                            </w:rPr>
                            <w:instrText> PAGE </w:instrText>
                          </w:r>
                          <w:r>
                            <w:rPr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z w:val="19"/>
                            </w:rPr>
                            <w:t>3</w:t>
                          </w:r>
                          <w:r>
                            <w:rPr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9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9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.720001pt;margin-top:765.803223pt;width:181.6pt;height:36.2pt;mso-position-horizontal-relative:page;mso-position-vertical-relative:page;z-index:-16124416" type="#_x0000_t202" id="docshape3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sz w:val="19"/>
                      </w:rPr>
                      <w:t>Department</w:t>
                    </w:r>
                    <w:r>
                      <w:rPr>
                        <w:spacing w:val="-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-8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TREASURY</w:t>
                    </w:r>
                    <w:r>
                      <w:rPr>
                        <w:b/>
                        <w:spacing w:val="-9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AND</w:t>
                    </w:r>
                    <w:r>
                      <w:rPr>
                        <w:b/>
                        <w:spacing w:val="-8"/>
                        <w:sz w:val="19"/>
                      </w:rPr>
                      <w:t> </w:t>
                    </w:r>
                    <w:r>
                      <w:rPr>
                        <w:b/>
                        <w:spacing w:val="-2"/>
                        <w:sz w:val="19"/>
                      </w:rPr>
                      <w:t>FINANCE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9</w:t>
                    </w:r>
                    <w:r>
                      <w:rPr>
                        <w:spacing w:val="-6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July</w:t>
                    </w:r>
                    <w:r>
                      <w:rPr>
                        <w:spacing w:val="-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2024</w:t>
                    </w:r>
                    <w:r>
                      <w:rPr>
                        <w:spacing w:val="-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|</w:t>
                    </w:r>
                    <w:r>
                      <w:rPr>
                        <w:spacing w:val="-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Version</w:t>
                    </w:r>
                    <w:r>
                      <w:rPr>
                        <w:spacing w:val="-5"/>
                        <w:sz w:val="19"/>
                      </w:rPr>
                      <w:t> 27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Page</w:t>
                    </w:r>
                    <w:r>
                      <w:rPr>
                        <w:spacing w:val="-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fldChar w:fldCharType="begin"/>
                    </w:r>
                    <w:r>
                      <w:rPr>
                        <w:sz w:val="19"/>
                      </w:rPr>
                      <w:instrText> PAGE </w:instrText>
                    </w:r>
                    <w:r>
                      <w:rPr>
                        <w:sz w:val="19"/>
                      </w:rPr>
                      <w:fldChar w:fldCharType="separate"/>
                    </w:r>
                    <w:r>
                      <w:rPr>
                        <w:sz w:val="19"/>
                      </w:rPr>
                      <w:t>3</w:t>
                    </w:r>
                    <w:r>
                      <w:rPr>
                        <w:sz w:val="19"/>
                      </w:rPr>
                      <w:fldChar w:fldCharType="end"/>
                    </w:r>
                    <w:r>
                      <w:rPr>
                        <w:spacing w:val="-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of</w:t>
                    </w:r>
                    <w:r>
                      <w:rPr>
                        <w:spacing w:val="-3"/>
                        <w:sz w:val="19"/>
                      </w:rPr>
                      <w:t> </w:t>
                    </w:r>
                    <w:r>
                      <w:rPr>
                        <w:spacing w:val="-10"/>
                        <w:sz w:val="19"/>
                      </w:rPr>
                      <w:fldChar w:fldCharType="begin"/>
                    </w:r>
                    <w:r>
                      <w:rPr>
                        <w:spacing w:val="-10"/>
                        <w:sz w:val="19"/>
                      </w:rPr>
                      <w:instrText> NUMPAGES </w:instrText>
                    </w:r>
                    <w:r>
                      <w:rPr>
                        <w:spacing w:val="-10"/>
                        <w:sz w:val="19"/>
                      </w:rPr>
                      <w:fldChar w:fldCharType="separate"/>
                    </w:r>
                    <w:r>
                      <w:rPr>
                        <w:spacing w:val="-10"/>
                        <w:sz w:val="19"/>
                      </w:rPr>
                      <w:t>5</w:t>
                    </w:r>
                    <w:r>
                      <w:rPr>
                        <w:spacing w:val="-10"/>
                        <w:sz w:val="1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91040">
              <wp:simplePos x="0" y="0"/>
              <wp:positionH relativeFrom="page">
                <wp:posOffset>1002283</wp:posOffset>
              </wp:positionH>
              <wp:positionV relativeFrom="page">
                <wp:posOffset>490518</wp:posOffset>
              </wp:positionV>
              <wp:extent cx="6068060" cy="19367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068060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/>
                            <w:t>Mineral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Royalty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Act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1982: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Royalty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Guideline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RG-MRA-007: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Capital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recognition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deduction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factors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8.919998pt;margin-top:38.623505pt;width:477.8pt;height:15.25pt;mso-position-horizontal-relative:page;mso-position-vertical-relative:page;z-index:-1612544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/>
                      <w:t>Mineral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Royalty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Act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1982: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Royalty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Guideline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RG-MRA-007: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Capital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recognition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deduction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2"/>
                      </w:rPr>
                      <w:t>factors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19" w:hanging="425"/>
        <w:jc w:val="left"/>
      </w:pPr>
      <w:rPr>
        <w:rFonts w:hint="default" w:ascii="Lato" w:hAnsi="Lato" w:eastAsia="Lato" w:cs="Lato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1644" w:hanging="425"/>
        <w:jc w:val="left"/>
      </w:pPr>
      <w:rPr>
        <w:rFonts w:hint="default" w:ascii="Lato" w:hAnsi="Lato" w:eastAsia="Lato" w:cs="Lato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4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1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2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2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3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4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24" w:hanging="42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ato" w:hAnsi="Lato" w:eastAsia="Lato" w:cs="Lato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19"/>
      <w:ind w:left="794"/>
    </w:pPr>
    <w:rPr>
      <w:rFonts w:ascii="Lato" w:hAnsi="Lato" w:eastAsia="Lato" w:cs="Lato"/>
      <w:b/>
      <w:bCs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ato" w:hAnsi="Lato" w:eastAsia="Lato" w:cs="Lato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41"/>
      <w:ind w:left="794"/>
      <w:outlineLvl w:val="1"/>
    </w:pPr>
    <w:rPr>
      <w:rFonts w:ascii="Lato Semibold" w:hAnsi="Lato Semibold" w:eastAsia="Lato Semibold" w:cs="Lato Semibold"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794" w:right="2105"/>
      <w:jc w:val="both"/>
    </w:pPr>
    <w:rPr>
      <w:rFonts w:ascii="Lato Semibold" w:hAnsi="Lato Semibold" w:eastAsia="Lato Semibold" w:cs="Lato Semibold"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219" w:hanging="425"/>
    </w:pPr>
    <w:rPr>
      <w:rFonts w:ascii="Lato" w:hAnsi="Lato" w:eastAsia="Lato" w:cs="Lat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ind w:left="107"/>
    </w:pPr>
    <w:rPr>
      <w:rFonts w:ascii="Lato" w:hAnsi="Lato" w:eastAsia="Lato" w:cs="Lato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http://www.revenue.nt.gov.au/" TargetMode="External"/><Relationship Id="rId10" Type="http://schemas.openxmlformats.org/officeDocument/2006/relationships/image" Target="media/image3.jpeg"/><Relationship Id="rId11" Type="http://schemas.openxmlformats.org/officeDocument/2006/relationships/hyperlink" Target="mailto:ntrevenue@nt.gov.au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TREASURY AND FINANCE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Symonds</dc:creator>
  <dc:title>Mineral Royalty Act 1982: Royalty Guideline - RG-MRA-007: Capital recognition deduction factors</dc:title>
  <dcterms:created xsi:type="dcterms:W3CDTF">2024-07-09T02:28:59Z</dcterms:created>
  <dcterms:modified xsi:type="dcterms:W3CDTF">2024-07-09T02:28:59Z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2024-07-09T00:00:00Z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D:20240708225754</vt:lpwstr>
  </property>
</Properties>
</file>